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2026-04-03</w:t>
      </w:r>
    </w:p>
    <w:p>
      <w:pPr>
        <w:spacing w:before="160" w:after="120"/>
      </w:pPr>
      <w:r>
        <w:rPr>
          <w:b/>
          <w:sz w:val="28"/>
        </w:rPr>
        <w:t>【光伏】</w:t>
      </w:r>
    </w:p>
    <w:p>
      <w:pPr>
        <w:spacing w:before="160" w:after="40" w:line="240" w:lineRule="auto"/>
      </w:pPr>
      <w:r>
        <w:rPr>
          <w:b/>
        </w:rPr>
        <w:t xml:space="preserve">[1] </w:t>
      </w:r>
      <w:hyperlink r:id="rId9">
        <w:r>
          <w:rPr>
            <w:color w:val="1155CC"/>
            <w:u w:val="single"/>
          </w:rPr>
          <w:t>基于光伏预测的太阳能微电网电池储能决策支持</w:t>
        </w:r>
      </w:hyperlink>
    </w:p>
    <w:p>
      <w:pPr>
        <w:spacing w:before="0" w:after="80"/>
      </w:pPr>
      <w:r>
        <w:rPr>
          <w:i/>
          <w:sz w:val="20"/>
        </w:rPr>
        <w:t>EN: PV forecasting-driven decision-support for solar microgrids with battery storage</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[ASAP] Mg掺杂的纳米级BaTaO2N具有长寿命电荷载体以实现高效整体水分解</w:t>
        </w:r>
      </w:hyperlink>
    </w:p>
    <w:p>
      <w:pPr>
        <w:spacing w:before="0" w:after="80"/>
      </w:pPr>
      <w:r>
        <w:rPr>
          <w:i/>
          <w:sz w:val="20"/>
        </w:rPr>
        <w:t>EN: [ASAP] Mg-Doped Nanosized BaTaO2N with Long-Lived Charge Carriers toward Efficient Overall Water Splitting</w:t>
      </w:r>
    </w:p>
    <w:p>
      <w:pPr>
        <w:spacing w:before="0" w:after="120"/>
      </w:pPr>
      <w:r>
        <w:rPr>
          <w:b/>
        </w:rPr>
        <w:t xml:space="preserve">Source: </w:t>
      </w:r>
      <w:r>
        <w:t>Journal of the American Chemical Society: Latest Articles (ACS Publications)</w:t>
      </w:r>
      <w:r>
        <w:t xml:space="preserve">    </w:t>
      </w:r>
      <w:r>
        <w:rPr>
          <w:b/>
        </w:rPr>
        <w:t xml:space="preserve">Pub date: </w:t>
      </w:r>
      <w:r>
        <w:t>2026-03-28 13:55:32+00:00</w:t>
      </w:r>
      <w:r>
        <w:t xml:space="preserve">    </w:t>
      </w:r>
      <w:r>
        <w:rPr>
          <w:b/>
        </w:rPr>
        <w:t xml:space="preserve">DOI: </w:t>
      </w:r>
      <w:hyperlink r:id="rId11">
        <w:r>
          <w:rPr>
            <w:color w:val="1155CC"/>
            <w:u w:val="single"/>
          </w:rPr>
          <w:t>10.1021/jacs.6c03784</w:t>
        </w:r>
      </w:hyperlink>
    </w:p>
    <w:p>
      <w:pPr>
        <w:spacing w:before="0" w:after="120"/>
      </w:pPr>
      <w:r>
        <w:rPr>
          <w:b/>
        </w:rPr>
        <w:t xml:space="preserve">Notes: </w:t>
      </w:r>
      <w:r>
        <w:t>abstract_source=openalex</w:t>
      </w:r>
    </w:p>
    <w:p>
      <w:pPr>
        <w:spacing w:before="0" w:after="80" w:lineRule="auto" w:line="276"/>
      </w:pPr>
      <w:r>
        <w:rPr>
          <w:b/>
        </w:rPr>
        <w:t xml:space="preserve">摘要（ZH）: </w:t>
      </w:r>
      <w:r>
        <w:t>钙钛矿型氧氮化物通过一步激发光催化整体水分解（OWS）提供了一条可持续的太阳能转氢能量转换的有前途的途径。然而，由于对体相和表面性质控制不足，导致电荷载流子寿命不足和表面反应动力学缓慢，从而限制了光催化效率。在此，我们展示了通过结合前体工程和镁掺杂，可以有效地调整BaTaO2N的粒径、缺陷状态和表面性质，从而提高其OWS活性。合成了粒径为几十纳米的镁掺杂BaTaO2N纳米立方体，其太阳能转氢能量转换效率比之前报道的BaTaO2高一个数量级。</w:t>
      </w:r>
    </w:p>
    <w:p>
      <w:pPr>
        <w:spacing w:before="0" w:after="200" w:lineRule="auto" w:line="276"/>
      </w:pPr>
      <w:r>
        <w:rPr>
          <w:b/>
        </w:rPr>
        <w:t xml:space="preserve">Abstract (EN): </w:t>
      </w:r>
      <w:r>
        <w:t>Perovskite-type oxynitrides offer a promising route for sustainable solar-to-hydrogen energy conversion via one-step-excitation photocatalytic overall water splitting (OWS). However, insufficient charge carrier lifetimes and sluggish surface reaction kinetics, stemming from inadequate control over bulk and surface properties, have thus far limited photocatalytic efficiency. Herein, we demonstrate that the particle size, defect states, and surface properties of BaTaO2N can be effectively tailored by combining precursor engineering with Mg doping, thereby enhancing its OWS activity. Mg-doped BaTaO2N nanocubes with particle sizes of several tens of nanometers were synthesized, and a solar-to-hydrogen energy conversion efficiency an order of magnitude higher than previously reported for BaTaO2N-based photocatalysts was achieved with optimized IrOx and Cr2O3/Ru loading. Mechanistic studies reveal that the dual effects of Mg, namely, passivating bulk defects and tuning surface properties, give rise to long-lived charge carriers and efficient transfer of these carriers to uniformly distributed cocatalyst sites. This work demonstrates that precursor engineering combined with Mg doping enables rational bulk–surface coregulation in oxynitride photocatalysts, providing design principles for developing efficient visible-light-driven OWS systems.</w:t>
      </w:r>
    </w:p>
    <w:p>
      <w:pPr>
        <w:spacing w:before="120" w:after="120"/>
      </w:pPr>
      <w:r>
        <w:rPr>
          <w:sz w:val="18"/>
        </w:rPr>
        <w:t>——————————————————————————————————————————————————————————————————————</w:t>
      </w:r>
    </w:p>
    <w:p>
      <w:pPr>
        <w:spacing w:before="160" w:after="40" w:line="240" w:lineRule="auto"/>
      </w:pPr>
      <w:r>
        <w:rPr>
          <w:b/>
        </w:rPr>
        <w:t xml:space="preserve">[3] </w:t>
      </w:r>
      <w:hyperlink r:id="rId12">
        <w:r>
          <w:rPr>
            <w:color w:val="1155CC"/>
            <w:u w:val="single"/>
          </w:rPr>
          <w:t>基于食物废料和光伏集成的太阳能燃料通过能量存储</w:t>
        </w:r>
      </w:hyperlink>
    </w:p>
    <w:p>
      <w:pPr>
        <w:spacing w:before="0" w:after="80"/>
      </w:pPr>
      <w:r>
        <w:rPr>
          <w:i/>
          <w:sz w:val="20"/>
        </w:rPr>
        <w:t>EN: Solar fuels based on the integration of food wastes and photovoltaic through energy storage</w:t>
      </w:r>
    </w:p>
    <w:p>
      <w:pPr>
        <w:spacing w:before="0" w:after="120"/>
      </w:pPr>
      <w:r>
        <w:rPr>
          <w:b/>
        </w:rPr>
        <w:t xml:space="preserve">Source: </w:t>
      </w:r>
      <w:r>
        <w:t>ScienceDirect Publication: Applied Energy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3">
        <w:r>
          <w:rPr>
            <w:color w:val="1155CC"/>
            <w:u w:val="single"/>
          </w:rPr>
          <w:t>钙钛矿太阳能电池和模块在热循环下的铅固定</w:t>
        </w:r>
      </w:hyperlink>
    </w:p>
    <w:p>
      <w:pPr>
        <w:spacing w:before="0" w:after="80"/>
      </w:pPr>
      <w:r>
        <w:rPr>
          <w:i/>
          <w:sz w:val="20"/>
        </w:rPr>
        <w:t>EN: Lead immobilization for perovskite solar cells and modules under thermal cycling</w:t>
      </w:r>
    </w:p>
    <w:p>
      <w:pPr>
        <w:spacing w:before="0" w:after="120"/>
      </w:pPr>
      <w:r>
        <w:rPr>
          <w:b/>
        </w:rPr>
        <w:t xml:space="preserve">Source: </w:t>
      </w:r>
      <w:r>
        <w:t>Joule</w:t>
      </w:r>
      <w:r>
        <w:t xml:space="preserve">    </w:t>
      </w:r>
      <w:r>
        <w:rPr>
          <w:b/>
        </w:rPr>
        <w:t xml:space="preserve">Pub date: </w:t>
      </w:r>
      <w:r>
        <w:t>2026-03-30 00:00:00+00:00</w:t>
      </w:r>
      <w:r>
        <w:t xml:space="preserve">    </w:t>
      </w:r>
      <w:r>
        <w:rPr>
          <w:b/>
        </w:rPr>
        <w:t xml:space="preserve">DOI: </w:t>
      </w:r>
      <w:hyperlink r:id="rId14">
        <w:r>
          <w:rPr>
            <w:color w:val="1155CC"/>
            <w:u w:val="single"/>
          </w:rPr>
          <w:t>10.1016/j.joule.2026.102388</w:t>
        </w:r>
      </w:hyperlink>
    </w:p>
    <w:p>
      <w:pPr>
        <w:spacing w:before="0" w:after="120"/>
      </w:pPr>
      <w:r>
        <w:rPr>
          <w:b/>
        </w:rPr>
        <w:t xml:space="preserve">Notes: </w:t>
      </w:r>
      <w:r>
        <w:t>abstract_source=rss_cell</w:t>
      </w:r>
    </w:p>
    <w:p>
      <w:pPr>
        <w:spacing w:before="0" w:after="80" w:lineRule="auto" w:line="276"/>
      </w:pPr>
      <w:r>
        <w:rPr>
          <w:b/>
        </w:rPr>
        <w:t xml:space="preserve">摘要（ZH）: </w:t>
      </w:r>
      <w:r>
        <w:t>在这项研究中，开发了一种低成本、柔性的铅吸附膜PGP，该膜在长时间热循环后具有高SQE。该膜适用于刚性和柔性设备和模块，以及钙钛矿-硅串联太阳能电池。此外，该膜对PSCs和模块的性能和稳定性没有负面影响。因此，这项研究为在实际温度波动下易受铅泄漏影响的PSCs提供了一个可行的解决方案，显著推进了其商业前景。</w:t>
      </w:r>
    </w:p>
    <w:p>
      <w:pPr>
        <w:spacing w:before="0" w:after="200" w:lineRule="auto" w:line="276"/>
      </w:pPr>
      <w:r>
        <w:rPr>
          <w:b/>
        </w:rPr>
        <w:t xml:space="preserve">Abstract (EN): </w:t>
      </w:r>
      <w:r>
        <w:t>In this study, a low-cost, flexible lead adsorption film, PGP, with a high SQE after prolonged thermal cycling was developed. The film was applicable to both rigid and flexible devices and modules, as well as to perovskite-silicon tandem solar cells. Moreover, the film had no negative effect on the performance and stability of the PSCs and modules. Consequently, this study delivers a viable solution for PSCs susceptible to lead leakage under practical temperature fluctuations, significantly advancing their commercial prospects.</w:t>
      </w:r>
    </w:p>
    <w:p>
      <w:pPr>
        <w:spacing w:before="120" w:after="120"/>
      </w:pPr>
      <w:r>
        <w:rPr>
          <w:sz w:val="18"/>
        </w:rPr>
        <w:t>——————————————————————————————————————————————————————————————————————</w:t>
      </w:r>
    </w:p>
    <w:p>
      <w:pPr>
        <w:spacing w:before="160" w:after="40" w:line="240" w:lineRule="auto"/>
      </w:pPr>
      <w:r>
        <w:rPr>
          <w:b/>
        </w:rPr>
        <w:t xml:space="preserve">[5] </w:t>
      </w:r>
      <w:hyperlink r:id="rId15">
        <w:r>
          <w:rPr>
            <w:color w:val="1155CC"/>
            <w:u w:val="single"/>
          </w:rPr>
          <w:t>[ASAP] 通过异金属对称性破缺在光催化共价有机框架中编程电荷动力学</w:t>
        </w:r>
      </w:hyperlink>
    </w:p>
    <w:p>
      <w:pPr>
        <w:spacing w:before="0" w:after="80"/>
      </w:pPr>
      <w:r>
        <w:rPr>
          <w:i/>
          <w:sz w:val="20"/>
        </w:rPr>
        <w:t>EN: [ASAP] Programming Charge Dynamics in Photocatalytic Covalent Organic Frameworks through Heterometallic Symmetry Breaking</w:t>
      </w:r>
    </w:p>
    <w:p>
      <w:pPr>
        <w:spacing w:before="0" w:after="120"/>
      </w:pPr>
      <w:r>
        <w:rPr>
          <w:b/>
        </w:rPr>
        <w:t xml:space="preserve">Source: </w:t>
      </w:r>
      <w:r>
        <w:t>Journal of the American Chemical Society: Latest Articles (ACS Publications)</w:t>
      </w:r>
      <w:r>
        <w:t xml:space="preserve">    </w:t>
      </w:r>
      <w:r>
        <w:rPr>
          <w:b/>
        </w:rPr>
        <w:t xml:space="preserve">Pub date: </w:t>
      </w:r>
      <w:r>
        <w:t>2026-03-30 10:30:30+00:00</w:t>
      </w:r>
      <w:r>
        <w:t xml:space="preserve">    </w:t>
      </w:r>
      <w:r>
        <w:rPr>
          <w:b/>
        </w:rPr>
        <w:t xml:space="preserve">DOI: </w:t>
      </w:r>
      <w:hyperlink r:id="rId16">
        <w:r>
          <w:rPr>
            <w:color w:val="1155CC"/>
            <w:u w:val="single"/>
          </w:rPr>
          <w:t>10.1021/jacs.6c02198</w:t>
        </w:r>
      </w:hyperlink>
    </w:p>
    <w:p>
      <w:pPr>
        <w:spacing w:before="0" w:after="120"/>
      </w:pPr>
      <w:r>
        <w:rPr>
          <w:b/>
        </w:rPr>
        <w:t xml:space="preserve">Notes: </w:t>
      </w:r>
      <w:r>
        <w:t>abstract_source=pubmed</w:t>
      </w:r>
    </w:p>
    <w:p>
      <w:pPr>
        <w:spacing w:before="0" w:after="80" w:lineRule="auto" w:line="276"/>
      </w:pPr>
      <w:r>
        <w:rPr>
          <w:b/>
        </w:rPr>
        <w:t xml:space="preserve">摘要（ZH）: </w:t>
      </w:r>
      <w:r>
        <w:t>共价有机框架 (COFs) 固有的对称势能景观通常阻碍激子解离并加速电荷复合，从而限制其光催化效率。虽然供体-受体结构和单金属掺入可以调节电子特性，但实现长程定向电荷分离仍然是一个基本挑战。在此，我们报告了一种通过在 COFs 孔中设计金属位点的异质分布来打破其固有电子对称性的通用策略。通过利用原子精确的基于 Salen 的锌 COF，我们实现了部分锌被更具电负性的钴取代，从而诱导不对称的金属位点分布。这种对称性破坏产生了可编程的内置电场。</w:t>
      </w:r>
    </w:p>
    <w:p>
      <w:pPr>
        <w:spacing w:before="0" w:after="200" w:lineRule="auto" w:line="276"/>
      </w:pPr>
      <w:r>
        <w:rPr>
          <w:b/>
        </w:rPr>
        <w:t xml:space="preserve">Abstract (EN): </w:t>
      </w:r>
      <w:r>
        <w:t>The symmetric potential landscape inherent to covalent organic frameworks (COFs) often impedes exciton dissociation and accelerates charge recombination, thereby limiting their photocatalytic efficacy. While donor-acceptor architectures and single-metal incorporation can modulate electronic properties, achieving long-range directional charge separation remains a fundamental challenge. Here, we report a general strategy to break the intrinsic electronic symmetry of COFs by engineering a heterogeneous distribution of metal sites within their pores. By leveraging an atomically precise salen-based zinc COF, we enable the partial substitution of zinc with the more electronegative cobalt, which induces an asymmetric metal-site distribution. This symmetry breaking generates a programmable built-in electric field that optimizes charge separation and carrier mobility. Density functional theory (DFT) calculations and photoelectrochemical analyses reveal that a Co/Zn ratio of nearly 1:5 induces the most pronounced asymmetry, creating the strongest in-plane electric field. The optimized heterometallic COF photocatalyst achieves a CO2-to-CO conversion rate of 6917 μmol·g-1, representing a 124-fold enhancement over the pristine ZnCOF and ranking among the highest values reported for COF-based photocatalysts. The universality of this approach is confirmed using other metal pairs (Cu/Zn and Ni/Zn), establishing heterometallic symmetry breaking as a powerful design principle for engineering charge dynamics in porous crystalline materials for solar energy conversion.</w:t>
      </w:r>
    </w:p>
    <w:p>
      <w:pPr>
        <w:spacing w:before="120" w:after="120"/>
      </w:pPr>
      <w:r>
        <w:rPr>
          <w:sz w:val="18"/>
        </w:rPr>
        <w:t>——————————————————————————————————————————————————————————————————————</w:t>
      </w:r>
    </w:p>
    <w:p>
      <w:pPr>
        <w:spacing w:before="160" w:after="40" w:line="240" w:lineRule="auto"/>
      </w:pPr>
      <w:r>
        <w:rPr>
          <w:b/>
        </w:rPr>
        <w:t xml:space="preserve">[6] </w:t>
      </w:r>
      <w:hyperlink r:id="rId17">
        <w:r>
          <w:rPr>
            <w:color w:val="1155CC"/>
            <w:u w:val="single"/>
          </w:rPr>
          <w:t>[ASAP] 协同A位共掺杂实现宽带隙钙钛矿的晶格稳定化和应变平衡</w:t>
        </w:r>
      </w:hyperlink>
    </w:p>
    <w:p>
      <w:pPr>
        <w:spacing w:before="0" w:after="80"/>
      </w:pPr>
      <w:r>
        <w:rPr>
          <w:i/>
          <w:sz w:val="20"/>
        </w:rPr>
        <w:t>EN: [ASAP] Synergistic A-Site Codoping Enables Lattice Stabilization and Strain Balance in Wide-Bandgap Perovskites</w:t>
      </w:r>
    </w:p>
    <w:p>
      <w:pPr>
        <w:spacing w:before="0" w:after="120"/>
      </w:pPr>
      <w:r>
        <w:rPr>
          <w:b/>
        </w:rPr>
        <w:t xml:space="preserve">Source: </w:t>
      </w:r>
      <w:r>
        <w:t>ACS Energy Letters: Latest Articles (ACS Publications)</w:t>
      </w:r>
      <w:r>
        <w:t xml:space="preserve">    </w:t>
      </w:r>
      <w:r>
        <w:rPr>
          <w:b/>
        </w:rPr>
        <w:t xml:space="preserve">Pub date: </w:t>
      </w:r>
      <w:r>
        <w:t>2026-03-30 19:08:21+00:00</w:t>
      </w:r>
      <w:r>
        <w:t xml:space="preserve">    </w:t>
      </w:r>
      <w:r>
        <w:rPr>
          <w:b/>
        </w:rPr>
        <w:t xml:space="preserve">DOI: </w:t>
      </w:r>
      <w:hyperlink r:id="rId18">
        <w:r>
          <w:rPr>
            <w:color w:val="1155CC"/>
            <w:u w:val="single"/>
          </w:rPr>
          <w:t>10.1021/acsenergylett.6c00328</w:t>
        </w:r>
      </w:hyperlink>
    </w:p>
    <w:p>
      <w:pPr>
        <w:spacing w:before="0" w:after="120"/>
      </w:pPr>
      <w:r>
        <w:rPr>
          <w:b/>
        </w:rPr>
        <w:t xml:space="preserve">Notes: </w:t>
      </w:r>
      <w:r>
        <w:t>abstract_source=openalex</w:t>
      </w:r>
    </w:p>
    <w:p>
      <w:pPr>
        <w:spacing w:before="0" w:after="80" w:lineRule="auto" w:line="276"/>
      </w:pPr>
      <w:r>
        <w:rPr>
          <w:b/>
        </w:rPr>
        <w:t xml:space="preserve">摘要（ZH）: </w:t>
      </w:r>
      <w:r>
        <w:t>宽带隙（WBG，∼1.75–1.80 eV）钙钛矿对于串联太阳能电池至关重要，但面临快速结晶、缺陷和不稳定性的问题。单阳离子策略面临内在的权衡：甲胺（MA）加速晶格形成但在热应力下挥发，而胍（GA）增强晶格相互作用但引入拉伸应变。在此，我们揭示了通过MA–GA A位共掺杂的协同机制，平衡了晶格应变，加强了离子-晶格相互作用，并优化了结晶动力学。综合实验证实共掺杂抑制了晶格畸变，减少了非辐射复合，并显著提高了热和操作稳定性。因此，1.77 eV钙钛矿太阳能电池的平均PCE增加。</w:t>
      </w:r>
    </w:p>
    <w:p>
      <w:pPr>
        <w:spacing w:before="0" w:after="200" w:lineRule="auto" w:line="276"/>
      </w:pPr>
      <w:r>
        <w:rPr>
          <w:b/>
        </w:rPr>
        <w:t xml:space="preserve">Abstract (EN): </w:t>
      </w:r>
      <w:r>
        <w:t>Wide-bandgap (WBG, ∼1.75–1.80 eV) perovskites are essential for tandem solar cells, but suffer from rapid crystallization, defects, and instability. Single-cation strategies face intrinsic trade-offs: methylammonium (MA) accelerates lattice formation but volatilizes under thermal stress, whereas guanidinium (GA) strengthens lattice interactions yet introduces tensile strain. Here, we uncover a synergistic mechanism through MA–GA A-site codoping, which balances lattice strain, reinforces ion–lattice interactions, and optimizes crystallization kinetics. Comprehensive experiments confirm codoping suppressed lattice distortions, reduced nonradiative recombination, and markedly enhanced thermal and operational stability. Consequently, 1.77 eV perovskite solar cells achieve an average PCE increase from 18.4% to 21.2%, with a champion device reaching 21.5% and retaining &gt;95% of initial performance after 1400 h of continuous operation. Integration into tandem cells with 1.25 eV Sn–Pb subcells yields a PCE of 28.5%, demonstrating that antagonistic cation pairing can cooperatively stabilize the lattice, offering a general route to resolve the efficiency–stability trade-off in perovskite photovoltaics.</w:t>
      </w:r>
    </w:p>
    <w:p>
      <w:pPr>
        <w:spacing w:before="120" w:after="120"/>
      </w:pPr>
      <w:r>
        <w:rPr>
          <w:sz w:val="18"/>
        </w:rPr>
        <w:t>——————————————————————————————————————————————————————————————————————</w:t>
      </w:r>
    </w:p>
    <w:p>
      <w:pPr>
        <w:spacing w:before="160" w:after="40" w:line="240" w:lineRule="auto"/>
      </w:pPr>
      <w:r>
        <w:rPr>
          <w:b/>
        </w:rPr>
        <w:t xml:space="preserve">[7] </w:t>
      </w:r>
      <w:hyperlink r:id="rId19">
        <w:r>
          <w:rPr>
            <w:color w:val="1155CC"/>
            <w:u w:val="single"/>
          </w:rPr>
          <w:t>对单组分有机光伏的物理见解</w:t>
        </w:r>
      </w:hyperlink>
    </w:p>
    <w:p>
      <w:pPr>
        <w:spacing w:before="0" w:after="80"/>
      </w:pPr>
      <w:r>
        <w:rPr>
          <w:i/>
          <w:sz w:val="20"/>
        </w:rPr>
        <w:t>EN: Physical insights into single-component organic photovoltaics</w:t>
      </w:r>
    </w:p>
    <w:p>
      <w:pPr>
        <w:spacing w:before="0" w:after="120"/>
      </w:pPr>
      <w:r>
        <w:rPr>
          <w:b/>
        </w:rPr>
        <w:t xml:space="preserve">Source: </w:t>
      </w:r>
      <w:r>
        <w:t>Joule</w:t>
      </w:r>
      <w:r>
        <w:t xml:space="preserve">    </w:t>
      </w:r>
      <w:r>
        <w:rPr>
          <w:b/>
        </w:rPr>
        <w:t xml:space="preserve">Pub date: </w:t>
      </w:r>
      <w:r>
        <w:t>2026-03-31 00:00:00+00:00</w:t>
      </w:r>
      <w:r>
        <w:t xml:space="preserve">    </w:t>
      </w:r>
      <w:r>
        <w:rPr>
          <w:b/>
        </w:rPr>
        <w:t xml:space="preserve">DOI: </w:t>
      </w:r>
      <w:hyperlink r:id="rId20">
        <w:r>
          <w:rPr>
            <w:color w:val="1155CC"/>
            <w:u w:val="single"/>
          </w:rPr>
          <w:t>10.1016/j.joule.2026.102397</w:t>
        </w:r>
      </w:hyperlink>
    </w:p>
    <w:p>
      <w:pPr>
        <w:spacing w:before="0" w:after="120"/>
      </w:pPr>
      <w:r>
        <w:rPr>
          <w:b/>
        </w:rPr>
        <w:t xml:space="preserve">Notes: </w:t>
      </w:r>
      <w:r>
        <w:t>abstract_source=rss_cell</w:t>
      </w:r>
    </w:p>
    <w:p>
      <w:pPr>
        <w:spacing w:before="0" w:after="80" w:lineRule="auto" w:line="276"/>
      </w:pPr>
      <w:r>
        <w:rPr>
          <w:b/>
        </w:rPr>
        <w:t xml:space="preserve">摘要（ZH）: </w:t>
      </w:r>
      <w:r>
        <w:t>单组分有机光伏（SC-OPVs）在形态稳定性方面优于传统的体异质结系统，但其效率目前仍然落后。本文综述了两种系统中基本光物理过程的系统分析和比较，旨在提供SC-OPVs运行的关键物理见解。通过识别其性能限制的根源，我们概述了涵盖分子设计、形态控制和高级表征的战略方向，提供了一条弥合效率差距并推进稳定高性能SC-OPVs发展的路线图。</w:t>
      </w:r>
    </w:p>
    <w:p>
      <w:pPr>
        <w:spacing w:before="0" w:after="200" w:lineRule="auto" w:line="276"/>
      </w:pPr>
      <w:r>
        <w:rPr>
          <w:b/>
        </w:rPr>
        <w:t xml:space="preserve">Abstract (EN): </w:t>
      </w:r>
      <w:r>
        <w:t>Single-component organic photovoltaics (SC-OPVs) offer enhanced morphological stability over traditional bulk-heterojunction systems, yet their efficiencies currently lag. This review provides a systematic analysis and comparison of the fundamental photophysical processes in both systems, aiming to deliver key physical insights into the operation of SC-OPVs. By identifying the origins of their performance limitations, we outline strategic directions spanning molecular design, morphology control, and advanced characterization, offering a roadmap to bridge the efficiency gap and advance the development of stable, high-performance SC-OPVs.</w:t>
      </w:r>
    </w:p>
    <w:p>
      <w:pPr>
        <w:spacing w:before="120" w:after="120"/>
      </w:pPr>
      <w:r>
        <w:rPr>
          <w:sz w:val="18"/>
        </w:rPr>
        <w:t>——————————————————————————————————————————————————————————————————————</w:t>
      </w:r>
    </w:p>
    <w:p>
      <w:pPr>
        <w:spacing w:before="160" w:after="40" w:line="240" w:lineRule="auto"/>
      </w:pPr>
      <w:r>
        <w:rPr>
          <w:b/>
        </w:rPr>
        <w:t xml:space="preserve">[8] </w:t>
      </w:r>
      <w:hyperlink r:id="rId21">
        <w:r>
          <w:rPr>
            <w:color w:val="1155CC"/>
            <w:u w:val="single"/>
          </w:rPr>
          <w:t>模拟辅助优化和有机光伏的放大：从小型电池到大面积模块</w:t>
        </w:r>
      </w:hyperlink>
    </w:p>
    <w:p>
      <w:pPr>
        <w:spacing w:before="0" w:after="80"/>
      </w:pPr>
      <w:r>
        <w:rPr>
          <w:i/>
          <w:sz w:val="20"/>
        </w:rPr>
        <w:t>EN: Simulation-assisted optimization and upscaling of organic photovoltaics: From small cells to large-area modules</w:t>
      </w:r>
    </w:p>
    <w:p>
      <w:pPr>
        <w:spacing w:before="0" w:after="120"/>
      </w:pPr>
      <w:r>
        <w:rPr>
          <w:b/>
        </w:rPr>
        <w:t xml:space="preserve">Source: </w:t>
      </w:r>
      <w:r>
        <w:t>Joule</w:t>
      </w:r>
      <w:r>
        <w:t xml:space="preserve">    </w:t>
      </w:r>
      <w:r>
        <w:rPr>
          <w:b/>
        </w:rPr>
        <w:t xml:space="preserve">Pub date: </w:t>
      </w:r>
      <w:r>
        <w:t>2026-03-31 00:00:00+00:00</w:t>
      </w:r>
      <w:r>
        <w:t xml:space="preserve">    </w:t>
      </w:r>
      <w:r>
        <w:rPr>
          <w:b/>
        </w:rPr>
        <w:t xml:space="preserve">DOI: </w:t>
      </w:r>
      <w:hyperlink r:id="rId22">
        <w:r>
          <w:rPr>
            <w:color w:val="1155CC"/>
            <w:u w:val="single"/>
          </w:rPr>
          <w:t>10.1016/j.joule.2026.102398</w:t>
        </w:r>
      </w:hyperlink>
    </w:p>
    <w:p>
      <w:pPr>
        <w:spacing w:before="0" w:after="120"/>
      </w:pPr>
      <w:r>
        <w:rPr>
          <w:b/>
        </w:rPr>
        <w:t xml:space="preserve">Notes: </w:t>
      </w:r>
      <w:r>
        <w:t>abstract_source=rss_cell</w:t>
      </w:r>
    </w:p>
    <w:p>
      <w:pPr>
        <w:spacing w:before="0" w:after="80" w:lineRule="auto" w:line="276"/>
      </w:pPr>
      <w:r>
        <w:rPr>
          <w:b/>
        </w:rPr>
        <w:t xml:space="preserve">摘要（ZH）: </w:t>
      </w:r>
      <w:r>
        <w:t>通过光学和电学模拟对具有蒸发银电极和银纳米线的有机光伏（OPVs）进行优化，并与实验数据相关联以识别潜在的损失机制。优化后的OPVs展示了半透明、大面积器件中报告的最高效率之一，并具有出色的稳定性。</w:t>
      </w:r>
    </w:p>
    <w:p>
      <w:pPr>
        <w:spacing w:before="0" w:after="200" w:lineRule="auto" w:line="276"/>
      </w:pPr>
      <w:r>
        <w:rPr>
          <w:b/>
        </w:rPr>
        <w:t xml:space="preserve">Abstract (EN): </w:t>
      </w:r>
      <w:r>
        <w:t>Optimization of OPVs with evaporated silver electrodes and silver nanowires is conducted by means of optical and electrical simulations and correlated to experimental data to identify the underlying loss mechanisms. The optimized OPVs exhibit one of the highest efficiencies reported for semitransparent, large-area devices, with outstanding stability.</w:t>
      </w:r>
    </w:p>
    <w:p>
      <w:pPr>
        <w:spacing w:before="120" w:after="120"/>
      </w:pPr>
      <w:r>
        <w:rPr>
          <w:sz w:val="18"/>
        </w:rPr>
        <w:t>——————————————————————————————————————————————————————————————————————</w:t>
      </w:r>
    </w:p>
    <w:p>
      <w:pPr>
        <w:spacing w:before="160" w:after="40" w:line="240" w:lineRule="auto"/>
      </w:pPr>
      <w:r>
        <w:rPr>
          <w:b/>
        </w:rPr>
        <w:t xml:space="preserve">[9] </w:t>
      </w:r>
      <w:hyperlink r:id="rId23">
        <w:r>
          <w:rPr>
            <w:color w:val="1155CC"/>
            <w:u w:val="single"/>
          </w:rPr>
          <w:t>考虑疲劳寿命评估的光伏-燃煤混合发电系统的协同柔性增强方法</w:t>
        </w:r>
      </w:hyperlink>
    </w:p>
    <w:p>
      <w:pPr>
        <w:spacing w:before="0" w:after="80"/>
      </w:pPr>
      <w:r>
        <w:rPr>
          <w:i/>
          <w:sz w:val="20"/>
        </w:rPr>
        <w:t>EN: Synergistic flexibility enhancement method of photovoltaic-coal-fired hybrid power generation systems considering fatigue life assessment</w:t>
      </w:r>
    </w:p>
    <w:p>
      <w:pPr>
        <w:spacing w:before="0" w:after="120"/>
      </w:pPr>
      <w:r>
        <w:rPr>
          <w:b/>
        </w:rPr>
        <w:t xml:space="preserve">Source: </w:t>
      </w:r>
      <w:r>
        <w:t>ScienceDirect Publication: Applied Energy</w:t>
      </w:r>
      <w:r>
        <w:t xml:space="preserve">    </w:t>
      </w:r>
      <w:r>
        <w:rPr>
          <w:b/>
        </w:rPr>
        <w:t xml:space="preserve">Pub date: </w:t>
      </w:r>
      <w:r>
        <w:t>2026-03-31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4">
        <w:r>
          <w:rPr>
            <w:color w:val="1155CC"/>
            <w:u w:val="single"/>
          </w:rPr>
          <w:t>FAxCs1−xPbI3钙钛矿太阳能电池的降解路径</w:t>
        </w:r>
      </w:hyperlink>
    </w:p>
    <w:p>
      <w:pPr>
        <w:spacing w:before="0" w:after="80"/>
      </w:pPr>
      <w:r>
        <w:rPr>
          <w:i/>
          <w:sz w:val="20"/>
        </w:rPr>
        <w:t>EN: Degradation pathways of FAxCs1−xPbI3 perovskite solar cells</w:t>
      </w:r>
    </w:p>
    <w:p>
      <w:pPr>
        <w:spacing w:before="0" w:after="120"/>
      </w:pPr>
      <w:r>
        <w:rPr>
          <w:b/>
        </w:rPr>
        <w:t xml:space="preserve">Source: </w:t>
      </w:r>
      <w:r>
        <w:t>Nature Energy</w:t>
      </w:r>
      <w:r>
        <w:t xml:space="preserve">    </w:t>
      </w:r>
      <w:r>
        <w:rPr>
          <w:b/>
        </w:rPr>
        <w:t xml:space="preserve">Pub date: </w:t>
      </w:r>
      <w:r>
        <w:t>2026-03-31 00:00:00+00:00</w:t>
      </w:r>
      <w:r>
        <w:t xml:space="preserve">    </w:t>
      </w:r>
      <w:r>
        <w:rPr>
          <w:b/>
        </w:rPr>
        <w:t xml:space="preserve">DOI: </w:t>
      </w:r>
      <w:hyperlink r:id="rId25">
        <w:r>
          <w:rPr>
            <w:color w:val="1155CC"/>
            <w:u w:val="single"/>
          </w:rPr>
          <w:t>10.1038/s41560-026-02012-x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6">
        <w:r>
          <w:rPr>
            <w:color w:val="1155CC"/>
            <w:u w:val="single"/>
          </w:rPr>
          <w:t>手性钙钛矿：从手性机制到光伏应用</w:t>
        </w:r>
      </w:hyperlink>
    </w:p>
    <w:p>
      <w:pPr>
        <w:spacing w:before="0" w:after="80"/>
      </w:pPr>
      <w:r>
        <w:rPr>
          <w:i/>
          <w:sz w:val="20"/>
        </w:rPr>
        <w:t>EN: Chiral perovskites: From chirality mechanisms to photovoltaics</w:t>
      </w:r>
    </w:p>
    <w:p>
      <w:pPr>
        <w:spacing w:before="0" w:after="120"/>
      </w:pPr>
      <w:r>
        <w:rPr>
          <w:b/>
        </w:rPr>
        <w:t xml:space="preserve">Source: </w:t>
      </w:r>
      <w:r>
        <w:t>Matter</w:t>
      </w:r>
      <w:r>
        <w:t xml:space="preserve">    </w:t>
      </w:r>
      <w:r>
        <w:rPr>
          <w:b/>
        </w:rPr>
        <w:t xml:space="preserve">Pub date: </w:t>
      </w:r>
      <w:r>
        <w:t>2026-03-31 00:00:00+00:00</w:t>
      </w:r>
      <w:r>
        <w:t xml:space="preserve">    </w:t>
      </w:r>
      <w:r>
        <w:rPr>
          <w:b/>
        </w:rPr>
        <w:t xml:space="preserve">DOI: </w:t>
      </w:r>
      <w:hyperlink r:id="rId27">
        <w:r>
          <w:rPr>
            <w:color w:val="1155CC"/>
            <w:u w:val="single"/>
          </w:rPr>
          <w:t>10.1016/j.matt.2026.102758</w:t>
        </w:r>
      </w:hyperlink>
    </w:p>
    <w:p>
      <w:pPr>
        <w:spacing w:before="0" w:after="120"/>
      </w:pPr>
      <w:r>
        <w:rPr>
          <w:b/>
        </w:rPr>
        <w:t xml:space="preserve">Notes: </w:t>
      </w:r>
      <w:r>
        <w:t>abstract_source=rss_cell</w:t>
      </w:r>
    </w:p>
    <w:p>
      <w:pPr>
        <w:spacing w:before="0" w:after="80" w:lineRule="auto" w:line="276"/>
      </w:pPr>
      <w:r>
        <w:rPr>
          <w:b/>
        </w:rPr>
        <w:t xml:space="preserve">摘要（ZH）: </w:t>
      </w:r>
      <w:r>
        <w:t>钙钛矿在光学和能源材料领域引起了广泛关注，因为它们不仅表现出卓越的光伏效率，还由于其高度可调的成分和结构而能够轻松引入手性。本文综述了手性钙钛矿在光伏中的作用，分析了当前的挑战，并确定了未来的研究方向。这些努力旨在加速手性钙钛矿光伏的发展，并激发在手性、材料和能源交叉领域的跨学科研究。</w:t>
      </w:r>
    </w:p>
    <w:p>
      <w:pPr>
        <w:spacing w:before="0" w:after="200" w:lineRule="auto" w:line="276"/>
      </w:pPr>
      <w:r>
        <w:rPr>
          <w:b/>
        </w:rPr>
        <w:t xml:space="preserve">Abstract (EN): </w:t>
      </w:r>
      <w:r>
        <w:t>Perovskites have attracted considerable attention in both optics and energy materials, as they not only demonstrate exceptional photovoltaic efficiency but also enable facile incorporation of chirality due to their highly tunable composition and structure. This review examines the role of chiral perovskites in photovoltaics, analyzes current challenges, and identifies future research directions. These efforts aim to accelerate the development of chiral perovskite photovoltaics and inspire cross-disciplinary research at the intersection of chirality, materials, and energy.</w:t>
      </w:r>
    </w:p>
    <w:p>
      <w:pPr>
        <w:spacing w:before="120" w:after="120"/>
      </w:pPr>
      <w:r>
        <w:rPr>
          <w:sz w:val="18"/>
        </w:rPr>
        <w:t>——————————————————————————————————————————————————————————————————————</w:t>
      </w:r>
    </w:p>
    <w:p>
      <w:pPr>
        <w:spacing w:before="160" w:after="40" w:line="240" w:lineRule="auto"/>
      </w:pPr>
      <w:r>
        <w:rPr>
          <w:b/>
        </w:rPr>
        <w:t xml:space="preserve">[12] </w:t>
      </w:r>
      <w:hyperlink r:id="rId28">
        <w:r>
          <w:rPr>
            <w:color w:val="1155CC"/>
            <w:u w:val="single"/>
          </w:rPr>
          <w:t>闪速提取实现钙钛矿在工业纹理硅上的共形生长</w:t>
        </w:r>
      </w:hyperlink>
    </w:p>
    <w:p>
      <w:pPr>
        <w:spacing w:before="0" w:after="80"/>
      </w:pPr>
      <w:r>
        <w:rPr>
          <w:i/>
          <w:sz w:val="20"/>
        </w:rPr>
        <w:t>EN: Flash-extraction enables conformal growth of perovskites on industrially textured silicon</w:t>
      </w:r>
    </w:p>
    <w:p>
      <w:pPr>
        <w:spacing w:before="0" w:after="120"/>
      </w:pPr>
      <w:r>
        <w:rPr>
          <w:b/>
        </w:rPr>
        <w:t xml:space="preserve">Source: </w:t>
      </w:r>
      <w:r>
        <w:t>Matter</w:t>
      </w:r>
      <w:r>
        <w:t xml:space="preserve">    </w:t>
      </w:r>
      <w:r>
        <w:rPr>
          <w:b/>
        </w:rPr>
        <w:t xml:space="preserve">Pub date: </w:t>
      </w:r>
      <w:r>
        <w:t>2026-03-31 00:00:00+00:00</w:t>
      </w:r>
      <w:r>
        <w:t xml:space="preserve">    </w:t>
      </w:r>
      <w:r>
        <w:rPr>
          <w:b/>
        </w:rPr>
        <w:t xml:space="preserve">DOI: </w:t>
      </w:r>
      <w:hyperlink r:id="rId29">
        <w:r>
          <w:rPr>
            <w:color w:val="1155CC"/>
            <w:u w:val="single"/>
          </w:rPr>
          <w:t>10.1016/j.matt.2026.102763</w:t>
        </w:r>
      </w:hyperlink>
    </w:p>
    <w:p>
      <w:pPr>
        <w:spacing w:before="0" w:after="120"/>
      </w:pPr>
      <w:r>
        <w:rPr>
          <w:b/>
        </w:rPr>
        <w:t xml:space="preserve">Notes: </w:t>
      </w:r>
      <w:r>
        <w:t>abstract_source=rss_cell</w:t>
      </w:r>
    </w:p>
    <w:p>
      <w:pPr>
        <w:spacing w:before="0" w:after="80" w:lineRule="auto" w:line="276"/>
      </w:pPr>
      <w:r>
        <w:rPr>
          <w:b/>
        </w:rPr>
        <w:t xml:space="preserve">摘要（ZH）: </w:t>
      </w:r>
      <w:r>
        <w:t>通过溶液加工将钙钛矿沉积到纹理化硅上制造高效叠层太阳能电池一直具有挑战性，因为粗糙的表面往往导致薄膜形成不均匀。我们开发了一种“闪提”策略，能够快速去除溶剂，使钙钛矿在纹理化表面上形成均匀的高质量层。这一全溶液工艺实现了接近30%的效率，为制造下一代太阳能电池板提供了一条简单、经济有效的途径。</w:t>
      </w:r>
    </w:p>
    <w:p>
      <w:pPr>
        <w:spacing w:before="0" w:after="200" w:lineRule="auto" w:line="276"/>
      </w:pPr>
      <w:r>
        <w:rPr>
          <w:b/>
        </w:rPr>
        <w:t xml:space="preserve">Abstract (EN): </w:t>
      </w:r>
      <w:r>
        <w:t>Making high-efficiency tandem solar cells by depositing perovskite via solution processing onto textured silicon has been challenging, as the rough surface often leads to uneven film formation. We developed a “flash-extraction” strategy that rapidly removes the solvent, enabling the perovskite to form a uniform, high-quality layer over the textured surface. This all-solution process achieves near 30% efficiency, offering a simple, cost-effective path for manufacturing next-generation solar panels.</w:t>
      </w:r>
    </w:p>
    <w:p>
      <w:pPr>
        <w:spacing w:before="120" w:after="120"/>
      </w:pPr>
      <w:r>
        <w:rPr>
          <w:sz w:val="18"/>
        </w:rPr>
        <w:t>——————————————————————————————————————————————————————————————————————</w:t>
      </w:r>
    </w:p>
    <w:p>
      <w:pPr>
        <w:spacing w:before="160" w:after="40" w:line="240" w:lineRule="auto"/>
      </w:pPr>
      <w:r>
        <w:rPr>
          <w:b/>
        </w:rPr>
        <w:t xml:space="preserve">[13] </w:t>
      </w:r>
      <w:hyperlink r:id="rId30">
        <w:r>
          <w:rPr>
            <w:color w:val="1155CC"/>
            <w:u w:val="single"/>
          </w:rPr>
          <w:t>通过原位构建PEDOT空穴传输通道增强全钙钛矿叠层太阳能电池的光稳定性</w:t>
        </w:r>
      </w:hyperlink>
    </w:p>
    <w:p>
      <w:pPr>
        <w:spacing w:before="0" w:after="80"/>
      </w:pPr>
      <w:r>
        <w:rPr>
          <w:i/>
          <w:sz w:val="20"/>
        </w:rPr>
        <w:t>EN: Enhancing Photo‐Stability of All‐Perovskite Tandem Solar Cells via In Situ Construction PEDOT Hole Transport Channels</w:t>
      </w:r>
    </w:p>
    <w:p>
      <w:pPr>
        <w:spacing w:before="0" w:after="120"/>
      </w:pPr>
      <w:r>
        <w:rPr>
          <w:b/>
        </w:rPr>
        <w:t xml:space="preserve">Source: </w:t>
      </w:r>
      <w:r>
        <w:t>Wiley: Advanced Materials: Table of Contents</w:t>
      </w:r>
      <w:r>
        <w:t xml:space="preserve">    </w:t>
      </w:r>
      <w:r>
        <w:rPr>
          <w:b/>
        </w:rPr>
        <w:t xml:space="preserve">Pub date: </w:t>
      </w:r>
      <w:r>
        <w:t>2026-03-31 04:53:45+00:00</w:t>
      </w:r>
      <w:r>
        <w:t xml:space="preserve">    </w:t>
      </w:r>
      <w:r>
        <w:rPr>
          <w:b/>
        </w:rPr>
        <w:t xml:space="preserve">DOI: </w:t>
      </w:r>
      <w:hyperlink r:id="rId31">
        <w:r>
          <w:rPr>
            <w:color w:val="1155CC"/>
            <w:u w:val="single"/>
          </w:rPr>
          <w:t>10.1002/adma.202522790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在全钙钛矿叠层太阳能电池（TSCs）中，厚（&gt;1 µm）的Sn-Pb后子电池由于电荷传输不平衡而遭受空穴积累驱动的Sn2+光氧化。传统的牺牲还原添加剂未能解决这一光稳定性挑战。在此，我们采用低温溶液处理的固态聚合（SSP）方法，使用2,5-二溴-3,4-乙烯二氧噻吩（DBEDOT）原位构建钙钛矿薄膜中的聚（3,4-乙烯二氧噻吩）（PEDOT）空穴传输通道。该方法增强了空穴提取，从而平衡了Sn-Pb后子电池中的电子-空穴传输以及两个子电池之间的复合。因此，我们实现了</w:t>
      </w:r>
    </w:p>
    <w:p>
      <w:pPr>
        <w:spacing w:before="0" w:after="200" w:lineRule="auto" w:line="276"/>
      </w:pPr>
      <w:r>
        <w:rPr>
          <w:b/>
        </w:rPr>
        <w:t xml:space="preserve">Abstract (EN): </w:t>
      </w:r>
      <w:r>
        <w:t>In all‐perovskite tandem solar cells (TSCs), thick (&amp;gt;1 µm) Sn‐Pb rear sub‐cells suffer from hole accumulation‐driven Sn</w:t>
      </w:r>
      <w:r>
        <w:t xml:space="preserve"> </w:t>
      </w:r>
      <w:r>
        <w:t>2+</w:t>
      </w:r>
      <w:r>
        <w:t xml:space="preserve"> </w:t>
      </w:r>
      <w:r>
        <w:t>photo‐oxidation due to unbalanced charge transport. Traditional sacrificial reductive additives fail to address this photo‐stability challenge. Herein, we employ a low‐temperature solution‐processed solid‐state polymerization (SSP) method using 2,5‐dibromo‐3,4‐ethylenedioxythiophene (DBEDOT) to in situ construct poly(3,4‐ethylenedioxythiophene) (PEDOT) hole transport channels within the perovskite film. This approach enhances hole extraction, therefore balancing electron‐hole transport in Sn‐Pb rear sub‐cells as well as recombination between two sub‐cells. Consequently, we achieve a 24.20% power conversion efficiency (PCE) for single‐junction Sn‐Pb devices and a 29.58% PCE for all‐perovskite TSCs. Significantly, by suppressing Sn</w:t>
      </w:r>
      <w:r>
        <w:t xml:space="preserve"> </w:t>
      </w:r>
      <w:r>
        <w:t>2+</w:t>
      </w:r>
      <w:r>
        <w:t xml:space="preserve"> </w:t>
      </w:r>
      <w:r>
        <w:t>photo‐oxidation through mitigated hole accumulation, the tandem device retains 90% of its initial efficiency after 1100 h of continuous operation at 55°C under maximum power point (MPP) conditions. This strategy offers a promising route toward the development of highly efficient and stable all‐perovskite tandem photovoltaics.</w:t>
      </w:r>
    </w:p>
    <w:p>
      <w:pPr>
        <w:spacing w:before="120" w:after="120"/>
      </w:pPr>
      <w:r>
        <w:rPr>
          <w:sz w:val="18"/>
        </w:rPr>
        <w:t>——————————————————————————————————————————————————————————————————————</w:t>
      </w:r>
    </w:p>
    <w:p>
      <w:pPr>
        <w:spacing w:before="160" w:after="40" w:line="240" w:lineRule="auto"/>
      </w:pPr>
      <w:r>
        <w:rPr>
          <w:b/>
        </w:rPr>
        <w:t xml:space="preserve">[14] </w:t>
      </w:r>
      <w:hyperlink r:id="rId32">
        <w:r>
          <w:rPr>
            <w:color w:val="1155CC"/>
            <w:u w:val="single"/>
          </w:rPr>
          <w:t>[ASAP] 用于锡基钙钛矿太阳能电池的原位交联多锚定富勒烯中间层</w:t>
        </w:r>
      </w:hyperlink>
    </w:p>
    <w:p>
      <w:pPr>
        <w:spacing w:before="0" w:after="80"/>
      </w:pPr>
      <w:r>
        <w:rPr>
          <w:i/>
          <w:sz w:val="20"/>
        </w:rPr>
        <w:t>EN: [ASAP] In-Situ Cross-Linked Multianchoring Fullerene Interlayer for Tin-Based Perovskite Solar Cells</w:t>
      </w:r>
    </w:p>
    <w:p>
      <w:pPr>
        <w:spacing w:before="0" w:after="120"/>
      </w:pPr>
      <w:r>
        <w:rPr>
          <w:b/>
        </w:rPr>
        <w:t xml:space="preserve">Source: </w:t>
      </w:r>
      <w:r>
        <w:t>ACS Energy Letters: Latest Articles (ACS Publications)</w:t>
      </w:r>
      <w:r>
        <w:t xml:space="preserve">    </w:t>
      </w:r>
      <w:r>
        <w:rPr>
          <w:b/>
        </w:rPr>
        <w:t xml:space="preserve">Pub date: </w:t>
      </w:r>
      <w:r>
        <w:t>2026-03-31 12:22:51+00:00</w:t>
      </w:r>
      <w:r>
        <w:t xml:space="preserve">    </w:t>
      </w:r>
      <w:r>
        <w:rPr>
          <w:b/>
        </w:rPr>
        <w:t xml:space="preserve">DOI: </w:t>
      </w:r>
      <w:hyperlink r:id="rId33">
        <w:r>
          <w:rPr>
            <w:color w:val="1155CC"/>
            <w:u w:val="single"/>
          </w:rPr>
          <w:t>10.1021/acsenergylett.6c00385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34">
        <w:r>
          <w:rPr>
            <w:color w:val="1155CC"/>
            <w:u w:val="single"/>
          </w:rPr>
          <w:t>这些先进的太阳能电池有一个古老的来源：旧子弹</w:t>
        </w:r>
      </w:hyperlink>
    </w:p>
    <w:p>
      <w:pPr>
        <w:spacing w:before="0" w:after="80"/>
      </w:pPr>
      <w:r>
        <w:rPr>
          <w:i/>
          <w:sz w:val="20"/>
        </w:rPr>
        <w:t>EN: These advanced solar cells have an antique source: old bullets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35">
        <w:r>
          <w:rPr>
            <w:color w:val="1155CC"/>
            <w:u w:val="single"/>
          </w:rPr>
          <w:t>10.1038/d41586-026-01001-0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36">
        <w:r>
          <w:rPr>
            <w:color w:val="1155CC"/>
            <w:u w:val="single"/>
          </w:rPr>
          <w:t>在刀涂宽带隙钙钛矿中增强卤化物离子均匀性以用于钙钛矿-有机串联太阳能电池</w:t>
        </w:r>
      </w:hyperlink>
    </w:p>
    <w:p>
      <w:pPr>
        <w:spacing w:before="0" w:after="80"/>
      </w:pPr>
      <w:r>
        <w:rPr>
          <w:i/>
          <w:sz w:val="20"/>
        </w:rPr>
        <w:t>EN: Enhancing halide ion homogeneity in blade-coated wide-bandgap perovskite for perovskite-organic tandem solar cells</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37">
        <w:r>
          <w:rPr>
            <w:color w:val="1155CC"/>
            <w:u w:val="single"/>
          </w:rPr>
          <w:t>10.1126/sciadv.aed2200</w:t>
        </w:r>
      </w:hyperlink>
    </w:p>
    <w:p>
      <w:pPr>
        <w:spacing w:before="0" w:after="120"/>
      </w:pPr>
      <w:r>
        <w:rPr>
          <w:b/>
        </w:rPr>
        <w:t xml:space="preserve">Notes: </w:t>
      </w:r>
      <w:r>
        <w:t>abstract_source=crossref</w:t>
      </w:r>
    </w:p>
    <w:p>
      <w:pPr>
        <w:spacing w:before="0" w:after="80" w:lineRule="auto" w:line="276"/>
      </w:pPr>
      <w:r>
        <w:rPr>
          <w:b/>
        </w:rPr>
        <w:t xml:space="preserve">摘要（ZH）: </w:t>
      </w:r>
      <w:r>
        <w:t>钙钛矿和有机半导体的共享加工技术使它们成为构建钙钛矿-有机串联太阳能电池的理想伙伴。然而，溴化物和碘化物离子的不同结晶速率导致宽带隙（WBG）钙钛矿薄膜内的垂直卤化物分布不均匀，导致显著的开路电压（VOC）损失。在本研究中，我们通过引入氢键供体溶剂（甲酰胺）开发了一种刀涂卤化物成分均匀的WBG钙钛矿薄膜的方法。甲酰胺通过平衡其与溴化物和碘化物离子的差异氢键相互作用，有效调节结晶动力学。所得的WBG钙钛矿</w:t>
      </w:r>
    </w:p>
    <w:p>
      <w:pPr>
        <w:spacing w:before="0" w:after="200" w:lineRule="auto" w:line="276"/>
      </w:pPr>
      <w:r>
        <w:rPr>
          <w:b/>
        </w:rPr>
        <w:t xml:space="preserve">Abstract (EN): </w:t>
      </w:r>
      <w:r>
        <w:t>The shared processing technologies of perovskite and organic semiconductors make them ideal partners for constructing perovskite-organic tandem solar cells. However, the different crystallization rates of bromide and iodide ions lead to inhomogeneous vertical halide distribution within wide-bandgap (WBG) perovskite films, causing notable open-circuit voltage (</w:t>
      </w:r>
      <w:r>
        <w:t xml:space="preserve"> </w:t>
      </w:r>
      <w:r>
        <w:t>V</w:t>
      </w:r>
      <w:r>
        <w:t xml:space="preserve"> </w:t>
      </w:r>
      <w:r>
        <w:t>OC</w:t>
      </w:r>
      <w:r>
        <w:t xml:space="preserve"> </w:t>
      </w:r>
      <w:r>
        <w:t>) loss. In this study, we developed an approach to blade-coat halide-compositionally homogeneous WBG perovskite films by introducing a hydrogen-bonding donor solvent (formamide). The formamide effectively modulates crystallization kinetics via balancing the differential hydrogen-bonding interactions of formamide with bromide and iodide ions. The resultant WBG perovskite solar cells achieved a power conversion efficiency of 18.9% with an exceptional</w:t>
      </w:r>
      <w:r>
        <w:t xml:space="preserve"> </w:t>
      </w:r>
      <w:r>
        <w:t>V</w:t>
      </w:r>
      <w:r>
        <w:t xml:space="preserve"> </w:t>
      </w:r>
      <w:r>
        <w:t>OC</w:t>
      </w:r>
      <w:r>
        <w:t xml:space="preserve"> </w:t>
      </w:r>
      <w:r>
        <w:t>of 1.41 volts. Last, a perovskite-organic tandem solar cell was fabricated, achieving a high efficiency of 26.3% (certified as 25.6%) and retaining 92% of its initial efficiency after being illuminated for 1000 hours. This work provides an approach for the large-area fabrication of halide-compositionally homogeneous WBG perovskite films, paving the way for the industrialization of tandem devices.</w:t>
      </w:r>
    </w:p>
    <w:p>
      <w:pPr>
        <w:spacing w:before="120" w:after="120"/>
      </w:pPr>
      <w:r>
        <w:rPr>
          <w:sz w:val="18"/>
        </w:rPr>
        <w:t>——————————————————————————————————————————————————————————————————————</w:t>
      </w:r>
    </w:p>
    <w:p>
      <w:pPr>
        <w:spacing w:before="160" w:after="40" w:line="240" w:lineRule="auto"/>
      </w:pPr>
      <w:r>
        <w:rPr>
          <w:b/>
        </w:rPr>
        <w:t xml:space="preserve">[17] </w:t>
      </w:r>
      <w:hyperlink r:id="rId38">
        <w:r>
          <w:rPr>
            <w:color w:val="1155CC"/>
            <w:u w:val="single"/>
          </w:rPr>
          <w:t>一种普遍策略来稳定宽带隙钙钛矿的晶格和成分以提高串联太阳能电池的效率</w:t>
        </w:r>
      </w:hyperlink>
    </w:p>
    <w:p>
      <w:pPr>
        <w:spacing w:before="0" w:after="80"/>
      </w:pPr>
      <w:r>
        <w:rPr>
          <w:i/>
          <w:sz w:val="20"/>
        </w:rPr>
        <w:t>EN: A Universal Strategy to Stabilize Crystal Lattice and Composition of Wide‐Bandgap Perovskites for Efficient Tandem Solar Cells</w:t>
      </w:r>
    </w:p>
    <w:p>
      <w:pPr>
        <w:spacing w:before="0" w:after="120"/>
      </w:pPr>
      <w:r>
        <w:rPr>
          <w:b/>
        </w:rPr>
        <w:t xml:space="preserve">Source: </w:t>
      </w:r>
      <w:r>
        <w:t>Wiley: Advanced Materials: Table of Contents</w:t>
      </w:r>
      <w:r>
        <w:t xml:space="preserve">    </w:t>
      </w:r>
      <w:r>
        <w:rPr>
          <w:b/>
        </w:rPr>
        <w:t xml:space="preserve">Pub date: </w:t>
      </w:r>
      <w:r>
        <w:t>2026-04-01 07:46:36+00:00</w:t>
      </w:r>
      <w:r>
        <w:t xml:space="preserve">    </w:t>
      </w:r>
      <w:r>
        <w:rPr>
          <w:b/>
        </w:rPr>
        <w:t xml:space="preserve">DOI: </w:t>
      </w:r>
      <w:hyperlink r:id="rId39">
        <w:r>
          <w:rPr>
            <w:color w:val="1155CC"/>
            <w:u w:val="single"/>
          </w:rPr>
          <w:t>10.1002/adma.72986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宽带隙（WBG）钙钛矿的薄膜质量对于实现高效钙钛矿/有机串联太阳能电池（POTSCs）至关重要。然而，富溴WBG钙钛矿常常因不均匀的结晶而遭受严重的相分离和显著的非辐射能量损失。在此，合理设计氰酸盐以调节WBG钙钛矿的结晶。RbOCN成功掺入钙钛矿晶格中，优化了阳离子-阴离子组成分布，减少了晶格常数，并在带边引起蓝移。这些协同效应产生了高度结晶、相稳定的WBG钙钛矿，1.73 eV钙钛矿的效率达到令人印象深刻的22.45%</w:t>
      </w:r>
    </w:p>
    <w:p>
      <w:pPr>
        <w:spacing w:before="0" w:after="200" w:lineRule="auto" w:line="276"/>
      </w:pPr>
      <w:r>
        <w:rPr>
          <w:b/>
        </w:rPr>
        <w:t xml:space="preserve">Abstract (EN): </w:t>
      </w:r>
      <w:r>
        <w:t>The film quality of wide‐bandgap (WBG) perovskites is critical for achieving high‐efficiency perovskite/organic tandem solar cells (POTSCs). However, the Br‐rich WBG perovskites often suffer from inhomogeneous crystallization, leading to severe phase‐segregation and substantial non‐radiative energy losses. Here, cyanates are rationally designed to modulate the crystallization of WBG perovskites. RbOCN is successfully incorporated into the perovskite crystal lattice, optimizing the cation‐anion composition distribution, reducing the lattice constant, and inducing a blue‐shift in the band edge. These synergistic effects produce highly crystalline, phase‐stable WBG perovskites, yielding an impressive efficiency of 22.45% for a 1.73 eV perovskite device (0.09 cm</w:t>
      </w:r>
      <w:r>
        <w:rPr>
          <w:vertAlign w:val="subscript"/>
        </w:rPr>
        <w:t>2</w:t>
      </w:r>
      <w:r>
        <w:t>). Moreover, RbOCN exhibits broad applicability across WBG perovskites with varying band gaps (1.79 eV, 1.85 eV, and 1.92 eV). These optimized sub‐cells are subsequently integrated with organic sub‐cells to fabricate POTSCs. Benefiting from well‐aligned spectral responses, an exceptional efficiency of 26.75% is achieved for POTSCs (0.09 cm</w:t>
      </w:r>
      <w:r>
        <w:rPr>
          <w:vertAlign w:val="subscript"/>
        </w:rPr>
        <w:t>2</w:t>
      </w:r>
      <w:r>
        <w:t>) based on 1.85 eV perovskite sub‐cells. Notably, the strategy demonstrates excellent scalability, delivering an impressive efficiency of 25.37% and a record open‐circuit voltage of 2.22 V for 1 cm</w:t>
      </w:r>
      <w:r>
        <w:rPr>
          <w:vertAlign w:val="subscript"/>
        </w:rPr>
        <w:t>2</w:t>
      </w:r>
      <w:r>
        <w:t>POTSCs. This study establishes a robust approach for mitigating inhomogeneous crystallization and stabilizing the crystal lattice in WBG perovskites, thereby advancing the development of high‐performance TSCs.</w:t>
      </w:r>
    </w:p>
    <w:p>
      <w:pPr>
        <w:spacing w:before="120" w:after="120"/>
      </w:pPr>
      <w:r>
        <w:rPr>
          <w:sz w:val="18"/>
        </w:rPr>
        <w:t>——————————————————————————————————————————————————————————————————————</w:t>
      </w:r>
    </w:p>
    <w:p>
      <w:pPr>
        <w:spacing w:before="160" w:after="40" w:line="240" w:lineRule="auto"/>
      </w:pPr>
      <w:r>
        <w:rPr>
          <w:b/>
        </w:rPr>
        <w:t xml:space="preserve">[18] </w:t>
      </w:r>
      <w:hyperlink r:id="rId40">
        <w:r>
          <w:rPr>
            <w:color w:val="1155CC"/>
            <w:u w:val="single"/>
          </w:rPr>
          <w:t>基于酰亚胺的分子钝化实现高效宽带隙钙钛矿和钙钛矿/硅串联太阳能电池</w:t>
        </w:r>
      </w:hyperlink>
    </w:p>
    <w:p>
      <w:pPr>
        <w:spacing w:before="0" w:after="80"/>
      </w:pPr>
      <w:r>
        <w:rPr>
          <w:i/>
          <w:sz w:val="20"/>
        </w:rPr>
        <w:t>EN: Imide‐Based Molecular Passivation Enables Efficient Wide‐Bandgap Perovskite and Perovskite/Silicon Tandem Solar Cells</w:t>
      </w:r>
    </w:p>
    <w:p>
      <w:pPr>
        <w:spacing w:before="0" w:after="120"/>
      </w:pPr>
      <w:r>
        <w:rPr>
          <w:b/>
        </w:rPr>
        <w:t xml:space="preserve">Source: </w:t>
      </w:r>
      <w:r>
        <w:t>Wiley: Advanced Energy Materials: Table of Contents</w:t>
      </w:r>
      <w:r>
        <w:t xml:space="preserve">    </w:t>
      </w:r>
      <w:r>
        <w:rPr>
          <w:b/>
        </w:rPr>
        <w:t xml:space="preserve">Pub date: </w:t>
      </w:r>
      <w:r>
        <w:t>2026-04-01 11:17:25+00:00</w:t>
      </w:r>
      <w:r>
        <w:t xml:space="preserve">    </w:t>
      </w:r>
      <w:r>
        <w:rPr>
          <w:b/>
        </w:rPr>
        <w:t xml:space="preserve">DOI: </w:t>
      </w:r>
      <w:hyperlink r:id="rId41">
        <w:r>
          <w:rPr>
            <w:color w:val="1155CC"/>
            <w:u w:val="single"/>
          </w:rPr>
          <w:t>10.1002/aenm.70902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宽带隙钙钛矿吸收体对于实现高效率钙钛矿/硅串联太阳能电池至关重要。然而，在p-i-n结构中，其固有的强p型（或弱n型）特性阻碍了电子提取，导致显著的开路电压（VOC）损失。为了解决这些挑战，我们开发了3-邻苯二甲酰亚胺丙酸（DPA）。这种分子钝化材料利用其邻苯二甲酰亚胺核心的缺电子特性。DPA提供了三种协同效应：它作为界面偶极层精确地</w:t>
      </w:r>
    </w:p>
    <w:p>
      <w:pPr>
        <w:spacing w:before="0" w:after="200" w:lineRule="auto" w:line="276"/>
      </w:pPr>
      <w:r>
        <w:rPr>
          <w:b/>
        </w:rPr>
        <w:t xml:space="preserve">Abstract (EN): </w:t>
      </w:r>
      <w:r>
        <w:t>Wide‐bandgap perovskite absorbers are essential for achieving high‐efficiency perovskite/silicon tandem solar cells. However, in</w:t>
      </w:r>
      <w:r>
        <w:t xml:space="preserve"> </w:t>
      </w:r>
      <w:r>
        <w:t>p‐i‐n</w:t>
      </w:r>
      <w:r>
        <w:t xml:space="preserve"> </w:t>
      </w:r>
      <w:r>
        <w:t>architectures, their inherent strong</w:t>
      </w:r>
      <w:r>
        <w:t xml:space="preserve"> </w:t>
      </w:r>
      <w:r>
        <w:t>p</w:t>
      </w:r>
      <w:r>
        <w:t xml:space="preserve"> </w:t>
      </w:r>
      <w:r>
        <w:t>‐type (or weak</w:t>
      </w:r>
      <w:r>
        <w:t xml:space="preserve"> </w:t>
      </w:r>
      <w:r>
        <w:t>n</w:t>
      </w:r>
      <w:r>
        <w:t xml:space="preserve"> </w:t>
      </w:r>
      <w:r>
        <w:t>‐type) characteristics hinder electron extraction, causing significant open‐circuit voltage (</w:t>
      </w:r>
      <w:r>
        <w:t xml:space="preserve"> </w:t>
      </w:r>
      <w:r>
        <w:t>V</w:t>
      </w:r>
      <w:r>
        <w:t xml:space="preserve"> </w:t>
      </w:r>
      <w:r>
        <w:t>OC</w:t>
      </w:r>
      <w:r>
        <w:t xml:space="preserve"> </w:t>
      </w:r>
      <w:r>
        <w:t>) deficits. To address these challenges, we developed 3‐phthalimidopropanoic acid (DPA). This molecular passivation material leverages the electron‐deficient properties of its phthalimide core. DPA delivers three synergistic effects: it acts as an interface dipole layer to precisely align surface energy levels, enhance the surface</w:t>
      </w:r>
      <w:r>
        <w:t xml:space="preserve"> </w:t>
      </w:r>
      <w:r>
        <w:t>n</w:t>
      </w:r>
      <w:r>
        <w:t xml:space="preserve"> </w:t>
      </w:r>
      <w:r>
        <w:t>‐type characteristics, and boost quasi‐Fermi level splitting (QFLS); it forms a gradient distribution during anti‐solvent processing to modulate crystallization kinetics, improve film morphology, and minimize defects; and it achieves carboxyl‐group chelation of undercoordinated Pb</w:t>
      </w:r>
      <w:r>
        <w:t xml:space="preserve"> </w:t>
      </w:r>
      <w:r>
        <w:t>2+</w:t>
      </w:r>
      <w:r>
        <w:t xml:space="preserve"> </w:t>
      </w:r>
      <w:r>
        <w:t>to effectively passivate surface and bulk traps, thereby significantly enhancing device stability. Consequently, a DPA‐modified wide‐bandgap (1.68 eV) perovskite solar cell achieves an efficiency of 22.91%. Moreover, a two‐terminal perovskite‐silicon tandem solar cell delivers an efficiency of 31.66%. This approach provides a robust strategy for efficient and stable tandem photovoltaics, advancing</w:t>
      </w:r>
      <w:r>
        <w:t xml:space="preserve"> </w:t>
      </w:r>
      <w:r>
        <w:t>n</w:t>
      </w:r>
      <w:r>
        <w:t xml:space="preserve"> </w:t>
      </w:r>
      <w:r>
        <w:t>‐type interface engineering.</w:t>
      </w:r>
    </w:p>
    <w:p>
      <w:pPr>
        <w:spacing w:before="120" w:after="120"/>
      </w:pPr>
      <w:r>
        <w:rPr>
          <w:sz w:val="18"/>
        </w:rPr>
        <w:t>——————————————————————————————————————————————————————————————————————</w:t>
      </w:r>
    </w:p>
    <w:p>
      <w:pPr>
        <w:spacing w:before="160" w:after="40" w:line="240" w:lineRule="auto"/>
      </w:pPr>
      <w:r>
        <w:rPr>
          <w:b/>
        </w:rPr>
        <w:t xml:space="preserve">[19] </w:t>
      </w:r>
      <w:hyperlink r:id="rId42">
        <w:r>
          <w:rPr>
            <w:color w:val="1155CC"/>
            <w:u w:val="single"/>
          </w:rPr>
          <w:t>[ASAP] 受体异质结工程用于增强自发形成的光电荷以实现高性能有机太阳能电池</w:t>
        </w:r>
      </w:hyperlink>
    </w:p>
    <w:p>
      <w:pPr>
        <w:spacing w:before="0" w:after="80"/>
      </w:pPr>
      <w:r>
        <w:rPr>
          <w:i/>
          <w:sz w:val="20"/>
        </w:rPr>
        <w:t>EN: [ASAP] Acceptor Heterojunction Engineering toward Enhanced Spontaneously Formed Photo-Charges for High-Performance Organic Solar Cells</w:t>
      </w:r>
    </w:p>
    <w:p>
      <w:pPr>
        <w:spacing w:before="0" w:after="120"/>
      </w:pPr>
      <w:r>
        <w:rPr>
          <w:b/>
        </w:rPr>
        <w:t xml:space="preserve">Source: </w:t>
      </w:r>
      <w:r>
        <w:t>ACS Energy Letters: Latest Articles (ACS Publications)</w:t>
      </w:r>
      <w:r>
        <w:t xml:space="preserve">    </w:t>
      </w:r>
      <w:r>
        <w:rPr>
          <w:b/>
        </w:rPr>
        <w:t xml:space="preserve">Pub date: </w:t>
      </w:r>
      <w:r>
        <w:t>2026-04-01 16:08:34+00:00</w:t>
      </w:r>
      <w:r>
        <w:t xml:space="preserve">    </w:t>
      </w:r>
      <w:r>
        <w:rPr>
          <w:b/>
        </w:rPr>
        <w:t xml:space="preserve">DOI: </w:t>
      </w:r>
      <w:hyperlink r:id="rId43">
        <w:r>
          <w:rPr>
            <w:color w:val="1155CC"/>
            <w:u w:val="single"/>
          </w:rPr>
          <w:t>10.1021/acsenergylett.6c00214</w:t>
        </w:r>
      </w:hyperlink>
    </w:p>
    <w:p>
      <w:pPr>
        <w:spacing w:before="0" w:after="120"/>
      </w:pPr>
      <w:r>
        <w:rPr>
          <w:b/>
        </w:rPr>
        <w:t xml:space="preserve">Notes: </w:t>
      </w:r>
      <w:r>
        <w:t>abstract_source=openalex</w:t>
      </w:r>
    </w:p>
    <w:p>
      <w:pPr>
        <w:spacing w:before="0" w:after="80" w:lineRule="auto" w:line="276"/>
      </w:pPr>
      <w:r>
        <w:rPr>
          <w:b/>
        </w:rPr>
        <w:t xml:space="preserve">摘要（ZH）: </w:t>
      </w:r>
      <w:r>
        <w:t>利用Y系列受体中自发形成的光电荷（SPs）代表了一种缩小有机太阳能电池（OSCs）与其无机对应物之间效率差距的有前途的策略。然而，SPs的实际应用仍受限于生成不足和严重的复合，导致显著的电流密度损失（ΔJ）。在此，我们引入了一种构建受体异质结的策略，通过有效逆转自由载流子到激子的回迁并抑制其衰减到基态来减少损失。作为一个代表性示范，将高度相容且级联能量对齐的受体L8-BO引入PM6:BTP-eC9混合物中，将ΔJ从3.8 mA cm–2减少到3.2 mA cm–2，并提高了功率转换</w:t>
      </w:r>
    </w:p>
    <w:p>
      <w:pPr>
        <w:spacing w:before="0" w:after="200" w:lineRule="auto" w:line="276"/>
      </w:pPr>
      <w:r>
        <w:rPr>
          <w:b/>
        </w:rPr>
        <w:t xml:space="preserve">Abstract (EN): </w:t>
      </w:r>
      <w:r>
        <w:t>Utilizing spontaneously formed photocharges (SPs) in Y-series acceptors represents a promising strategy to narrow the efficiency gap between organic solar cells (OSCs) and their inorganic counterparts. However, the practical application of SPs remains constrained by insufficient generation and severe recombination, leading to considerable current density loss (ΔJ). Herein, we introduce a strategy of constructing acceptor heterojunctions, which mitigates losses by effectively reversing the back transition from free carriers to excitons and suppresses their decay to the ground state. As a representative demonstration, incorporating the highly miscible and cascade-energy-aligned acceptor L8-BO into the PM6:BTP-eC9 blend reduces ΔJ from 3.8 mA cm–2 to 3.2 mA cm–2 and enhances the power conversion efficiency from 18.7% to 19.2%. Furthermore, extending this SP optimization strategy to semitransparent OSCs along with tailored optical engineering elevates the light utilization efficiency from 4.19% to 4.60%. This work advances organic photovoltaics toward inorganic-like charge generation mechanisms.</w:t>
      </w:r>
    </w:p>
    <w:p>
      <w:pPr>
        <w:spacing w:before="120" w:after="120"/>
      </w:pPr>
      <w:r>
        <w:rPr>
          <w:sz w:val="18"/>
        </w:rPr>
        <w:t>——————————————————————————————————————————————————————————————————————</w:t>
      </w:r>
    </w:p>
    <w:p>
      <w:pPr>
        <w:spacing w:before="160" w:after="40" w:line="240" w:lineRule="auto"/>
      </w:pPr>
      <w:r>
        <w:rPr>
          <w:b/>
        </w:rPr>
        <w:t xml:space="preserve">[20] </w:t>
      </w:r>
      <w:hyperlink r:id="rId44">
        <w:r>
          <w:rPr>
            <w:color w:val="1155CC"/>
            <w:u w:val="single"/>
          </w:rPr>
          <w:t>PV-MM-diffusion：用于超短期概率光伏预测的端到端多模态扩散模型</w:t>
        </w:r>
      </w:hyperlink>
    </w:p>
    <w:p>
      <w:pPr>
        <w:spacing w:before="0" w:after="80"/>
      </w:pPr>
      <w:r>
        <w:rPr>
          <w:i/>
          <w:sz w:val="20"/>
        </w:rPr>
        <w:t>EN: PV-MM-diffusion: An end-to-end multi-modal diffusion model for ultra-short-term probabilistic photovoltaic forecasting</w:t>
      </w:r>
    </w:p>
    <w:p>
      <w:pPr>
        <w:spacing w:before="0" w:after="120"/>
      </w:pPr>
      <w:r>
        <w:rPr>
          <w:b/>
        </w:rPr>
        <w:t xml:space="preserve">Source: </w:t>
      </w:r>
      <w:r>
        <w:t>ScienceDirect Publication: Applied Energy</w:t>
      </w:r>
      <w:r>
        <w:t xml:space="preserve">    </w:t>
      </w:r>
      <w:r>
        <w:rPr>
          <w:b/>
        </w:rPr>
        <w:t xml:space="preserve">Pub date: </w:t>
      </w:r>
      <w:r>
        <w:t>2026-04-02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45">
        <w:r>
          <w:rPr>
            <w:color w:val="1155CC"/>
            <w:u w:val="single"/>
          </w:rPr>
          <w:t>液滴拖把</w:t>
        </w:r>
      </w:hyperlink>
    </w:p>
    <w:p>
      <w:pPr>
        <w:spacing w:before="0" w:after="80"/>
      </w:pPr>
      <w:r>
        <w:rPr>
          <w:i/>
          <w:sz w:val="20"/>
        </w:rPr>
        <w:t>EN: Liquid droplet mops</w:t>
      </w:r>
    </w:p>
    <w:p>
      <w:pPr>
        <w:spacing w:before="0" w:after="120"/>
      </w:pPr>
      <w:r>
        <w:rPr>
          <w:b/>
        </w:rPr>
        <w:t xml:space="preserve">Source: </w:t>
      </w:r>
      <w:r>
        <w:t>Nature Sustainability</w:t>
      </w:r>
      <w:r>
        <w:t xml:space="preserve">    </w:t>
      </w:r>
      <w:r>
        <w:rPr>
          <w:b/>
        </w:rPr>
        <w:t xml:space="preserve">Pub date: </w:t>
      </w:r>
      <w:r>
        <w:t>2026-04-02 00:00:00+00:00</w:t>
      </w:r>
      <w:r>
        <w:t xml:space="preserve">    </w:t>
      </w:r>
      <w:r>
        <w:rPr>
          <w:b/>
        </w:rPr>
        <w:t xml:space="preserve">DOI: </w:t>
      </w:r>
      <w:hyperlink r:id="rId46">
        <w:r>
          <w:rPr>
            <w:color w:val="1155CC"/>
            <w:u w:val="single"/>
          </w:rPr>
          <w:t>10.1038/s41893-026-01804-z</w:t>
        </w:r>
      </w:hyperlink>
    </w:p>
    <w:p>
      <w:pPr>
        <w:spacing w:before="0" w:after="120"/>
      </w:pPr>
      <w:r>
        <w:rPr>
          <w:b/>
        </w:rPr>
        <w:t xml:space="preserve">Notes: </w:t>
      </w:r>
      <w:r>
        <w:t>abstract_source=nature_html</w:t>
      </w:r>
    </w:p>
    <w:p>
      <w:pPr>
        <w:spacing w:before="0" w:after="80" w:lineRule="auto" w:line="276"/>
      </w:pPr>
      <w:r>
        <w:rPr>
          <w:b/>
        </w:rPr>
        <w:t xml:space="preserve">摘要（ZH）: </w:t>
      </w:r>
      <w:r>
        <w:t>表面污染在各种工业系统中普遍存在，尤其是光伏系统，并降低了系统性能。清洁实践对于解决这一问题至关重要，但由于水利用效率低，特别是在光伏领域，仍然耗水。在此，我们发现清洁效率在水滴能量上非单调依赖，并且可以在中等水滴能量值下最大化，这可以用于提高表面清洁中的水利用效率。我们的实验和理论表明，颗粒去除机制由水滴冲击速度和颗粒-水滴界面相互作用控制。这一机制使得能够从超疏水表面去除具有不同密度的污染物。Lev</w:t>
      </w:r>
    </w:p>
    <w:p>
      <w:pPr>
        <w:spacing w:before="0" w:after="200" w:lineRule="auto" w:line="276"/>
      </w:pPr>
      <w:r>
        <w:rPr>
          <w:b/>
        </w:rPr>
        <w:t xml:space="preserve">Abstract (EN): </w:t>
      </w:r>
      <w:r>
        <w:t>Surface contamination is pervasive across various industrial systems, especially photovoltaic systems, and degrades system performance. Cleaning practices are essential to tackle this problem but remain water intensive due to low water utilization efficiency, particularly in photovoltaic fields. Here we found that cleaning efficiency depends non-monotonically on the water droplet energy and can be maximized for intermediate droplet energy values, which can be utilized to improve water utilization efficiency in surface cleaning. Our experiments and theory demonstrate that particulate removal mechanisms are governed by droplet impact velocity and particle–droplet interfacial interactions. This mechanism enables removal of contaminants with varied densities from superhydrophobic surfaces. Leveraging this mechanism, we developed the ‘liquid droplet mops’ method to efficiently clean superhydrophobic-coated solar panels, achieving 99.9% removal with only 10% of the water consumption of standard liquid jets. Our findings not only advance the fundamental understanding of surface cleaning but also offer a simple yet efficient water-saving strategy for surface cleaning in the water-scarcity context.</w:t>
      </w:r>
    </w:p>
    <w:p>
      <w:pPr>
        <w:spacing w:before="120" w:after="120"/>
      </w:pPr>
      <w:r>
        <w:rPr>
          <w:sz w:val="18"/>
        </w:rPr>
        <w:t>——————————————————————————————————————————————————————————————————————</w:t>
      </w:r>
    </w:p>
    <w:p>
      <w:pPr>
        <w:spacing w:before="160" w:after="40" w:line="240" w:lineRule="auto"/>
      </w:pPr>
      <w:r>
        <w:rPr>
          <w:b/>
        </w:rPr>
        <w:t xml:space="preserve">[22] </w:t>
      </w:r>
      <w:hyperlink r:id="rId47">
        <w:r>
          <w:rPr>
            <w:color w:val="1155CC"/>
            <w:u w:val="single"/>
          </w:rPr>
          <w:t>通过疏水三氟甲基分子增强结晶和优化埋藏界面以提高Sn–Pb钙钛矿和全钙钛矿串联太阳能电池的效率</w:t>
        </w:r>
      </w:hyperlink>
    </w:p>
    <w:p>
      <w:pPr>
        <w:spacing w:before="0" w:after="80"/>
      </w:pPr>
      <w:r>
        <w:rPr>
          <w:i/>
          <w:sz w:val="20"/>
        </w:rPr>
        <w:t>EN: Enhancing Crystallization and Optimizing the Buried Interface via Hydrophobic Trifluoromethyl Molecules for Efficient Sn–Pb Perovskite and All‐Perovskite Tandem Solar Cells</w:t>
      </w:r>
    </w:p>
    <w:p>
      <w:pPr>
        <w:spacing w:before="0" w:after="120"/>
      </w:pPr>
      <w:r>
        <w:rPr>
          <w:b/>
        </w:rPr>
        <w:t xml:space="preserve">Source: </w:t>
      </w:r>
      <w:r>
        <w:t>Wiley: Advanced Energy Materials: Table of Contents</w:t>
      </w:r>
      <w:r>
        <w:t xml:space="preserve">    </w:t>
      </w:r>
      <w:r>
        <w:rPr>
          <w:b/>
        </w:rPr>
        <w:t xml:space="preserve">Pub date: </w:t>
      </w:r>
      <w:r>
        <w:t>2026-04-02 07:10:57+00:00</w:t>
      </w:r>
      <w:r>
        <w:t xml:space="preserve">    </w:t>
      </w:r>
      <w:r>
        <w:rPr>
          <w:b/>
        </w:rPr>
        <w:t xml:space="preserve">DOI: </w:t>
      </w:r>
      <w:hyperlink r:id="rId48">
        <w:r>
          <w:rPr>
            <w:color w:val="1155CC"/>
            <w:u w:val="single"/>
          </w:rPr>
          <w:t>10.1002/aenm.70910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混合锡铅（Sn–Pb）钙钛矿，带隙可调至1.25 eV，具有实现高效光伏的巨大潜力。然而，它们的性能常常受到常用空穴传输层（HTL）聚（3,4-乙烯二氧噻吩）：聚（苯乙烯磺酸）（PEDOT:PSS）引起的埋藏界面缺陷和不稳定性的影响，该层具有固有的吸湿性和不均匀性。在此，我们引入了一种多功能分子，（S）-甲基2-氨基-2-（3-氟-4-（三氟甲基）苯基）乙酸盐盐酸盐（MTFP），以解决这些问题。MTFP减轻了PEDOT:PSS的吸湿性并改善了其均匀性，同时修改了埋藏界面。它调节了PEDOT中的醌结构比例，优化</w:t>
      </w:r>
    </w:p>
    <w:p>
      <w:pPr>
        <w:spacing w:before="0" w:after="200" w:lineRule="auto" w:line="276"/>
      </w:pPr>
      <w:r>
        <w:rPr>
          <w:b/>
        </w:rPr>
        <w:t xml:space="preserve">Abstract (EN): </w:t>
      </w:r>
      <w:r>
        <w:t>Hybrid tin‐lead (Sn–Pb) perovskites, with bandgaps tunable down to 1.25 eV, hold great promise for high‐efficiency photovoltaics. However, their performance is often hampered by the buried interface defects and instability induced by the commonly used hole‐transport layer (HTL), Poly(3,4‐ethylenedioxythiophene):poly(styrene sulfonate) (PEDOT:PSS), which suffers from intrinsic hygroscopicity and non‐uniformity. Here, we introduce a multifunctional molecule, (S)‐methyl 2‐amino‐2‐(3‐fluoro‐4‐(trifluoromethyl)phenyl)acetate hydrochloride (MTFP), into PEDOT:PSS to address these issues. MTFP mitigates the hygroscopicity and improves the uniformity of PEDOT:PSS while concurrently modifying the buried interface. It regulates the quinoid structure proportion in PEDOT, optimizes the work function of the HTL, and passivates interfacial defects. These actions collectively enhance charge extraction and promote the crystallization of the overlying perovskite film. Furthermore, the hydrophobic trifluoromethyl group in MTFP significantly boosts the environmental stability of the device. Consequently, the optimized Sn–Pb perovskite solar cells achieve a champion power conversion efficiency of 23.36%, with a high open‐circuit voltage of 0.88 V. This strategy also enables a two‐terminal all‐perovskite tandem solar cell with a remarkable PCE of 28.67%.</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49">
        <w:r>
          <w:rPr>
            <w:color w:val="1155CC"/>
            <w:u w:val="single"/>
          </w:rPr>
          <w:t>MXenes用于锌离子电池：合成、结构设计和电化学应用</w:t>
        </w:r>
      </w:hyperlink>
    </w:p>
    <w:p>
      <w:pPr>
        <w:spacing w:before="0" w:after="80"/>
      </w:pPr>
      <w:r>
        <w:rPr>
          <w:i/>
          <w:sz w:val="20"/>
        </w:rPr>
        <w:t>EN: MXenes for zinc-ion batteries: Synthesis, structural design, and electrochemical applications</w:t>
      </w:r>
    </w:p>
    <w:p>
      <w:pPr>
        <w:spacing w:before="0" w:after="120"/>
      </w:pPr>
      <w:r>
        <w:rPr>
          <w:b/>
        </w:rPr>
        <w:t xml:space="preserve">Source: </w:t>
      </w:r>
      <w:r>
        <w:t>ScienceDirect Publication: Applied Energy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50">
        <w:r>
          <w:rPr>
            <w:color w:val="1155CC"/>
            <w:u w:val="single"/>
          </w:rPr>
          <w:t>用于可持续锂硫电池的空间耦合吸附和催化</w:t>
        </w:r>
      </w:hyperlink>
    </w:p>
    <w:p>
      <w:pPr>
        <w:spacing w:before="0" w:after="80"/>
      </w:pPr>
      <w:r>
        <w:rPr>
          <w:i/>
          <w:sz w:val="20"/>
        </w:rPr>
        <w:t>EN: Spatially coupled adsorption and catalysis for sustainable lithium–sulfur batteries</w:t>
      </w:r>
    </w:p>
    <w:p>
      <w:pPr>
        <w:spacing w:before="0" w:after="120"/>
      </w:pPr>
      <w:r>
        <w:rPr>
          <w:b/>
        </w:rPr>
        <w:t xml:space="preserve">Source: </w:t>
      </w:r>
      <w:r>
        <w:t>Nature Sustainability</w:t>
      </w:r>
      <w:r>
        <w:t xml:space="preserve">    </w:t>
      </w:r>
      <w:r>
        <w:rPr>
          <w:b/>
        </w:rPr>
        <w:t xml:space="preserve">Pub date: </w:t>
      </w:r>
      <w:r>
        <w:t>2026-03-30 00:00:00+00:00</w:t>
      </w:r>
      <w:r>
        <w:t xml:space="preserve">    </w:t>
      </w:r>
      <w:r>
        <w:rPr>
          <w:b/>
        </w:rPr>
        <w:t xml:space="preserve">DOI: </w:t>
      </w:r>
      <w:hyperlink r:id="rId51">
        <w:r>
          <w:rPr>
            <w:color w:val="1155CC"/>
            <w:u w:val="single"/>
          </w:rPr>
          <w:t>10.1038/s41893-026-01794-y</w:t>
        </w:r>
      </w:hyperlink>
    </w:p>
    <w:p>
      <w:pPr>
        <w:spacing w:before="0" w:after="120"/>
      </w:pPr>
      <w:r>
        <w:rPr>
          <w:b/>
        </w:rPr>
        <w:t xml:space="preserve">Notes: </w:t>
      </w:r>
      <w:r>
        <w:t>abstract_source=nature_html</w:t>
      </w:r>
    </w:p>
    <w:p>
      <w:pPr>
        <w:spacing w:before="0" w:after="80" w:lineRule="auto" w:line="276"/>
      </w:pPr>
      <w:r>
        <w:rPr>
          <w:b/>
        </w:rPr>
        <w:t xml:space="preserve">摘要（ZH）: </w:t>
      </w:r>
      <w:r>
        <w:t>锂硫电池因其超高理论能量密度和低成本硫的丰富供应而被认为是一种有前途的可持续能源存储技术。然而，在实践中，其高能量优势常常因需要减轻多硫化物穿梭效应和缓慢的氧化还原动力学的沉重、体积庞大的宿主材料和催化剂而受到影响。我们通过在sp-氮掺杂的石墨炔多壳结构中空间耦合吸附和催化位点来解决这一难题。该设计实现了93.9%的卓越硫负载，达到了接近理论的1,462 mAh g(S+host)−1的容量和约457 Wh kg−1的袋式电池能量密度。即使在10C的高倍率下，该系统仍能保持能量</w:t>
      </w:r>
    </w:p>
    <w:p>
      <w:pPr>
        <w:spacing w:before="0" w:after="200" w:lineRule="auto" w:line="276"/>
      </w:pPr>
      <w:r>
        <w:rPr>
          <w:b/>
        </w:rPr>
        <w:t xml:space="preserve">Abstract (EN): </w:t>
      </w:r>
      <w:r>
        <w:t>Lithium–sulfur batteries have been considered a promising energy storage technology for maximizing sustainability, owing to their ultrahigh theoretical energy density and the abundant supply of low-cost sulfur. However, their high-energy advantage is often compromised in practice by the heavy, voluminous host materials and catalysts required to mitigate the polysulfide shuttle effect and sluggish redox kinetics. Here we address this dilemma by spatially coupling adsorption and catalytic sites within an sp-nitrogen-doped graphdiyne multishelled architecture. This design enables an exceptional sulfur loading of 93.9%, achieving a close-to-theoretical capacity of 1,462 mAh g(S+host)−1 and a pouch-cell energy density of ~457 Wh kg−1. Even at a high rate of 10C, the system maintains an energy density of 1,384.5 Wh kg(S+host)−1 over 600 cycles. In situ spectroscopic characterizations and theoretical calculations reveal that the favourable orbital overlapping between sp-nitrogen and neighbouring carbon facilitates rapid electron transfer and optimized charge redistribution, thus simultaneously promoting the adsorption and redox reaction of polysulfides. By minimizing inactive mass, this work provides a scalable blueprint for high-performance, resource-efficient battery chemistries.</w:t>
      </w:r>
    </w:p>
    <w:p>
      <w:pPr>
        <w:spacing w:before="120" w:after="120"/>
      </w:pPr>
      <w:r>
        <w:rPr>
          <w:sz w:val="18"/>
        </w:rPr>
        <w:t>——————————————————————————————————————————————————————————————————————</w:t>
      </w:r>
    </w:p>
    <w:p>
      <w:pPr>
        <w:spacing w:before="160" w:after="40" w:line="240" w:lineRule="auto"/>
      </w:pPr>
      <w:r>
        <w:rPr>
          <w:b/>
        </w:rPr>
        <w:t xml:space="preserve">[3] </w:t>
      </w:r>
      <w:hyperlink r:id="rId52">
        <w:r>
          <w:rPr>
            <w:color w:val="1155CC"/>
            <w:u w:val="single"/>
          </w:rPr>
          <w:t>电荷离域的氰胺铟框架促进双功能硫电化学动力学</w:t>
        </w:r>
      </w:hyperlink>
    </w:p>
    <w:p>
      <w:pPr>
        <w:spacing w:before="0" w:after="80"/>
      </w:pPr>
      <w:r>
        <w:rPr>
          <w:i/>
          <w:sz w:val="20"/>
        </w:rPr>
        <w:t>EN: Charge-delocalized indium cyanamide frameworks enabling bifunctional sulfur electrochemistry kinetics</w:t>
      </w:r>
    </w:p>
    <w:p>
      <w:pPr>
        <w:spacing w:before="0" w:after="120"/>
      </w:pPr>
      <w:r>
        <w:rPr>
          <w:b/>
        </w:rPr>
        <w:t xml:space="preserve">Source: </w:t>
      </w:r>
      <w:r>
        <w:t>Matter</w:t>
      </w:r>
      <w:r>
        <w:t xml:space="preserve">    </w:t>
      </w:r>
      <w:r>
        <w:rPr>
          <w:b/>
        </w:rPr>
        <w:t xml:space="preserve">Pub date: </w:t>
      </w:r>
      <w:r>
        <w:t>2026-03-30 00:00:00+00:00</w:t>
      </w:r>
      <w:r>
        <w:t xml:space="preserve">    </w:t>
      </w:r>
      <w:r>
        <w:rPr>
          <w:b/>
        </w:rPr>
        <w:t xml:space="preserve">DOI: </w:t>
      </w:r>
      <w:hyperlink r:id="rId53">
        <w:r>
          <w:rPr>
            <w:color w:val="1155CC"/>
            <w:u w:val="single"/>
          </w:rPr>
          <w:t>10.1016/j.matt.2026.102717</w:t>
        </w:r>
      </w:hyperlink>
    </w:p>
    <w:p>
      <w:pPr>
        <w:spacing w:before="0" w:after="120"/>
      </w:pPr>
      <w:r>
        <w:rPr>
          <w:b/>
        </w:rPr>
        <w:t xml:space="preserve">Notes: </w:t>
      </w:r>
      <w:r>
        <w:t>abstract_source=rss_cell</w:t>
      </w:r>
    </w:p>
    <w:p>
      <w:pPr>
        <w:spacing w:before="0" w:after="80" w:lineRule="auto" w:line="276"/>
      </w:pPr>
      <w:r>
        <w:rPr>
          <w:b/>
        </w:rPr>
        <w:t xml:space="preserve">摘要（ZH）: </w:t>
      </w:r>
      <w:r>
        <w:t>一种具有电荷离域铟中心的晶体氰胺铟框架作为锂硫电池中的高效隔膜改性剂。这种设计同时增强了多硫化物的吸附能力并降低了硫氧化还原反应的能量障碍，从而实现了高倍率容量和延长的循环稳定性。</w:t>
      </w:r>
    </w:p>
    <w:p>
      <w:pPr>
        <w:spacing w:before="0" w:after="200" w:lineRule="auto" w:line="276"/>
      </w:pPr>
      <w:r>
        <w:rPr>
          <w:b/>
        </w:rPr>
        <w:t xml:space="preserve">Abstract (EN): </w:t>
      </w:r>
      <w:r>
        <w:t>A crystalline indium cyanamide framework with charge-delocalized indium centers serves as an efficient separator modifier in lithium-sulfur batteries. This design simultaneously enhances polysulfide adsorption and lowers the energy barriers of sulfur redox reactions, enabling high-rate capacity and extended cycling stability.</w:t>
      </w:r>
    </w:p>
    <w:p>
      <w:pPr>
        <w:spacing w:before="120" w:after="120"/>
      </w:pPr>
      <w:r>
        <w:rPr>
          <w:sz w:val="18"/>
        </w:rPr>
        <w:t>——————————————————————————————————————————————————————————————————————</w:t>
      </w:r>
    </w:p>
    <w:p>
      <w:pPr>
        <w:spacing w:before="160" w:after="40" w:line="240" w:lineRule="auto"/>
      </w:pPr>
      <w:r>
        <w:rPr>
          <w:b/>
        </w:rPr>
        <w:t xml:space="preserve">[4] </w:t>
      </w:r>
      <w:hyperlink r:id="rId54">
        <w:r>
          <w:rPr>
            <w:color w:val="1155CC"/>
            <w:u w:val="single"/>
          </w:rPr>
          <w:t>通过缺陷工程抑制富镍单晶阴极的滑移</w:t>
        </w:r>
      </w:hyperlink>
    </w:p>
    <w:p>
      <w:pPr>
        <w:spacing w:before="0" w:after="80"/>
      </w:pPr>
      <w:r>
        <w:rPr>
          <w:i/>
          <w:sz w:val="20"/>
        </w:rPr>
        <w:t>EN: Suppressing gliding in Ni-rich single-crystal cathodes by defect engineering</w:t>
      </w:r>
    </w:p>
    <w:p>
      <w:pPr>
        <w:spacing w:before="0" w:after="120"/>
      </w:pPr>
      <w:r>
        <w:rPr>
          <w:b/>
        </w:rPr>
        <w:t xml:space="preserve">Source: </w:t>
      </w:r>
      <w:r>
        <w:t>Joule</w:t>
      </w:r>
      <w:r>
        <w:t xml:space="preserve">    </w:t>
      </w:r>
      <w:r>
        <w:rPr>
          <w:b/>
        </w:rPr>
        <w:t xml:space="preserve">Pub date: </w:t>
      </w:r>
      <w:r>
        <w:t>2026-03-30 00:00:00+00:00</w:t>
      </w:r>
      <w:r>
        <w:t xml:space="preserve">    </w:t>
      </w:r>
      <w:r>
        <w:rPr>
          <w:b/>
        </w:rPr>
        <w:t xml:space="preserve">DOI: </w:t>
      </w:r>
      <w:hyperlink r:id="rId55">
        <w:r>
          <w:rPr>
            <w:color w:val="1155CC"/>
            <w:u w:val="single"/>
          </w:rPr>
          <w:t>10.1016/j.joule.2026.102400</w:t>
        </w:r>
      </w:hyperlink>
    </w:p>
    <w:p>
      <w:pPr>
        <w:spacing w:before="0" w:after="120"/>
      </w:pPr>
      <w:r>
        <w:rPr>
          <w:b/>
        </w:rPr>
        <w:t xml:space="preserve">Notes: </w:t>
      </w:r>
      <w:r>
        <w:t>abstract_source=rss_cell</w:t>
      </w:r>
    </w:p>
    <w:p>
      <w:pPr>
        <w:spacing w:before="0" w:after="80" w:lineRule="auto" w:line="276"/>
      </w:pPr>
      <w:r>
        <w:rPr>
          <w:b/>
        </w:rPr>
        <w:t xml:space="preserve">摘要（ZH）: </w:t>
      </w:r>
      <w:r>
        <w:t>引入少量本征Li/Ni反位缺陷可以在原子尺度上增强富镍正极。这些缺陷充当结构铆钉，抑制机械降解和氧损失，而无需添加外来元素。这通过一种可扩展的、无掺杂的工艺显著改善了循环寿命。</w:t>
      </w:r>
    </w:p>
    <w:p>
      <w:pPr>
        <w:spacing w:before="0" w:after="200" w:lineRule="auto" w:line="276"/>
      </w:pPr>
      <w:r>
        <w:rPr>
          <w:b/>
        </w:rPr>
        <w:t xml:space="preserve">Abstract (EN): </w:t>
      </w:r>
      <w:r>
        <w:t>Introducing a small number of intrinsic Li/Ni anti-site defects can strengthen nickel-rich cathodes at the atomic scale. These defects act as structural rivets, suppressing mechanical degradation and oxygen loss without adding foreign elements. This results in a substantially improved cycle life through a scalable, dopant-free process.</w:t>
      </w:r>
    </w:p>
    <w:p>
      <w:pPr>
        <w:spacing w:before="120" w:after="120"/>
      </w:pPr>
      <w:r>
        <w:rPr>
          <w:sz w:val="18"/>
        </w:rPr>
        <w:t>——————————————————————————————————————————————————————————————————————</w:t>
      </w:r>
    </w:p>
    <w:p>
      <w:pPr>
        <w:spacing w:before="160" w:after="40" w:line="240" w:lineRule="auto"/>
      </w:pPr>
      <w:r>
        <w:rPr>
          <w:b/>
        </w:rPr>
        <w:t xml:space="preserve">[5] </w:t>
      </w:r>
      <w:hyperlink r:id="rId56">
        <w:r>
          <w:rPr>
            <w:color w:val="1155CC"/>
            <w:u w:val="single"/>
          </w:rPr>
          <w:t>一种通用的Janus生物聚合物隔膜实现了对无枝晶和无穿梭锌-碘电池的双界面调控</w:t>
        </w:r>
      </w:hyperlink>
    </w:p>
    <w:p>
      <w:pPr>
        <w:spacing w:before="0" w:after="80"/>
      </w:pPr>
      <w:r>
        <w:rPr>
          <w:i/>
          <w:sz w:val="20"/>
        </w:rPr>
        <w:t>EN: A Universal Janus Biopolymer Separator Enabled Dual‐Interfacial Regulation Toward Dendrite‐Free and Shuttle‐Free Zinc‐Iodine Batteries</w:t>
      </w:r>
    </w:p>
    <w:p>
      <w:pPr>
        <w:spacing w:before="0" w:after="120"/>
      </w:pPr>
      <w:r>
        <w:rPr>
          <w:b/>
        </w:rPr>
        <w:t xml:space="preserve">Source: </w:t>
      </w:r>
      <w:r>
        <w:t>Wiley: Advanced Materials: Table of Contents</w:t>
      </w:r>
      <w:r>
        <w:t xml:space="preserve">    </w:t>
      </w:r>
      <w:r>
        <w:rPr>
          <w:b/>
        </w:rPr>
        <w:t xml:space="preserve">Pub date: </w:t>
      </w:r>
      <w:r>
        <w:t>2026-03-30 06:29:08+00:00</w:t>
      </w:r>
      <w:r>
        <w:t xml:space="preserve">    </w:t>
      </w:r>
      <w:r>
        <w:rPr>
          <w:b/>
        </w:rPr>
        <w:t xml:space="preserve">DOI: </w:t>
      </w:r>
      <w:hyperlink r:id="rId57">
        <w:r>
          <w:rPr>
            <w:color w:val="1155CC"/>
            <w:u w:val="single"/>
          </w:rPr>
          <w:t>10.1002/adma.72959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锌||碘（Zn||I</w:t>
      </w:r>
      <w:r>
        <w:rPr>
          <w:vertAlign w:val="subscript"/>
        </w:rPr>
        <w:t>2</w:t>
      </w:r>
      <w:r>
        <w:t>）电池在大规模储能方面具有巨大潜力，但其实际应用受到锌枝晶生长、寄生副反应、不可控多碘化物穿梭和缓慢的I</w:t>
      </w:r>
      <w:r>
        <w:rPr>
          <w:vertAlign w:val="subscript"/>
        </w:rPr>
        <w:t>2</w:t>
      </w:r>
      <w:r>
        <w:t>转化动力学的阻碍。为了解决这些挑战，提出了一种“Janus生物聚合物隔膜实现双界面调控”策略，以同步稳定阴极和阳极，实现可持续和长寿命的Zn||I</w:t>
      </w:r>
      <w:r>
        <w:rPr>
          <w:vertAlign w:val="subscript"/>
        </w:rPr>
        <w:t>2</w:t>
      </w:r>
      <w:r>
        <w:t>电池。在阳极侧，带负电荷的海藻酸钠层调节Zn</w:t>
      </w:r>
      <w:r>
        <w:t xml:space="preserve"> </w:t>
      </w:r>
      <w:r>
        <w:t>2+</w:t>
      </w:r>
      <w:r>
        <w:t xml:space="preserve"> </w:t>
      </w:r>
      <w:r>
        <w:t>沉积行为并减轻表面</w:t>
      </w:r>
    </w:p>
    <w:p>
      <w:pPr>
        <w:spacing w:before="0" w:after="200" w:lineRule="auto" w:line="276"/>
      </w:pPr>
      <w:r>
        <w:rPr>
          <w:b/>
        </w:rPr>
        <w:t xml:space="preserve">Abstract (EN): </w:t>
      </w:r>
      <w:r>
        <w:t>Zinc||iodine (Zn||I</w:t>
      </w:r>
      <w:r>
        <w:rPr>
          <w:vertAlign w:val="subscript"/>
        </w:rPr>
        <w:t>2</w:t>
      </w:r>
      <w:r>
        <w:t>) batteries hold great promise for large‐scale energy storage, yet their practical deployment is hindered by Zn dendrite growth, parasitic side reactions, uncontrollable polyiodide shuttling, and sluggish I</w:t>
      </w:r>
      <w:r>
        <w:rPr>
          <w:vertAlign w:val="subscript"/>
        </w:rPr>
        <w:t>2</w:t>
      </w:r>
      <w:r>
        <w:t>conversion kinetics. To address these challenges, a “Janus biopolymer separator enabled dual interfacial regulation” strategy was proposed to synchronously stabilize both cathode and anode toward sustainable and long‐life Zn||I</w:t>
      </w:r>
      <w:r>
        <w:rPr>
          <w:vertAlign w:val="subscript"/>
        </w:rPr>
        <w:t>2</w:t>
      </w:r>
      <w:r>
        <w:t>batteries. On the anode side, the negatively charged sodium alginate layer modulates Zn</w:t>
      </w:r>
      <w:r>
        <w:t xml:space="preserve"> </w:t>
      </w:r>
      <w:r>
        <w:t>2+</w:t>
      </w:r>
      <w:r>
        <w:t xml:space="preserve"> </w:t>
      </w:r>
      <w:r>
        <w:t>deposition behavior and mitigates surface corrosion through electrostatic repulsion of polyiodides. Simultaneously, the positively charged chitosan layer on the cathode side interacts with polyiodides, suppressing their migration and accelerating I</w:t>
      </w:r>
      <w:r>
        <w:rPr>
          <w:vertAlign w:val="subscript"/>
        </w:rPr>
        <w:t>2</w:t>
      </w:r>
      <w:r>
        <w:t>redox kinetics. As a result, Zn||I</w:t>
      </w:r>
      <w:r>
        <w:rPr>
          <w:vertAlign w:val="subscript"/>
        </w:rPr>
        <w:t>2</w:t>
      </w:r>
      <w:r>
        <w:t>batteries exhibit a negligible capacity decay of 0.01‰ per cycle over 20,000 cycles at 5000 mA g</w:t>
      </w:r>
      <w:r>
        <w:t xml:space="preserve"> </w:t>
      </w:r>
      <w:r>
        <w:t>−1</w:t>
      </w:r>
      <w:r>
        <w:t xml:space="preserve"> </w:t>
      </w:r>
      <w:r>
        <w:t>, maintaining excellent performance even under harsh conditions. The universality of this strategy is further verified by extending it to other types of biopolymers. Furthermore, the biodegradability and biocompatibility of the separator significantly enhance the overall sustainability and biosafety of the proposed Zn||I</w:t>
      </w:r>
      <w:r>
        <w:rPr>
          <w:vertAlign w:val="subscript"/>
        </w:rPr>
        <w:t>2</w:t>
      </w:r>
      <w:r>
        <w:t>batteries. This work presents a sustainable, generalizable Janus biopolymer separator design for shuttle‐free and highly durable Zn||I</w:t>
      </w:r>
      <w:r>
        <w:rPr>
          <w:vertAlign w:val="subscript"/>
        </w:rPr>
        <w:t>2</w:t>
      </w:r>
      <w:r>
        <w:t>batteries.</w:t>
      </w:r>
    </w:p>
    <w:p>
      <w:pPr>
        <w:spacing w:before="120" w:after="120"/>
      </w:pPr>
      <w:r>
        <w:rPr>
          <w:sz w:val="18"/>
        </w:rPr>
        <w:t>——————————————————————————————————————————————————————————————————————</w:t>
      </w:r>
    </w:p>
    <w:p>
      <w:pPr>
        <w:spacing w:before="160" w:after="40" w:line="240" w:lineRule="auto"/>
      </w:pPr>
      <w:r>
        <w:rPr>
          <w:b/>
        </w:rPr>
        <w:t xml:space="preserve">[6] </w:t>
      </w:r>
      <w:hyperlink r:id="rId58">
        <w:r>
          <w:rPr>
            <w:color w:val="1155CC"/>
            <w:u w:val="single"/>
          </w:rPr>
          <w:t>[ASAP] 高能量密度层状阴极中的实用多相转变动力学</w:t>
        </w:r>
      </w:hyperlink>
    </w:p>
    <w:p>
      <w:pPr>
        <w:spacing w:before="0" w:after="80"/>
      </w:pPr>
      <w:r>
        <w:rPr>
          <w:i/>
          <w:sz w:val="20"/>
        </w:rPr>
        <w:t>EN: [ASAP] Practical Multiphase Transition Kinetics in High-Energy-Density Layered Cathodes</w:t>
      </w:r>
    </w:p>
    <w:p>
      <w:pPr>
        <w:spacing w:before="0" w:after="120"/>
      </w:pPr>
      <w:r>
        <w:rPr>
          <w:b/>
        </w:rPr>
        <w:t xml:space="preserve">Source: </w:t>
      </w:r>
      <w:r>
        <w:t>Journal of the American Chemical Society: Latest Articles (ACS Publications)</w:t>
      </w:r>
      <w:r>
        <w:t xml:space="preserve">    </w:t>
      </w:r>
      <w:r>
        <w:rPr>
          <w:b/>
        </w:rPr>
        <w:t xml:space="preserve">Pub date: </w:t>
      </w:r>
      <w:r>
        <w:t>2026-03-30 14:53:31+00:00</w:t>
      </w:r>
      <w:r>
        <w:t xml:space="preserve">    </w:t>
      </w:r>
      <w:r>
        <w:rPr>
          <w:b/>
        </w:rPr>
        <w:t xml:space="preserve">DOI: </w:t>
      </w:r>
      <w:hyperlink r:id="rId59">
        <w:r>
          <w:rPr>
            <w:color w:val="1155CC"/>
            <w:u w:val="single"/>
          </w:rPr>
          <w:t>10.1021/jacs.5c20868</w:t>
        </w:r>
      </w:hyperlink>
    </w:p>
    <w:p>
      <w:pPr>
        <w:spacing w:before="0" w:after="120"/>
      </w:pPr>
      <w:r>
        <w:rPr>
          <w:b/>
        </w:rPr>
        <w:t xml:space="preserve">Notes: </w:t>
      </w:r>
      <w:r>
        <w:t>abstract_source=pubmed</w:t>
      </w:r>
    </w:p>
    <w:p>
      <w:pPr>
        <w:spacing w:before="0" w:after="80" w:lineRule="auto" w:line="276"/>
      </w:pPr>
      <w:r>
        <w:rPr>
          <w:b/>
        </w:rPr>
        <w:t xml:space="preserve">摘要（ZH）: </w:t>
      </w:r>
      <w:r>
        <w:t>解读热力学与动力学在相变中的相互作用对于开发高能量密度锂离子电池至关重要。然而，实际电极中的微观反应动力学，特别是在非平衡条件下，仍然难以捉摸。在此，我们开发了一个多相转变动力学框架，以阐明高脱锂镍富阴极的电化学行为。我们揭示了局部退化域作为“相墙”，通过界面机械相互作用动态引导活性相的演变。这些相墙直接控制了在名义H2-H3相变期间热力学上有利的相分离与动力学驱动的固溶行为之间的相互作用。这样的框架</w:t>
      </w:r>
    </w:p>
    <w:p>
      <w:pPr>
        <w:spacing w:before="0" w:after="200" w:lineRule="auto" w:line="276"/>
      </w:pPr>
      <w:r>
        <w:rPr>
          <w:b/>
        </w:rPr>
        <w:t xml:space="preserve">Abstract (EN): </w:t>
      </w:r>
      <w:r>
        <w:t>Deciphering the interplay between thermodynamics and kinetics in phase transitions is crucial for the development of high-energy-density Li-ion batteries. However, the microscopic reaction dynamics in practical electrodes, particularly under nonequilibrium conditions, remain elusive. Here, we develop a multiphase transition kinetics framework to elucidate the electrochemical behavior of highly delithiated Ni-rich cathodes. We reveal that the localized degraded domains serve as "phase walls", dynamically steering the evolution of active phases through interfacial mechanical interactions. These phase walls directly control the interplay between the thermodynamically favored phase separation and the kinetically driven solid-solution behavior during the nominal H2-H3 phase transition. Such a fundamental modulation of the reaction pathway is the underlying cause of long-standing challenges, including charge-discharge asymmetry, sluggish kinetics, and progressive capacity fade. Our findings highlight interfacial mechanics as a critical yet underexplored lever in microstructural engineering, offering new design principles for next-generation high-energy-density layered cathodes.</w:t>
      </w:r>
    </w:p>
    <w:p>
      <w:pPr>
        <w:spacing w:before="120" w:after="120"/>
      </w:pPr>
      <w:r>
        <w:rPr>
          <w:sz w:val="18"/>
        </w:rPr>
        <w:t>——————————————————————————————————————————————————————————————————————</w:t>
      </w:r>
    </w:p>
    <w:p>
      <w:pPr>
        <w:spacing w:before="160" w:after="40" w:line="240" w:lineRule="auto"/>
      </w:pPr>
      <w:r>
        <w:rPr>
          <w:b/>
        </w:rPr>
        <w:t xml:space="preserve">[7] </w:t>
      </w:r>
      <w:hyperlink r:id="rId60">
        <w:r>
          <w:rPr>
            <w:color w:val="1155CC"/>
            <w:u w:val="single"/>
          </w:rPr>
          <w:t>钒‐碘协同调节通过三功能共轭有机界面实现高能量和稳健的锌电池</w:t>
        </w:r>
      </w:hyperlink>
    </w:p>
    <w:p>
      <w:pPr>
        <w:spacing w:before="0" w:after="80"/>
      </w:pPr>
      <w:r>
        <w:rPr>
          <w:i/>
          <w:sz w:val="20"/>
        </w:rPr>
        <w:t>EN: Vanadium‐Iodine Co‐Regulation Enabled by Trifunctional Conjugated Organic Interface for High‐Energy and Robust Zn Batteries</w:t>
      </w:r>
    </w:p>
    <w:p>
      <w:pPr>
        <w:spacing w:before="0" w:after="120"/>
      </w:pPr>
      <w:r>
        <w:rPr>
          <w:b/>
        </w:rPr>
        <w:t xml:space="preserve">Source: </w:t>
      </w:r>
      <w:r>
        <w:t>Wiley: Advanced Materials: Table of Contents</w:t>
      </w:r>
      <w:r>
        <w:t xml:space="preserve">    </w:t>
      </w:r>
      <w:r>
        <w:rPr>
          <w:b/>
        </w:rPr>
        <w:t xml:space="preserve">Pub date: </w:t>
      </w:r>
      <w:r>
        <w:t>2026-03-31 04:46:31+00:00</w:t>
      </w:r>
      <w:r>
        <w:t xml:space="preserve">    </w:t>
      </w:r>
      <w:r>
        <w:rPr>
          <w:b/>
        </w:rPr>
        <w:t xml:space="preserve">DOI: </w:t>
      </w:r>
      <w:hyperlink r:id="rId61">
        <w:r>
          <w:rPr>
            <w:color w:val="1155CC"/>
            <w:u w:val="single"/>
          </w:rPr>
          <w:t>10.1002/adma.72970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钒‐碘双重储能机制的水系锌电池（AZBs）在大规模储能应用中具有巨大潜力。然而，这种AZBs的发展受到严重的钒溶解和多步电子转移过程中不受控制的多碘化物穿梭的困扰。在此，我们报道了一种原位包裹共轭聚（苯二胺）（pPDA）层的核壳VO2阴极，称为VO2–pPDA，使得V5+/V4+/V3+和I−</w:t>
      </w:r>
    </w:p>
    <w:p>
      <w:pPr>
        <w:spacing w:before="0" w:after="200" w:lineRule="auto" w:line="276"/>
      </w:pPr>
      <w:r>
        <w:rPr>
          <w:b/>
        </w:rPr>
        <w:t xml:space="preserve">Abstract (EN): </w:t>
      </w:r>
      <w:r>
        <w:t>Aqueous Zn batteries (AZBs) utilizing vanadium‐iodine dual energy storage mechanisms hold great promise for large‐scale energy storage applications. Yet, the development of such AZBs is plagued by severe vanadium dissolution and uncontrolled polyiodide shuttling during the multi‐step electron transfer process. Herein, we reported a core–shell VO</w:t>
      </w:r>
      <w:r>
        <w:rPr>
          <w:vertAlign w:val="subscript"/>
        </w:rPr>
        <w:t>2</w:t>
      </w:r>
      <w:r>
        <w:t>cathode wrapped in situ by a conjugated poly(phenylenediamine) (pPDA) layer, denoted VO</w:t>
      </w:r>
      <w:r>
        <w:t xml:space="preserve"> </w:t>
      </w:r>
      <w:r>
        <w:t>2–</w:t>
      </w:r>
      <w:r>
        <w:t xml:space="preserve"> </w:t>
      </w:r>
      <w:r>
        <w:t>pPDA, which enables highly reversible and efficient V</w:t>
      </w:r>
      <w:r>
        <w:t xml:space="preserve"> </w:t>
      </w:r>
      <w:r>
        <w:t>5+</w:t>
      </w:r>
      <w:r>
        <w:t xml:space="preserve"> </w:t>
      </w:r>
      <w:r>
        <w:t>/V</w:t>
      </w:r>
      <w:r>
        <w:t xml:space="preserve"> </w:t>
      </w:r>
      <w:r>
        <w:t>4+</w:t>
      </w:r>
      <w:r>
        <w:t xml:space="preserve"> </w:t>
      </w:r>
      <w:r>
        <w:t>/V</w:t>
      </w:r>
      <w:r>
        <w:t xml:space="preserve"> </w:t>
      </w:r>
      <w:r>
        <w:t>3+</w:t>
      </w:r>
      <w:r>
        <w:t xml:space="preserve"> </w:t>
      </w:r>
      <w:r>
        <w:t>and I</w:t>
      </w:r>
      <w:r>
        <w:t xml:space="preserve"> </w:t>
      </w:r>
      <w:r>
        <w:t>−</w:t>
      </w:r>
      <w:r>
        <w:t>/I</w:t>
      </w:r>
      <w:r>
        <w:rPr>
          <w:vertAlign w:val="subscript"/>
        </w:rPr>
        <w:t>0</w:t>
      </w:r>
      <w:r>
        <w:t>redox reactions in ZnI</w:t>
      </w:r>
      <w:r>
        <w:rPr>
          <w:vertAlign w:val="subscript"/>
        </w:rPr>
        <w:t>2</w:t>
      </w:r>
      <w:r>
        <w:t>‐containing electrolytes. According to in/ex situ characterizations and theoretical calculation results, abundant ─C═N─ moieties in poly(PDA) enabled a synergistic optimization for the stabilization of VO</w:t>
      </w:r>
      <w:r>
        <w:rPr>
          <w:vertAlign w:val="subscript"/>
        </w:rPr>
        <w:t>2</w:t>
      </w:r>
      <w:r>
        <w:t>and interfacial iodine anchoring. Meanwhile, the π‐conjugated framework of poly(PDA) collaborated with VO</w:t>
      </w:r>
      <w:r>
        <w:rPr>
          <w:vertAlign w:val="subscript"/>
        </w:rPr>
        <w:t>2</w:t>
      </w:r>
      <w:r>
        <w:t>to catalyze the high‐efficiency iodine conversion. Due to V‐I co‐regulation, Zn//VO</w:t>
      </w:r>
      <w:r>
        <w:rPr>
          <w:vertAlign w:val="subscript"/>
        </w:rPr>
        <w:t>2</w:t>
      </w:r>
      <w:r>
        <w:t>‐pPDA battery exhibited a high working voltage of 1.09 V, ultrahigh capacity of 610 mAh g</w:t>
      </w:r>
      <w:r>
        <w:t xml:space="preserve"> </w:t>
      </w:r>
      <w:r>
        <w:t>−1</w:t>
      </w:r>
      <w:r>
        <w:t xml:space="preserve"> </w:t>
      </w:r>
      <w:r>
        <w:t>, and outstanding lifespan over 40 000 cycles. Moreover, a practical 1.0 Ah pouch cell further demonstrated the strong application potential of this system, highlighting the effectiveness of multifunctional interfacial organic engineering for high‐performance Zn batteries.</w:t>
      </w:r>
    </w:p>
    <w:p>
      <w:pPr>
        <w:spacing w:before="120" w:after="120"/>
      </w:pPr>
      <w:r>
        <w:rPr>
          <w:sz w:val="18"/>
        </w:rPr>
        <w:t>——————————————————————————————————————————————————————————————————————</w:t>
      </w:r>
    </w:p>
    <w:p>
      <w:pPr>
        <w:spacing w:before="160" w:after="40" w:line="240" w:lineRule="auto"/>
      </w:pPr>
      <w:r>
        <w:rPr>
          <w:b/>
        </w:rPr>
        <w:t xml:space="preserve">[8] </w:t>
      </w:r>
      <w:hyperlink r:id="rId62">
        <w:r>
          <w:rPr>
            <w:color w:val="1155CC"/>
            <w:u w:val="single"/>
          </w:rPr>
          <w:t>通过氟掺杂抑制V/Na反位缺陷实现高电压和稳定的基于V的NASICON钠离子电池正极</w:t>
        </w:r>
      </w:hyperlink>
    </w:p>
    <w:p>
      <w:pPr>
        <w:spacing w:before="0" w:after="80"/>
      </w:pPr>
      <w:r>
        <w:rPr>
          <w:i/>
          <w:sz w:val="20"/>
        </w:rPr>
        <w:t>EN: Suppressing V/Na Anti‐Site Defects via Fluorine Doping Enables High‐Voltage and Stable V‐Based NASICON Cathodes for Sodium‐Ion Batteries</w:t>
      </w:r>
    </w:p>
    <w:p>
      <w:pPr>
        <w:spacing w:before="0" w:after="120"/>
      </w:pPr>
      <w:r>
        <w:rPr>
          <w:b/>
        </w:rPr>
        <w:t xml:space="preserve">Source: </w:t>
      </w:r>
      <w:r>
        <w:t>Wiley: Advanced Energy Materials: Table of Contents</w:t>
      </w:r>
      <w:r>
        <w:t xml:space="preserve">    </w:t>
      </w:r>
      <w:r>
        <w:rPr>
          <w:b/>
        </w:rPr>
        <w:t xml:space="preserve">Pub date: </w:t>
      </w:r>
      <w:r>
        <w:t>2026-04-01 09:47:20+00:00</w:t>
      </w:r>
      <w:r>
        <w:t xml:space="preserve">    </w:t>
      </w:r>
      <w:r>
        <w:rPr>
          <w:b/>
        </w:rPr>
        <w:t xml:space="preserve">DOI: </w:t>
      </w:r>
      <w:hyperlink r:id="rId63">
        <w:r>
          <w:rPr>
            <w:color w:val="1155CC"/>
            <w:u w:val="single"/>
          </w:rPr>
          <w:t>10.1002/aenm.70898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NASICON 型 Na3VAl(PO4)3 (NVAP) 正极因其强大的热力学稳定性和通过多电子氧化还原反应（V3+/V4+/V5+）实现的高工作电压而受到广泛关注。然而，在高电压区域（约 4 V vs. Na+/Na）观察到的电压滞后，由于衍生的反位缺陷（DASDs），即 V5+ 占据 Na1 空位（V/Na），导致 Na 迁移缓慢。</w:t>
      </w:r>
    </w:p>
    <w:p>
      <w:pPr>
        <w:spacing w:before="0" w:after="200" w:lineRule="auto" w:line="276"/>
      </w:pPr>
      <w:r>
        <w:rPr>
          <w:b/>
        </w:rPr>
        <w:t xml:space="preserve">Abstract (EN): </w:t>
      </w:r>
      <w:r>
        <w:t>The NASICON‐type Na</w:t>
      </w:r>
      <w:r>
        <w:rPr>
          <w:vertAlign w:val="subscript"/>
        </w:rPr>
        <w:t>3</w:t>
      </w:r>
      <w:r>
        <w:t>VAl(PO</w:t>
      </w:r>
      <w:r>
        <w:rPr>
          <w:vertAlign w:val="subscript"/>
        </w:rPr>
        <w:t>4</w:t>
      </w:r>
      <w:r>
        <w:t>)</w:t>
      </w:r>
      <w:r>
        <w:rPr>
          <w:vertAlign w:val="subscript"/>
        </w:rPr>
        <w:t>3</w:t>
      </w:r>
      <w:r>
        <w:t>(NVAP) cathode has garnered extensive attention owing to its robust thermodynamic stability and high operating voltage enabled by multi‐electron redox reactions (V</w:t>
      </w:r>
      <w:r>
        <w:t xml:space="preserve"> </w:t>
      </w:r>
      <w:r>
        <w:t>3+</w:t>
      </w:r>
      <w:r>
        <w:t xml:space="preserve"> </w:t>
      </w:r>
      <w:r>
        <w:t>/V</w:t>
      </w:r>
      <w:r>
        <w:t xml:space="preserve"> </w:t>
      </w:r>
      <w:r>
        <w:t>4+</w:t>
      </w:r>
      <w:r>
        <w:t xml:space="preserve"> </w:t>
      </w:r>
      <w:r>
        <w:t>/V</w:t>
      </w:r>
      <w:r>
        <w:t xml:space="preserve"> </w:t>
      </w:r>
      <w:r>
        <w:t>5+</w:t>
      </w:r>
      <w:r>
        <w:t xml:space="preserve"> </w:t>
      </w:r>
      <w:r>
        <w:t>). However, the voltage hysteresis observed in the high‐voltage region (∼4 V vs. Na</w:t>
      </w:r>
      <w:r>
        <w:t xml:space="preserve"> </w:t>
      </w:r>
      <w:r>
        <w:t>+</w:t>
      </w:r>
      <w:r>
        <w:t xml:space="preserve"> </w:t>
      </w:r>
      <w:r>
        <w:t>/Na), caused by derived anti‐site defects (DASDs) where V</w:t>
      </w:r>
      <w:r>
        <w:t xml:space="preserve"> </w:t>
      </w:r>
      <w:r>
        <w:t>5+</w:t>
      </w:r>
      <w:r>
        <w:t xml:space="preserve"> </w:t>
      </w:r>
      <w:r>
        <w:t>occupies Na1 vacancies (V/Na), results in sluggish Na</w:t>
      </w:r>
      <w:r>
        <w:t xml:space="preserve"> </w:t>
      </w:r>
      <w:r>
        <w:t>+</w:t>
      </w:r>
      <w:r>
        <w:t xml:space="preserve"> </w:t>
      </w:r>
      <w:r>
        <w:t>diffusion kinetics and poor electrochemical reversibility. To mitigate this issue, we introduced highly electronegative F doping into the NVAP structure. Density functional theory (DFT) calculations of ion migration energetics reveal that Na</w:t>
      </w:r>
      <w:r>
        <w:t xml:space="preserve"> </w:t>
      </w:r>
      <w:r>
        <w:t>2.88</w:t>
      </w:r>
      <w:r>
        <w:t xml:space="preserve"> </w:t>
      </w:r>
      <w:r>
        <w:t>VAl(PO</w:t>
      </w:r>
      <w:r>
        <w:t xml:space="preserve"> </w:t>
      </w:r>
      <w:r>
        <w:t>3.96</w:t>
      </w:r>
      <w:r>
        <w:t xml:space="preserve"> </w:t>
      </w:r>
      <w:r>
        <w:t>F</w:t>
      </w:r>
      <w:r>
        <w:t xml:space="preserve"> </w:t>
      </w:r>
      <w:r>
        <w:t>0.04</w:t>
      </w:r>
      <w:r>
        <w:t xml:space="preserve"> </w:t>
      </w:r>
      <w:r>
        <w:t>)</w:t>
      </w:r>
      <w:r>
        <w:rPr>
          <w:vertAlign w:val="subscript"/>
        </w:rPr>
        <w:t>3</w:t>
      </w:r>
      <w:r>
        <w:t>(NVAP‐F) exhibits a higher formation energy for V/Na anti‐site defects and a higher migration barrier for V</w:t>
      </w:r>
      <w:r>
        <w:t xml:space="preserve"> </w:t>
      </w:r>
      <w:r>
        <w:t>5+</w:t>
      </w:r>
      <w:r>
        <w:t xml:space="preserve"> </w:t>
      </w:r>
      <w:r>
        <w:t>moving to the Na1 site (3.80 eV) compared to NVAP (3.15 eV). In situ XRD results further demonstrate that the F doping effectively suppresses the formation of V/Na anti‐site defects in NVAP‐F, thus alleviating voltage hysteresis during the V</w:t>
      </w:r>
      <w:r>
        <w:t xml:space="preserve"> </w:t>
      </w:r>
      <w:r>
        <w:t>4+</w:t>
      </w:r>
      <w:r>
        <w:t xml:space="preserve"> </w:t>
      </w:r>
      <w:r>
        <w:t>/V</w:t>
      </w:r>
      <w:r>
        <w:t xml:space="preserve"> </w:t>
      </w:r>
      <w:r>
        <w:t>5+</w:t>
      </w:r>
      <w:r>
        <w:t xml:space="preserve"> </w:t>
      </w:r>
      <w:r>
        <w:t>redox reaction and maintaining a low volume strain of 4.62%. Consequently, NVAP‐F delivers superior rate capability (54.4 mAh g</w:t>
      </w:r>
      <w:r>
        <w:t xml:space="preserve"> </w:t>
      </w:r>
      <w:r>
        <w:t>−1</w:t>
      </w:r>
      <w:r>
        <w:t xml:space="preserve"> </w:t>
      </w:r>
      <w:r>
        <w:t>at 30 C) and exceptional long‐cycle stability (91.5% capacity retention after 5000 cycles). Comprehensive in‐/ex situ analyses confirm enhanced ion/electron diffusion kinetics in the NVAP‐F cathode. This work offers valuable insights for the development of high‐voltage and high‐rate vanadium‐based phosphate cathodes.</w:t>
      </w:r>
    </w:p>
    <w:p>
      <w:pPr>
        <w:spacing w:before="120" w:after="120"/>
      </w:pPr>
      <w:r>
        <w:rPr>
          <w:sz w:val="18"/>
        </w:rPr>
        <w:t>——————————————————————————————————————————————————————————————————————</w:t>
      </w:r>
    </w:p>
    <w:p>
      <w:pPr>
        <w:spacing w:before="160" w:after="40" w:line="240" w:lineRule="auto"/>
      </w:pPr>
      <w:r>
        <w:rPr>
          <w:b/>
        </w:rPr>
        <w:t xml:space="preserve">[9] </w:t>
      </w:r>
      <w:hyperlink r:id="rId64">
        <w:r>
          <w:rPr>
            <w:color w:val="1155CC"/>
            <w:u w:val="single"/>
          </w:rPr>
          <w:t>钴介导的晶面工程用于高电压Na4Fe3(PO4)2P2O7正极</w:t>
        </w:r>
      </w:hyperlink>
    </w:p>
    <w:p>
      <w:pPr>
        <w:spacing w:before="0" w:after="80"/>
      </w:pPr>
      <w:r>
        <w:rPr>
          <w:i/>
          <w:sz w:val="20"/>
        </w:rPr>
        <w:t>EN: A Cobalt‐Mediated Facet Engineering for High‐Voltage Na4Fe3(PO4)2P2O7 Cathodes</w:t>
      </w:r>
    </w:p>
    <w:p>
      <w:pPr>
        <w:spacing w:before="0" w:after="120"/>
      </w:pPr>
      <w:r>
        <w:rPr>
          <w:b/>
        </w:rPr>
        <w:t xml:space="preserve">Source: </w:t>
      </w:r>
      <w:r>
        <w:t>Wiley: Advanced Energy Materials: Table of Contents</w:t>
      </w:r>
      <w:r>
        <w:t xml:space="preserve">    </w:t>
      </w:r>
      <w:r>
        <w:rPr>
          <w:b/>
        </w:rPr>
        <w:t xml:space="preserve">Pub date: </w:t>
      </w:r>
      <w:r>
        <w:t>2026-04-01 10:11:11+00:00</w:t>
      </w:r>
      <w:r>
        <w:t xml:space="preserve">    </w:t>
      </w:r>
      <w:r>
        <w:rPr>
          <w:b/>
        </w:rPr>
        <w:t xml:space="preserve">DOI: </w:t>
      </w:r>
      <w:hyperlink r:id="rId65">
        <w:r>
          <w:rPr>
            <w:color w:val="1155CC"/>
            <w:u w:val="single"/>
          </w:rPr>
          <w:t>10.1002/aenm.70907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Na4Fe3(PO4)2P2O7 (NFPP) 以其高比容量和优异的结构稳定性，是一种很有前途的钠离子电池正极材料。本研究揭示了钴掺杂 Na4Fe3(PO4)2P2O7 正极材料的结构调控机制。</w:t>
      </w:r>
    </w:p>
    <w:p>
      <w:pPr>
        <w:spacing w:before="0" w:after="200" w:lineRule="auto" w:line="276"/>
      </w:pPr>
      <w:r>
        <w:rPr>
          <w:b/>
        </w:rPr>
        <w:t xml:space="preserve">Abstract (EN): </w:t>
      </w:r>
      <w:r>
        <w:t>Na</w:t>
      </w:r>
      <w:r>
        <w:rPr>
          <w:vertAlign w:val="subscript"/>
        </w:rPr>
        <w:t>4</w:t>
      </w:r>
      <w:r>
        <w:t>Fe</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(NFPP), with its high specific capacity and excellent structural stability, is a promising cathode material for sodium‐ion batteries. This study reveals the structural regulation mechanism of cobalt‐doped Na</w:t>
      </w:r>
      <w:r>
        <w:rPr>
          <w:vertAlign w:val="subscript"/>
        </w:rPr>
        <w:t>4</w:t>
      </w:r>
      <w:r>
        <w:t>Fe</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cathode materials and demonstrates their optimization effects on the high‐voltage performance of sodium‐ion batteries. By combining multi‐scale characterization with electrochemical testing, we reveal that Co substitution for Fe can induce lattice expansion, stabilize the (210) crystal plane, and enhance Na</w:t>
      </w:r>
      <w:r>
        <w:t xml:space="preserve"> </w:t>
      </w:r>
      <w:r>
        <w:t>+</w:t>
      </w:r>
      <w:r>
        <w:t xml:space="preserve"> </w:t>
      </w:r>
      <w:r>
        <w:t>diffusion. Na</w:t>
      </w:r>
      <w:r>
        <w:rPr>
          <w:vertAlign w:val="subscript"/>
        </w:rPr>
        <w:t>4</w:t>
      </w:r>
      <w:r>
        <w:t>Fe</w:t>
      </w:r>
      <w:r>
        <w:t xml:space="preserve"> </w:t>
      </w:r>
      <w:r>
        <w:t>2.7</w:t>
      </w:r>
      <w:r>
        <w:t xml:space="preserve"> </w:t>
      </w:r>
      <w:r>
        <w:t>Co</w:t>
      </w:r>
      <w:r>
        <w:t xml:space="preserve"> </w:t>
      </w:r>
      <w:r>
        <w:t>0.3</w:t>
      </w:r>
      <w:r>
        <w:t xml:space="preserve"> </w:t>
      </w:r>
      <w:r>
        <w:t>(PO</w:t>
      </w:r>
      <w:r>
        <w:rPr>
          <w:vertAlign w:val="subscript"/>
        </w:rPr>
        <w:t>4</w:t>
      </w:r>
      <w:r>
        <w:t>)</w:t>
      </w:r>
      <w:r>
        <w:rPr>
          <w:vertAlign w:val="subscript"/>
        </w:rPr>
        <w:t>2</w:t>
      </w:r>
      <w:r>
        <w:t>P</w:t>
      </w:r>
      <w:r>
        <w:rPr>
          <w:vertAlign w:val="subscript"/>
        </w:rPr>
        <w:t>2</w:t>
      </w:r>
      <w:r>
        <w:t>O</w:t>
      </w:r>
      <w:r>
        <w:rPr>
          <w:vertAlign w:val="subscript"/>
        </w:rPr>
        <w:t>7</w:t>
      </w:r>
      <w:r>
        <w:t>(NFCPP‐3) exhibits remarkable rate performance (82.3 mAh g</w:t>
      </w:r>
      <w:r>
        <w:t xml:space="preserve"> </w:t>
      </w:r>
      <w:r>
        <w:t>−1</w:t>
      </w:r>
      <w:r>
        <w:t xml:space="preserve"> </w:t>
      </w:r>
      <w:r>
        <w:t>at 100C) and long‐term cycling stability (85.6% after 5000 cycles at 10C). DFT calculations show cobalt doping significantly enhances the material's adaptability under high voltage conditions by reducing the formation energy of the (210) crystal plane (E</w:t>
      </w:r>
      <w:r>
        <w:t xml:space="preserve"> </w:t>
      </w:r>
      <w:r>
        <w:t>f</w:t>
      </w:r>
      <w:r>
        <w:t xml:space="preserve"> </w:t>
      </w:r>
      <w:r>
        <w:t>: 0.158→0.151 eV) and Na</w:t>
      </w:r>
      <w:r>
        <w:t xml:space="preserve"> </w:t>
      </w:r>
      <w:r>
        <w:t>+</w:t>
      </w:r>
      <w:r>
        <w:t xml:space="preserve"> </w:t>
      </w:r>
      <w:r>
        <w:t>migration energy barriers (0.807 → 0.623 eV). Furthermore, full cell testing (NFCPP‐3//HC) confirms practical application potential, with a capacity retention of 82 mAh g</w:t>
      </w:r>
      <w:r>
        <w:t xml:space="preserve"> </w:t>
      </w:r>
      <w:r>
        <w:t>−1</w:t>
      </w:r>
      <w:r>
        <w:t xml:space="preserve"> </w:t>
      </w:r>
      <w:r>
        <w:t>at 10C and 94.1% after 450 cycles at 1C. This study provides a new perspective for developing cathode materials for high‐voltage and high‐rate sodium‐ion batteries.</w:t>
      </w:r>
    </w:p>
    <w:p>
      <w:pPr>
        <w:spacing w:before="120" w:after="120"/>
      </w:pPr>
      <w:r>
        <w:rPr>
          <w:sz w:val="18"/>
        </w:rPr>
        <w:t>——————————————————————————————————————————————————————————————————————</w:t>
      </w:r>
    </w:p>
    <w:p>
      <w:pPr>
        <w:spacing w:before="160" w:after="40" w:line="240" w:lineRule="auto"/>
      </w:pPr>
      <w:r>
        <w:rPr>
          <w:b/>
        </w:rPr>
        <w:t xml:space="preserve">[10] </w:t>
      </w:r>
      <w:hyperlink r:id="rId66">
        <w:r>
          <w:rPr>
            <w:color w:val="1155CC"/>
            <w:u w:val="single"/>
          </w:rPr>
          <w:t>[ASAP] 通过离子交换树脂涂层的酸捕获实现耐用的高温钠离子电池</w:t>
        </w:r>
      </w:hyperlink>
    </w:p>
    <w:p>
      <w:pPr>
        <w:spacing w:before="0" w:after="80"/>
      </w:pPr>
      <w:r>
        <w:rPr>
          <w:i/>
          <w:sz w:val="20"/>
        </w:rPr>
        <w:t>EN: [ASAP] Acid Scavenging via Ion-Exchange Resin Coating Enables Durable High-Temperature Sodium-Ion Batteries</w:t>
      </w:r>
    </w:p>
    <w:p>
      <w:pPr>
        <w:spacing w:before="0" w:after="120"/>
      </w:pPr>
      <w:r>
        <w:rPr>
          <w:b/>
        </w:rPr>
        <w:t xml:space="preserve">Source: </w:t>
      </w:r>
      <w:r>
        <w:t>ACS Energy Letters: Latest Articles (ACS Publications)</w:t>
      </w:r>
      <w:r>
        <w:t xml:space="preserve">    </w:t>
      </w:r>
      <w:r>
        <w:rPr>
          <w:b/>
        </w:rPr>
        <w:t xml:space="preserve">Pub date: </w:t>
      </w:r>
      <w:r>
        <w:t>2026-04-01 10:53:04+00:00</w:t>
      </w:r>
      <w:r>
        <w:t xml:space="preserve">    </w:t>
      </w:r>
      <w:r>
        <w:rPr>
          <w:b/>
        </w:rPr>
        <w:t xml:space="preserve">DOI: </w:t>
      </w:r>
      <w:hyperlink r:id="rId67">
        <w:r>
          <w:rPr>
            <w:color w:val="1155CC"/>
            <w:u w:val="single"/>
          </w:rPr>
          <w:t>10.1021/acsenergylett.6c00447</w:t>
        </w:r>
      </w:hyperlink>
    </w:p>
    <w:p>
      <w:pPr>
        <w:spacing w:before="0" w:after="120"/>
      </w:pPr>
      <w:r>
        <w:rPr>
          <w:b/>
        </w:rPr>
        <w:t xml:space="preserve">Notes: </w:t>
      </w:r>
      <w:r>
        <w:t>abstract_source=openalex</w:t>
      </w:r>
    </w:p>
    <w:p>
      <w:pPr>
        <w:spacing w:before="0" w:after="80" w:lineRule="auto" w:line="276"/>
      </w:pPr>
      <w:r>
        <w:rPr>
          <w:b/>
        </w:rPr>
        <w:t xml:space="preserve">摘要（ZH）: </w:t>
      </w:r>
      <w:r>
        <w:t>O3型层状过渡金属氧化物因其高容量和易于合成而被认为是钠（Na）离子电池（NIBs）的领跑者，但其实际应用受到界面不稳定性的阻碍。在此，我们揭示了基于硫酸盐的电解质添加剂1,3-丙二醇环硫酸酯（PCS）和1,3,2-二噻烷-2,2-二氧化物（DTD）在25°C下有效构建了稳健的阴极-电解质界面（CEI），但在60°C下的水解释放酸性质子。这种酸性促进了NaPF6的分解，生成腐蚀性HF，导致剧烈的晶格腐蚀、CEI和过渡金属（TM）溶解。为克服这一困境，我们在阴极上应用了一种功能性钠型离子交换树脂涂层，通过自发的离子交换捕获质子</w:t>
      </w:r>
    </w:p>
    <w:p>
      <w:pPr>
        <w:spacing w:before="0" w:after="200" w:lineRule="auto" w:line="276"/>
      </w:pPr>
      <w:r>
        <w:rPr>
          <w:b/>
        </w:rPr>
        <w:t xml:space="preserve">Abstract (EN): </w:t>
      </w:r>
      <w:r>
        <w:t>O3-type layered transition metal oxides are regarded as frontrunners for sodium (Na)-ion batteries (NIBs) due to their high capacity and ease of synthesis, but their practical deployment is hindered by interfacial instability. Herein, we reveal that sulfate-based electrolyte additives, 1,3-propanediol cyclic sulfate (PCS) and 1,3,2-dioxathiolane 2,2-dioxide (DTD), effectively construct a robust cathode-electrolyte interphase (CEI) at 25 °C, but hydrolysis at 60 °C releases acidic protons. This acidity promotes the decomposition of NaPF6 to generate corrosive HF, leading to aggressive lattice corrosion, CEI and transition metal (TM) dissolution. To overcome this dilemma, we applied a functional sodium-type ion-exchange resin coating on the cathode to scavenge protons via spontaneous ion exchange. This strategy effectively eliminates corrosive impurities and suppresses TM dissolution, significantly improving the high-temperature cycling stability. This work provides critical insights into electrolyte additive instability and establishes a facile solution for stabilizing electrode interfaces, paving the way for durable, high-performance NIBs.</w:t>
      </w:r>
    </w:p>
    <w:p>
      <w:pPr>
        <w:spacing w:before="120" w:after="120"/>
      </w:pPr>
      <w:r>
        <w:rPr>
          <w:sz w:val="18"/>
        </w:rPr>
        <w:t>——————————————————————————————————————————————————————————————————————</w:t>
      </w:r>
    </w:p>
    <w:p>
      <w:pPr>
        <w:spacing w:before="160" w:after="40" w:line="240" w:lineRule="auto"/>
      </w:pPr>
      <w:r>
        <w:rPr>
          <w:b/>
        </w:rPr>
        <w:t xml:space="preserve">[11] </w:t>
      </w:r>
      <w:hyperlink r:id="rId68">
        <w:r>
          <w:rPr>
            <w:color w:val="1155CC"/>
            <w:u w:val="single"/>
          </w:rPr>
          <w:t>在富锂层状氧化物正极的异质界面构建面共享结构</w:t>
        </w:r>
      </w:hyperlink>
    </w:p>
    <w:p>
      <w:pPr>
        <w:spacing w:before="0" w:after="80"/>
      </w:pPr>
      <w:r>
        <w:rPr>
          <w:i/>
          <w:sz w:val="20"/>
        </w:rPr>
        <w:t>EN: Constructing Face‐Shared Configuration at the Hetero‐Interface in Li‐Rich Layered Oxide Cathodes</w:t>
      </w:r>
    </w:p>
    <w:p>
      <w:pPr>
        <w:spacing w:before="0" w:after="120"/>
      </w:pPr>
      <w:r>
        <w:rPr>
          <w:b/>
        </w:rPr>
        <w:t xml:space="preserve">Source: </w:t>
      </w:r>
      <w:r>
        <w:t>Wiley: Angewandte Chemie International Edition: Table of Contents</w:t>
      </w:r>
      <w:r>
        <w:t xml:space="preserve">    </w:t>
      </w:r>
      <w:r>
        <w:rPr>
          <w:b/>
        </w:rPr>
        <w:t xml:space="preserve">Pub date: </w:t>
      </w:r>
      <w:r>
        <w:t>2026-04-01 11:16:51+00:00</w:t>
      </w:r>
      <w:r>
        <w:t xml:space="preserve">    </w:t>
      </w:r>
      <w:r>
        <w:rPr>
          <w:b/>
        </w:rPr>
        <w:t xml:space="preserve">DOI: </w:t>
      </w:r>
      <w:hyperlink r:id="rId69">
        <w:r>
          <w:rPr>
            <w:color w:val="1155CC"/>
            <w:u w:val="single"/>
          </w:rPr>
          <w:t>10.1002/anie.2943336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锂正极因其高容量和低成本而成为下一代高能量密度电池的有前途的候选者。虽然在过渡金属（TM）层中引入锂可以触发阴离子氧化还原以提供额外的容量，但锂的提取会在TM层中产生空位，从而促进TM的面外迁移，最终导致结构逐渐退化。在此，我们合成了一种由非富锂O2相和富锂O3相组成的富锂异质结构。非富锂区域中锂空位的缺失抑制了富锂区域的TM面外迁移。此外，两相之间的界面采用了同构排列。</w:t>
      </w:r>
    </w:p>
    <w:p>
      <w:pPr>
        <w:spacing w:before="0" w:after="200" w:lineRule="auto" w:line="276"/>
      </w:pPr>
      <w:r>
        <w:rPr>
          <w:b/>
        </w:rPr>
        <w:t xml:space="preserve">Abstract (EN): </w:t>
      </w:r>
      <w:r>
        <w:t>Lithium‐rich cathodes are promising candidates for next‐generation high‐energy‐density batteries owing to their high capacity and low cost. While the introduction of Li into the transition metal (TM) layers can trigger anion redox to provide additional capacity, the extraction of Li</w:t>
      </w:r>
      <w:r>
        <w:t xml:space="preserve"> </w:t>
      </w:r>
      <w:r>
        <w:t>+</w:t>
      </w:r>
      <w:r>
        <w:t xml:space="preserve"> </w:t>
      </w:r>
      <w:r>
        <w:t>generates vacancies in the TM layers that facilitate out‐of‐plane TM migration, ultimately leading to gradual structural degradation. Herein, we synthesized a Li‐rich heterostructure composed of a non‐Li‐rich O2 phase and a Li‐rich O3 phase. The absence of Li vacancies in the non‐Li‐rich region suppresses out‐of‐plane TM migration from the Li‐rich region. Additionally, the interface between the two phases adopts a homo‐arranged, face‐shared configuration, which also contributes to the suppression of out‐of‐plane TM migration, thus decreasing the formation of TM vacancies, thereby inhibiting the formation of vacancy clusters and associated O–O dimers within the TM layers and significantly enhancing Li</w:t>
      </w:r>
      <w:r>
        <w:t xml:space="preserve"> </w:t>
      </w:r>
      <w:r>
        <w:t>+</w:t>
      </w:r>
      <w:r>
        <w:t xml:space="preserve"> </w:t>
      </w:r>
      <w:r>
        <w:t>deintercalation/re‐intercalation reversibility. Benefiting from the introduction of the non‐Li‐rich O2 phase, the heterostructure improves the structural stability of the conventional O3 phase, yielding superior capacity/voltage retention. By elucidating the interaction mechanism at the heterointerface, this structural design provides a compelling strategy for developing practical Li‐rich cathodes with high capacity and enhanced structural stability.</w:t>
      </w:r>
    </w:p>
    <w:p>
      <w:pPr>
        <w:spacing w:before="120" w:after="120"/>
      </w:pPr>
      <w:r>
        <w:rPr>
          <w:sz w:val="18"/>
        </w:rPr>
        <w:t>——————————————————————————————————————————————————————————————————————</w:t>
      </w:r>
    </w:p>
    <w:p>
      <w:pPr>
        <w:spacing w:before="160" w:after="40" w:line="240" w:lineRule="auto"/>
      </w:pPr>
      <w:r>
        <w:rPr>
          <w:b/>
        </w:rPr>
        <w:t xml:space="preserve">[12] </w:t>
      </w:r>
      <w:hyperlink r:id="rId70">
        <w:r>
          <w:rPr>
            <w:color w:val="1155CC"/>
            <w:u w:val="single"/>
          </w:rPr>
          <w:t>应力介导的晶格重构再生耗尽的LiFePO4正极</w:t>
        </w:r>
      </w:hyperlink>
    </w:p>
    <w:p>
      <w:pPr>
        <w:spacing w:before="0" w:after="80"/>
      </w:pPr>
      <w:r>
        <w:rPr>
          <w:i/>
          <w:sz w:val="20"/>
        </w:rPr>
        <w:t>EN: Stress‐Mediated Lattice Reconstruction Regenerates Spent LiFePO4 Cathodes</w:t>
      </w:r>
    </w:p>
    <w:p>
      <w:pPr>
        <w:spacing w:before="0" w:after="120"/>
      </w:pPr>
      <w:r>
        <w:rPr>
          <w:b/>
        </w:rPr>
        <w:t xml:space="preserve">Source: </w:t>
      </w:r>
      <w:r>
        <w:t>Wiley: Advanced Materials: Table of Contents</w:t>
      </w:r>
      <w:r>
        <w:t xml:space="preserve">    </w:t>
      </w:r>
      <w:r>
        <w:rPr>
          <w:b/>
        </w:rPr>
        <w:t xml:space="preserve">Pub date: </w:t>
      </w:r>
      <w:r>
        <w:t>2026-04-01 11:20:15+00:00</w:t>
      </w:r>
      <w:r>
        <w:t xml:space="preserve">    </w:t>
      </w:r>
      <w:r>
        <w:rPr>
          <w:b/>
        </w:rPr>
        <w:t xml:space="preserve">DOI: </w:t>
      </w:r>
      <w:hyperlink r:id="rId71">
        <w:r>
          <w:rPr>
            <w:color w:val="1155CC"/>
            <w:u w:val="single"/>
          </w:rPr>
          <w:t>10.1002/adma.72952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动汽车和储能系统的激增部署正在迅速加速废旧锂离子电池（LIBs）的积累，强调了高效和可持续再生技术的紧迫性。尽管LiFePO4（LFP）在商业铁基正极市场中占主导地位，但其长期运行受到锂（Li）损失、FePO4形成和Li-Fe反位缺陷积累的困扰，这些共同阻塞了[010]扩散通道并严重损害了电化学可逆性。在此，我们证明LFP的性能衰减根本上源于应力诱导的结构退化过程。</w:t>
      </w:r>
    </w:p>
    <w:p>
      <w:pPr>
        <w:spacing w:before="0" w:after="200" w:lineRule="auto" w:line="276"/>
      </w:pPr>
      <w:r>
        <w:rPr>
          <w:b/>
        </w:rPr>
        <w:t xml:space="preserve">Abstract (EN): </w:t>
      </w:r>
      <w:r>
        <w:t>The surging deployment of electric vehicles and energy storage systems is rapidly accelerating the accumulation of spent lithium‐ion batteries (LIBs), underscoring the urgency of efficient and sustainable regeneration technologies. Although LiFePO</w:t>
      </w:r>
      <w:r>
        <w:rPr>
          <w:vertAlign w:val="subscript"/>
        </w:rPr>
        <w:t>4</w:t>
      </w:r>
      <w:r>
        <w:t>(LFP) dominates the commercial iron‐based cathode market, its long‐term operation is plagued by lithium (Li) loss, FePO</w:t>
      </w:r>
      <w:r>
        <w:rPr>
          <w:vertAlign w:val="subscript"/>
        </w:rPr>
        <w:t>4</w:t>
      </w:r>
      <w:r>
        <w:t>formation, and the accumulation of Li‐Fe anti‐site defects, which collectively block the [010] diffusion channels and severely impair electrochemical reversibility. Here, we demonstrate that the performance decay of LFP originates fundamentally from a stress‐induced structural degradation process rather than simple compositional imbalance. Guided by this mechanistic insight, we develop a stress‐regulated electrochemical regeneration strategy in which an applied electric field simultaneously drives Fe</w:t>
      </w:r>
      <w:r>
        <w:t xml:space="preserve"> </w:t>
      </w:r>
      <w:r>
        <w:t>3+</w:t>
      </w:r>
      <w:r>
        <w:t xml:space="preserve"> </w:t>
      </w:r>
      <w:r>
        <w:t>reduction and targeted Li</w:t>
      </w:r>
      <w:r>
        <w:t xml:space="preserve"> </w:t>
      </w:r>
      <w:r>
        <w:t>+</w:t>
      </w:r>
      <w:r>
        <w:t xml:space="preserve"> </w:t>
      </w:r>
      <w:r>
        <w:t>reinsertion into the depleted lattice. This self‐limiting repair process eliminates Li‐Fe anti‐site defects (from 3.24% to 1.05%), releases accumulated lattice micro‐strain, and reconstructs a relaxed, fully accessible Li</w:t>
      </w:r>
      <w:r>
        <w:t xml:space="preserve"> </w:t>
      </w:r>
      <w:r>
        <w:t>+</w:t>
      </w:r>
      <w:r>
        <w:t xml:space="preserve"> </w:t>
      </w:r>
      <w:r>
        <w:t>transport framework. Subsequent magnesium and aluminum co‐doping introduces uniform compressive prestress, enabling controlled redistribution of internal lattice stress and imparting long‐range structural robustness. The regenerated LFP exhibits 94% capacity retention after 500 cycles at 1C rate, together with markedly improved structural reversibility. Life‐cycle assessment confirms both economic and environmental benefits.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72">
        <w:r>
          <w:rPr>
            <w:color w:val="1155CC"/>
            <w:u w:val="single"/>
          </w:rPr>
          <w:t>高度定向石墨中的异常钠插入：热力学、动力学及双面插层证据</w:t>
        </w:r>
      </w:hyperlink>
    </w:p>
    <w:p>
      <w:pPr>
        <w:spacing w:before="0" w:after="80"/>
      </w:pPr>
      <w:r>
        <w:rPr>
          <w:i/>
          <w:sz w:val="20"/>
        </w:rPr>
        <w:t>EN: Anomalous Sodium Insertion in Highly Oriented Graphite: Thermodynamics, Kinetics and Evidence for Two‐Sided Intercalation</w:t>
      </w:r>
    </w:p>
    <w:p>
      <w:pPr>
        <w:spacing w:before="0" w:after="120"/>
      </w:pPr>
      <w:r>
        <w:rPr>
          <w:b/>
        </w:rPr>
        <w:t xml:space="preserve">Source: </w:t>
      </w:r>
      <w:r>
        <w:t>Wiley: Angewandte Chemie International Edition: Table of Contents</w:t>
      </w:r>
      <w:r>
        <w:t xml:space="preserve">    </w:t>
      </w:r>
      <w:r>
        <w:rPr>
          <w:b/>
        </w:rPr>
        <w:t xml:space="preserve">Pub date: </w:t>
      </w:r>
      <w:r>
        <w:t>2026-03-28 07:50:23+00:00</w:t>
      </w:r>
      <w:r>
        <w:t xml:space="preserve">    </w:t>
      </w:r>
      <w:r>
        <w:rPr>
          <w:b/>
        </w:rPr>
        <w:t xml:space="preserve">DOI: </w:t>
      </w:r>
      <w:hyperlink r:id="rId73">
        <w:r>
          <w:rPr>
            <w:color w:val="1155CC"/>
            <w:u w:val="single"/>
          </w:rPr>
          <w:t>10.1002/anie.8139859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Na）在石墨中的难以嵌入通过系统和长期（长达2年）的研究使用高度定向的热解石墨（HOPG）进行研究。通过这种方式，获得了热力学、动力学和原子情况的全面图景。结果不仅使我们能够对Na基电池的适用性得出结论，还能理解Na在碱金属中的异常行为，涉及开路电压（OCV）、存储容量、存储动力学和原子存储模式。完整的图景需要将熵效应和空间电荷纳入既定讨论。这种考虑甚至为分级机制本身提供了新的见解。存储是通过</w:t>
      </w:r>
    </w:p>
    <w:p>
      <w:pPr>
        <w:spacing w:before="0" w:after="200" w:lineRule="auto" w:line="276"/>
      </w:pPr>
      <w:r>
        <w:rPr>
          <w:b/>
        </w:rPr>
        <w:t xml:space="preserve">Abstract (EN): </w:t>
      </w:r>
      <w:r>
        <w:t>The difficult intercalation of sodium (Na) into graphite is studied by systematic and long‐time investigations (of up to 2 years) using highly oriented pyrolytic graphite (HOPG). In this way a comprehensive picture of the thermodynamics, kinetics and the atomistic situation is arrived at. The results do not only allow us to draw conclusions on the applicability in Na‐based batteries, but also to understand the anomalous behavior of Na within the alkali metals as regards open circuit voltage (OCV), storage capacity, storage kinetics, and atomistic storage pattern. The round picture requires including entropic effects and space charges into the established discussion. Such considerations even give new insight into the staging mechanism as such. The storage was performed both chemically and electrochemically over a wide temperature range. Our analyses show that at room temperature higher Na concentrations may be thermodynamically possible, but they are kinetically out of reach. The sodiated samples were investigated by electrochemical tools, by chemical analysis as well as by advanced electron microscopy. The latter reveals an unexpected, striking storage pattern: Unlike the other alkali metals, Na enters HOPG predominantly in the form of bilayers before it forms larger aggregates and finally staging compounds.</w:t>
      </w:r>
    </w:p>
    <w:p>
      <w:pPr>
        <w:spacing w:before="120" w:after="120"/>
      </w:pPr>
      <w:r>
        <w:rPr>
          <w:sz w:val="18"/>
        </w:rPr>
        <w:t>——————————————————————————————————————————————————————————————————————</w:t>
      </w:r>
    </w:p>
    <w:p>
      <w:pPr>
        <w:spacing w:before="160" w:after="40" w:line="240" w:lineRule="auto"/>
      </w:pPr>
      <w:r>
        <w:rPr>
          <w:b/>
        </w:rPr>
        <w:t xml:space="preserve">[2] </w:t>
      </w:r>
      <w:hyperlink r:id="rId74">
        <w:r>
          <w:rPr>
            <w:color w:val="1155CC"/>
            <w:u w:val="single"/>
          </w:rPr>
          <w:t>动力学优化的冠醚工程实现超平坦锂金属界面，用于长循环532 Wh Kg−1软包电池</w:t>
        </w:r>
      </w:hyperlink>
    </w:p>
    <w:p>
      <w:pPr>
        <w:spacing w:before="0" w:after="80"/>
      </w:pPr>
      <w:r>
        <w:rPr>
          <w:i/>
          <w:sz w:val="20"/>
        </w:rPr>
        <w:t>EN: Kinetics‐Optimized Crown Ether Engineering Enables Ultra‐Flat Lithium Metal Interface for Long‐Cycling 532 Wh Kg−1 Pouch Cells</w:t>
      </w:r>
    </w:p>
    <w:p>
      <w:pPr>
        <w:spacing w:before="0" w:after="120"/>
      </w:pPr>
      <w:r>
        <w:rPr>
          <w:b/>
        </w:rPr>
        <w:t xml:space="preserve">Source: </w:t>
      </w:r>
      <w:r>
        <w:t>Wiley: Advanced Materials: Table of Contents</w:t>
      </w:r>
      <w:r>
        <w:t xml:space="preserve">    </w:t>
      </w:r>
      <w:r>
        <w:rPr>
          <w:b/>
        </w:rPr>
        <w:t xml:space="preserve">Pub date: </w:t>
      </w:r>
      <w:r>
        <w:t>2026-03-28 08:52:04+00:00</w:t>
      </w:r>
      <w:r>
        <w:t xml:space="preserve">    </w:t>
      </w:r>
      <w:r>
        <w:rPr>
          <w:b/>
        </w:rPr>
        <w:t xml:space="preserve">DOI: </w:t>
      </w:r>
      <w:hyperlink r:id="rId75">
        <w:r>
          <w:rPr>
            <w:color w:val="1155CC"/>
            <w:u w:val="single"/>
          </w:rPr>
          <w:t>10.1002/adma.72852</w:t>
        </w:r>
      </w:hyperlink>
    </w:p>
    <w:p>
      <w:pPr>
        <w:spacing w:before="0" w:after="120"/>
      </w:pPr>
      <w:r>
        <w:rPr>
          <w:b/>
        </w:rPr>
        <w:t xml:space="preserve">Notes: </w:t>
      </w:r>
      <w:r>
        <w:t>abstract_source=crossref</w:t>
      </w:r>
    </w:p>
    <w:p>
      <w:pPr>
        <w:spacing w:before="0" w:after="80" w:lineRule="auto" w:line="276"/>
      </w:pPr>
      <w:r>
        <w:rPr>
          <w:b/>
        </w:rPr>
        <w:t xml:space="preserve">摘要（ZH）: </w:t>
      </w:r>
      <w:r>
        <w:t>锂（Li）金属电池受到不稳定电沉积和不稳定界面的困扰。实现平衡的锂离子（Li</w:t>
      </w:r>
      <w:r>
        <w:t xml:space="preserve"> </w:t>
      </w:r>
      <w:r>
        <w:t>+</w:t>
      </w:r>
      <w:r>
        <w:t xml:space="preserve"> </w:t>
      </w:r>
      <w:r>
        <w:t>）成核和扩散动力学对于解决这些障碍并确保持久、均匀的沉积至关重要。在此，我们提出了一种分子设计策略，通过设计具有适度配位和动态Li</w:t>
      </w:r>
      <w:r>
        <w:t xml:space="preserve"> </w:t>
      </w:r>
      <w:r>
        <w:t>+</w:t>
      </w:r>
      <w:r>
        <w:t xml:space="preserve"> </w:t>
      </w:r>
      <w:r>
        <w:t>传输的平整剂来解耦这些竞争需求。通过在大环框架中用仲胺取代氧供体，我们证明了氮杂-12-冠-4-醚（N-12-4）对Li</w:t>
      </w:r>
      <w:r>
        <w:t xml:space="preserve"> </w:t>
      </w:r>
      <w:r>
        <w:t>+</w:t>
      </w:r>
      <w:r>
        <w:t xml:space="preserve"> </w:t>
      </w:r>
      <w:r>
        <w:t>离子表现出精确调节的吸附。这种定制的相互作用使得</w:t>
      </w:r>
    </w:p>
    <w:p>
      <w:pPr>
        <w:spacing w:before="0" w:after="200" w:lineRule="auto" w:line="276"/>
      </w:pPr>
      <w:r>
        <w:rPr>
          <w:b/>
        </w:rPr>
        <w:t xml:space="preserve">Abstract (EN): </w:t>
      </w:r>
      <w:r>
        <w:t>Lithium (Li) metal batteries are plagued by erratic electrodeposition and unstable interphases. Achieving balanced Li ions (Li</w:t>
      </w:r>
      <w:r>
        <w:t xml:space="preserve"> </w:t>
      </w:r>
      <w:r>
        <w:t>+</w:t>
      </w:r>
      <w:r>
        <w:t xml:space="preserve"> </w:t>
      </w:r>
      <w:r>
        <w:t>) nucleation and diffusion kinetics is pivotal to address these obstacles and secure durable, uniform deposition. Herein, we present a molecular design strategy that decouples these competing demands by engineering a leveling agent with moderate coordination and dynamic Li</w:t>
      </w:r>
      <w:r>
        <w:t xml:space="preserve"> </w:t>
      </w:r>
      <w:r>
        <w:t>+</w:t>
      </w:r>
      <w:r>
        <w:t xml:space="preserve"> </w:t>
      </w:r>
      <w:r>
        <w:t>transport. By replacing oxygen donors with secondary amine in a macrocyclic framework, we demonstrate that aza‐12‐crown‐4‐ether (N‐12‐4) exhibits precisely tuned adsorption toward Li</w:t>
      </w:r>
      <w:r>
        <w:t xml:space="preserve"> </w:t>
      </w:r>
      <w:r>
        <w:t>+</w:t>
      </w:r>
      <w:r>
        <w:t xml:space="preserve"> </w:t>
      </w:r>
      <w:r>
        <w:t>ions. This tailored interaction enables a self‐leveling deposition mechanism, homogenizing electric fields while maintaining rapid ion transport. Consequently, Li||LiFePO</w:t>
      </w:r>
      <w:r>
        <w:rPr>
          <w:vertAlign w:val="subscript"/>
        </w:rPr>
        <w:t>4</w:t>
      </w:r>
      <w:r>
        <w:t>full cells deliver a practical areal capacity of 3.63 mAh cm</w:t>
      </w:r>
      <w:r>
        <w:t xml:space="preserve"> </w:t>
      </w:r>
      <w:r>
        <w:t>−2</w:t>
      </w:r>
      <w:r>
        <w:t xml:space="preserve"> </w:t>
      </w:r>
      <w:r>
        <w:t>, retaining 99.7% capacity after 100 cycles. Meanwhile, the strategy is validated in 7.5 Ah Li pouch cells, which deliver an energy density of 532 Wh kg</w:t>
      </w:r>
      <w:r>
        <w:t xml:space="preserve"> </w:t>
      </w:r>
      <w:r>
        <w:t>−1</w:t>
      </w:r>
      <w:r>
        <w:t xml:space="preserve"> </w:t>
      </w:r>
      <w:r>
        <w:t>while retaining 84% of the initial capacity after 170 cycles. Beyond lithium metal batteries, this strategy can be extended to the rational tuning of coordination strength in macrocyclic supramolecular systems and is potentially applicable to other metal‐based battery chemistries.</w:t>
      </w:r>
    </w:p>
    <w:p>
      <w:pPr>
        <w:spacing w:before="120" w:after="120"/>
      </w:pPr>
      <w:r>
        <w:rPr>
          <w:sz w:val="18"/>
        </w:rPr>
        <w:t>——————————————————————————————————————————————————————————————————————</w:t>
      </w:r>
    </w:p>
    <w:p>
      <w:pPr>
        <w:spacing w:before="160" w:after="40" w:line="240" w:lineRule="auto"/>
      </w:pPr>
      <w:r>
        <w:rPr>
          <w:b/>
        </w:rPr>
        <w:t xml:space="preserve">[3] </w:t>
      </w:r>
      <w:hyperlink r:id="rId76">
        <w:r>
          <w:rPr>
            <w:color w:val="1155CC"/>
            <w:u w:val="single"/>
          </w:rPr>
          <w:t>π−反键界面稳定深度锂沉积以实现高性能无阳极固态电池</w:t>
        </w:r>
      </w:hyperlink>
    </w:p>
    <w:p>
      <w:pPr>
        <w:spacing w:before="0" w:after="80"/>
      </w:pPr>
      <w:r>
        <w:rPr>
          <w:i/>
          <w:sz w:val="20"/>
        </w:rPr>
        <w:t>EN: π−Backbonding Interfaces Stabilize Deep Lithium Deposition for High‐Performance Anode‐Free Solid‐State Batteries</w:t>
      </w:r>
    </w:p>
    <w:p>
      <w:pPr>
        <w:spacing w:before="0" w:after="120"/>
      </w:pPr>
      <w:r>
        <w:rPr>
          <w:b/>
        </w:rPr>
        <w:t xml:space="preserve">Source: </w:t>
      </w:r>
      <w:r>
        <w:t>Wiley: Advanced Materials: Table of Contents</w:t>
      </w:r>
      <w:r>
        <w:t xml:space="preserve">    </w:t>
      </w:r>
      <w:r>
        <w:rPr>
          <w:b/>
        </w:rPr>
        <w:t xml:space="preserve">Pub date: </w:t>
      </w:r>
      <w:r>
        <w:t>2026-03-28 09:03:32+00:00</w:t>
      </w:r>
      <w:r>
        <w:t xml:space="preserve">    </w:t>
      </w:r>
      <w:r>
        <w:rPr>
          <w:b/>
        </w:rPr>
        <w:t xml:space="preserve">DOI: </w:t>
      </w:r>
      <w:hyperlink r:id="rId77">
        <w:r>
          <w:rPr>
            <w:color w:val="1155CC"/>
            <w:u w:val="single"/>
          </w:rPr>
          <w:t>10.1002/adma.72920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电池（SSBs）的激进化学，包括无阳极电池设计，是解决传统锂离子电池能量密度和安全性限制的有前途的策略，但其实际应用受到不满意的锂在铜集电器上的异质成核、高能量障碍、枝晶生长和副反应的阻碍，导致锂的持续消耗、低库仑效率和循环稳定性差。对成核行为和微环境特性的缺乏理解进一步阻碍了无阳极固态锂电池（AFSSLBs）可靠界面的合理设计。在此，我们引入聚腈络合物作为增塑剂，与溶剂协调</w:t>
      </w:r>
    </w:p>
    <w:p>
      <w:pPr>
        <w:spacing w:before="0" w:after="200" w:lineRule="auto" w:line="276"/>
      </w:pPr>
      <w:r>
        <w:rPr>
          <w:b/>
        </w:rPr>
        <w:t xml:space="preserve">Abstract (EN): </w:t>
      </w:r>
      <w:r>
        <w:t>Aggressive chemistry of solid‐state batteries (SSBs) involving anode‐free cell design is a promising strategy to address energy density and safety limitations of conventional lithium‐ion batteries, but their practical application is stifled by unsatisfactory Li heterogeneous nucleation on Cu current collectors with high energy barriers, dendrite growth, and side reactions, leading to continuous Li consumption, low Coulombic efficiency, and poor cycling stability. The lack of understanding on nucleation behavior and microenvironment property further impedes the rational design of reliable interfaces for anode‐free solid‐state lithium batteries (AFSSLBs). Herein, we introduce polynitrile complexes as plasticizers that coordinate with both solvated Li</w:t>
      </w:r>
      <w:r>
        <w:t xml:space="preserve"> </w:t>
      </w:r>
      <w:r>
        <w:t>+</w:t>
      </w:r>
      <w:r>
        <w:t xml:space="preserve"> </w:t>
      </w:r>
      <w:r>
        <w:t>and Ag‐C current collectors in 1,3‐dioxolane (DOL)‐based polymer electrolytes (PEs). Through data‐driven screening, we identify the cyanide group bond energy (E</w:t>
      </w:r>
      <w:r>
        <w:t xml:space="preserve"> </w:t>
      </w:r>
      <w:r>
        <w:t>b</w:t>
      </w:r>
      <w:r>
        <w:t xml:space="preserve"> </w:t>
      </w:r>
      <w:r>
        <w:t>) and</w:t>
      </w:r>
      <w:r>
        <w:t xml:space="preserve"> </w:t>
      </w:r>
      <w:r>
        <w:t>π</w:t>
      </w:r>
      <w:r>
        <w:t xml:space="preserve"> </w:t>
      </w:r>
      <w:r>
        <w:t>* orbital level as key descriptors governing interfacial Li nucleation. 1,3,6‐hexanetrinitrile (HTCN) with balanced E</w:t>
      </w:r>
      <w:r>
        <w:t xml:space="preserve"> </w:t>
      </w:r>
      <w:r>
        <w:t>b</w:t>
      </w:r>
      <w:r>
        <w:t xml:space="preserve"> </w:t>
      </w:r>
      <w:r>
        <w:t>‐</w:t>
      </w:r>
      <w:r>
        <w:t xml:space="preserve"> </w:t>
      </w:r>
      <w:r>
        <w:t>π</w:t>
      </w:r>
      <w:r>
        <w:t xml:space="preserve"> </w:t>
      </w:r>
      <w:r>
        <w:t>* level, enables uniform Li</w:t>
      </w:r>
      <w:r>
        <w:t xml:space="preserve"> </w:t>
      </w:r>
      <w:r>
        <w:t>+</w:t>
      </w:r>
      <w:r>
        <w:t xml:space="preserve"> </w:t>
      </w:r>
      <w:r>
        <w:t>flux and self‐excited</w:t>
      </w:r>
      <w:r>
        <w:t xml:space="preserve"> </w:t>
      </w:r>
      <w:r>
        <w:t>σ</w:t>
      </w:r>
      <w:r>
        <w:t xml:space="preserve"> </w:t>
      </w:r>
      <w:r>
        <w:t>‐</w:t>
      </w:r>
      <w:r>
        <w:t xml:space="preserve"> </w:t>
      </w:r>
      <w:r>
        <w:t>π</w:t>
      </w:r>
      <w:r>
        <w:t xml:space="preserve"> </w:t>
      </w:r>
      <w:r>
        <w:t>* backbonding, strengthening interfacial uniformity and Li‐Ag alloying depth. HTCN‐assisted AFSSLBs thus achieve &amp;gt;99% Coulombic efficiency over 600 cycles and 82.5% capacity retention after 300 cycles at 1C. A 4Ah NCM811‐based pouch cell delivers 451.5 Wh kg</w:t>
      </w:r>
      <w:r>
        <w:t xml:space="preserve"> </w:t>
      </w:r>
      <w:r>
        <w:t>−1</w:t>
      </w:r>
      <w:r>
        <w:t xml:space="preserve"> </w:t>
      </w:r>
      <w:r>
        <w:t>energy density. This study provides theoretical insights and practical guidelines for designing reliable solid‐state interface toward next‐generation AFSSLBs.</w:t>
      </w:r>
    </w:p>
    <w:p>
      <w:pPr>
        <w:spacing w:before="120" w:after="120"/>
      </w:pPr>
      <w:r>
        <w:rPr>
          <w:sz w:val="18"/>
        </w:rPr>
        <w:t>——————————————————————————————————————————————————————————————————————</w:t>
      </w:r>
    </w:p>
    <w:p>
      <w:pPr>
        <w:spacing w:before="160" w:after="40" w:line="240" w:lineRule="auto"/>
      </w:pPr>
      <w:r>
        <w:rPr>
          <w:b/>
        </w:rPr>
        <w:t xml:space="preserve">[4] </w:t>
      </w:r>
      <w:hyperlink r:id="rId78">
        <w:r>
          <w:rPr>
            <w:color w:val="1155CC"/>
            <w:u w:val="single"/>
          </w:rPr>
          <w:t>利用对称电池人工智能诊断（SAID）解码锂金属电池退化（Adv. Mater. 19/2026）</w:t>
        </w:r>
      </w:hyperlink>
    </w:p>
    <w:p>
      <w:pPr>
        <w:spacing w:before="0" w:after="80"/>
      </w:pPr>
      <w:r>
        <w:rPr>
          <w:i/>
          <w:sz w:val="20"/>
        </w:rPr>
        <w:t>EN: Decoding Lithium Metal Battery Degradation with Symmetric‐Cell Artificial Intelligence Diagnostics (SAID) (Adv. Mater. 19/2026)</w:t>
      </w:r>
    </w:p>
    <w:p>
      <w:pPr>
        <w:spacing w:before="0" w:after="120"/>
      </w:pPr>
      <w:r>
        <w:rPr>
          <w:b/>
        </w:rPr>
        <w:t xml:space="preserve">Source: </w:t>
      </w:r>
      <w:r>
        <w:t>Wiley: Advanced Materials: Table of Contents</w:t>
      </w:r>
      <w:r>
        <w:t xml:space="preserve">    </w:t>
      </w:r>
      <w:r>
        <w:rPr>
          <w:b/>
        </w:rPr>
        <w:t xml:space="preserve">Pub date: </w:t>
      </w:r>
      <w:r>
        <w:t>2026-04-01 09:34:07+00:00</w:t>
      </w:r>
      <w:r>
        <w:t xml:space="preserve">    </w:t>
      </w:r>
      <w:r>
        <w:rPr>
          <w:b/>
        </w:rPr>
        <w:t xml:space="preserve">DOI: </w:t>
      </w:r>
      <w:hyperlink r:id="rId79">
        <w:r>
          <w:rPr>
            <w:color w:val="1155CC"/>
            <w:u w:val="single"/>
          </w:rPr>
          <w:t>10.1002/adma.72895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80">
        <w:r>
          <w:rPr>
            <w:color w:val="1155CC"/>
            <w:u w:val="single"/>
          </w:rPr>
          <w:t>基于氧化还原活性COF纳米管的超稳定、高容量阳极用于极端温度K离子电池</w:t>
        </w:r>
      </w:hyperlink>
    </w:p>
    <w:p>
      <w:pPr>
        <w:spacing w:before="0" w:after="80"/>
      </w:pPr>
      <w:r>
        <w:rPr>
          <w:i/>
          <w:sz w:val="20"/>
        </w:rPr>
        <w:t>EN: Ultra‐Stable, High‐Capacity Anodes Based on Redox‐Active COF Nanotubes for Extreme‐Temperature K‐Ion Batteries</w:t>
      </w:r>
    </w:p>
    <w:p>
      <w:pPr>
        <w:spacing w:before="0" w:after="120"/>
      </w:pPr>
      <w:r>
        <w:rPr>
          <w:b/>
        </w:rPr>
        <w:t xml:space="preserve">Source: </w:t>
      </w:r>
      <w:r>
        <w:t>Wiley: Angewandte Chemie International Edition: Table of Contents</w:t>
      </w:r>
      <w:r>
        <w:t xml:space="preserve">    </w:t>
      </w:r>
      <w:r>
        <w:rPr>
          <w:b/>
        </w:rPr>
        <w:t xml:space="preserve">Pub date: </w:t>
      </w:r>
      <w:r>
        <w:t>2026-04-01 13:35:30+00:00</w:t>
      </w:r>
      <w:r>
        <w:t xml:space="preserve">    </w:t>
      </w:r>
      <w:r>
        <w:rPr>
          <w:b/>
        </w:rPr>
        <w:t xml:space="preserve">DOI: </w:t>
      </w:r>
      <w:hyperlink r:id="rId81">
        <w:r>
          <w:rPr>
            <w:color w:val="1155CC"/>
            <w:u w:val="single"/>
          </w:rPr>
          <w:t>10.1002/anie.4036095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具有分子级功能的共价有机框架（COF）材料在作为钾离子电池（KIBs）负极材料方面显示出巨大潜力。然而，由于容量有限和循环稳定性差，尤其是在极端温度下，其实际应用受到阻碍。这些问题源于K</w:t>
      </w:r>
      <w:r>
        <w:t xml:space="preserve"> </w:t>
      </w:r>
      <w:r>
        <w:t>+</w:t>
      </w:r>
      <w:r>
        <w:t xml:space="preserve"> </w:t>
      </w:r>
      <w:r>
        <w:t>的大离子尺寸和热诱导的电化学降解。在此，我们提出了一种具有共轭周期性骨架和高密度氧化还原活性位点的COF纳米管，作为在室温和极端温度下高性能的KIBs负极材料。该材料由1,5-二氨基-4,8-二羟基蒽醌-9,10-二酮（DDA）和三甲酰基酚（TP）合成，</w:t>
      </w:r>
    </w:p>
    <w:p>
      <w:pPr>
        <w:spacing w:before="0" w:after="200" w:lineRule="auto" w:line="276"/>
      </w:pPr>
      <w:r>
        <w:rPr>
          <w:b/>
        </w:rPr>
        <w:t xml:space="preserve">Abstract (EN): </w:t>
      </w:r>
      <w:r>
        <w:t>Covalent organic framework (COF) materials with molecule‐level functionality show great promise as anode materials for K‐ion batteries (KIBs). However, their practical application is hindered by limited capacity and poor cycling stability, especially under extreme temperatures. These issues stem from the large ionic size of K</w:t>
      </w:r>
      <w:r>
        <w:t xml:space="preserve"> </w:t>
      </w:r>
      <w:r>
        <w:t>+</w:t>
      </w:r>
      <w:r>
        <w:t xml:space="preserve"> </w:t>
      </w:r>
      <w:r>
        <w:t>and thermally induced electrochemical degradation. Herein, we present a COF nanotube with a conjugated periodic skeleton and a high density of redox‐active sites that function as a high‐performance anode for KIBs under room and extreme temperatures. This material, synthesized from 1,5‐diamino‐4,8‐dihydroxyanthracene‐9,10‐dione (DDA) and triformylphloroglucinol (TP), incorporates abundant carbonyl (─C═O) and hydroxyl (─OH) groups as redox‐active centers, enabling high‐capacity potassium‐ion storage. The conjugated periodic framework promotes efficient charge (K</w:t>
      </w:r>
      <w:r>
        <w:t xml:space="preserve"> </w:t>
      </w:r>
      <w:r>
        <w:t>+</w:t>
      </w:r>
      <w:r>
        <w:t xml:space="preserve"> </w:t>
      </w:r>
      <w:r>
        <w:t>/e</w:t>
      </w:r>
      <w:r>
        <w:t xml:space="preserve"> </w:t>
      </w:r>
      <w:r>
        <w:t>−</w:t>
      </w:r>
      <w:r>
        <w:t>) transport and ensures structural integrity, while the hierarchical porosity and thin nanotube walls facilitate ion diffusion and minimize volume variation. As a result, the anodes achieve rapid and stable K‐ion storage. Even at 60°C, the COF anode delivers exceptional performance, including outstanding cycling stability (84% capacity retention over 4000 cycles), high initial capacity, and remarkable rate capability (238 mAh g</w:t>
      </w:r>
      <w:r>
        <w:t xml:space="preserve"> </w:t>
      </w:r>
      <w:r>
        <w:t>−1</w:t>
      </w:r>
      <w:r>
        <w:t xml:space="preserve"> </w:t>
      </w:r>
      <w:r>
        <w:t>at 6.0 A g</w:t>
      </w:r>
      <w:r>
        <w:t xml:space="preserve"> </w:t>
      </w:r>
      <w:r>
        <w:t>−1</w:t>
      </w:r>
      <w:r>
        <w:t xml:space="preserve"> </w:t>
      </w:r>
      <w:r>
        <w:t>). This work provides new insights into the structural design of COF‐based architecture for high‐performance KIB electrodes operable across a wide temperature range.</w:t>
      </w:r>
    </w:p>
    <w:p>
      <w:pPr>
        <w:spacing w:before="120" w:after="120"/>
      </w:pPr>
      <w:r>
        <w:rPr>
          <w:sz w:val="18"/>
        </w:rPr>
        <w:t>——————————————————————————————————————————————————————————————————————</w:t>
      </w:r>
    </w:p>
    <w:p>
      <w:pPr>
        <w:spacing w:before="160" w:after="40" w:line="240" w:lineRule="auto"/>
      </w:pPr>
      <w:r>
        <w:rPr>
          <w:b/>
        </w:rPr>
        <w:t xml:space="preserve">[6] </w:t>
      </w:r>
      <w:hyperlink r:id="rId82">
        <w:r>
          <w:rPr>
            <w:color w:val="1155CC"/>
            <w:u w:val="single"/>
          </w:rPr>
          <w:t>[ASAP] 通过高堆压原位NMR光谱揭示全固态电池中硅负极的分阶段锂化/去锂化</w:t>
        </w:r>
      </w:hyperlink>
    </w:p>
    <w:p>
      <w:pPr>
        <w:spacing w:before="0" w:after="80"/>
      </w:pPr>
      <w:r>
        <w:rPr>
          <w:i/>
          <w:sz w:val="20"/>
        </w:rPr>
        <w:t>EN: [ASAP] Staged Lithiation/Delithiation of Silicon Anode in All-Solid-State Batteries Revealed by High-Stack-Pressure Operando NMR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2026-04-01 17:18:44+00:00</w:t>
      </w:r>
      <w:r>
        <w:t xml:space="preserve">    </w:t>
      </w:r>
      <w:r>
        <w:rPr>
          <w:b/>
        </w:rPr>
        <w:t xml:space="preserve">DOI: </w:t>
      </w:r>
      <w:hyperlink r:id="rId83">
        <w:r>
          <w:rPr>
            <w:color w:val="1155CC"/>
            <w:u w:val="single"/>
          </w:rPr>
          <w:t>10.1021/jacs.5c23072</w:t>
        </w:r>
      </w:hyperlink>
    </w:p>
    <w:p>
      <w:pPr>
        <w:spacing w:before="0" w:after="120"/>
      </w:pPr>
      <w:r>
        <w:rPr>
          <w:b/>
        </w:rPr>
        <w:t xml:space="preserve">Notes: </w:t>
      </w:r>
      <w:r>
        <w:t>abstract_source=openalex</w:t>
      </w:r>
    </w:p>
    <w:p>
      <w:pPr>
        <w:spacing w:before="0" w:after="80" w:lineRule="auto" w:line="276"/>
      </w:pPr>
      <w:r>
        <w:rPr>
          <w:b/>
        </w:rPr>
        <w:t xml:space="preserve">摘要（ZH）: </w:t>
      </w:r>
      <w:r>
        <w:t>全固态锂离子电池（ASSLBs）与硅负极是实现高能量和提高安全性的有前途的候选者。然而，由于中间相的无定形性质，更重要的是缺乏与固态电池所需的高堆压兼容的原位表征技术，ASSLBs中硅负极在电化学循环过程中的化学演变在微观层面上仍然知之甚少。在此，我们开发了定量原位7Li NMR光谱技术，以研究在95 MPa高堆压下的LiCoO2|Li6PS5Cl|Si全电池中的微硅电极。设计的原位NMR装置能够实时监测和跟踪硅负极的锂化学状态，并对NMR光谱进行了仔细解释和讨论。</w:t>
      </w:r>
    </w:p>
    <w:p>
      <w:pPr>
        <w:spacing w:before="0" w:after="200" w:lineRule="auto" w:line="276"/>
      </w:pPr>
      <w:r>
        <w:rPr>
          <w:b/>
        </w:rPr>
        <w:t xml:space="preserve">Abstract (EN): </w:t>
      </w:r>
      <w:r>
        <w:t>All-solid-state lithium-ion batteries (ASSLBs) with Si anodes are promising candidates for achieving high energy and improved safety. However, the chemical evolution of Si anodes during electrochemical cycling in ASSLBs remains poorly understood at the microscopic level due to the amorphous nature of intermediate phases and, more importantly, the lack of operando characterization techniques compatible with the high stack pressures required in solid cells. Here, we develop quantitative operando 7Li NMR spectroscopy to study micro-Si electrodes in LiCoO2|Li6PS5Cl|Si full cells under a high stack pressure of 95 MPa. The designed operando NMR setup enables real-time monitoring and tracking of the lithium chemical states of the Si anode, and the NMR spectra are carefully interpreted and discussed despite the effect of bulk magnetic susceptibility. The assignment of three resolved lithium silicides (Li3.75Si, Li3.25Si, and Li2.33Si) permits us to capture a multistep concurrent reaction and the dynamic phase transition, which points to an asymmetric lithiation/delithiation mechanism involving four stages, including interface nucleation to bulk diffusion in lithiation and interface extraction to bulk dissolution in delithiation. Meanwhile, the operando NMR technique quantified the temperature-dependent formation rates of the silicide phases, revealing a mechanism by which temperature regulates the phase transition pathways.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76">
        <w:r>
          <w:rPr>
            <w:color w:val="1155CC"/>
            <w:u w:val="single"/>
          </w:rPr>
          <w:t>π−反键界面稳定深度锂沉积以实现高性能无阳极固态电池</w:t>
        </w:r>
      </w:hyperlink>
    </w:p>
    <w:p>
      <w:pPr>
        <w:spacing w:before="0" w:after="80"/>
      </w:pPr>
      <w:r>
        <w:rPr>
          <w:i/>
          <w:sz w:val="20"/>
        </w:rPr>
        <w:t>EN: π−Backbonding Interfaces Stabilize Deep Lithium Deposition for High‐Performance Anode‐Free Solid‐State Batteries</w:t>
      </w:r>
    </w:p>
    <w:p>
      <w:pPr>
        <w:spacing w:before="0" w:after="120"/>
      </w:pPr>
      <w:r>
        <w:rPr>
          <w:b/>
        </w:rPr>
        <w:t xml:space="preserve">Source: </w:t>
      </w:r>
      <w:r>
        <w:t>Wiley: Advanced Materials: Table of Contents</w:t>
      </w:r>
      <w:r>
        <w:t xml:space="preserve">    </w:t>
      </w:r>
      <w:r>
        <w:rPr>
          <w:b/>
        </w:rPr>
        <w:t xml:space="preserve">Pub date: </w:t>
      </w:r>
      <w:r>
        <w:t>2026-03-28 09:03:32+00:00</w:t>
      </w:r>
      <w:r>
        <w:t xml:space="preserve">    </w:t>
      </w:r>
      <w:r>
        <w:rPr>
          <w:b/>
        </w:rPr>
        <w:t xml:space="preserve">DOI: </w:t>
      </w:r>
      <w:hyperlink r:id="rId77">
        <w:r>
          <w:rPr>
            <w:color w:val="1155CC"/>
            <w:u w:val="single"/>
          </w:rPr>
          <w:t>10.1002/adma.72920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电池（SSBs）的激进化学，包括无阳极电池设计，是解决传统锂离子电池能量密度和安全性限制的有前途的策略，但其实际应用受到不满意的锂在铜集电器上的异质成核、高能量障碍、枝晶生长和副反应的阻碍，导致锂的持续消耗、低库仑效率和循环稳定性差。对成核行为和微环境特性的缺乏理解进一步阻碍了无阳极固态锂电池（AFSSLBs）可靠界面的合理设计。在此，我们引入聚腈络合物作为增塑剂，与溶剂协调</w:t>
      </w:r>
    </w:p>
    <w:p>
      <w:pPr>
        <w:spacing w:before="0" w:after="200" w:lineRule="auto" w:line="276"/>
      </w:pPr>
      <w:r>
        <w:rPr>
          <w:b/>
        </w:rPr>
        <w:t xml:space="preserve">Abstract (EN): </w:t>
      </w:r>
      <w:r>
        <w:t>Aggressive chemistry of solid‐state batteries (SSBs) involving anode‐free cell design is a promising strategy to address energy density and safety limitations of conventional lithium‐ion batteries, but their practical application is stifled by unsatisfactory Li heterogeneous nucleation on Cu current collectors with high energy barriers, dendrite growth, and side reactions, leading to continuous Li consumption, low Coulombic efficiency, and poor cycling stability. The lack of understanding on nucleation behavior and microenvironment property further impedes the rational design of reliable interfaces for anode‐free solid‐state lithium batteries (AFSSLBs). Herein, we introduce polynitrile complexes as plasticizers that coordinate with both solvated Li</w:t>
      </w:r>
      <w:r>
        <w:t xml:space="preserve"> </w:t>
      </w:r>
      <w:r>
        <w:t>+</w:t>
      </w:r>
      <w:r>
        <w:t xml:space="preserve"> </w:t>
      </w:r>
      <w:r>
        <w:t>and Ag‐C current collectors in 1,3‐dioxolane (DOL)‐based polymer electrolytes (PEs). Through data‐driven screening, we identify the cyanide group bond energy (E</w:t>
      </w:r>
      <w:r>
        <w:t xml:space="preserve"> </w:t>
      </w:r>
      <w:r>
        <w:t>b</w:t>
      </w:r>
      <w:r>
        <w:t xml:space="preserve"> </w:t>
      </w:r>
      <w:r>
        <w:t>) and</w:t>
      </w:r>
      <w:r>
        <w:t xml:space="preserve"> </w:t>
      </w:r>
      <w:r>
        <w:t>π</w:t>
      </w:r>
      <w:r>
        <w:t xml:space="preserve"> </w:t>
      </w:r>
      <w:r>
        <w:t>* orbital level as key descriptors governing interfacial Li nucleation. 1,3,6‐hexanetrinitrile (HTCN) with balanced E</w:t>
      </w:r>
      <w:r>
        <w:t xml:space="preserve"> </w:t>
      </w:r>
      <w:r>
        <w:t>b</w:t>
      </w:r>
      <w:r>
        <w:t xml:space="preserve"> </w:t>
      </w:r>
      <w:r>
        <w:t>‐</w:t>
      </w:r>
      <w:r>
        <w:t xml:space="preserve"> </w:t>
      </w:r>
      <w:r>
        <w:t>π</w:t>
      </w:r>
      <w:r>
        <w:t xml:space="preserve"> </w:t>
      </w:r>
      <w:r>
        <w:t>* level, enables uniform Li</w:t>
      </w:r>
      <w:r>
        <w:t xml:space="preserve"> </w:t>
      </w:r>
      <w:r>
        <w:t>+</w:t>
      </w:r>
      <w:r>
        <w:t xml:space="preserve"> </w:t>
      </w:r>
      <w:r>
        <w:t>flux and self‐excited</w:t>
      </w:r>
      <w:r>
        <w:t xml:space="preserve"> </w:t>
      </w:r>
      <w:r>
        <w:t>σ</w:t>
      </w:r>
      <w:r>
        <w:t xml:space="preserve"> </w:t>
      </w:r>
      <w:r>
        <w:t>‐</w:t>
      </w:r>
      <w:r>
        <w:t xml:space="preserve"> </w:t>
      </w:r>
      <w:r>
        <w:t>π</w:t>
      </w:r>
      <w:r>
        <w:t xml:space="preserve"> </w:t>
      </w:r>
      <w:r>
        <w:t>* backbonding, strengthening interfacial uniformity and Li‐Ag alloying depth. HTCN‐assisted AFSSLBs thus achieve &amp;gt;99% Coulombic efficiency over 600 cycles and 82.5% capacity retention after 300 cycles at 1C. A 4Ah NCM811‐based pouch cell delivers 451.5 Wh kg</w:t>
      </w:r>
      <w:r>
        <w:t xml:space="preserve"> </w:t>
      </w:r>
      <w:r>
        <w:t>−1</w:t>
      </w:r>
      <w:r>
        <w:t xml:space="preserve"> </w:t>
      </w:r>
      <w:r>
        <w:t>energy density. This study provides theoretical insights and practical guidelines for designing reliable solid‐state interface toward next‐generation AFSSLBs.</w:t>
      </w:r>
    </w:p>
    <w:p>
      <w:pPr>
        <w:spacing w:before="120" w:after="120"/>
      </w:pPr>
      <w:r>
        <w:rPr>
          <w:sz w:val="18"/>
        </w:rPr>
        <w:t>——————————————————————————————————————————————————————————————————————</w:t>
      </w:r>
    </w:p>
    <w:p>
      <w:pPr>
        <w:spacing w:before="160" w:after="40" w:line="240" w:lineRule="auto"/>
      </w:pPr>
      <w:r>
        <w:rPr>
          <w:b/>
        </w:rPr>
        <w:t xml:space="preserve">[2] </w:t>
      </w:r>
      <w:hyperlink r:id="rId84">
        <w:r>
          <w:rPr>
            <w:color w:val="1155CC"/>
            <w:u w:val="single"/>
          </w:rPr>
          <w:t>[ASAP] 操控水系锌电池中电化学界面的动力学竞争和电结晶</w:t>
        </w:r>
      </w:hyperlink>
    </w:p>
    <w:p>
      <w:pPr>
        <w:spacing w:before="0" w:after="80"/>
      </w:pPr>
      <w:r>
        <w:rPr>
          <w:i/>
          <w:sz w:val="20"/>
        </w:rPr>
        <w:t>EN: [ASAP] Manipulating Kinetic Competition and Electrocrystallization at Electrochemical Interfaces in Aqueous Zn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2026-03-30 16:35:10+00:00</w:t>
      </w:r>
      <w:r>
        <w:t xml:space="preserve">    </w:t>
      </w:r>
      <w:r>
        <w:rPr>
          <w:b/>
        </w:rPr>
        <w:t xml:space="preserve">DOI: </w:t>
      </w:r>
      <w:hyperlink r:id="rId85">
        <w:r>
          <w:rPr>
            <w:color w:val="1155CC"/>
            <w:u w:val="single"/>
          </w:rPr>
          <w:t>10.1021/jacs.5c21550</w:t>
        </w:r>
      </w:hyperlink>
    </w:p>
    <w:p>
      <w:pPr>
        <w:spacing w:before="0" w:after="120"/>
      </w:pPr>
      <w:r>
        <w:rPr>
          <w:b/>
        </w:rPr>
        <w:t xml:space="preserve">Notes: </w:t>
      </w:r>
      <w:r>
        <w:t>abstract_source=pubmed</w:t>
      </w:r>
    </w:p>
    <w:p>
      <w:pPr>
        <w:spacing w:before="0" w:after="80" w:lineRule="auto" w:line="276"/>
      </w:pPr>
      <w:r>
        <w:rPr>
          <w:b/>
        </w:rPr>
        <w:t xml:space="preserve">摘要（ZH）: </w:t>
      </w:r>
      <w:r>
        <w:t>金属电极在液体电解质中的电化学稳定性是开发安全、长时间电化学储能技术的基本兴趣。已知电结晶金属的形态和可逆性可以受到电沉积速率、界面化学和基底晶体学的影响。关于这些因素如何导致在经典扩散极限以下产生不稳定的、离面生长的苔藓状金属沉积物知之甚少。在此，我们报告说，跨越新兴固态电解质界面（SEI）的缓慢固态离子传输在远低于扩散极限值的电流密度下产生了传输限制的电动学机制。在旋转圆盘电化学分析中。</w:t>
      </w:r>
    </w:p>
    <w:p>
      <w:pPr>
        <w:spacing w:before="0" w:after="200" w:lineRule="auto" w:line="276"/>
      </w:pPr>
      <w:r>
        <w:rPr>
          <w:b/>
        </w:rPr>
        <w:t xml:space="preserve">Abstract (EN): </w:t>
      </w:r>
      <w:r>
        <w:t>Electrochemical stability of metal electrodes in liquid electrolytes is of fundamental interest in the development of safe, long-duration electrochemical energy storage technologies. It is known that the morphology and reversibility of the electrocrystallized metal can be influenced by the electrodeposition rate, interface chemistry, and substrate crystallography. Little is known about how these factors contribute to producing unstable, out-of-plane, mossy metal deposit growth below the classical diffusion limit. Herein, we report that sluggish solid-state ion transport across an emergent solid electrolyte interphase (SEI) produces a transport-limited electrokinetic regime at current densities well below the diffusion-limited value. Electrochemical analysis in a rotating disk electrochemical cell using Zn substrates with dominant (002) textures reveals that the kinetics of parasitic reactions between electrolyte components and substrate is key to understanding the new transport regime, as well as for controlling nonplanar, mossy growth of metal electrocrystals. The ultimate structure of the SEI is determined by competitive chemical kinetics of the metal electroreduction and parasitic reactions, is influenced by the cation solvation environment, and is essentially insensitive to the crystallography of the Zn anode. Finally, we report on the discovery of a critical electrodeposition rate (jcritical), above which the metal electrocrystallization reactions are generally favored, evidenced by a discontinuous increase in the Coulombic efficiency from values as low as 55% to above 95% in the same electrolyte. The practical relevance of our findings is evaluated in Zn||I2 electrochemical cells in various configurations (coin cells ∼1.9 mAh cm-2, pouch cells ∼1 mAh cm-2 at 10 mA cm-2).</w:t>
      </w:r>
    </w:p>
    <w:p>
      <w:pPr>
        <w:spacing w:before="120" w:after="120"/>
      </w:pPr>
      <w:r>
        <w:rPr>
          <w:sz w:val="18"/>
        </w:rPr>
        <w:t>——————————————————————————————————————————————————————————————————————</w:t>
      </w:r>
    </w:p>
    <w:p>
      <w:pPr>
        <w:spacing w:before="160" w:after="40" w:line="240" w:lineRule="auto"/>
      </w:pPr>
      <w:r>
        <w:rPr>
          <w:b/>
        </w:rPr>
        <w:t xml:space="preserve">[3] </w:t>
      </w:r>
      <w:hyperlink r:id="rId86">
        <w:r>
          <w:rPr>
            <w:color w:val="1155CC"/>
            <w:u w:val="single"/>
          </w:rPr>
          <w:t>氟化物自由电解质的弹性桥接设计实现高性能锂电池</w:t>
        </w:r>
      </w:hyperlink>
    </w:p>
    <w:p>
      <w:pPr>
        <w:spacing w:before="0" w:after="80"/>
      </w:pPr>
      <w:r>
        <w:rPr>
          <w:i/>
          <w:sz w:val="20"/>
        </w:rPr>
        <w:t>EN: Elastic Bridging Design of a Fluorine‐Free Electrolyte Enables High‐Performance Lithium Batteries</w:t>
      </w:r>
    </w:p>
    <w:p>
      <w:pPr>
        <w:spacing w:before="0" w:after="120"/>
      </w:pPr>
      <w:r>
        <w:rPr>
          <w:b/>
        </w:rPr>
        <w:t xml:space="preserve">Source: </w:t>
      </w:r>
      <w:r>
        <w:t>Wiley: Advanced Materials: Table of Contents</w:t>
      </w:r>
      <w:r>
        <w:t xml:space="preserve">    </w:t>
      </w:r>
      <w:r>
        <w:rPr>
          <w:b/>
        </w:rPr>
        <w:t xml:space="preserve">Pub date: </w:t>
      </w:r>
      <w:r>
        <w:t>2026-03-31 04:57:56+00:00</w:t>
      </w:r>
      <w:r>
        <w:t xml:space="preserve">    </w:t>
      </w:r>
      <w:r>
        <w:rPr>
          <w:b/>
        </w:rPr>
        <w:t xml:space="preserve">DOI: </w:t>
      </w:r>
      <w:hyperlink r:id="rId87">
        <w:r>
          <w:rPr>
            <w:color w:val="1155CC"/>
            <w:u w:val="single"/>
          </w:rPr>
          <w:t>10.1002/adma.72977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基电池需求的不断增长突显了解决传统电解质相关的安全和环境风险的紧迫性。为缓解这些挑战，我们提出了一种无氟电解质架构，利用定制的溶剂-聚合物弹性桥接。该设计将基于LiBOB的无氟局部高浓度电解质封装在精心合成的结合刚柔分子结构的两性聚氨酯中。链-溶剂弹性桥接策略通过选择性Li</w:t>
      </w:r>
      <w:r>
        <w:t xml:space="preserve"> </w:t>
      </w:r>
      <w:r>
        <w:t>+</w:t>
      </w:r>
      <w:r>
        <w:t xml:space="preserve"> </w:t>
      </w:r>
      <w:r>
        <w:t>-溶剂配位重构溶剂化环境，同时调节聚合物主链中的弱分子间相互作用以引导离子传输</w:t>
      </w:r>
    </w:p>
    <w:p>
      <w:pPr>
        <w:spacing w:before="0" w:after="200" w:lineRule="auto" w:line="276"/>
      </w:pPr>
      <w:r>
        <w:rPr>
          <w:b/>
        </w:rPr>
        <w:t xml:space="preserve">Abstract (EN): </w:t>
      </w:r>
      <w:r>
        <w:t>The escalating demand for lithium‐based batteries has underscored the urgency to address safety and environmental risks associated with conventional electrolytes. To mitigate these challenges, we propose a fluorine‐free electrolyte architecture leveraging tailored solvent‐polymer elastic bridging. This design encapsulated LiBOB‐based F‐free localized high‐concentration electrolyte within an elaborately synthesized zwitterionic polyurethane combining rigid‐flexible molecular motifs. The chain‐solvent elastic bridging strategy reconstructs the solvation environment through selective Li</w:t>
      </w:r>
      <w:r>
        <w:t xml:space="preserve"> </w:t>
      </w:r>
      <w:r>
        <w:t>+</w:t>
      </w:r>
      <w:r>
        <w:t xml:space="preserve"> </w:t>
      </w:r>
      <w:r>
        <w:t>‐solvent coordination, while modulates weak intermolecular interactions in the polymer backbone to guide ion transport and further improve mechanical properties. Thus, the resultant fluorine‐free electrolyte achieves an extremely high lithium‐ion transference number of 0.95, high room‐temperature ionic conductivity of 1.3 mS cm</w:t>
      </w:r>
      <w:r>
        <w:t xml:space="preserve"> </w:t>
      </w:r>
      <w:r>
        <w:t>−</w:t>
      </w:r>
      <w:r>
        <w:rPr>
          <w:vertAlign w:val="subscript"/>
        </w:rPr>
        <w:t>1</w:t>
      </w:r>
      <w:r>
        <w:t>and high fracture strength of 1.1 MPa. These advancements synergize with the formation of an inorganic boride‐rich interfacial layer, enabling Li||Li symmetric cells to sustain plating/stripping of 1000 h. Moreover, solid‐state full cells achieve superior performance; for instance, the Li|| NCM622 (10 mg cm</w:t>
      </w:r>
      <w:r>
        <w:t xml:space="preserve"> </w:t>
      </w:r>
      <w:r>
        <w:t>−2</w:t>
      </w:r>
      <w:r>
        <w:t xml:space="preserve"> </w:t>
      </w:r>
      <w:r>
        <w:t>) cell exhibits an average capacity of 1.6 mAh cm</w:t>
      </w:r>
      <w:r>
        <w:t xml:space="preserve"> </w:t>
      </w:r>
      <w:r>
        <w:t>−</w:t>
      </w:r>
      <w:r>
        <w:rPr>
          <w:vertAlign w:val="subscript"/>
        </w:rPr>
        <w:t>2</w:t>
      </w:r>
      <w:r>
        <w:t>(140 mAh g</w:t>
      </w:r>
      <w:r>
        <w:t xml:space="preserve"> </w:t>
      </w:r>
      <w:r>
        <w:t>−1</w:t>
      </w:r>
      <w:r>
        <w:t xml:space="preserve"> </w:t>
      </w:r>
      <w:r>
        <w:t>) and a coulombic efficiency of 99.4% over 200 cycles, and a pouch cell also achieves a capacity of 1600 mAh. This work pioneers electrolyte design innovation through molecular solvent‐polymer synergy and macroscopic electrochemical integration, enabling sustainable fluorine‐free energy storage commercialization.</w:t>
      </w:r>
    </w:p>
    <w:p>
      <w:pPr>
        <w:spacing w:before="120" w:after="120"/>
      </w:pPr>
      <w:r>
        <w:rPr>
          <w:sz w:val="18"/>
        </w:rPr>
        <w:t>——————————————————————————————————————————————————————————————————————</w:t>
      </w:r>
    </w:p>
    <w:p>
      <w:pPr>
        <w:spacing w:before="160" w:after="40" w:line="240" w:lineRule="auto"/>
      </w:pPr>
      <w:r>
        <w:rPr>
          <w:b/>
        </w:rPr>
        <w:t xml:space="preserve">[4] </w:t>
      </w:r>
      <w:hyperlink r:id="rId88">
        <w:r>
          <w:rPr>
            <w:color w:val="1155CC"/>
            <w:u w:val="single"/>
          </w:rPr>
          <w:t>关于反应电流分布在实现竞争性固态电池中的作用</w:t>
        </w:r>
      </w:hyperlink>
    </w:p>
    <w:p>
      <w:pPr>
        <w:spacing w:before="0" w:after="80"/>
      </w:pPr>
      <w:r>
        <w:rPr>
          <w:i/>
          <w:sz w:val="20"/>
        </w:rPr>
        <w:t>EN: On the Role of Reaction Current Distribution to Attain Competitive Solid‐State Batteries</w:t>
      </w:r>
    </w:p>
    <w:p>
      <w:pPr>
        <w:spacing w:before="0" w:after="120"/>
      </w:pPr>
      <w:r>
        <w:rPr>
          <w:b/>
        </w:rPr>
        <w:t xml:space="preserve">Source: </w:t>
      </w:r>
      <w:r>
        <w:t>Wiley: Angewandte Chemie International Edition: Table of Contents</w:t>
      </w:r>
      <w:r>
        <w:t xml:space="preserve">    </w:t>
      </w:r>
      <w:r>
        <w:rPr>
          <w:b/>
        </w:rPr>
        <w:t xml:space="preserve">Pub date: </w:t>
      </w:r>
      <w:r>
        <w:t>2026-03-31 06:07:16+00:00</w:t>
      </w:r>
      <w:r>
        <w:t xml:space="preserve">    </w:t>
      </w:r>
      <w:r>
        <w:rPr>
          <w:b/>
        </w:rPr>
        <w:t xml:space="preserve">DOI: </w:t>
      </w:r>
      <w:hyperlink r:id="rId89">
        <w:r>
          <w:rPr>
            <w:color w:val="1155CC"/>
            <w:u w:val="single"/>
          </w:rPr>
          <w:t>10.1002/anie.2890151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竞争性固态电池必须允许高面积负载（&gt; 5 mAh·cm−2）和快速充电速率（&gt; 2 C）。然而，目前的学术研究主要集中在负载较小和C速率较低的系统上。对于已建立的电池化学，需要在追求实际应用时进行重点转移。增加面积活性材料含量和C速率通常伴随着电极中的电荷传输限制。在这项工作中，随着固态电池向更高面积负载和充电速率推进，复合电极中反应电流分布的作用被强调。以NCM-argyrodite复合材料为案例研究，我们重新审视Newman的多孔</w:t>
      </w:r>
    </w:p>
    <w:p>
      <w:pPr>
        <w:spacing w:before="0" w:after="200" w:lineRule="auto" w:line="276"/>
      </w:pPr>
      <w:r>
        <w:rPr>
          <w:b/>
        </w:rPr>
        <w:t xml:space="preserve">Abstract (EN): </w:t>
      </w:r>
      <w:r>
        <w:t>Competitive solid‐state batteries must allow for high areal loadings (&amp;gt; 5 mAh·cm</w:t>
      </w:r>
      <w:r>
        <w:t xml:space="preserve"> </w:t>
      </w:r>
      <w:r>
        <w:t>−2</w:t>
      </w:r>
      <w:r>
        <w:t xml:space="preserve"> </w:t>
      </w:r>
      <w:r>
        <w:t>) and fast charging rates (&amp;gt; 2 C). Nevertheless, current academic research mainly focuses on systems with smaller loadings and lower C‐rates. For established cell chemistries a focus shift is required when aiming toward practical application. Increasing the areal active material content and C‐rates is often accompanied by charge transport limitations in the electrodes. In this work, the role of reaction current distribution in composite electrodes is highlighted as solid‐state batteries advance toward higher areal loadings and charging rates. Using NCM‐argyrodite composites as a case study, we revisit Newman's porous electrode theory in the context of solid‐state batteries to rationalize composite electrode cycling performance. Further,</w:t>
      </w:r>
      <w:r>
        <w:t xml:space="preserve"> </w:t>
      </w:r>
      <w:r>
        <w:t>operando</w:t>
      </w:r>
      <w:r>
        <w:t xml:space="preserve"> </w:t>
      </w:r>
      <w:r>
        <w:t>high‐energy X‐ray diffraction is employed to track lithiation states of NCM across the electrode as a function of state of charge. The results reveal significant improvements in reaction current distribution, when employing faster conducting Li</w:t>
      </w:r>
      <w:r>
        <w:t xml:space="preserve"> </w:t>
      </w:r>
      <w:r>
        <w:t>5.5</w:t>
      </w:r>
      <w:r>
        <w:t xml:space="preserve"> </w:t>
      </w:r>
      <w:r>
        <w:t>PS</w:t>
      </w:r>
      <w:r>
        <w:t xml:space="preserve"> </w:t>
      </w:r>
      <w:r>
        <w:t>4.5</w:t>
      </w:r>
      <w:r>
        <w:t xml:space="preserve"> </w:t>
      </w:r>
      <w:r>
        <w:t>Cl</w:t>
      </w:r>
      <w:r>
        <w:t xml:space="preserve"> </w:t>
      </w:r>
      <w:r>
        <w:t>1.5</w:t>
      </w:r>
      <w:r>
        <w:t xml:space="preserve"> </w:t>
      </w:r>
      <w:r>
        <w:t>instead of conventional Li</w:t>
      </w:r>
      <w:r>
        <w:rPr>
          <w:vertAlign w:val="subscript"/>
        </w:rPr>
        <w:t>6</w:t>
      </w:r>
      <w:r>
        <w:t>PS</w:t>
      </w:r>
      <w:r>
        <w:rPr>
          <w:vertAlign w:val="subscript"/>
        </w:rPr>
        <w:t>5</w:t>
      </w:r>
      <w:r>
        <w:t>Cl, underscoring the need for fast lithium‐ion conductors to enable competitive solid‐state batteries. This work demonstrates the importance of precisely controlling electrode composition to balance ionic and electronic transport, ensuring homogeneous utilization of the active material and mitigating local strain and overcharging.</w:t>
      </w:r>
    </w:p>
    <w:p>
      <w:pPr>
        <w:spacing w:before="120" w:after="120"/>
      </w:pPr>
      <w:r>
        <w:rPr>
          <w:sz w:val="18"/>
        </w:rPr>
        <w:t>——————————————————————————————————————————————————————————————————————</w:t>
      </w:r>
    </w:p>
    <w:p>
      <w:pPr>
        <w:spacing w:before="160" w:after="40" w:line="240" w:lineRule="auto"/>
      </w:pPr>
      <w:r>
        <w:rPr>
          <w:b/>
        </w:rPr>
        <w:t xml:space="preserve">[5] </w:t>
      </w:r>
      <w:hyperlink r:id="rId90">
        <w:r>
          <w:rPr>
            <w:color w:val="1155CC"/>
            <w:u w:val="single"/>
          </w:rPr>
          <w:t>螯合阴离子介导的溶剂化结构用于可充电镁电池</w:t>
        </w:r>
      </w:hyperlink>
    </w:p>
    <w:p>
      <w:pPr>
        <w:spacing w:before="0" w:after="80"/>
      </w:pPr>
      <w:r>
        <w:rPr>
          <w:i/>
          <w:sz w:val="20"/>
        </w:rPr>
        <w:t>EN: Chelating Anion‐Mediated Solvation Structures for Rechargeable Magnesium Batteries</w:t>
      </w:r>
    </w:p>
    <w:p>
      <w:pPr>
        <w:spacing w:before="0" w:after="120"/>
      </w:pPr>
      <w:r>
        <w:rPr>
          <w:b/>
        </w:rPr>
        <w:t xml:space="preserve">Source: </w:t>
      </w:r>
      <w:r>
        <w:t>Wiley: Angewandte Chemie International Edition: Table of Contents</w:t>
      </w:r>
      <w:r>
        <w:t xml:space="preserve">    </w:t>
      </w:r>
      <w:r>
        <w:rPr>
          <w:b/>
        </w:rPr>
        <w:t xml:space="preserve">Pub date: </w:t>
      </w:r>
      <w:r>
        <w:t>2026-04-01 08:20:21+00:00</w:t>
      </w:r>
      <w:r>
        <w:t xml:space="preserve">    </w:t>
      </w:r>
      <w:r>
        <w:rPr>
          <w:b/>
        </w:rPr>
        <w:t xml:space="preserve">DOI: </w:t>
      </w:r>
      <w:hyperlink r:id="rId91">
        <w:r>
          <w:rPr>
            <w:color w:val="1155CC"/>
            <w:u w:val="single"/>
          </w:rPr>
          <w:t>10.1002/anie.6066611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修改溶剂和添加剂来调节电解质中阳离子溶剂化结构是一种常规方法，但适用于可充电镁金属电池的溶剂和添加剂选择仍然有限。本研究提出了一种镁盐，镁（1R,2R）-1,2-二苯乙烷-1,2-二基双（三氟甲基磺酰胺）（MgEDTF），其特征是螯合阴离子调节Mg2+的溶剂化结构。与非螯合的镁苄基（三氟甲基磺酰）胺（Mg(BnNTf)2）类似物相比，MgEDTF的螯合阴离子在1,2-二甲氧基乙</w:t>
      </w:r>
    </w:p>
    <w:p>
      <w:pPr>
        <w:spacing w:before="0" w:after="200" w:lineRule="auto" w:line="276"/>
      </w:pPr>
      <w:r>
        <w:rPr>
          <w:b/>
        </w:rPr>
        <w:t xml:space="preserve">Abstract (EN): </w:t>
      </w:r>
      <w:r>
        <w:t>Modifying solvents and additives to regulate cation solvation structures in electrolytes is a conventional approach, but the selection of solvents and additives suitable for rechargeable magnesium metal batteries remains limited. This study proposes a magnesium salt, magnesium (1</w:t>
      </w:r>
      <w:r>
        <w:t xml:space="preserve"> </w:t>
      </w:r>
      <w:r>
        <w:t>R</w:t>
      </w:r>
      <w:r>
        <w:t xml:space="preserve"> </w:t>
      </w:r>
      <w:r>
        <w:t>,2</w:t>
      </w:r>
      <w:r>
        <w:t xml:space="preserve"> </w:t>
      </w:r>
      <w:r>
        <w:t>R</w:t>
      </w:r>
      <w:r>
        <w:t xml:space="preserve"> </w:t>
      </w:r>
      <w:r>
        <w:t>)‐1,2‐diphenylethane‐1,2‐diylbis(trifluoromethylsulfonylamide) (MgEDTF), featuring a chelating anion that modulates the solvation structure of Mg</w:t>
      </w:r>
      <w:r>
        <w:t xml:space="preserve"> </w:t>
      </w:r>
      <w:r>
        <w:t>2+</w:t>
      </w:r>
      <w:r>
        <w:t xml:space="preserve"> </w:t>
      </w:r>
      <w:r>
        <w:t>. Compared to the non‐chelating magnesium benzyl((trifluoromethyl)sulfonyl)amide (Mg(BnNTf)</w:t>
      </w:r>
      <w:r>
        <w:rPr>
          <w:vertAlign w:val="subscript"/>
        </w:rPr>
        <w:t>2</w:t>
      </w:r>
      <w:r>
        <w:t>) analogue, the chelating anion of MgEDTF in 1,2‐dimethoxyethane (DME) enters the primary solvation shell to form an unsaturated [Mg</w:t>
      </w:r>
      <w:r>
        <w:t xml:space="preserve"> </w:t>
      </w:r>
      <w:r>
        <w:t>2+</w:t>
      </w:r>
      <w:r>
        <w:t xml:space="preserve"> </w:t>
      </w:r>
      <w:r>
        <w:t>–(EDTF</w:t>
      </w:r>
      <w:r>
        <w:t xml:space="preserve"> </w:t>
      </w:r>
      <w:r>
        <w:t>2−</w:t>
      </w:r>
      <w:r>
        <w:t>)–(DME)] complex. Distinct from the conventional [Mg</w:t>
      </w:r>
      <w:r>
        <w:t xml:space="preserve"> </w:t>
      </w:r>
      <w:r>
        <w:t>2+</w:t>
      </w:r>
      <w:r>
        <w:t xml:space="preserve"> </w:t>
      </w:r>
      <w:r>
        <w:t>–(3DME)] structure, this configuration facilitates the formation of an anion‐derived solid electrolyte interphase (SEI), thereby significantly reducing the Mg plating/stripping overpotential from 2.0 to 0.24 V. Moreover, trace halide additives synergize with the EDTF</w:t>
      </w:r>
      <w:r>
        <w:t xml:space="preserve"> </w:t>
      </w:r>
      <w:r>
        <w:t>2−</w:t>
      </w:r>
      <w:r>
        <w:t>anions to partially reconstruct the Mg</w:t>
      </w:r>
      <w:r>
        <w:t xml:space="preserve"> </w:t>
      </w:r>
      <w:r>
        <w:t>2+</w:t>
      </w:r>
      <w:r>
        <w:t xml:space="preserve"> </w:t>
      </w:r>
      <w:r>
        <w:t>solvation shell, forming an unsaturated [X</w:t>
      </w:r>
      <w:r>
        <w:t xml:space="preserve"> </w:t>
      </w:r>
      <w:r>
        <w:t>−</w:t>
      </w:r>
      <w:r>
        <w:t>→Mg</w:t>
      </w:r>
      <w:r>
        <w:t xml:space="preserve"> </w:t>
      </w:r>
      <w:r>
        <w:t>2+</w:t>
      </w:r>
      <w:r>
        <w:t xml:space="preserve"> </w:t>
      </w:r>
      <w:r>
        <w:t>–(EDTF</w:t>
      </w:r>
      <w:r>
        <w:t xml:space="preserve"> </w:t>
      </w:r>
      <w:r>
        <w:t>2−</w:t>
      </w:r>
      <w:r>
        <w:t>)–(½DME)] (X</w:t>
      </w:r>
      <w:r>
        <w:t xml:space="preserve"> </w:t>
      </w:r>
      <w:r>
        <w:t>−</w:t>
      </w:r>
      <w:r>
        <w:t>= Cl</w:t>
      </w:r>
      <w:r>
        <w:t xml:space="preserve"> </w:t>
      </w:r>
      <w:r>
        <w:t>−</w:t>
      </w:r>
      <w:r>
        <w:t>, Br</w:t>
      </w:r>
      <w:r>
        <w:t xml:space="preserve"> </w:t>
      </w:r>
      <w:r>
        <w:t>−</w:t>
      </w:r>
      <w:r>
        <w:t>) structure. This configuration facilitates the formation of a more effective SEI by suppressing solvent decomposition, thereby further reducing the overpotential to below 0.20 V. This study demonstrates the feasibility of chelating anion‐mediated solvation in rechargeable magnesium metal batteries and provides a novel approach for solvation structure modulation in other metal‐based battery systems.</w:t>
      </w:r>
    </w:p>
    <w:p>
      <w:pPr>
        <w:spacing w:before="120" w:after="120"/>
      </w:pPr>
      <w:r>
        <w:rPr>
          <w:sz w:val="18"/>
        </w:rPr>
        <w:t>——————————————————————————————————————————————————————————————————————</w:t>
      </w:r>
    </w:p>
    <w:p>
      <w:pPr>
        <w:spacing w:before="160" w:after="40" w:line="240" w:lineRule="auto"/>
      </w:pPr>
      <w:r>
        <w:rPr>
          <w:b/>
        </w:rPr>
        <w:t xml:space="preserve">[6] </w:t>
      </w:r>
      <w:hyperlink r:id="rId66">
        <w:r>
          <w:rPr>
            <w:color w:val="1155CC"/>
            <w:u w:val="single"/>
          </w:rPr>
          <w:t>[ASAP] 通过离子交换树脂涂层的酸捕获实现耐用的高温钠离子电池</w:t>
        </w:r>
      </w:hyperlink>
    </w:p>
    <w:p>
      <w:pPr>
        <w:spacing w:before="0" w:after="80"/>
      </w:pPr>
      <w:r>
        <w:rPr>
          <w:i/>
          <w:sz w:val="20"/>
        </w:rPr>
        <w:t>EN: [ASAP] Acid Scavenging via Ion-Exchange Resin Coating Enables Durable High-Temperature Sodium-Ion Batteries</w:t>
      </w:r>
    </w:p>
    <w:p>
      <w:pPr>
        <w:spacing w:before="0" w:after="120"/>
      </w:pPr>
      <w:r>
        <w:rPr>
          <w:b/>
        </w:rPr>
        <w:t xml:space="preserve">Source: </w:t>
      </w:r>
      <w:r>
        <w:t>ACS Energy Letters: Latest Articles (ACS Publications)</w:t>
      </w:r>
      <w:r>
        <w:t xml:space="preserve">    </w:t>
      </w:r>
      <w:r>
        <w:rPr>
          <w:b/>
        </w:rPr>
        <w:t xml:space="preserve">Pub date: </w:t>
      </w:r>
      <w:r>
        <w:t>2026-04-01 10:53:04+00:00</w:t>
      </w:r>
      <w:r>
        <w:t xml:space="preserve">    </w:t>
      </w:r>
      <w:r>
        <w:rPr>
          <w:b/>
        </w:rPr>
        <w:t xml:space="preserve">DOI: </w:t>
      </w:r>
      <w:hyperlink r:id="rId67">
        <w:r>
          <w:rPr>
            <w:color w:val="1155CC"/>
            <w:u w:val="single"/>
          </w:rPr>
          <w:t>10.1021/acsenergylett.6c00447</w:t>
        </w:r>
      </w:hyperlink>
    </w:p>
    <w:p>
      <w:pPr>
        <w:spacing w:before="0" w:after="120"/>
      </w:pPr>
      <w:r>
        <w:rPr>
          <w:b/>
        </w:rPr>
        <w:t xml:space="preserve">Notes: </w:t>
      </w:r>
      <w:r>
        <w:t>abstract_source=openalex</w:t>
      </w:r>
    </w:p>
    <w:p>
      <w:pPr>
        <w:spacing w:before="0" w:after="80" w:lineRule="auto" w:line="276"/>
      </w:pPr>
      <w:r>
        <w:rPr>
          <w:b/>
        </w:rPr>
        <w:t xml:space="preserve">摘要（ZH）: </w:t>
      </w:r>
      <w:r>
        <w:t>O3型层状过渡金属氧化物因其高容量和易于合成而被认为是钠（Na）离子电池（NIBs）的领跑者，但其实际应用受到界面不稳定性的阻碍。在此，我们揭示了基于硫酸盐的电解质添加剂1,3-丙二醇环硫酸酯（PCS）和1,3,2-二噻烷-2,2-二氧化物（DTD）在25°C下有效构建了稳健的阴极-电解质界面（CEI），但在60°C下的水解释放酸性质子。这种酸性促进了NaPF6的分解，生成腐蚀性HF，导致剧烈的晶格腐蚀、CEI和过渡金属（TM）溶解。为克服这一困境，我们在阴极上应用了一种功能性钠型离子交换树脂涂层，通过自发的离子交换捕获质子</w:t>
      </w:r>
    </w:p>
    <w:p>
      <w:pPr>
        <w:spacing w:before="0" w:after="200" w:lineRule="auto" w:line="276"/>
      </w:pPr>
      <w:r>
        <w:rPr>
          <w:b/>
        </w:rPr>
        <w:t xml:space="preserve">Abstract (EN): </w:t>
      </w:r>
      <w:r>
        <w:t>O3-type layered transition metal oxides are regarded as frontrunners for sodium (Na)-ion batteries (NIBs) due to their high capacity and ease of synthesis, but their practical deployment is hindered by interfacial instability. Herein, we reveal that sulfate-based electrolyte additives, 1,3-propanediol cyclic sulfate (PCS) and 1,3,2-dioxathiolane 2,2-dioxide (DTD), effectively construct a robust cathode-electrolyte interphase (CEI) at 25 °C, but hydrolysis at 60 °C releases acidic protons. This acidity promotes the decomposition of NaPF6 to generate corrosive HF, leading to aggressive lattice corrosion, CEI and transition metal (TM) dissolution. To overcome this dilemma, we applied a functional sodium-type ion-exchange resin coating on the cathode to scavenge protons via spontaneous ion exchange. This strategy effectively eliminates corrosive impurities and suppresses TM dissolution, significantly improving the high-temperature cycling stability. This work provides critical insights into electrolyte additive instability and establishes a facile solution for stabilizing electrode interfaces, paving the way for durable, high-performance NIBs.</w:t>
      </w:r>
    </w:p>
    <w:p>
      <w:pPr>
        <w:spacing w:before="120" w:after="120"/>
      </w:pPr>
      <w:r>
        <w:rPr>
          <w:sz w:val="18"/>
        </w:rPr>
        <w:t>——————————————————————————————————————————————————————————————————————</w:t>
      </w:r>
    </w:p>
    <w:p>
      <w:pPr>
        <w:spacing w:before="160" w:after="40" w:line="240" w:lineRule="auto"/>
      </w:pPr>
      <w:r>
        <w:rPr>
          <w:b/>
        </w:rPr>
        <w:t xml:space="preserve">[7] </w:t>
      </w:r>
      <w:hyperlink r:id="rId92">
        <w:r>
          <w:rPr>
            <w:color w:val="1155CC"/>
            <w:u w:val="single"/>
          </w:rPr>
          <w:t>[ASAP] 通过还原衍生的阴极-电解质界面工程扩展醚基电解质以实现高电压钠电池</w:t>
        </w:r>
      </w:hyperlink>
    </w:p>
    <w:p>
      <w:pPr>
        <w:spacing w:before="0" w:after="80"/>
      </w:pPr>
      <w:r>
        <w:rPr>
          <w:i/>
          <w:sz w:val="20"/>
        </w:rPr>
        <w:t>EN: [ASAP] Extending Ether-Based Electrolyte toward High-Voltage Sodium Batteries via Reduction-Derived Cathode–Electrolyte Interphase Engineering</w:t>
      </w:r>
    </w:p>
    <w:p>
      <w:pPr>
        <w:spacing w:before="0" w:after="120"/>
      </w:pPr>
      <w:r>
        <w:rPr>
          <w:b/>
        </w:rPr>
        <w:t xml:space="preserve">Source: </w:t>
      </w:r>
      <w:r>
        <w:t>ACS Energy Letters: Latest Articles (ACS Publications)</w:t>
      </w:r>
      <w:r>
        <w:t xml:space="preserve">    </w:t>
      </w:r>
      <w:r>
        <w:rPr>
          <w:b/>
        </w:rPr>
        <w:t xml:space="preserve">Pub date: </w:t>
      </w:r>
      <w:r>
        <w:t>2026-04-01 13:47:25+00:00</w:t>
      </w:r>
      <w:r>
        <w:t xml:space="preserve">    </w:t>
      </w:r>
      <w:r>
        <w:rPr>
          <w:b/>
        </w:rPr>
        <w:t xml:space="preserve">DOI: </w:t>
      </w:r>
      <w:hyperlink r:id="rId93">
        <w:r>
          <w:rPr>
            <w:color w:val="1155CC"/>
            <w:u w:val="single"/>
          </w:rPr>
          <w:t>10.1021/acsenergylett.6c00378</w:t>
        </w:r>
      </w:hyperlink>
    </w:p>
    <w:p>
      <w:pPr>
        <w:spacing w:before="0" w:after="120"/>
      </w:pPr>
      <w:r>
        <w:rPr>
          <w:b/>
        </w:rPr>
        <w:t xml:space="preserve">Notes: </w:t>
      </w:r>
      <w:r>
        <w:t>abstract_source=openalex</w:t>
      </w:r>
    </w:p>
    <w:p>
      <w:pPr>
        <w:spacing w:before="0" w:after="80" w:lineRule="auto" w:line="276"/>
      </w:pPr>
      <w:r>
        <w:rPr>
          <w:b/>
        </w:rPr>
        <w:t xml:space="preserve">摘要（ZH）: </w:t>
      </w:r>
      <w:r>
        <w:t>高电压钠电池因其高能量密度和低成本而受到广泛关注，同时对具有宽电化学窗口的电解质提出了严格要求。阴极-电解质界面 (CEI) 可以缓解两个相之间的电位差，其界面化学和物理化学性质在很大程度上取决于电解质分解机制。在此，采用预还原策略构建无机主导的 CEI，有效提高了醚基电解质的氧化稳定性，从 3.9 提高到 4.5 V vs Na+/Na。系统研究表明，还原衍生的 CEI 中的有机成分最终通过气体演化被氧化，而没有任何电解质污染。</w:t>
      </w:r>
    </w:p>
    <w:p>
      <w:pPr>
        <w:spacing w:before="0" w:after="200" w:lineRule="auto" w:line="276"/>
      </w:pPr>
      <w:r>
        <w:rPr>
          <w:b/>
        </w:rPr>
        <w:t xml:space="preserve">Abstract (EN): </w:t>
      </w:r>
      <w:r>
        <w:t>High-voltage sodium batteries have attracted extensive attention due to their high energy density and low cost while imposing stringent requirements on electrolytes with wide electrochemical windows. The cathode–electrolyte interphase (CEI) can mitigate the potential difference between two phases, with its interfacial chemistry and physicochemical properties hinged largely on the electrolyte decomposition mechanism. Herein, a prereduction strategy was performed to construct the inorganic-dominated CEI, which effectively improves the oxidation stability of the ether-based electrolyte from 3.9 to 4.5 V vs Na+/Na. Systematic investigations suggest that the organic components in reduction-derived CEI are ultimately oxidized via gas evolution without any electrolyte contamination. When evaluated in Na3V2(PO4)2F3 (NVPF)||Na cells, this strategy delivers significantly improved Coulombic efficiency and rate capability, retaining 86.2% capacity after 4000 cycles at 5 C. Overall, this work enhanced the oxidation resistance of the ether-based electrolyte without solvent regulation, offering a strategy for their practical application in high-voltage sodium batteries.</w:t>
      </w:r>
    </w:p>
    <w:p>
      <w:pPr>
        <w:spacing w:before="120" w:after="120"/>
      </w:pPr>
      <w:r>
        <w:rPr>
          <w:sz w:val="18"/>
        </w:rPr>
        <w:t>——————————————————————————————————————————————————————————————————————</w:t>
      </w:r>
    </w:p>
    <w:p>
      <w:pPr>
        <w:spacing w:before="160" w:after="40" w:line="240" w:lineRule="auto"/>
      </w:pPr>
      <w:r>
        <w:rPr>
          <w:b/>
        </w:rPr>
        <w:t xml:space="preserve">[8] </w:t>
      </w:r>
      <w:hyperlink r:id="rId94">
        <w:r>
          <w:rPr>
            <w:color w:val="1155CC"/>
            <w:u w:val="single"/>
          </w:rPr>
          <w:t>[ASAP] 高速水系锌-碘电池中的溶剂化调控</w:t>
        </w:r>
      </w:hyperlink>
    </w:p>
    <w:p>
      <w:pPr>
        <w:spacing w:before="0" w:after="80"/>
      </w:pPr>
      <w:r>
        <w:rPr>
          <w:i/>
          <w:sz w:val="20"/>
        </w:rPr>
        <w:t>EN: [ASAP] Solvation Regulation in High-Rate Aqueous Zinc–Iodine Batteries</w:t>
      </w:r>
    </w:p>
    <w:p>
      <w:pPr>
        <w:spacing w:before="0" w:after="120"/>
      </w:pPr>
      <w:r>
        <w:rPr>
          <w:b/>
        </w:rPr>
        <w:t xml:space="preserve">Source: </w:t>
      </w:r>
      <w:r>
        <w:t>ACS Energy Letters: Latest Articles (ACS Publications)</w:t>
      </w:r>
      <w:r>
        <w:t xml:space="preserve">    </w:t>
      </w:r>
      <w:r>
        <w:rPr>
          <w:b/>
        </w:rPr>
        <w:t xml:space="preserve">Pub date: </w:t>
      </w:r>
      <w:r>
        <w:t>2026-04-01 13:48:19+00:00</w:t>
      </w:r>
      <w:r>
        <w:t xml:space="preserve">    </w:t>
      </w:r>
      <w:r>
        <w:rPr>
          <w:b/>
        </w:rPr>
        <w:t xml:space="preserve">DOI: </w:t>
      </w:r>
      <w:hyperlink r:id="rId95">
        <w:r>
          <w:rPr>
            <w:color w:val="1155CC"/>
            <w:u w:val="single"/>
          </w:rPr>
          <w:t>10.1021/acsenergylett.6c00428</w:t>
        </w:r>
      </w:hyperlink>
    </w:p>
    <w:p>
      <w:pPr>
        <w:spacing w:before="0" w:after="120"/>
      </w:pPr>
      <w:r>
        <w:rPr>
          <w:b/>
        </w:rPr>
        <w:t xml:space="preserve">Notes: </w:t>
      </w:r>
      <w:r>
        <w:t>abstract_source=openalex</w:t>
      </w:r>
    </w:p>
    <w:p>
      <w:pPr>
        <w:spacing w:before="0" w:after="80" w:lineRule="auto" w:line="276"/>
      </w:pPr>
      <w:r>
        <w:rPr>
          <w:b/>
        </w:rPr>
        <w:t xml:space="preserve">摘要（ZH）: </w:t>
      </w:r>
      <w:r>
        <w:t>水合共晶电解质通过稳定 Zn 阳极为水系锌-碘电池 (Zn//I2) 提供了引人注目的前景，但其高粘度和差润湿性阻碍了实际应用。在此，我们通过预热共晶 Zn(CIO4)2 和 DMSO 并与 ZnSO4 溶液共溶设计了一种富水共晶电解质，表现出强大的锁水能力。通过优化水含量，电解质形成了分层的 Zn2+ 溶剂化鞘，其中 DMSO 和 H2O 占据内壳，阴离子占据外壳。实现了低温下的高离子电导率和优越的润湿性。极性 DMSO 抑制水活性并溶解钝化副产物，而 ClO4– 限制溶剂活性以减轻碘穿梭。电解质</w:t>
      </w:r>
    </w:p>
    <w:p>
      <w:pPr>
        <w:spacing w:before="0" w:after="200" w:lineRule="auto" w:line="276"/>
      </w:pPr>
      <w:r>
        <w:rPr>
          <w:b/>
        </w:rPr>
        <w:t xml:space="preserve">Abstract (EN): </w:t>
      </w:r>
      <w:r>
        <w:t>Hydrated eutectic electrolytes offer compelling promise for aqueous Zn-iodine batteries (Zn//I2) by stabilizing Zn anodes, yet their high viscosity and poor wettability impede practical deployment. Here, we design a water-rich eutectic electrolyte by preheating eutectic Zn(CIO4)2 and DMSO and cosoluble with ZnSO4 solution, which exhibits strong water-locking capability. By optimizing the water content, the electrolyte forms a hierarchical Zn2+ solvation sheath, in which DMSO and H2O occupy the inner shell and anions the outer, respectively. High ionic conductivity in low temperature and superior wettability are realized. The polar DMSO suppresses water activity and dissolves passivating byproducts, while ClO4– confines the solvent activity to mitigate iodine shuttling. The electrolyte substantially inhibits side reactions and promotes uniform Zn deposition. As a result, the assembled Zn//I2 demonstrate exceptional stability, retaining 99.1% capacity after 6000 cycles at 80 C. This work provides a practical strategy for high-rate aqueous Zn//I2.</w:t>
      </w:r>
    </w:p>
    <w:p>
      <w:pPr>
        <w:spacing w:before="120" w:after="120"/>
      </w:pPr>
      <w:r>
        <w:rPr>
          <w:sz w:val="18"/>
        </w:rPr>
        <w:t>——————————————————————————————————————————————————————————————————————</w:t>
      </w:r>
    </w:p>
    <w:p>
      <w:pPr>
        <w:spacing w:before="160" w:after="40" w:line="240" w:lineRule="auto"/>
      </w:pPr>
      <w:r>
        <w:rPr>
          <w:b/>
        </w:rPr>
        <w:t xml:space="preserve">[9] </w:t>
      </w:r>
      <w:hyperlink r:id="rId96">
        <w:r>
          <w:rPr>
            <w:color w:val="1155CC"/>
            <w:u w:val="single"/>
          </w:rPr>
          <w:t>阴离子解耦电解质实现钙金属阳极的稳定循环和快速界面动力学</w:t>
        </w:r>
      </w:hyperlink>
    </w:p>
    <w:p>
      <w:pPr>
        <w:spacing w:before="0" w:after="80"/>
      </w:pPr>
      <w:r>
        <w:rPr>
          <w:i/>
          <w:sz w:val="20"/>
        </w:rPr>
        <w:t>EN: Anion-Decoupled Electrolytes Enable Stable Cycling and Fast Interfacial Kinetics for Calcium Metal Anodes</w:t>
      </w:r>
    </w:p>
    <w:p>
      <w:pPr>
        <w:spacing w:before="0" w:after="120"/>
      </w:pPr>
      <w:r>
        <w:rPr>
          <w:b/>
        </w:rPr>
        <w:t xml:space="preserve">Source: </w:t>
      </w:r>
      <w:r>
        <w:t>RSC - Energy Environ. Sci. latest articles</w:t>
      </w:r>
      <w:r>
        <w:t xml:space="preserve">    </w:t>
      </w:r>
      <w:r>
        <w:rPr>
          <w:b/>
        </w:rPr>
        <w:t xml:space="preserve">Pub date: </w:t>
      </w:r>
      <w:r>
        <w:t>2026-04-01 23:00:00+00:00</w:t>
      </w:r>
    </w:p>
    <w:p>
      <w:pPr>
        <w:spacing w:before="0" w:after="120"/>
      </w:pPr>
      <w:r>
        <w:rPr>
          <w:b/>
        </w:rPr>
        <w:t xml:space="preserve">Notes: </w:t>
      </w:r>
      <w:r>
        <w:t>abstract_source=rsc_html</w:t>
      </w:r>
    </w:p>
    <w:p>
      <w:pPr>
        <w:spacing w:before="0" w:after="80" w:lineRule="auto" w:line="276"/>
      </w:pPr>
      <w:r>
        <w:rPr>
          <w:b/>
        </w:rPr>
        <w:t xml:space="preserve">摘要（ZH）: </w:t>
      </w:r>
      <w:r>
        <w:t>钙（Ca）金属电池由于Ca的高能量密度及其地壳丰度而成为一种有前景的后锂离子技术。然而，常规电解质中二价Ca2+的强阳离子-阴离子相互作用促进了阻碍Ca金属电镀的Ca2+离子阻挡固体电解质界面（SEI）的形成。在此，我们介绍了一种阴离子解耦策略，该策略结合了强配位溶剂二甲基乙酰胺（DMAc）和阴离子拉动剂1,2-二溴苯（1,2-DBB）添加剂，以调节广泛可用的Ca(TFSI)2基电解质用于可逆Ca金属阳极。光谱和理论分析表明，DMAc诱导了富溶剂配位结构并抑制了Ca2+-TFSI-离子对，而1,2-DBB进一步将TFSI-拉出。</w:t>
      </w:r>
    </w:p>
    <w:p>
      <w:pPr>
        <w:spacing w:before="0" w:after="200" w:lineRule="auto" w:line="276"/>
      </w:pPr>
      <w:r>
        <w:rPr>
          <w:b/>
        </w:rPr>
        <w:t xml:space="preserve">Abstract (EN): </w:t>
      </w:r>
      <w:r>
        <w:t>Calcium (Ca) metal battery is a promising post-lithium-ion technology due to the high energy density of Ca and its crustal abundance. However, the strong cation-anion interactions of divalent Ca2+ in conventional electrolytes promote the formation of Ca2+ ion-blocking solid electrolyte interphase (SEI) that hinders Ca metal electrodeposition. Here, we introduce an anion-decoupling strategy that combines a strongly coordinating solvent, dimethylacetamide (DMAc), with an anion-pulling 1,2-dibromobenzene (1,2-DBB) additive to regulate the widely accessible Ca(TFSI)2-based electrolytes for reversible Ca metal anodes. Spectroscopic and theoretical analyses reveal that DMAc induces solvent-rich coordination structure and suppresses Ca2+-TFSI- ion pairs, while 1,2-DBB further pulls TFSI- out of the primary solvation shell, hindering its decomposition into unfavorable CaF2 in the SEI. The resulting inorganic-poor SEI enables fast Ca2+ transport and highly reversible Ca metal plating/stripping at low overpotentials of 5 V in conventional Ca(TFSI)2 electrolytes. The optimized electrolyte supports stable cycling of Ca//Ca symmetric cells for over 340 hours and delivers &gt;90% capacity retention over 200 cycles in Ca//graphite and Ca//9,10-phenanthrenequinone full cells. This work establishes anion-decoupling electrolyte chemistry, distinct from the well-established anion-coupling electrolyte chemistry for monovalent metal anodes (Li and Na), enabling fast interfacial kinetics and stable cycling of divalent metal anodes.</w:t>
      </w:r>
    </w:p>
    <w:p>
      <w:pPr>
        <w:spacing w:before="120" w:after="120"/>
      </w:pPr>
      <w:r>
        <w:rPr>
          <w:sz w:val="18"/>
        </w:rPr>
        <w:t>——————————————————————————————————————————————————————————————————————</w:t>
      </w:r>
    </w:p>
    <w:p>
      <w:pPr>
        <w:spacing w:before="160" w:after="40" w:line="240" w:lineRule="auto"/>
      </w:pPr>
      <w:r>
        <w:rPr>
          <w:b/>
        </w:rPr>
        <w:t xml:space="preserve">[10] </w:t>
      </w:r>
      <w:hyperlink r:id="rId97">
        <w:r>
          <w:rPr>
            <w:color w:val="1155CC"/>
            <w:u w:val="single"/>
          </w:rPr>
          <w:t>[ASAP] AutoSEE：用于自动固态电解质探索的人工智能代理</w:t>
        </w:r>
      </w:hyperlink>
    </w:p>
    <w:p>
      <w:pPr>
        <w:spacing w:before="0" w:after="80"/>
      </w:pPr>
      <w:r>
        <w:rPr>
          <w:i/>
          <w:sz w:val="20"/>
        </w:rPr>
        <w:t>EN: [ASAP] AutoSEE: An Artificial Intelligence Agent for Automated Solid Electrolyte Exploration</w:t>
      </w:r>
    </w:p>
    <w:p>
      <w:pPr>
        <w:spacing w:before="0" w:after="120"/>
      </w:pPr>
      <w:r>
        <w:rPr>
          <w:b/>
        </w:rPr>
        <w:t xml:space="preserve">Source: </w:t>
      </w:r>
      <w:r>
        <w:t>ACS Energy Letters: Latest Articles (ACS Publications)</w:t>
      </w:r>
      <w:r>
        <w:t xml:space="preserve">    </w:t>
      </w:r>
      <w:r>
        <w:rPr>
          <w:b/>
        </w:rPr>
        <w:t xml:space="preserve">Pub date: </w:t>
      </w:r>
      <w:r>
        <w:t>2026-04-02 11:12:20+00:00</w:t>
      </w:r>
      <w:r>
        <w:t xml:space="preserve">    </w:t>
      </w:r>
      <w:r>
        <w:rPr>
          <w:b/>
        </w:rPr>
        <w:t xml:space="preserve">DOI: </w:t>
      </w:r>
      <w:hyperlink r:id="rId98">
        <w:r>
          <w:rPr>
            <w:color w:val="1155CC"/>
            <w:u w:val="single"/>
          </w:rPr>
          <w:t>10.1021/acsenergylett.6c00020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99">
        <w:r>
          <w:rPr>
            <w:color w:val="1155CC"/>
            <w:u w:val="single"/>
          </w:rPr>
          <w:t>[ASAP] 通用电化学机械界面工程实现无枝晶固态锂金属电池</w:t>
        </w:r>
      </w:hyperlink>
    </w:p>
    <w:p>
      <w:pPr>
        <w:spacing w:before="0" w:after="80"/>
      </w:pPr>
      <w:r>
        <w:rPr>
          <w:i/>
          <w:sz w:val="20"/>
        </w:rPr>
        <w:t>EN: [ASAP] Universal Electro-Chemo-Mechanical Interface Engineering toward Dendrite-Free Solid-State Lithium Metal Batteries</w:t>
      </w:r>
    </w:p>
    <w:p>
      <w:pPr>
        <w:spacing w:before="0" w:after="120"/>
      </w:pPr>
      <w:r>
        <w:rPr>
          <w:b/>
        </w:rPr>
        <w:t xml:space="preserve">Source: </w:t>
      </w:r>
      <w:r>
        <w:t>ACS Energy Letters: Latest Articles (ACS Publications)</w:t>
      </w:r>
      <w:r>
        <w:t xml:space="preserve">    </w:t>
      </w:r>
      <w:r>
        <w:rPr>
          <w:b/>
        </w:rPr>
        <w:t xml:space="preserve">Pub date: </w:t>
      </w:r>
      <w:r>
        <w:t>2026-04-02 12:52:41+00:00</w:t>
      </w:r>
      <w:r>
        <w:t xml:space="preserve">    </w:t>
      </w:r>
      <w:r>
        <w:rPr>
          <w:b/>
        </w:rPr>
        <w:t xml:space="preserve">DOI: </w:t>
      </w:r>
      <w:hyperlink r:id="rId100">
        <w:r>
          <w:rPr>
            <w:color w:val="1155CC"/>
            <w:u w:val="single"/>
          </w:rPr>
          <w:t>10.1021/acsenergylett.6c00606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01">
        <w:r>
          <w:rPr>
            <w:color w:val="1155CC"/>
            <w:u w:val="single"/>
          </w:rPr>
          <w:t>通过多层集成传感器增强锂离子电池的安全性，实现同步热机械监测</w:t>
        </w:r>
      </w:hyperlink>
    </w:p>
    <w:p>
      <w:pPr>
        <w:spacing w:before="0" w:after="80"/>
      </w:pPr>
      <w:r>
        <w:rPr>
          <w:i/>
          <w:sz w:val="20"/>
        </w:rPr>
        <w:t>EN: Enhancing Lithium‐ion Battery Safety with a Multilayer Integrated Sensor for Synchronous Thermal‐Mechanical Monitoring</w:t>
      </w:r>
    </w:p>
    <w:p>
      <w:pPr>
        <w:spacing w:before="0" w:after="120"/>
      </w:pPr>
      <w:r>
        <w:rPr>
          <w:b/>
        </w:rPr>
        <w:t xml:space="preserve">Source: </w:t>
      </w:r>
      <w:r>
        <w:t>Wiley: Advanced Materials: Table of Contents</w:t>
      </w:r>
      <w:r>
        <w:t xml:space="preserve">    </w:t>
      </w:r>
      <w:r>
        <w:rPr>
          <w:b/>
        </w:rPr>
        <w:t xml:space="preserve">Pub date: </w:t>
      </w:r>
      <w:r>
        <w:t>2026-03-28 09:01:27+00:00</w:t>
      </w:r>
      <w:r>
        <w:t xml:space="preserve">    </w:t>
      </w:r>
      <w:r>
        <w:rPr>
          <w:b/>
        </w:rPr>
        <w:t xml:space="preserve">DOI: </w:t>
      </w:r>
      <w:hyperlink r:id="rId102">
        <w:r>
          <w:rPr>
            <w:color w:val="1155CC"/>
            <w:u w:val="single"/>
          </w:rPr>
          <w:t>10.1002/adma.72963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时、同位监测热和机械信号对于锂离子电池的准确状态估计、早期故障诊断和安全管理至关重要。然而，现有策略通常存在温度和压力传感器之间的空间不同步和信号间串扰问题，削弱了诊断的准确性。在此，我们报告了一种紧凑、柔性的多层温度-压力传感器（MTPS），能够在电池表面实现同步、同位和高保真双参数监测。垂直共层压结构集成了高灵敏度温度传感单元和宽范围压力传感单元。温度传感器实现了TCR为−0.6% °C−1。</w:t>
      </w:r>
    </w:p>
    <w:p>
      <w:pPr>
        <w:spacing w:before="0" w:after="200" w:lineRule="auto" w:line="276"/>
      </w:pPr>
      <w:r>
        <w:rPr>
          <w:b/>
        </w:rPr>
        <w:t xml:space="preserve">Abstract (EN): </w:t>
      </w:r>
      <w:r>
        <w:t>Real‐time, colocated monitoring of thermal and mechanical signals is essential for accurate state estimation, early fault diagnosis, and safety management of lithium‐ion batteries. However, existing strategies often suffer from spatial asynchrony between temperature and pressure sensors and inter‐signal crosstalk, which undermines diagnostic fidelity. Here, we report a compact, flexible multilayer temperature‐pressure sensor (MTPS) enabling synchronous, colocated, and high‐fidelity dual‐parameter monitoring on cell surfaces. The vertically co‐laminated architecture integrates a high‐sensitivity temperature‐sensing unit with a wide‐range pressure‐sensing unit. The temperature sensor achieves a TCR of −0.6% °C</w:t>
      </w:r>
      <w:r>
        <w:t xml:space="preserve"> </w:t>
      </w:r>
      <w:r>
        <w:t>−1</w:t>
      </w:r>
      <w:r>
        <w:t xml:space="preserve"> </w:t>
      </w:r>
      <w:r>
        <w:t>with fast response/recovery of 1.4/1.9s, and the hierarchical microstructure pressure sensor covers 0–1000 kPa with a low detection limit for 0.001 N. A hardware‐implemented compensation model quantitatively decouples thermal‐mechanical interference, further improving signal fidelity. Operando deployment of the MTPS accurately tracks signature signals associated with failure modes such as lithium plating under cooling, thermally aggravated side reactions under heating, and irreversible damage under compression, providing highly reliable evidence for early fault warning and elucidation of failure evolution mechanisms. At the system level, the MTPS distinguishes cell‐to‐cell inconsistencies in series/parallel packs and detects underbody scraping in a vehicle demonstration. This integrated non‐intrusive platform provides a practical pathway for real‐time, precise, and intelligent battery safety monitoring.</w:t>
      </w:r>
    </w:p>
    <w:p>
      <w:pPr>
        <w:spacing w:before="120" w:after="120"/>
      </w:pPr>
      <w:r>
        <w:rPr>
          <w:sz w:val="18"/>
        </w:rPr>
        <w:t>——————————————————————————————————————————————————————————————————————</w:t>
      </w:r>
    </w:p>
    <w:p>
      <w:pPr>
        <w:spacing w:before="160" w:after="40" w:line="240" w:lineRule="auto"/>
      </w:pPr>
      <w:r>
        <w:rPr>
          <w:b/>
        </w:rPr>
        <w:t xml:space="preserve">[2] </w:t>
      </w:r>
      <w:hyperlink r:id="rId103">
        <w:r>
          <w:rPr>
            <w:color w:val="1155CC"/>
            <w:u w:val="single"/>
          </w:rPr>
          <w:t>[ASAP] 臭氧介导的化学脱锂反应用于从废弃LiFePO4中选择性提取锂</w:t>
        </w:r>
      </w:hyperlink>
    </w:p>
    <w:p>
      <w:pPr>
        <w:spacing w:before="0" w:after="80"/>
      </w:pPr>
      <w:r>
        <w:rPr>
          <w:i/>
          <w:sz w:val="20"/>
        </w:rPr>
        <w:t>EN: [ASAP] Ozone-Mediated Chemical Delithiation Reaction for Selective Li Extraction from Spent LiFePO4</w:t>
      </w:r>
    </w:p>
    <w:p>
      <w:pPr>
        <w:spacing w:before="0" w:after="120"/>
      </w:pPr>
      <w:r>
        <w:rPr>
          <w:b/>
        </w:rPr>
        <w:t xml:space="preserve">Source: </w:t>
      </w:r>
      <w:r>
        <w:t>ACS Energy Letters: Latest Articles (ACS Publications)</w:t>
      </w:r>
      <w:r>
        <w:t xml:space="preserve">    </w:t>
      </w:r>
      <w:r>
        <w:rPr>
          <w:b/>
        </w:rPr>
        <w:t xml:space="preserve">Pub date: </w:t>
      </w:r>
      <w:r>
        <w:t>2026-03-30 17:15:43+00:00</w:t>
      </w:r>
      <w:r>
        <w:t xml:space="preserve">    </w:t>
      </w:r>
      <w:r>
        <w:rPr>
          <w:b/>
        </w:rPr>
        <w:t xml:space="preserve">DOI: </w:t>
      </w:r>
      <w:hyperlink r:id="rId104">
        <w:r>
          <w:rPr>
            <w:color w:val="1155CC"/>
            <w:u w:val="single"/>
          </w:rPr>
          <w:t>10.1021/acsenergylett.6c00477</w:t>
        </w:r>
      </w:hyperlink>
    </w:p>
    <w:p>
      <w:pPr>
        <w:spacing w:before="0" w:after="120"/>
      </w:pPr>
      <w:r>
        <w:rPr>
          <w:b/>
        </w:rPr>
        <w:t xml:space="preserve">Notes: </w:t>
      </w:r>
      <w:r>
        <w:t>abstract_source=openalex</w:t>
      </w:r>
    </w:p>
    <w:p>
      <w:pPr>
        <w:spacing w:before="0" w:after="80" w:lineRule="auto" w:line="276"/>
      </w:pPr>
      <w:r>
        <w:rPr>
          <w:b/>
        </w:rPr>
        <w:t xml:space="preserve">摘要（ZH）: </w:t>
      </w:r>
      <w:r>
        <w:t>当前锂离子电池的火法冶金/湿法冶金回收，特别是针对磷酸铁锂（LiFePO4）正极，面临高能耗、长处理周期和杂质分离效率低等挑战。在此，我们提出了一种臭氧（O3）介导的化学脱锂策略，通过单步固相转化机制实现从LiFePO4中选择性提取锂。水电解产生的原位O3将LiFePO4晶格中的Fe(II)氧化为Fe(III)，推动直接转化为FePO4，同时释放Li+以维持电荷中和。得益于O3的强氧化能力，该过程在室温下45分钟内实现了&gt;99.8%的锂提取效率，铁溶解几乎可以忽略不计。Li2CO3和FePO4</w:t>
      </w:r>
    </w:p>
    <w:p>
      <w:pPr>
        <w:spacing w:before="0" w:after="200" w:lineRule="auto" w:line="276"/>
      </w:pPr>
      <w:r>
        <w:rPr>
          <w:b/>
        </w:rPr>
        <w:t xml:space="preserve">Abstract (EN): </w:t>
      </w:r>
      <w:r>
        <w:t>Current pyrometallurgy/hydrometallurgy recycling of lithium-ion batteries, particularly for lithium iron phosphate (LiFePO4) cathodes, faces challenges such as high energy consumption, long processing cycles, and inefficient impurity separation. Here, we propose an ozone (O3)-mediated chemical delithiation strategy to achieve selective Li extraction from LiFePO4 via a single-step solid-phase transformation mechanism. In-situ generated O3 from water electrolysis oxidizes Fe(II) in the LiFePO4 lattice to Fe(III), driving direct conversion to FePO4, while releasing Li+ to maintain charge neutrality. Benefiting from O3’s strong oxidizing capability, the process achieves &gt;99.8% lithium extraction efficiency within 45 min at room temperature, with negligible Fe dissolution. The Li2CO3 and FePO4 collected after the delithiation reaction, together with the byproduct H2 gas from water electrolysis, can be directly used for LiFePO4 resynthesis. This O3-mediated chemical delithiation reaction combines high selectivity, low energy consumption, and environmental compatibility, offering a practical route for battery recycling.</w:t>
      </w:r>
    </w:p>
    <w:p>
      <w:pPr>
        <w:spacing w:before="120" w:after="120"/>
      </w:pPr>
      <w:r>
        <w:rPr>
          <w:sz w:val="18"/>
        </w:rPr>
        <w:t>——————————————————————————————————————————————————————————————————————</w:t>
      </w:r>
    </w:p>
    <w:p>
      <w:pPr>
        <w:spacing w:before="160" w:after="40" w:line="240" w:lineRule="auto"/>
      </w:pPr>
      <w:r>
        <w:rPr>
          <w:b/>
        </w:rPr>
        <w:t xml:space="preserve">[3] </w:t>
      </w:r>
      <w:hyperlink r:id="rId105">
        <w:r>
          <w:rPr>
            <w:color w:val="1155CC"/>
            <w:u w:val="single"/>
          </w:rPr>
          <w:t>超声波测试在电池研究和生产中的应用</w:t>
        </w:r>
      </w:hyperlink>
    </w:p>
    <w:p>
      <w:pPr>
        <w:spacing w:before="0" w:after="80"/>
      </w:pPr>
      <w:r>
        <w:rPr>
          <w:i/>
          <w:sz w:val="20"/>
        </w:rPr>
        <w:t>EN: Ultrasonic testing in battery research and production</w:t>
      </w:r>
    </w:p>
    <w:p>
      <w:pPr>
        <w:spacing w:before="0" w:after="120"/>
      </w:pPr>
      <w:r>
        <w:rPr>
          <w:b/>
        </w:rPr>
        <w:t xml:space="preserve">Source: </w:t>
      </w:r>
      <w:r>
        <w:t>Joule</w:t>
      </w:r>
      <w:r>
        <w:t xml:space="preserve">    </w:t>
      </w:r>
      <w:r>
        <w:rPr>
          <w:b/>
        </w:rPr>
        <w:t xml:space="preserve">Pub date: </w:t>
      </w:r>
      <w:r>
        <w:t>2026-03-31 00:00:00+00:00</w:t>
      </w:r>
      <w:r>
        <w:t xml:space="preserve">    </w:t>
      </w:r>
      <w:r>
        <w:rPr>
          <w:b/>
        </w:rPr>
        <w:t xml:space="preserve">DOI: </w:t>
      </w:r>
      <w:hyperlink r:id="rId106">
        <w:r>
          <w:rPr>
            <w:color w:val="1155CC"/>
            <w:u w:val="single"/>
          </w:rPr>
          <w:t>10.1016/j.joule.2026.102402</w:t>
        </w:r>
      </w:hyperlink>
    </w:p>
    <w:p>
      <w:pPr>
        <w:spacing w:before="0" w:after="120"/>
      </w:pPr>
      <w:r>
        <w:rPr>
          <w:b/>
        </w:rPr>
        <w:t xml:space="preserve">Notes: </w:t>
      </w:r>
      <w:r>
        <w:t>abstract_source=rss_cell</w:t>
      </w:r>
    </w:p>
    <w:p>
      <w:pPr>
        <w:spacing w:before="0" w:after="80" w:lineRule="auto" w:line="276"/>
      </w:pPr>
      <w:r>
        <w:rPr>
          <w:b/>
        </w:rPr>
        <w:t xml:space="preserve">摘要（ZH）: </w:t>
      </w:r>
      <w:r>
        <w:t>本综述为电池研究人员提供了超声检测的介绍，并概述了该领域内当前的研究方向，涵盖从实验室规模实验到在线制造质量控制的应用。包括来自工业界和学术界的观点，重点介绍了超声波如何补充现有的测量技术。</w:t>
      </w:r>
    </w:p>
    <w:p>
      <w:pPr>
        <w:spacing w:before="0" w:after="200" w:lineRule="auto" w:line="276"/>
      </w:pPr>
      <w:r>
        <w:rPr>
          <w:b/>
        </w:rPr>
        <w:t xml:space="preserve">Abstract (EN): </w:t>
      </w:r>
      <w:r>
        <w:t>This review provides an introduction to ultrasonic testing for battery researchers and an overview of current research directions within the field, covering applications ranging from lab-scale experiments to in-line manufacturing quality control. Perspectives are included from both industry and academia, with an emphasis on the ways ultrasound can complement existing measurement techniques.</w:t>
      </w:r>
    </w:p>
    <w:p>
      <w:pPr>
        <w:spacing w:before="120" w:after="120"/>
      </w:pPr>
      <w:r>
        <w:rPr>
          <w:sz w:val="18"/>
        </w:rPr>
        <w:t>——————————————————————————————————————————————————————————————————————</w:t>
      </w:r>
    </w:p>
    <w:p>
      <w:pPr>
        <w:spacing w:before="160" w:after="40" w:line="240" w:lineRule="auto"/>
      </w:pPr>
      <w:r>
        <w:rPr>
          <w:b/>
        </w:rPr>
        <w:t xml:space="preserve">[4] </w:t>
      </w:r>
      <w:hyperlink r:id="rId107">
        <w:r>
          <w:rPr>
            <w:color w:val="1155CC"/>
            <w:u w:val="single"/>
          </w:rPr>
          <w:t>一种生化协同策略：菌丝隔膜打破水系Zn-I2电池中的耦合降解循环</w:t>
        </w:r>
      </w:hyperlink>
    </w:p>
    <w:p>
      <w:pPr>
        <w:spacing w:before="0" w:after="80"/>
      </w:pPr>
      <w:r>
        <w:rPr>
          <w:i/>
          <w:sz w:val="20"/>
        </w:rPr>
        <w:t>EN: A Bio‑Chemical Synergy Strategy: Mycelium Separator Breaks the Coupled Degradation Cycle in Aqueous Zn‑I2 Batteries</w:t>
      </w:r>
    </w:p>
    <w:p>
      <w:pPr>
        <w:spacing w:before="0" w:after="120"/>
      </w:pPr>
      <w:r>
        <w:rPr>
          <w:b/>
        </w:rPr>
        <w:t xml:space="preserve">Source: </w:t>
      </w:r>
      <w:r>
        <w:t>Wiley: Advanced Materials: Table of Contents</w:t>
      </w:r>
      <w:r>
        <w:t xml:space="preserve">    </w:t>
      </w:r>
      <w:r>
        <w:rPr>
          <w:b/>
        </w:rPr>
        <w:t xml:space="preserve">Pub date: </w:t>
      </w:r>
      <w:r>
        <w:t>2026-03-31 09:46:56+00:00</w:t>
      </w:r>
      <w:r>
        <w:t xml:space="preserve">    </w:t>
      </w:r>
      <w:r>
        <w:rPr>
          <w:b/>
        </w:rPr>
        <w:t xml:space="preserve">DOI: </w:t>
      </w:r>
      <w:hyperlink r:id="rId108">
        <w:r>
          <w:rPr>
            <w:color w:val="1155CC"/>
            <w:u w:val="single"/>
          </w:rPr>
          <w:t>10.1002/adma.72967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全球对安全、可持续和低成本储能的需求增长，水系锌-碘电池（AZIBs）成为有前景的候选者。然而，其实际应用受到复杂副反应的阻碍，包括多碘化物穿梭、氢气析出反应（HER）和电解质酸化。传统的玻璃纤维隔膜未能缓解这些界面问题，并由于高碳排放和不可降解性带来了显著的环境负担。本研究引入了一种源自黑曲霉菌丝体的生物基隔膜。其三维互联网络和富极性表面（-OH，-NH</w:t>
      </w:r>
      <w:r>
        <w:rPr>
          <w:vertAlign w:val="subscript"/>
        </w:rPr>
        <w:t>2</w:t>
      </w:r>
      <w:r>
        <w:t>）促进了化学多碘化物锚定和水吸附。</w:t>
      </w:r>
    </w:p>
    <w:p>
      <w:pPr>
        <w:spacing w:before="0" w:after="200" w:lineRule="auto" w:line="276"/>
      </w:pPr>
      <w:r>
        <w:rPr>
          <w:b/>
        </w:rPr>
        <w:t xml:space="preserve">Abstract (EN): </w:t>
      </w:r>
      <w:r>
        <w:t>As global demand for safe, sustainable, and low‐cost energy storage grows, aqueous zinc‐iodine batteries (AZIBs) emerge as promising candidates. However, their practical application is hindered by complex side reactions, including polyiodide shuttling, the hydrogen evolution reaction (HER), and electrolyte acidification. Conventional glass fiber separators fail to mitigate these interfacial issues and pose significant environmental burdens due to high carbon emissions and non‐degradability. This study introduces a bio‐based separator derived from Aspergillus niger mycelium. Its 3D interconnected network and polar‐rich surface (‐OH, ‐NH</w:t>
      </w:r>
      <w:r>
        <w:rPr>
          <w:vertAlign w:val="subscript"/>
        </w:rPr>
        <w:t>2</w:t>
      </w:r>
      <w:r>
        <w:t>) facilitate chemical polyiodide anchoring, water adsorption, and local pH buffering. Operating through a “water‐confining‐promoted‐desolvation” mechanism, the separator suppresses the shuttle effect and HER while stabilizing zinc deposition. AZIBs using this separator exhibit excellent capacity retention over 10 000 cycles at 1.0 A g</w:t>
      </w:r>
      <w:r>
        <w:t xml:space="preserve"> </w:t>
      </w:r>
      <w:r>
        <w:t>−1</w:t>
      </w:r>
      <w:r>
        <w:t xml:space="preserve"> </w:t>
      </w:r>
      <w:r>
        <w:t>, achieving an energy density of 208.77 Wh kg</w:t>
      </w:r>
      <w:r>
        <w:t xml:space="preserve"> </w:t>
      </w:r>
      <w:r>
        <w:t>−1</w:t>
      </w:r>
      <w:r>
        <w:t xml:space="preserve"> </w:t>
      </w:r>
      <w:r>
        <w:t>and maintaining 153.32 mAh g</w:t>
      </w:r>
      <w:r>
        <w:t xml:space="preserve"> </w:t>
      </w:r>
      <w:r>
        <w:t>−1</w:t>
      </w:r>
      <w:r>
        <w:t xml:space="preserve"> </w:t>
      </w:r>
      <w:r>
        <w:t>at −25°C. Life‐cycle assessment shows a 99.4% reduction in carbon emissions compared to glass fiber, with full biodegradability within 50 days. This work offers a sustainable paradigm for high‐performance separators, advancing AZIBs toward environmental compatibility.</w:t>
      </w:r>
    </w:p>
    <w:p>
      <w:pPr>
        <w:spacing w:before="120" w:after="120"/>
      </w:pPr>
      <w:r>
        <w:rPr>
          <w:sz w:val="18"/>
        </w:rPr>
        <w:t>——————————————————————————————————————————————————————————————————————</w:t>
      </w:r>
    </w:p>
    <w:p>
      <w:pPr>
        <w:spacing w:before="160" w:after="40" w:line="240" w:lineRule="auto"/>
      </w:pPr>
      <w:r>
        <w:rPr>
          <w:b/>
        </w:rPr>
        <w:t xml:space="preserve">[5] </w:t>
      </w:r>
      <w:hyperlink r:id="rId109">
        <w:r>
          <w:rPr>
            <w:color w:val="1155CC"/>
            <w:u w:val="single"/>
          </w:rPr>
          <w:t>钠离子电池模块热失控的量效：由热各向异性驱动的同步失效和危险升级</w:t>
        </w:r>
      </w:hyperlink>
    </w:p>
    <w:p>
      <w:pPr>
        <w:spacing w:before="0" w:after="80"/>
      </w:pPr>
      <w:r>
        <w:rPr>
          <w:i/>
          <w:sz w:val="20"/>
        </w:rPr>
        <w:t>EN: Quantity effect of thermal runaway in sodium-ion battery modules: Synchronization failure and Hazard escalation driven by thermal anisotropy</w:t>
      </w:r>
    </w:p>
    <w:p>
      <w:pPr>
        <w:spacing w:before="0" w:after="120"/>
      </w:pPr>
      <w:r>
        <w:rPr>
          <w:b/>
        </w:rPr>
        <w:t xml:space="preserve">Source: </w:t>
      </w:r>
      <w:r>
        <w:t>ScienceDirect Publication: Applied Energy</w:t>
      </w:r>
      <w:r>
        <w:t xml:space="preserve">    </w:t>
      </w:r>
      <w:r>
        <w:rPr>
          <w:b/>
        </w:rPr>
        <w:t xml:space="preserve">Pub date: </w:t>
      </w:r>
      <w:r>
        <w:t>2026-04-01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10">
        <w:r>
          <w:rPr>
            <w:color w:val="1155CC"/>
            <w:u w:val="single"/>
          </w:rPr>
          <w:t>[ASAP] 用于干电极工艺的多功能液化低聚物添加剂</w:t>
        </w:r>
      </w:hyperlink>
    </w:p>
    <w:p>
      <w:pPr>
        <w:spacing w:before="0" w:after="80"/>
      </w:pPr>
      <w:r>
        <w:rPr>
          <w:i/>
          <w:sz w:val="20"/>
        </w:rPr>
        <w:t>EN: [ASAP] Multifunctional Liquefiable Oligomer Additive for Dry Electrode Process</w:t>
      </w:r>
    </w:p>
    <w:p>
      <w:pPr>
        <w:spacing w:before="0" w:after="120"/>
      </w:pPr>
      <w:r>
        <w:rPr>
          <w:b/>
        </w:rPr>
        <w:t xml:space="preserve">Source: </w:t>
      </w:r>
      <w:r>
        <w:t>ACS Energy Letters: Latest Articles (ACS Publications)</w:t>
      </w:r>
      <w:r>
        <w:t xml:space="preserve">    </w:t>
      </w:r>
      <w:r>
        <w:rPr>
          <w:b/>
        </w:rPr>
        <w:t xml:space="preserve">Pub date: </w:t>
      </w:r>
      <w:r>
        <w:t>2026-04-01 09:17:55+00:00</w:t>
      </w:r>
      <w:r>
        <w:t xml:space="preserve">    </w:t>
      </w:r>
      <w:r>
        <w:rPr>
          <w:b/>
        </w:rPr>
        <w:t xml:space="preserve">DOI: </w:t>
      </w:r>
      <w:hyperlink r:id="rId111">
        <w:r>
          <w:rPr>
            <w:color w:val="1155CC"/>
            <w:u w:val="single"/>
          </w:rPr>
          <w:t>10.1021/acsenergylett.6c00232</w:t>
        </w:r>
      </w:hyperlink>
    </w:p>
    <w:p>
      <w:pPr>
        <w:spacing w:before="0" w:after="120"/>
      </w:pPr>
      <w:r>
        <w:rPr>
          <w:b/>
        </w:rPr>
        <w:t xml:space="preserve">Notes: </w:t>
      </w:r>
      <w:r>
        <w:t>abstract_source=openalex</w:t>
      </w:r>
    </w:p>
    <w:p>
      <w:pPr>
        <w:spacing w:before="0" w:after="80" w:lineRule="auto" w:line="276"/>
      </w:pPr>
      <w:r>
        <w:rPr>
          <w:b/>
        </w:rPr>
        <w:t xml:space="preserve">摘要（ZH）: </w:t>
      </w:r>
      <w:r>
        <w:t>基于聚四氟乙烯 (PTFE) 的干电极工艺 (DEP)，能够在不使用溶剂的情况下制造电极，由于其环保性和成本效益，在锂离子电池 (LIB) 行业中引起了相当大的关注。然而，PTFE在LIB阳极中的不均匀分散和还原不稳定性阻碍了DEP的商业实施。为了解决这一挑战，我们在此引入可液化低聚物作为通过DEP制造的含PTFE石墨阳极的多功能添加剂。具体来说，我们确定分子量为2,000的聚丙二醇 (PPG 2k) 是一个最佳候选者，能够同时作为润滑剂和电子传输屏障。这种多功能添加剂促进了PTFE的</w:t>
      </w:r>
    </w:p>
    <w:p>
      <w:pPr>
        <w:spacing w:before="0" w:after="200" w:lineRule="auto" w:line="276"/>
      </w:pPr>
      <w:r>
        <w:rPr>
          <w:b/>
        </w:rPr>
        <w:t xml:space="preserve">Abstract (EN): </w:t>
      </w:r>
      <w:r>
        <w:t>The polytetrafluoroethylene (PTFE)-based dry electrode process (DEP), which enables electrode fabrication without using solvents, has gained considerable attention in the lithium-ion battery (LIB) industry due to its environmental friendliness and cost-efficiency. However, the inhomogeneous dispersion and reductive instability of PTFE in LIB anodes have hindered the commercial implementation of DEP. To overcome this challenge, herein, we introduce liquefiable oligomers as multifunctional additives for PTFE-containing graphite anodes fabricated via DEP. Specifically, we identify poly(propylene glycol) with a molecular weight of 2,000 (PPG 2k) as an optimal candidate that simultaneously functions as a lubricant and an electronic transport barrier. This multifunctional additive promotes PTFE’s fibrillation while mitigating its reductive degradation in anodes, leading to substantial improvements in both processability and electrochemical performance. Furthermore, PPG 2k facilitates the formation of desirable inorganic solid-electrolyte-interphase (SEI) components by modifying the lithium-ion solvation structure. This study highlights liquefiable oligomers as promising additives for DEP.</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12">
        <w:r>
          <w:rPr>
            <w:color w:val="1155CC"/>
            <w:u w:val="single"/>
          </w:rPr>
          <w:t>在苛刻海洋环境中具有优化d带中心的抗氯化物ORR的CoSn合金催化剂</w:t>
        </w:r>
      </w:hyperlink>
    </w:p>
    <w:p>
      <w:pPr>
        <w:spacing w:before="0" w:after="80"/>
      </w:pPr>
      <w:r>
        <w:rPr>
          <w:i/>
          <w:sz w:val="20"/>
        </w:rPr>
        <w:t>EN: CoSn Alloy Catalysts With Optimized d‑Band Center for Chloride‐Resistant ORR in Harsh Marine Environment</w:t>
      </w:r>
    </w:p>
    <w:p>
      <w:pPr>
        <w:spacing w:before="0" w:after="120"/>
      </w:pPr>
      <w:r>
        <w:rPr>
          <w:b/>
        </w:rPr>
        <w:t xml:space="preserve">Source: </w:t>
      </w:r>
      <w:r>
        <w:t>Wiley: Advanced Energy Materials: Table of Contents</w:t>
      </w:r>
      <w:r>
        <w:t xml:space="preserve">    </w:t>
      </w:r>
      <w:r>
        <w:rPr>
          <w:b/>
        </w:rPr>
        <w:t xml:space="preserve">Pub date: </w:t>
      </w:r>
      <w:r>
        <w:t>2026-03-30 06:24:08+00:00</w:t>
      </w:r>
      <w:r>
        <w:t xml:space="preserve">    </w:t>
      </w:r>
      <w:r>
        <w:rPr>
          <w:b/>
        </w:rPr>
        <w:t xml:space="preserve">DOI: </w:t>
      </w:r>
      <w:hyperlink r:id="rId113">
        <w:r>
          <w:rPr>
            <w:color w:val="1155CC"/>
            <w:u w:val="single"/>
          </w:rPr>
          <w:t>10.1002/aenm.70887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依赖于阴极上溶解氧还原反应（ORR）的海水电池（SWBs）是水下设备长期供电的关键选择。然而，海水中的氯离子（Cl−）中毒和贫氧条件严重抑制了ORR动力学，导致催化剂的活性迅速衰减和耐久性差。在此，我们提出了一种Cl−耐受的ORR催化剂，即锚定在氮掺杂碳基底上的CoSn合金（CoSn@NC）。引入p区块Sn原子有效地调节了Co的d带中心，削弱了c的吸附</w:t>
      </w:r>
    </w:p>
    <w:p>
      <w:pPr>
        <w:spacing w:before="0" w:after="200" w:lineRule="auto" w:line="276"/>
      </w:pPr>
      <w:r>
        <w:rPr>
          <w:b/>
        </w:rPr>
        <w:t xml:space="preserve">Abstract (EN): </w:t>
      </w:r>
      <w:r>
        <w:t>Seawater batteries (SWBs) that rely on the dissolved oxygen reduction reaction (ORR) on the cathode are a crucial choice for the long‐term power supply of underwater equipment. However, chloride ions (Cl</w:t>
      </w:r>
      <w:r>
        <w:t xml:space="preserve"> </w:t>
      </w:r>
      <w:r>
        <w:t>−</w:t>
      </w:r>
      <w:r>
        <w:t>) poisoning and the lean‐oxygen condition in seawater severely suppress the ORR kinetics, leading to rapid activity decay and poor durability of catalysts. Herein, we present a Cl</w:t>
      </w:r>
      <w:r>
        <w:t xml:space="preserve"> </w:t>
      </w:r>
      <w:r>
        <w:t>−</w:t>
      </w:r>
      <w:r>
        <w:t>‐resilient ORR catalyst of CoSn alloy anchored on nitrogen‐doped carbon substrate (CoSn@NC). The introduction of</w:t>
      </w:r>
      <w:r>
        <w:t xml:space="preserve"> </w:t>
      </w:r>
      <w:r>
        <w:t>p</w:t>
      </w:r>
      <w:r>
        <w:t xml:space="preserve"> </w:t>
      </w:r>
      <w:r>
        <w:t>‐block Sn atoms effectively tunes the</w:t>
      </w:r>
      <w:r>
        <w:t xml:space="preserve"> </w:t>
      </w:r>
      <w:r>
        <w:t>d</w:t>
      </w:r>
      <w:r>
        <w:t xml:space="preserve"> </w:t>
      </w:r>
      <w:r>
        <w:t>‐band center of Co, weakening the adsorption of competitive Cl</w:t>
      </w:r>
      <w:r>
        <w:t xml:space="preserve"> </w:t>
      </w:r>
      <w:r>
        <w:t>−</w:t>
      </w:r>
      <w:r>
        <w:t>while simultaneously optimizing the binding strength with oxygenated intermediates. This dual regulation mitigates chloride‐induced surface poisoning even in a lean‐oxygen environment. The obtained CoSn@NC exhibits superior ORR activity and durability in natural seawater, delivering the higher half‐wave potential of 0.72 V and enhanced kinetic current density compared with commercial Pt/C. Furthermore, a SWB prototype employing CoSn@NC as cathode demonstrates excellent rate capability and a stable 1.49 V operating voltage sustained for over 130 h. Promisingly, we demonstrate stable SWB operation beneath the sea‐ice layer in the Bohai Bay, which confirms that CoSn@NC can sustain ORR under the Cl</w:t>
      </w:r>
      <w:r>
        <w:t xml:space="preserve"> </w:t>
      </w:r>
      <w:r>
        <w:t>−</w:t>
      </w:r>
      <w:r>
        <w:t>corrosion and low temperature, thereby giving guidance for the design of practical SWBs in a harsh marine environment.</w:t>
      </w:r>
    </w:p>
    <w:p>
      <w:pPr>
        <w:spacing w:before="120" w:after="120"/>
      </w:pPr>
      <w:r>
        <w:rPr>
          <w:sz w:val="18"/>
        </w:rPr>
        <w:t>——————————————————————————————————————————————————————————————————————</w:t>
      </w:r>
    </w:p>
    <w:p>
      <w:pPr>
        <w:spacing w:before="160" w:after="40" w:line="240" w:lineRule="auto"/>
      </w:pPr>
      <w:r>
        <w:rPr>
          <w:b/>
        </w:rPr>
        <w:t xml:space="preserve">[2] </w:t>
      </w:r>
      <w:hyperlink r:id="rId114">
        <w:r>
          <w:rPr>
            <w:color w:val="1155CC"/>
            <w:u w:val="single"/>
          </w:rPr>
          <w:t>通过氮掺杂碳中的Pb单原子抑制水电解用于高能量密度超级电容器</w:t>
        </w:r>
      </w:hyperlink>
    </w:p>
    <w:p>
      <w:pPr>
        <w:spacing w:before="0" w:after="80"/>
      </w:pPr>
      <w:r>
        <w:rPr>
          <w:i/>
          <w:sz w:val="20"/>
        </w:rPr>
        <w:t>EN: Suppressing Water Electrolysis via Pb Single Atoms in Nitrogen‐Doped Carbon for High‐Energy‐Density Supercapacitors</w:t>
      </w:r>
    </w:p>
    <w:p>
      <w:pPr>
        <w:spacing w:before="0" w:after="120"/>
      </w:pPr>
      <w:r>
        <w:rPr>
          <w:b/>
        </w:rPr>
        <w:t xml:space="preserve">Source: </w:t>
      </w:r>
      <w:r>
        <w:t>Wiley: Advanced Energy Materials: Table of Contents</w:t>
      </w:r>
      <w:r>
        <w:t xml:space="preserve">    </w:t>
      </w:r>
      <w:r>
        <w:rPr>
          <w:b/>
        </w:rPr>
        <w:t xml:space="preserve">Pub date: </w:t>
      </w:r>
      <w:r>
        <w:t>2026-03-31 04:46:15+00:00</w:t>
      </w:r>
      <w:r>
        <w:t xml:space="preserve">    </w:t>
      </w:r>
      <w:r>
        <w:rPr>
          <w:b/>
        </w:rPr>
        <w:t xml:space="preserve">DOI: </w:t>
      </w:r>
      <w:hyperlink r:id="rId115">
        <w:r>
          <w:rPr>
            <w:color w:val="1155CC"/>
            <w:u w:val="single"/>
          </w:rPr>
          <w:t>10.1002/aenm.70900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超级电容器（SCs）因其高功率密度和操作安全性而成为有吸引力的储能设备；然而，其实际应用受到水电解限制的操作电压窗口的限制，从而限制了可达到的能量密度。在此，我们报告了一种锚定在氮掺杂碳上的铅（Pb）单原子（SA‐Pb/NC），其中Pb作为p区金属，调节了Pb‐N4位点上H*/H2O物种的吸附强度。这种调节有效抑制了水电解反应，从而扩大了电化学操作电压窗口并增强</w:t>
      </w:r>
    </w:p>
    <w:p>
      <w:pPr>
        <w:spacing w:before="0" w:after="200" w:lineRule="auto" w:line="276"/>
      </w:pPr>
      <w:r>
        <w:rPr>
          <w:b/>
        </w:rPr>
        <w:t xml:space="preserve">Abstract (EN): </w:t>
      </w:r>
      <w:r>
        <w:t>Aqueous supercapacitors (SCs) are attractive energy storage devices owing to their high power density and operational safety; however, their practical deployment is constrained by the limited operating voltage window imposed by water electrolysis, which restricts the attainable energy density. Herein, we report a lead (Pb) single‐atom anchored on nitrogen‐doped carbon (SA‐Pb/NC), where Pb, as a p‐block metal, modulates the adsorption strength of H</w:t>
      </w:r>
      <w:r>
        <w:t xml:space="preserve"> </w:t>
      </w:r>
      <w:r>
        <w:t>*</w:t>
      </w:r>
      <w:r>
        <w:t xml:space="preserve"> </w:t>
      </w:r>
      <w:r>
        <w:t>/H</w:t>
      </w:r>
      <w:r>
        <w:rPr>
          <w:vertAlign w:val="subscript"/>
        </w:rPr>
        <w:t>2</w:t>
      </w:r>
      <w:r>
        <w:t>O species at Pb‐N</w:t>
      </w:r>
      <w:r>
        <w:rPr>
          <w:vertAlign w:val="subscript"/>
        </w:rPr>
        <w:t>4</w:t>
      </w:r>
      <w:r>
        <w:t>sites. Such modulation effectively suppresses water‐electrolysis reactions, thereby expanding the electrochemical operational voltage window and enhancing energy storage performance. SA‐Pb/NC delivers a specific capacitance of 530.07 F g</w:t>
      </w:r>
      <w:r>
        <w:t xml:space="preserve"> </w:t>
      </w:r>
      <w:r>
        <w:t>−1</w:t>
      </w:r>
      <w:r>
        <w:t xml:space="preserve"> </w:t>
      </w:r>
      <w:r>
        <w:t>, nearly twice that of bare NC. A symmetric SA‐Pb/NC device further achieves an energy density of 38.67 Wh kg</w:t>
      </w:r>
      <w:r>
        <w:t xml:space="preserve"> </w:t>
      </w:r>
      <w:r>
        <w:t>−1</w:t>
      </w:r>
      <w:r>
        <w:t xml:space="preserve"> </w:t>
      </w:r>
      <w:r>
        <w:t>within an ultrawide voltage window of 1.50 V. Remarkably, no detectable H</w:t>
      </w:r>
      <w:r>
        <w:rPr>
          <w:vertAlign w:val="subscript"/>
        </w:rPr>
        <w:t>2</w:t>
      </w:r>
      <w:r>
        <w:t>evolution is observed for the SA‐Pb/NC device even after 48 h of continuous operation, whereas the NC‐based device generates 0.09 µmol of H</w:t>
      </w:r>
      <w:r>
        <w:rPr>
          <w:vertAlign w:val="subscript"/>
        </w:rPr>
        <w:t>2</w:t>
      </w:r>
      <w:r>
        <w:t>within only 12 h. Theoretical calculations further reveal that SA‐Pb sites optimize K</w:t>
      </w:r>
      <w:r>
        <w:t xml:space="preserve"> </w:t>
      </w:r>
      <w:r>
        <w:t>+</w:t>
      </w:r>
      <w:r>
        <w:t xml:space="preserve"> </w:t>
      </w:r>
      <w:r>
        <w:t>adsorption–desorption kinetics while weakening the affinity for H</w:t>
      </w:r>
      <w:r>
        <w:rPr>
          <w:vertAlign w:val="subscript"/>
        </w:rPr>
        <w:t>2</w:t>
      </w:r>
      <w:r>
        <w:t>O‐derived intermediates, thereby enabling efficient charge storage and effective suppression of water electrolysis. This work provides a general strategy for designing high‐energy‐density aqueous supercapacitors through voltage‐window expansion enabled by lead single‐atom sites.</w:t>
      </w:r>
    </w:p>
    <w:p>
      <w:pPr>
        <w:spacing w:before="120" w:after="120"/>
      </w:pPr>
      <w:r>
        <w:rPr>
          <w:sz w:val="18"/>
        </w:rPr>
        <w:t>——————————————————————————————————————————————————————————————————————</w:t>
      </w:r>
    </w:p>
    <w:p>
      <w:pPr>
        <w:spacing w:before="160" w:after="40" w:line="240" w:lineRule="auto"/>
      </w:pPr>
      <w:r>
        <w:rPr>
          <w:b/>
        </w:rPr>
        <w:t xml:space="preserve">[3] </w:t>
      </w:r>
      <w:hyperlink r:id="rId116">
        <w:r>
          <w:rPr>
            <w:color w:val="1155CC"/>
            <w:u w:val="single"/>
          </w:rPr>
          <w:t>低温耐受和高倍率聚吡咯‐氧化钒碳纤维结构超级电容器，具有优异的机械‐电化学协同作用</w:t>
        </w:r>
      </w:hyperlink>
    </w:p>
    <w:p>
      <w:pPr>
        <w:spacing w:before="0" w:after="80"/>
      </w:pPr>
      <w:r>
        <w:rPr>
          <w:i/>
          <w:sz w:val="20"/>
        </w:rPr>
        <w:t>EN: Low‐Temperature‐Resilient and High‐Rate Polypyrrole‐Vanadium Oxide Carbon Fiber Structural Supercapacitors with Superior Mechanical‐Electrochemical Synergy</w:t>
      </w:r>
    </w:p>
    <w:p>
      <w:pPr>
        <w:spacing w:before="0" w:after="120"/>
      </w:pPr>
      <w:r>
        <w:rPr>
          <w:b/>
        </w:rPr>
        <w:t xml:space="preserve">Source: </w:t>
      </w:r>
      <w:r>
        <w:t>Wiley: Advanced Energy Materials: Table of Contents</w:t>
      </w:r>
      <w:r>
        <w:t xml:space="preserve">    </w:t>
      </w:r>
      <w:r>
        <w:rPr>
          <w:b/>
        </w:rPr>
        <w:t xml:space="preserve">Pub date: </w:t>
      </w:r>
      <w:r>
        <w:t>2026-03-31 04:47:29+00:00</w:t>
      </w:r>
      <w:r>
        <w:t xml:space="preserve">    </w:t>
      </w:r>
      <w:r>
        <w:rPr>
          <w:b/>
        </w:rPr>
        <w:t xml:space="preserve">DOI: </w:t>
      </w:r>
      <w:hyperlink r:id="rId117">
        <w:r>
          <w:rPr>
            <w:color w:val="1155CC"/>
            <w:u w:val="single"/>
          </w:rPr>
          <w:t>10.1002/aenm.70890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空经济的快速扩张——特别是无人机（UAVs）和电动飞机的发展——加剧了飞行续航能力与有效载荷能力之间的权衡。碳纤维结构超级电容器（CF‐SSCs）通过将储能集成到承载组件中提供了一种有前景的解决方案；然而，碳纤维的固有化学惰性限制了设备电容，其低温电化学行为仍然很少被探索。在此，我们通过原位低温氧化聚合构建了H2V3O8@PPy复合电极。</w:t>
      </w:r>
    </w:p>
    <w:p>
      <w:pPr>
        <w:spacing w:before="0" w:after="200" w:lineRule="auto" w:line="276"/>
      </w:pPr>
      <w:r>
        <w:rPr>
          <w:b/>
        </w:rPr>
        <w:t xml:space="preserve">Abstract (EN): </w:t>
      </w:r>
      <w:r>
        <w:t>The rapid expansion of the low‐altitude economy—particularly the development of unmanned aerial vehicles (UAVs) and electric aircraft—has intensified the trade‐off between flight endurance and payload capacity. Carbon fiber structural supercapacitors (CF‐SSCs) offer a promising solution by integrating energy storage into load‐bearing components; however, the inherent chemical inertness of carbon fibers restricts device capacitance, and their low‐temperature electrochemical behavior remains largely unexplored. Here, we construct an H</w:t>
      </w:r>
      <w:r>
        <w:rPr>
          <w:vertAlign w:val="subscript"/>
        </w:rPr>
        <w:t>2</w:t>
      </w:r>
      <w:r>
        <w:t>V</w:t>
      </w:r>
      <w:r>
        <w:rPr>
          <w:vertAlign w:val="subscript"/>
        </w:rPr>
        <w:t>3</w:t>
      </w:r>
      <w:r>
        <w:t>O</w:t>
      </w:r>
      <w:r>
        <w:rPr>
          <w:vertAlign w:val="subscript"/>
        </w:rPr>
        <w:t>8</w:t>
      </w:r>
      <w:r>
        <w:t>@PPy composite electrode via in situ low‐temperature oxidative polymerization. The uniform PPy coating facilitates rapid interfacial kinetics, provides reversible pseudocapacitance, and buffers the volume expansion of the H</w:t>
      </w:r>
      <w:r>
        <w:rPr>
          <w:vertAlign w:val="subscript"/>
        </w:rPr>
        <w:t>2</w:t>
      </w:r>
      <w:r>
        <w:t>V</w:t>
      </w:r>
      <w:r>
        <w:rPr>
          <w:vertAlign w:val="subscript"/>
        </w:rPr>
        <w:t>3</w:t>
      </w:r>
      <w:r>
        <w:t>O</w:t>
      </w:r>
      <w:r>
        <w:rPr>
          <w:vertAlign w:val="subscript"/>
        </w:rPr>
        <w:t>8</w:t>
      </w:r>
      <w:r>
        <w:t>nanorods. The assembled H</w:t>
      </w:r>
      <w:r>
        <w:rPr>
          <w:vertAlign w:val="subscript"/>
        </w:rPr>
        <w:t>2</w:t>
      </w:r>
      <w:r>
        <w:t>V</w:t>
      </w:r>
      <w:r>
        <w:rPr>
          <w:vertAlign w:val="subscript"/>
        </w:rPr>
        <w:t>3</w:t>
      </w:r>
      <w:r>
        <w:t>O</w:t>
      </w:r>
      <w:r>
        <w:rPr>
          <w:vertAlign w:val="subscript"/>
        </w:rPr>
        <w:t>8</w:t>
      </w:r>
      <w:r>
        <w:t>@PPy@CF‐SSC achieves a high specific capacitance of 1082.4 mF g</w:t>
      </w:r>
      <w:r>
        <w:t xml:space="preserve"> </w:t>
      </w:r>
      <w:r>
        <w:t>−1</w:t>
      </w:r>
      <w:r>
        <w:t xml:space="preserve"> </w:t>
      </w:r>
      <w:r>
        <w:t>and an energy density of 573.6 mWh kg</w:t>
      </w:r>
      <w:r>
        <w:t xml:space="preserve"> </w:t>
      </w:r>
      <w:r>
        <w:t>−1</w:t>
      </w:r>
      <w:r>
        <w:t xml:space="preserve"> </w:t>
      </w:r>
      <w:r>
        <w:t>. Crucially, the device maintains 42.1% capacitance retention at −10°C, delivering an energy density of 165 mWh kg</w:t>
      </w:r>
      <w:r>
        <w:t xml:space="preserve"> </w:t>
      </w:r>
      <w:r>
        <w:t>−1</w:t>
      </w:r>
      <w:r>
        <w:t xml:space="preserve"> </w:t>
      </w:r>
      <w:r>
        <w:t>surpasses the performance of most previously reported CF‐SSCs. Furthermore, the device demonstrates robust mechanical properties, featuring a tensile strength of 126.5 MPa and a tensile modulus of 6.92 GPa. This work fills the gap in low‐temperature CF‐SSC research and provides guidance for the design of high‐energy‐density structural energy‐storage devices for extreme environments.</w:t>
      </w:r>
    </w:p>
    <w:p>
      <w:pPr>
        <w:spacing w:before="120" w:after="120"/>
      </w:pPr>
      <w:r>
        <w:rPr>
          <w:sz w:val="18"/>
        </w:rPr>
        <w:t>——————————————————————————————————————————————————————————————————————</w:t>
      </w:r>
    </w:p>
    <w:p>
      <w:pPr>
        <w:spacing w:before="160" w:after="40" w:line="240" w:lineRule="auto"/>
      </w:pPr>
      <w:r>
        <w:rPr>
          <w:b/>
        </w:rPr>
        <w:t xml:space="preserve">[4] </w:t>
      </w:r>
      <w:hyperlink r:id="rId118">
        <w:r>
          <w:rPr>
            <w:color w:val="1155CC"/>
            <w:u w:val="single"/>
          </w:rPr>
          <w:t>通过熔盐电解质中的化学键激活实现的高能铝‐氟化碳电池</w:t>
        </w:r>
      </w:hyperlink>
    </w:p>
    <w:p>
      <w:pPr>
        <w:spacing w:before="0" w:after="80"/>
      </w:pPr>
      <w:r>
        <w:rPr>
          <w:i/>
          <w:sz w:val="20"/>
        </w:rPr>
        <w:t>EN: A High‐Energy Aluminum‐Fluorinated Carbon Battery Enabled by Chemical Bond Activation in Molten Salt Electrolytes</w:t>
      </w:r>
    </w:p>
    <w:p>
      <w:pPr>
        <w:spacing w:before="0" w:after="120"/>
      </w:pPr>
      <w:r>
        <w:rPr>
          <w:b/>
        </w:rPr>
        <w:t xml:space="preserve">Source: </w:t>
      </w:r>
      <w:r>
        <w:t>Wiley: Angewandte Chemie International Edition: Table of Contents</w:t>
      </w:r>
      <w:r>
        <w:t xml:space="preserve">    </w:t>
      </w:r>
      <w:r>
        <w:rPr>
          <w:b/>
        </w:rPr>
        <w:t xml:space="preserve">Pub date: </w:t>
      </w:r>
      <w:r>
        <w:t>2026-03-31 05:45:37+00:00</w:t>
      </w:r>
      <w:r>
        <w:t xml:space="preserve">    </w:t>
      </w:r>
      <w:r>
        <w:rPr>
          <w:b/>
        </w:rPr>
        <w:t xml:space="preserve">DOI: </w:t>
      </w:r>
      <w:hyperlink r:id="rId119">
        <w:r>
          <w:rPr>
            <w:color w:val="1155CC"/>
            <w:u w:val="single"/>
          </w:rPr>
          <w:t>10.1002/anie.9127837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铝-氟化碳（Al─CF</w:t>
      </w:r>
      <w:r>
        <w:t xml:space="preserve"> </w:t>
      </w:r>
      <w:r>
        <w:t>x</w:t>
      </w:r>
      <w:r>
        <w:t xml:space="preserve"> </w:t>
      </w:r>
      <w:r>
        <w:t>）一次电池在航空航天、军事及相关领域显示出潜力，因其铝的固有安全性和丰富性、长期可靠性和高理论能量密度。然而，这些电池的实际性能受到Al</w:t>
      </w:r>
      <w:r>
        <w:t xml:space="preserve"> </w:t>
      </w:r>
      <w:r>
        <w:t>3+</w:t>
      </w:r>
      <w:r>
        <w:t xml:space="preserve"> </w:t>
      </w:r>
      <w:r>
        <w:t>解溶和C─F键断裂的高能量障碍的阻碍，导致动力学缓慢，从而限制了可实现的能量密度。在此，我们通过化学键激活策略报道了一种高能量的Al─CF</w:t>
      </w:r>
      <w:r>
        <w:t xml:space="preserve"> </w:t>
      </w:r>
      <w:r>
        <w:t>x</w:t>
      </w:r>
      <w:r>
        <w:t xml:space="preserve"> </w:t>
      </w:r>
      <w:r>
        <w:t>一次电池</w:t>
      </w:r>
    </w:p>
    <w:p>
      <w:pPr>
        <w:spacing w:before="0" w:after="200" w:lineRule="auto" w:line="276"/>
      </w:pPr>
      <w:r>
        <w:rPr>
          <w:b/>
        </w:rPr>
        <w:t xml:space="preserve">Abstract (EN): </w:t>
      </w:r>
      <w:r>
        <w:t>Aluminum‐fluorinated carbon (Al─CF</w:t>
      </w:r>
      <w:r>
        <w:t xml:space="preserve"> </w:t>
      </w:r>
      <w:r>
        <w:t>x</w:t>
      </w:r>
      <w:r>
        <w:t xml:space="preserve"> </w:t>
      </w:r>
      <w:r>
        <w:t>) primary batteries show potential in aerospace, military, and related fields, due to the inherent safety and abundance of aluminum, long‐term reliability, and high theoretical energy density. However, the practical performance of these batteries is impeded by high energy barriers for Al</w:t>
      </w:r>
      <w:r>
        <w:t xml:space="preserve"> </w:t>
      </w:r>
      <w:r>
        <w:t>3+</w:t>
      </w:r>
      <w:r>
        <w:t xml:space="preserve"> </w:t>
      </w:r>
      <w:r>
        <w:t>desolvation and C─F bond cleavage, which leads to slow kinetics and thereby restricts the achievable energy density. Here, we report a high‐energy Al─CF</w:t>
      </w:r>
      <w:r>
        <w:t xml:space="preserve"> </w:t>
      </w:r>
      <w:r>
        <w:t>x</w:t>
      </w:r>
      <w:r>
        <w:t xml:space="preserve"> </w:t>
      </w:r>
      <w:r>
        <w:t>primary battery via a chemical bond activation strategy in molten salt electrolytes. The designed quaternary molten salt contains electrochemically active high‐order Al─Cl clusters to accelerate Al</w:t>
      </w:r>
      <w:r>
        <w:t xml:space="preserve"> </w:t>
      </w:r>
      <w:r>
        <w:t>3+</w:t>
      </w:r>
      <w:r>
        <w:t xml:space="preserve"> </w:t>
      </w:r>
      <w:r>
        <w:t>desolvation; crucially, abundant alkali metal ions activate CF</w:t>
      </w:r>
      <w:r>
        <w:t xml:space="preserve"> </w:t>
      </w:r>
      <w:r>
        <w:t>x</w:t>
      </w:r>
      <w:r>
        <w:t xml:space="preserve"> </w:t>
      </w:r>
      <w:r>
        <w:t>’s C─F bonds via strong electrostatic attraction, promoting stable AlF</w:t>
      </w:r>
      <w:r>
        <w:rPr>
          <w:vertAlign w:val="subscript"/>
        </w:rPr>
        <w:t>3</w:t>
      </w:r>
      <w:r>
        <w:t>formation. Operated at 85°C and 10 mA g</w:t>
      </w:r>
      <w:r>
        <w:t xml:space="preserve"> </w:t>
      </w:r>
      <w:r>
        <w:t>−1</w:t>
      </w:r>
      <w:r>
        <w:t xml:space="preserve"> </w:t>
      </w:r>
      <w:r>
        <w:t>, this battery achieves a discharge plateau of 1.75 V and a specific capacity of 897.7 mAh g</w:t>
      </w:r>
      <w:r>
        <w:t xml:space="preserve"> </w:t>
      </w:r>
      <w:r>
        <w:t>−1</w:t>
      </w:r>
      <w:r>
        <w:t xml:space="preserve"> </w:t>
      </w:r>
      <w:r>
        <w:t>, outperforming the ionic liquid system (0.21 V, 464.4 mAh g</w:t>
      </w:r>
      <w:r>
        <w:t xml:space="preserve"> </w:t>
      </w:r>
      <w:r>
        <w:t>−1</w:t>
      </w:r>
      <w:r>
        <w:t xml:space="preserve"> </w:t>
      </w:r>
      <w:r>
        <w:t>). A high‐rate Al─MnO</w:t>
      </w:r>
      <w:r>
        <w:rPr>
          <w:vertAlign w:val="subscript"/>
        </w:rPr>
        <w:t>2</w:t>
      </w:r>
      <w:r>
        <w:t>@CF</w:t>
      </w:r>
      <w:r>
        <w:t xml:space="preserve"> </w:t>
      </w:r>
      <w:r>
        <w:t>x</w:t>
      </w:r>
      <w:r>
        <w:t xml:space="preserve"> </w:t>
      </w:r>
      <w:r>
        <w:t>battery is developed via engineering a MnO</w:t>
      </w:r>
      <w:r>
        <w:rPr>
          <w:vertAlign w:val="subscript"/>
        </w:rPr>
        <w:t>2</w:t>
      </w:r>
      <w:r>
        <w:t>─CF</w:t>
      </w:r>
      <w:r>
        <w:t xml:space="preserve"> </w:t>
      </w:r>
      <w:r>
        <w:t>x</w:t>
      </w:r>
      <w:r>
        <w:t xml:space="preserve"> </w:t>
      </w:r>
      <w:r>
        <w:t>heterointerface, offering a low‐cost route for high‐energy‐density energy storage.</w:t>
      </w:r>
    </w:p>
    <w:p>
      <w:pPr>
        <w:spacing w:before="120" w:after="120"/>
      </w:pPr>
      <w:r>
        <w:rPr>
          <w:sz w:val="18"/>
        </w:rPr>
        <w:t>——————————————————————————————————————————————————————————————————————</w:t>
      </w:r>
    </w:p>
    <w:p>
      <w:pPr>
        <w:spacing w:before="160" w:after="40" w:line="240" w:lineRule="auto"/>
      </w:pPr>
      <w:r>
        <w:rPr>
          <w:b/>
        </w:rPr>
        <w:t xml:space="preserve">[5] </w:t>
      </w:r>
      <w:hyperlink r:id="rId120">
        <w:r>
          <w:rPr>
            <w:color w:val="1155CC"/>
            <w:u w:val="single"/>
          </w:rPr>
          <w:t>通过p区块调制在Fe簇/单原子界面工程自旋-电子耦合用于锌空气电池</w:t>
        </w:r>
      </w:hyperlink>
    </w:p>
    <w:p>
      <w:pPr>
        <w:spacing w:before="0" w:after="80"/>
      </w:pPr>
      <w:r>
        <w:rPr>
          <w:i/>
          <w:sz w:val="20"/>
        </w:rPr>
        <w:t>EN: Engineering Spin‐Electronic Coupling at Fe Cluster/Single‐Atom Interfaces via p‐Block Modulation for Zn‐Air Batteries</w:t>
      </w:r>
    </w:p>
    <w:p>
      <w:pPr>
        <w:spacing w:before="0" w:after="120"/>
      </w:pPr>
      <w:r>
        <w:rPr>
          <w:b/>
        </w:rPr>
        <w:t xml:space="preserve">Source: </w:t>
      </w:r>
      <w:r>
        <w:t>Wiley: Advanced Materials: Table of Contents</w:t>
      </w:r>
      <w:r>
        <w:t xml:space="preserve">    </w:t>
      </w:r>
      <w:r>
        <w:rPr>
          <w:b/>
        </w:rPr>
        <w:t xml:space="preserve">Pub date: </w:t>
      </w:r>
      <w:r>
        <w:t>2026-03-31 06:04:31+00:00</w:t>
      </w:r>
      <w:r>
        <w:t xml:space="preserve">    </w:t>
      </w:r>
      <w:r>
        <w:rPr>
          <w:b/>
        </w:rPr>
        <w:t xml:space="preserve">DOI: </w:t>
      </w:r>
      <w:hyperlink r:id="rId121">
        <w:r>
          <w:rPr>
            <w:color w:val="1155CC"/>
            <w:u w:val="single"/>
          </w:rPr>
          <w:t>10.1002/adma.72939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Fe─N─C单原子催化剂代表了Zn‐空气电池（ZABs）中最有前途的非贵金属阴极之一。然而，其氧还原反应（ORR）动力学本质上受到对称FeN4基团中强*OH结合的限制，这阻碍了中间体的释放。在此，我们开发了一种异质结构催化剂，其中亚纳米Fe簇与分散的Sb和Fe位点在N掺杂碳纳米球（FeAC/SbFeNC）上电子耦合。Sb具有空间扩展的5p轨道，作为强大的电子调节器，重新分配Fe中心周围的电荷密度，并通过5p–3d淬灭其磁矩。</w:t>
      </w:r>
    </w:p>
    <w:p>
      <w:pPr>
        <w:spacing w:before="0" w:after="200" w:lineRule="auto" w:line="276"/>
      </w:pPr>
      <w:r>
        <w:rPr>
          <w:b/>
        </w:rPr>
        <w:t xml:space="preserve">Abstract (EN): </w:t>
      </w:r>
      <w:r>
        <w:t>Fe─N─C single‐atom catalysts represent one of the most promising classes of non‐precious cathodes for Zn‐air batteries (ZABs). However, their oxygen reduction reaction (ORR) kinetics remain intrinsically constrained by strong *OH binding at symmetric FeN</w:t>
      </w:r>
      <w:r>
        <w:rPr>
          <w:vertAlign w:val="subscript"/>
        </w:rPr>
        <w:t>4</w:t>
      </w:r>
      <w:r>
        <w:t>moieties, which impedes intermediate release. Here, we develop a heterostructured catalyst in which sub‐nanometer Fe clusters are electronically coupled to dispersed Sb and Fe sites on N‐doped carbon nanospheres (Fe</w:t>
      </w:r>
      <w:r>
        <w:t xml:space="preserve"> </w:t>
      </w:r>
      <w:r>
        <w:t>AC</w:t>
      </w:r>
      <w:r>
        <w:t xml:space="preserve"> </w:t>
      </w:r>
      <w:r>
        <w:t>/SbFeNC). Sb having spatially extended 5p orbitals functions as a powerful electronic modulator, redistributing charge density around Fe centers and quenching their magnetic moments through 5p–3d hybridization.</w:t>
      </w:r>
      <w:r>
        <w:t xml:space="preserve"> </w:t>
      </w:r>
      <w:r>
        <w:t>Operando</w:t>
      </w:r>
      <w:r>
        <w:t xml:space="preserve"> </w:t>
      </w:r>
      <w:r>
        <w:t>spectroscopic analyses, corroborated by first‐principles calculations, demonstrate that this coupled electronic–spin modulation markedly lowers the barriers associated with O─O bond cleavage and *OH desorption during ORR. Benefiting from these cooperative effects, the Fe</w:t>
      </w:r>
      <w:r>
        <w:t xml:space="preserve"> </w:t>
      </w:r>
      <w:r>
        <w:t>AC</w:t>
      </w:r>
      <w:r>
        <w:t xml:space="preserve"> </w:t>
      </w:r>
      <w:r>
        <w:t>/SbFeNC cathode for an aqueous ZAB exhibits favorable bifunctional oxygen reduction/evolution activity, reaching a peak power density of 244.6 mW cm</w:t>
      </w:r>
      <w:r>
        <w:t xml:space="preserve"> </w:t>
      </w:r>
      <w:r>
        <w:t>−2</w:t>
      </w:r>
      <w:r>
        <w:t xml:space="preserve"> </w:t>
      </w:r>
      <w:r>
        <w:t>and a long lifespan of 2300 h at 5 mA cm</w:t>
      </w:r>
      <w:r>
        <w:t xml:space="preserve"> </w:t>
      </w:r>
      <w:r>
        <w:t>−2</w:t>
      </w:r>
      <w:r>
        <w:t xml:space="preserve"> </w:t>
      </w:r>
      <w:r>
        <w:t>. A quasi‐solid‐state ZAB further achieves an outstanding discharge capacity of 1.12 Ah and sustains steady operation for 600 h even at –40°C. Collectively, this work establishes an effective strategy to overcome ORR kinetic limitations by leveraging the synergistic interplay between p‐block electronic/spin modulation and sub‐nanometer metal cluster.</w:t>
      </w:r>
    </w:p>
    <w:p>
      <w:pPr>
        <w:spacing w:before="120" w:after="120"/>
      </w:pPr>
      <w:r>
        <w:rPr>
          <w:sz w:val="18"/>
        </w:rPr>
        <w:t>——————————————————————————————————————————————————————————————————————</w:t>
      </w:r>
    </w:p>
    <w:p>
      <w:pPr>
        <w:spacing w:before="160" w:after="40" w:line="240" w:lineRule="auto"/>
      </w:pPr>
      <w:r>
        <w:rPr>
          <w:b/>
        </w:rPr>
        <w:t xml:space="preserve">[6] </w:t>
      </w:r>
      <w:hyperlink r:id="rId122">
        <w:r>
          <w:rPr>
            <w:color w:val="1155CC"/>
            <w:u w:val="single"/>
          </w:rPr>
          <w:t>通过自由基清除策略在NbN修饰的Fe-N-C催化剂上实现耐用的锌空气电池</w:t>
        </w:r>
      </w:hyperlink>
    </w:p>
    <w:p>
      <w:pPr>
        <w:spacing w:before="0" w:after="80"/>
      </w:pPr>
      <w:r>
        <w:rPr>
          <w:i/>
          <w:sz w:val="20"/>
        </w:rPr>
        <w:t>EN: Durable Zinc‐Air Batteries on a NbN‐Modified Fe‐N‐C Catalyst via a Radical‐Scavenging Strategy</w:t>
      </w:r>
    </w:p>
    <w:p>
      <w:pPr>
        <w:spacing w:before="0" w:after="120"/>
      </w:pPr>
      <w:r>
        <w:rPr>
          <w:b/>
        </w:rPr>
        <w:t xml:space="preserve">Source: </w:t>
      </w:r>
      <w:r>
        <w:t>Wiley: Angewandte Chemie International Edition: Table of Contents</w:t>
      </w:r>
      <w:r>
        <w:t xml:space="preserve">    </w:t>
      </w:r>
      <w:r>
        <w:rPr>
          <w:b/>
        </w:rPr>
        <w:t xml:space="preserve">Pub date: </w:t>
      </w:r>
      <w:r>
        <w:t>2026-03-31 09:47:14+00:00</w:t>
      </w:r>
      <w:r>
        <w:t xml:space="preserve">    </w:t>
      </w:r>
      <w:r>
        <w:rPr>
          <w:b/>
        </w:rPr>
        <w:t xml:space="preserve">DOI: </w:t>
      </w:r>
      <w:hyperlink r:id="rId123">
        <w:r>
          <w:rPr>
            <w:color w:val="1155CC"/>
            <w:u w:val="single"/>
          </w:rPr>
          <w:t>10.1002/anie.202521827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金属-氮-碳（M-N-C）催化剂是氧还原反应（ORR）的有前景的非贵金属催化剂，但其实际应用受到长期稳定性不足的阻碍。限制主要来自于生成的两电子副产物H</w:t>
      </w:r>
      <w:r>
        <w:rPr>
          <w:vertAlign w:val="subscript"/>
        </w:rPr>
        <w:t>2</w:t>
      </w:r>
      <w:r>
        <w:t>O</w:t>
      </w:r>
      <w:r>
        <w:rPr>
          <w:vertAlign w:val="subscript"/>
        </w:rPr>
        <w:t>2</w:t>
      </w:r>
      <w:r>
        <w:t>和单原子位点的结构降解。在此，我们通过将非贵金属氮化铌纳米颗粒引入Fe-N-C基质（FeNC-NbN）中，报告了一种自由基清除策略，实现了卓越的ORR性能。FeNC-NbN催化剂表现出高半波电位（</w:t>
      </w:r>
      <w:r>
        <w:t xml:space="preserve"> </w:t>
      </w:r>
      <w:r>
        <w:t>E</w:t>
      </w:r>
      <w:r>
        <w:t xml:space="preserve"> </w:t>
      </w:r>
      <w:r>
        <w:t>1/2</w:t>
      </w:r>
      <w:r>
        <w:t xml:space="preserve"> </w:t>
      </w:r>
      <w:r>
        <w:t>=</w:t>
      </w:r>
    </w:p>
    <w:p>
      <w:pPr>
        <w:spacing w:before="0" w:after="200" w:lineRule="auto" w:line="276"/>
      </w:pPr>
      <w:r>
        <w:rPr>
          <w:b/>
        </w:rPr>
        <w:t xml:space="preserve">Abstract (EN): </w:t>
      </w:r>
      <w:r>
        <w:t>Metal‐nitrogen‐carbon (M‐N‐C) catalysts are promising non‐precious metal catalysts for the oxygen reduction reaction (ORR), yet their practical application is hindered by insufficient long‐term stability. The limitation primarily stems from the generation of the two‐electron byproduct H</w:t>
      </w:r>
      <w:r>
        <w:rPr>
          <w:vertAlign w:val="subscript"/>
        </w:rPr>
        <w:t>2</w:t>
      </w:r>
      <w:r>
        <w:t>O</w:t>
      </w:r>
      <w:r>
        <w:rPr>
          <w:vertAlign w:val="subscript"/>
        </w:rPr>
        <w:t>2</w:t>
      </w:r>
      <w:r>
        <w:t>and the structural degradation of single‐atom sites. Herein, we report a radical‐scavenging strategy through the incorporation of non‐precious niobium nitride nanoparticles into a Fe‐N‐C matrix (FeNC‐NbN), which achieves exceptional ORR performance. The FeNC‐NbN catalyst exhibits a high half‐wave potential (</w:t>
      </w:r>
      <w:r>
        <w:t xml:space="preserve"> </w:t>
      </w:r>
      <w:r>
        <w:t>E</w:t>
      </w:r>
      <w:r>
        <w:t xml:space="preserve"> </w:t>
      </w:r>
      <w:r>
        <w:t>1/2</w:t>
      </w:r>
      <w:r>
        <w:t xml:space="preserve"> </w:t>
      </w:r>
      <w:r>
        <w:t>= 0.94 V</w:t>
      </w:r>
      <w:r>
        <w:t xml:space="preserve"> </w:t>
      </w:r>
      <w:r>
        <w:t>RHE</w:t>
      </w:r>
      <w:r>
        <w:t xml:space="preserve"> </w:t>
      </w:r>
      <w:r>
        <w:t>) with negligible degradation. Furthermore, Zn‐air batteries equipped with FeNC‐NbN demonstrate outstanding performance, delivering a peak power density of 206.4 mW cm</w:t>
      </w:r>
      <w:r>
        <w:t xml:space="preserve"> </w:t>
      </w:r>
      <w:r>
        <w:t>−2</w:t>
      </w:r>
      <w:r>
        <w:t xml:space="preserve"> </w:t>
      </w:r>
      <w:r>
        <w:t>and an ultralong cycling durability of 2400 h, surpassing most previously reported catalysts. Combined in situ Raman spectroscopy, in situ attenuated total reflection surface‐enhanced infrared absorption spectroscopy analyses, and theoretical calculations reveal that the integration of NbN enhances ORR activity by increasing the pyrrolic N content within the FeNC framework. Concurrently, the vacant</w:t>
      </w:r>
      <w:r>
        <w:t xml:space="preserve"> </w:t>
      </w:r>
      <w:r>
        <w:t>d</w:t>
      </w:r>
      <w:r>
        <w:t xml:space="preserve"> </w:t>
      </w:r>
      <w:r>
        <w:t>‐orbitals of Nb effectively interact with and scavenge free radicals, thereby protecting the active sites from degradation and ensuring excellent catalytic activity and stability. This work establishes a viable pathway for developing efficient and durable non‐precious ORR electrocatalysts.</w:t>
      </w:r>
    </w:p>
    <w:p>
      <w:pPr>
        <w:spacing w:before="120" w:after="120"/>
      </w:pPr>
      <w:r>
        <w:rPr>
          <w:sz w:val="18"/>
        </w:rPr>
        <w:t>——————————————————————————————————————————————————————————————————————</w:t>
      </w:r>
    </w:p>
    <w:p>
      <w:pPr>
        <w:spacing w:before="160" w:after="40" w:line="240" w:lineRule="auto"/>
      </w:pPr>
      <w:r>
        <w:rPr>
          <w:b/>
        </w:rPr>
        <w:t xml:space="preserve">[7] </w:t>
      </w:r>
      <w:hyperlink r:id="rId124">
        <w:r>
          <w:rPr>
            <w:color w:val="1155CC"/>
            <w:u w:val="single"/>
          </w:rPr>
          <w:t>高空间位阻和负电荷阴极液的协同设计实现碱性全铁流动电池的6000次循环稳定性</w:t>
        </w:r>
      </w:hyperlink>
    </w:p>
    <w:p>
      <w:pPr>
        <w:spacing w:before="0" w:after="80"/>
      </w:pPr>
      <w:r>
        <w:rPr>
          <w:i/>
          <w:sz w:val="20"/>
        </w:rPr>
        <w:t>EN: Synergistic Design of High Steric Hindrance and Negatively Charged Anolyte Enables 6000‐Cycle Stability for Alkaline All‐Iron Flow Batteries</w:t>
      </w:r>
    </w:p>
    <w:p>
      <w:pPr>
        <w:spacing w:before="0" w:after="120"/>
      </w:pPr>
      <w:r>
        <w:rPr>
          <w:b/>
        </w:rPr>
        <w:t xml:space="preserve">Source: </w:t>
      </w:r>
      <w:r>
        <w:t>Wiley: Advanced Energy Materials: Table of Contents</w:t>
      </w:r>
      <w:r>
        <w:t xml:space="preserve">    </w:t>
      </w:r>
      <w:r>
        <w:rPr>
          <w:b/>
        </w:rPr>
        <w:t xml:space="preserve">Pub date: </w:t>
      </w:r>
      <w:r>
        <w:t>2026-04-01 09:42:50+00:00</w:t>
      </w:r>
      <w:r>
        <w:t xml:space="preserve">    </w:t>
      </w:r>
      <w:r>
        <w:rPr>
          <w:b/>
        </w:rPr>
        <w:t xml:space="preserve">DOI: </w:t>
      </w:r>
      <w:hyperlink r:id="rId125">
        <w:r>
          <w:rPr>
            <w:color w:val="1155CC"/>
            <w:u w:val="single"/>
          </w:rPr>
          <w:t>10.1002/aenm.202506734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碱性全铁流电池（AIFB）采用Fe配合物作为两半电池中的活性物质，是实现大规模能量存储的关键途径，具有长放电时间的内在优势。然而，较差的电化学可逆性和配体交叉阻碍了AIFB的长循环稳定性。在此，我们精心设计了具有大空间位阻和负电荷保护层的Fe配合物阳极电解液，显著提高了AIFB的长期稳定性。虽然Fe</w:t>
      </w:r>
      <w:r>
        <w:t xml:space="preserve"> </w:t>
      </w:r>
      <w:r>
        <w:t>3+</w:t>
      </w:r>
      <w:r>
        <w:t xml:space="preserve"> </w:t>
      </w:r>
      <w:r>
        <w:t>与富含羟基和磺酸基团的多齿配体的配位使Fe配合物具有高位阻，但Fe配合物的负电荷界面也有效地提高了其稳定性。</w:t>
      </w:r>
    </w:p>
    <w:p>
      <w:pPr>
        <w:spacing w:before="0" w:after="200" w:lineRule="auto" w:line="276"/>
      </w:pPr>
      <w:r>
        <w:rPr>
          <w:b/>
        </w:rPr>
        <w:t xml:space="preserve">Abstract (EN): </w:t>
      </w:r>
      <w:r>
        <w:t>The alkaline all‐iron flow battery (AIFB) adopting Fe complexes in both half‐cells is an essential pathway to large‐scale energy storage with inherent merits of long discharge duration. However, inferior electrochemical reversibility and ligand crossover hinder the long cycling stability of the AIFB. Herein, we delicately design the Fe complex anolyte with large‐space steric hindrance and a negatively charged protective layer, which significantly boosts the long‐term stability of the AIFB. While the coordination of Fe</w:t>
      </w:r>
      <w:r>
        <w:t xml:space="preserve"> </w:t>
      </w:r>
      <w:r>
        <w:t>3+</w:t>
      </w:r>
      <w:r>
        <w:t xml:space="preserve"> </w:t>
      </w:r>
      <w:r>
        <w:t>with polydentate multi‐ligands abundant in hydroxyl and sulfonic acid groups renders Fe complex a high steric hindrance, the negatively charged interface of Fe complex also effectively prevents OH</w:t>
      </w:r>
      <w:r>
        <w:t xml:space="preserve"> </w:t>
      </w:r>
      <w:r>
        <w:t>−</w:t>
      </w:r>
      <w:r>
        <w:t>attack and active species crossover by virtue of electrostatic repulsion, thereby synergistically achieving high electrochemical stability and low membrane permeation. Based on the design guidelines, the anolyte design process starts with 12 organic ligands as building blocks, followed by constructing 11 distinct Fe complexes with tailored structures. After multiple rounds of screening, the AIFB adopting the [Fe(HPF)BHS]</w:t>
      </w:r>
      <w:r>
        <w:t xml:space="preserve"> </w:t>
      </w:r>
      <w:r>
        <w:t>4−</w:t>
      </w:r>
      <w:r>
        <w:t>anolyte exhibits a record‐breaking ultra‐long cycling stability over 6000 cycles at 80 mA cm</w:t>
      </w:r>
      <w:r>
        <w:t xml:space="preserve"> </w:t>
      </w:r>
      <w:r>
        <w:t>−</w:t>
      </w:r>
      <w:r>
        <w:rPr>
          <w:vertAlign w:val="subscript"/>
        </w:rPr>
        <w:t>2</w:t>
      </w:r>
      <w:r>
        <w:t>. This work provides deep insights into efficient anolyte design and offers a universal Fe complex design strategy, which is beneficial to promoting the application of high‐performance iron‐based flow batteries.</w:t>
      </w:r>
    </w:p>
    <w:p>
      <w:pPr>
        <w:spacing w:before="120" w:after="120"/>
      </w:pPr>
      <w:r>
        <w:rPr>
          <w:sz w:val="18"/>
        </w:rPr>
        <w:t>——————————————————————————————————————————————————————————————————————</w:t>
      </w:r>
    </w:p>
    <w:p>
      <w:pPr>
        <w:spacing w:before="160" w:after="40" w:line="240" w:lineRule="auto"/>
      </w:pPr>
      <w:r>
        <w:rPr>
          <w:b/>
        </w:rPr>
        <w:t xml:space="preserve">[8] </w:t>
      </w:r>
      <w:hyperlink r:id="rId126">
        <w:r>
          <w:rPr>
            <w:color w:val="1155CC"/>
            <w:u w:val="single"/>
          </w:rPr>
          <w:t>在可再生能源主导的电力系统中，针对正常和飓风条件下的多周期储能规划的高效分布鲁棒框架</w:t>
        </w:r>
      </w:hyperlink>
    </w:p>
    <w:p>
      <w:pPr>
        <w:spacing w:before="0" w:after="80"/>
      </w:pPr>
      <w:r>
        <w:rPr>
          <w:i/>
          <w:sz w:val="20"/>
        </w:rPr>
        <w:t>EN: An efficient distributionally robust framework for multi-period energy storage planning in renewable-dominated power systems under normal and hurricane conditions</w:t>
      </w:r>
    </w:p>
    <w:p>
      <w:pPr>
        <w:spacing w:before="0" w:after="120"/>
      </w:pPr>
      <w:r>
        <w:rPr>
          <w:b/>
        </w:rPr>
        <w:t xml:space="preserve">Source: </w:t>
      </w:r>
      <w:r>
        <w:t>ScienceDirect Publication: Applied Energy</w:t>
      </w:r>
      <w:r>
        <w:t xml:space="preserve">    </w:t>
      </w:r>
      <w:r>
        <w:rPr>
          <w:b/>
        </w:rPr>
        <w:t xml:space="preserve">Pub date: </w:t>
      </w:r>
      <w:r>
        <w:t>2026-04-02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27">
        <w:r>
          <w:rPr>
            <w:color w:val="1155CC"/>
            <w:u w:val="single"/>
          </w:rPr>
          <w:t>极端温度电双层电容器：基本原理、电解质/电极挑战和未来展望</w:t>
        </w:r>
      </w:hyperlink>
    </w:p>
    <w:p>
      <w:pPr>
        <w:spacing w:before="0" w:after="80"/>
      </w:pPr>
      <w:r>
        <w:rPr>
          <w:i/>
          <w:sz w:val="20"/>
        </w:rPr>
        <w:t>EN: Extreme‐Temperature Electric Double‐Layer Capacitors: Fundamental Principles, Electrolyte/Electrode Challenges, and Future Perspectives</w:t>
      </w:r>
    </w:p>
    <w:p>
      <w:pPr>
        <w:spacing w:before="0" w:after="120"/>
      </w:pPr>
      <w:r>
        <w:rPr>
          <w:b/>
        </w:rPr>
        <w:t xml:space="preserve">Source: </w:t>
      </w:r>
      <w:r>
        <w:t>Wiley: Advanced Energy Materials: Table of Contents</w:t>
      </w:r>
      <w:r>
        <w:t xml:space="preserve">    </w:t>
      </w:r>
      <w:r>
        <w:rPr>
          <w:b/>
        </w:rPr>
        <w:t xml:space="preserve">Pub date: </w:t>
      </w:r>
      <w:r>
        <w:t>2026-04-02 07:19:02+00:00</w:t>
      </w:r>
      <w:r>
        <w:t xml:space="preserve">    </w:t>
      </w:r>
      <w:r>
        <w:rPr>
          <w:b/>
        </w:rPr>
        <w:t xml:space="preserve">DOI: </w:t>
      </w:r>
      <w:hyperlink r:id="rId128">
        <w:r>
          <w:rPr>
            <w:color w:val="1155CC"/>
            <w:u w:val="single"/>
          </w:rPr>
          <w:t>10.1002/aenm.202600012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双层电容器（EDLCs）通过在电极-电解质界面可逆的离子吸附和解吸储存能量，在极端温度条件下的能量存储方面具有相当大的潜力。然而，其实际应用面临与温度相关的显著限制：在高温下，电解质分解可能降低库仑效率或导致设备失效，而在低温下，离子电导率降低或电解质结晶会导致性能恶化或功能失效。因此，全面了解这些限制对于设计能够在极端环境中可靠运行的EDLCs至关重要。本综述从</w:t>
      </w:r>
    </w:p>
    <w:p>
      <w:pPr>
        <w:spacing w:before="0" w:after="200" w:lineRule="auto" w:line="276"/>
      </w:pPr>
      <w:r>
        <w:rPr>
          <w:b/>
        </w:rPr>
        <w:t xml:space="preserve">Abstract (EN): </w:t>
      </w:r>
      <w:r>
        <w:t>Electric double‐layer capacitors (EDLCs), which store energy via reversible ion adsorption and desorption at the electrode‐electrolyte interface, hold considerable promise for energy storage under extreme temperature conditions. However, their practical application faces significant limitations associated with temperature‐dependent limitations: at high‐temperature, electrolyte decomposition can reduce Coulombic efficiency or triggers device failure, whereas at low‐temperature, diminished ionic conductivity or electrolyte crystallization leads to performance deterioration or functional breakdown. A comprehensive understanding of these constraints is therefore essential for designing EDLCs capable of operating reliably in extreme environments. This review begins with a systematic overview of the working principles and practical applications of EDLCs, followed by a comparative analysis of various electrolytes, highlighting their respective advantages and shortcomings. Subsequently, we outline specific design principles for both electrolytes and electrodes based on key physicochemical properties and summarize recent advances in high‐temperature, low‐temperature, and wide‐temperature EDLCs. Finally, forward‐looking perspectives and strategic directions are proposed to guide the development of next‐generation EDLCs capable of delivering stable performance under extreme temperatures. This review aims to provide critical insights and rational design guidelines to advance EDLC technology for demanding, extreme‐environment applications.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29">
        <w:r>
          <w:rPr>
            <w:color w:val="1155CC"/>
            <w:u w:val="single"/>
          </w:rPr>
          <w:t>盐水合物的过冷和热能储存密度的广泛影响</w:t>
        </w:r>
      </w:hyperlink>
    </w:p>
    <w:p>
      <w:pPr>
        <w:spacing w:before="0" w:after="80"/>
      </w:pPr>
      <w:r>
        <w:rPr>
          <w:i/>
          <w:sz w:val="20"/>
        </w:rPr>
        <w:t>EN: Extensive effects in supercooling and thermal energy storage density of salt hydrates</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0">
        <w:r>
          <w:rPr>
            <w:color w:val="1155CC"/>
            <w:u w:val="single"/>
          </w:rPr>
          <w:t>通过多物理驱动的拓扑优化生成高功率热化学储能反应器的设计</w:t>
        </w:r>
      </w:hyperlink>
    </w:p>
    <w:p>
      <w:pPr>
        <w:spacing w:before="0" w:after="80"/>
      </w:pPr>
      <w:r>
        <w:rPr>
          <w:i/>
          <w:sz w:val="20"/>
        </w:rPr>
        <w:t>EN: Generative design of high-power thermochemical energy storage reactors via multiphysics-driven topology optimization</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31">
        <w:r>
          <w:rPr>
            <w:color w:val="1155CC"/>
            <w:u w:val="single"/>
          </w:rPr>
          <w:t>波浪能转换器：研究进展、关键挑战和未来趋势的综合回顾</w:t>
        </w:r>
      </w:hyperlink>
    </w:p>
    <w:p>
      <w:pPr>
        <w:spacing w:before="0" w:after="80"/>
      </w:pPr>
      <w:r>
        <w:rPr>
          <w:i/>
          <w:sz w:val="20"/>
        </w:rPr>
        <w:t>EN: Wave energy converters: a comprehensive review of research progress, key challenges, and future trends</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32">
        <w:r>
          <w:rPr>
            <w:color w:val="1155CC"/>
            <w:u w:val="single"/>
          </w:rPr>
          <w:t>通过可逆流体相循环的高温热化学能量存储：综述</w:t>
        </w:r>
      </w:hyperlink>
    </w:p>
    <w:p>
      <w:pPr>
        <w:spacing w:before="0" w:after="80"/>
      </w:pPr>
      <w:r>
        <w:rPr>
          <w:i/>
          <w:sz w:val="20"/>
        </w:rPr>
        <w:t>EN: High-temperature thermochemical energy storage via reversible fluid-phase based cycles: A review</w:t>
      </w:r>
    </w:p>
    <w:p>
      <w:pPr>
        <w:spacing w:before="0" w:after="120"/>
      </w:pPr>
      <w:r>
        <w:rPr>
          <w:b/>
        </w:rPr>
        <w:t xml:space="preserve">Source: </w:t>
      </w:r>
      <w:r>
        <w:t>ScienceDirect Publication: Applied Energy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3">
        <w:r>
          <w:rPr>
            <w:color w:val="1155CC"/>
            <w:u w:val="single"/>
          </w:rPr>
          <w:t>热电材料的有效质量模型</w:t>
        </w:r>
      </w:hyperlink>
    </w:p>
    <w:p>
      <w:pPr>
        <w:spacing w:before="0" w:after="80"/>
      </w:pPr>
      <w:r>
        <w:rPr>
          <w:i/>
          <w:sz w:val="20"/>
        </w:rPr>
        <w:t>EN: Effective mass model for thermoelectrics</w:t>
      </w:r>
    </w:p>
    <w:p>
      <w:pPr>
        <w:spacing w:before="0" w:after="120"/>
      </w:pPr>
      <w:r>
        <w:rPr>
          <w:b/>
        </w:rPr>
        <w:t xml:space="preserve">Source: </w:t>
      </w:r>
      <w:r>
        <w:t>RSC - Energy Environ. Sci. latest articles</w:t>
      </w:r>
      <w:r>
        <w:t xml:space="preserve">    </w:t>
      </w:r>
      <w:r>
        <w:rPr>
          <w:b/>
        </w:rPr>
        <w:t xml:space="preserve">Pub date: </w:t>
      </w:r>
      <w:r>
        <w:t>2026-03-29 23:00:00+00:00</w:t>
      </w:r>
    </w:p>
    <w:p>
      <w:pPr>
        <w:spacing w:before="0" w:after="120"/>
      </w:pPr>
      <w:r>
        <w:rPr>
          <w:b/>
        </w:rPr>
        <w:t xml:space="preserve">Notes: </w:t>
      </w:r>
      <w:r>
        <w:t>abstract_source=rsc_html</w:t>
      </w:r>
    </w:p>
    <w:p>
      <w:pPr>
        <w:spacing w:before="0" w:after="80" w:lineRule="auto" w:line="276"/>
      </w:pPr>
      <w:r>
        <w:rPr>
          <w:b/>
        </w:rPr>
        <w:t xml:space="preserve">摘要（ZH）: </w:t>
      </w:r>
      <w:r>
        <w:t>热电材料需要精确掺杂以调整费米能级，从而充分实现其热电潜力。有效质量（EM）模型通常用于预测最大热电优值（zT）和最佳载流子浓度，但其应用受到需要数值费米积分解和霍尔效应测量的限制。由于热电势（塞贝克系数的大小，|S|）实际上是费米能级的量度，因此可以作为重掺杂半导体（如良好的热电材料）中掺杂水平的直接描述符。在此，我们提出了一种简单的方法，仅使用典型的热电测量：塞贝克系数、电导率和热导率来分析热电传输。</w:t>
      </w:r>
    </w:p>
    <w:p>
      <w:pPr>
        <w:spacing w:before="0" w:after="200" w:lineRule="auto" w:line="276"/>
      </w:pPr>
      <w:r>
        <w:rPr>
          <w:b/>
        </w:rPr>
        <w:t xml:space="preserve">Abstract (EN): </w:t>
      </w:r>
      <w:r>
        <w:t>Thermoelectric materials require precise doping to adjust the Fermi level in order to fully realize their thermoelectric potential. The effective mass (EM) model is commonly used to predict the maximum thermoelectric figure-of-merit (zT) and optimal carrier concentration, but its application is limited by the need for numerical Fermi integral solutions and Hall effect measurements. Since the thermopower (magnitude of the Seebeck coefficient, |S|) is effectively a measure of the Fermi level, it can be used as a direct descriptor of doping level in heavily doped semiconductors such as good thermoelectric materials. Here, we present a simple method to analyze thermoelectric transport using only the typical thermoelectric measurements: Seebeck coefficient, electrical conductivity and thermal conductivity. This enables evaluation of weighted mobility, quality factor (B), theoretical maximum zT, optimal thermopower, identification of anomalous scattering behavior; as well as a full prediction of zT, as a function of |S| given by</w:t>
      </w:r>
    </w:p>
    <w:p>
      <w:pPr>
        <w:spacing w:before="120" w:after="120"/>
      </w:pPr>
      <w:r>
        <w:rPr>
          <w:sz w:val="18"/>
        </w:rPr>
        <w:t>——————————————————————————————————————————————————————————————————————</w:t>
      </w:r>
    </w:p>
    <w:p>
      <w:pPr>
        <w:spacing w:before="160" w:after="40" w:line="240" w:lineRule="auto"/>
      </w:pPr>
      <w:r>
        <w:rPr>
          <w:b/>
        </w:rPr>
        <w:t xml:space="preserve">[6] </w:t>
      </w:r>
      <w:hyperlink r:id="rId134">
        <w:r>
          <w:rPr>
            <w:color w:val="1155CC"/>
            <w:u w:val="single"/>
          </w:rPr>
          <w:t>离子热电材料进入表皮治疗诊断</w:t>
        </w:r>
      </w:hyperlink>
    </w:p>
    <w:p>
      <w:pPr>
        <w:spacing w:before="0" w:after="80"/>
      </w:pPr>
      <w:r>
        <w:rPr>
          <w:i/>
          <w:sz w:val="20"/>
        </w:rPr>
        <w:t>EN: Ionic thermoelectrics goes epidermal theranostics</w:t>
      </w:r>
    </w:p>
    <w:p>
      <w:pPr>
        <w:spacing w:before="0" w:after="120"/>
      </w:pPr>
      <w:r>
        <w:rPr>
          <w:b/>
        </w:rPr>
        <w:t xml:space="preserve">Source: </w:t>
      </w:r>
      <w:r>
        <w:t>National Science Review Advance Access</w:t>
      </w:r>
      <w:r>
        <w:t xml:space="preserve">    </w:t>
      </w:r>
      <w:r>
        <w:rPr>
          <w:b/>
        </w:rPr>
        <w:t xml:space="preserve">Pub date: </w:t>
      </w:r>
      <w:r>
        <w:t>2026-03-30 00:00:00+00:00</w:t>
      </w:r>
      <w:r>
        <w:t xml:space="preserve">    </w:t>
      </w:r>
      <w:r>
        <w:rPr>
          <w:b/>
        </w:rPr>
        <w:t xml:space="preserve">DOI: </w:t>
      </w:r>
      <w:hyperlink r:id="rId135">
        <w:r>
          <w:rPr>
            <w:color w:val="1155CC"/>
            <w:u w:val="single"/>
          </w:rPr>
          <w:t>10.1093/nsr/nwag198</w:t>
        </w:r>
      </w:hyperlink>
    </w:p>
    <w:p>
      <w:pPr>
        <w:spacing w:before="0" w:after="120"/>
      </w:pPr>
      <w:r>
        <w:rPr>
          <w:b/>
        </w:rPr>
        <w:t xml:space="preserve">Notes: </w:t>
      </w:r>
      <w:r>
        <w:t>abstract_source=crossref</w:t>
      </w:r>
    </w:p>
    <w:p>
      <w:pPr>
        <w:spacing w:before="0" w:after="80" w:lineRule="auto" w:line="276"/>
      </w:pPr>
      <w:r>
        <w:rPr>
          <w:b/>
        </w:rPr>
        <w:t xml:space="preserve">摘要（ZH）: </w:t>
      </w:r>
      <w:r>
        <w:t>强调一个主要的范式转变，这一观点设想了离子热电材料作为智能表皮治疗诊断的新颖用途，解锁了用于高级伤口管理和组织再生的新生物电策略。</w:t>
      </w:r>
    </w:p>
    <w:p>
      <w:pPr>
        <w:spacing w:before="0" w:after="200" w:lineRule="auto" w:line="276"/>
      </w:pPr>
      <w:r>
        <w:rPr>
          <w:b/>
        </w:rPr>
        <w:t xml:space="preserve">Abstract (EN): </w:t>
      </w:r>
      <w:r>
        <w:t>Highlighting a major paradigm shift, this perspective envisions the novel use of ionic thermoelectrics as smart epidermal theranostics, unlocking new bioelectric strategies for advanced wound management and tissue regeneration.</w:t>
      </w:r>
    </w:p>
    <w:p>
      <w:pPr>
        <w:spacing w:before="120" w:after="120"/>
      </w:pPr>
      <w:r>
        <w:rPr>
          <w:sz w:val="18"/>
        </w:rPr>
        <w:t>——————————————————————————————————————————————————————————————————————</w:t>
      </w:r>
    </w:p>
    <w:p>
      <w:pPr>
        <w:spacing w:before="160" w:after="40" w:line="240" w:lineRule="auto"/>
      </w:pPr>
      <w:r>
        <w:rPr>
          <w:b/>
        </w:rPr>
        <w:t xml:space="preserve">[7] </w:t>
      </w:r>
      <w:hyperlink r:id="rId136">
        <w:r>
          <w:rPr>
            <w:color w:val="1155CC"/>
            <w:u w:val="single"/>
          </w:rPr>
          <w:t>在先进热能系统的相变材料中同时实现高能量密度、机械稳健性和闭环可回收性</w:t>
        </w:r>
      </w:hyperlink>
    </w:p>
    <w:p>
      <w:pPr>
        <w:spacing w:before="0" w:after="80"/>
      </w:pPr>
      <w:r>
        <w:rPr>
          <w:i/>
          <w:sz w:val="20"/>
        </w:rPr>
        <w:t>EN: Simultaneously Achieving High Energy Density, Mechanical Robustness, and Closed‑Loop Recyclability in Phase Change Materials for Advanced Thermal Energy Systems</w:t>
      </w:r>
    </w:p>
    <w:p>
      <w:pPr>
        <w:spacing w:before="0" w:after="120"/>
      </w:pPr>
      <w:r>
        <w:rPr>
          <w:b/>
        </w:rPr>
        <w:t xml:space="preserve">Source: </w:t>
      </w:r>
      <w:r>
        <w:t>Wiley: Advanced Energy Materials: Table of Contents</w:t>
      </w:r>
      <w:r>
        <w:t xml:space="preserve">    </w:t>
      </w:r>
      <w:r>
        <w:rPr>
          <w:b/>
        </w:rPr>
        <w:t xml:space="preserve">Pub date: </w:t>
      </w:r>
      <w:r>
        <w:t>2026-03-30 06:25:28+00:00</w:t>
      </w:r>
      <w:r>
        <w:t xml:space="preserve">    </w:t>
      </w:r>
      <w:r>
        <w:rPr>
          <w:b/>
        </w:rPr>
        <w:t xml:space="preserve">DOI: </w:t>
      </w:r>
      <w:hyperlink r:id="rId137">
        <w:r>
          <w:rPr>
            <w:color w:val="1155CC"/>
            <w:u w:val="single"/>
          </w:rPr>
          <w:t>10.1002/aenm.70874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固相变材料（SSPCM）在热管理方面具有巨大潜力，但其发展长期受到“不可实现三角形”的阻碍：同时实现高能量密度、强大的机械性能和完全可回收性。本研究提出了一种通过构建基于立构复合聚乳酸（sc-PLA）结晶体的可逆物理交联网络来解决这一三难困境的策略。在该系统中，聚乙二醇（PEG）段提供热能存储，而通过密集氢键稳定的sc-PLA结晶体作为物理交联剂赋予机械完整性。所得材料表现出超高的伸展性（1427.7%），显著的拉伸强度（30.1</w:t>
      </w:r>
    </w:p>
    <w:p>
      <w:pPr>
        <w:spacing w:before="0" w:after="200" w:lineRule="auto" w:line="276"/>
      </w:pPr>
      <w:r>
        <w:rPr>
          <w:b/>
        </w:rPr>
        <w:t xml:space="preserve">Abstract (EN): </w:t>
      </w:r>
      <w:r>
        <w:t>Solid‐solid phase change materials (SSPCMs) hold great promise for thermal management, yet their development has long been hindered by the “impossible triangle”: simultaneously achieving high energy density, robust mechanical properties, and full recyclability. This study presents a strategy to address this trilemma by constructing a reversible physically crosslinked network based on stereocomplex poly(lactic acid) (sc‐PLA) crystallites. In this system, polyethylene glycol (PEG) segments provide thermal energy storage, while sc‐PLA crystallites stabilized by dense hydrogen bonding serve as physical crosslinkers to impart mechanical integrity. The resulting material exhibits ultrahigh stretchability (1427.7%), remarkable tensile strength (30.1 MPa), high latent heat (122.4 J g</w:t>
      </w:r>
      <w:r>
        <w:t xml:space="preserve"> </w:t>
      </w:r>
      <w:r>
        <w:t>−</w:t>
      </w:r>
      <w:r>
        <w:rPr>
          <w:vertAlign w:val="subscript"/>
        </w:rPr>
        <w:t>1</w:t>
      </w:r>
      <w:r>
        <w:t>), and outstanding shape stability. Importantly, the reversible network enables closed‐loop recyclability via hot pressing or solvent processing without compromising performance. Moreover, the physically crosslinked network enables SSPCMs to completely disintegrate in soil within 60 days. By integrating carbon nanotubes (CNT), the potential of our SSPCMs for solar‐thermal‐electric energy conversion is also demonstrated. This work provides a scalable and sustainable pathway to overcome the performance bottlenecks of SSPCMs, paving the way for advanced thermal management materials that integrate mechanical robustness, energy efficiency, and green circularity.</w:t>
      </w:r>
    </w:p>
    <w:p>
      <w:pPr>
        <w:spacing w:before="120" w:after="120"/>
      </w:pPr>
      <w:r>
        <w:rPr>
          <w:sz w:val="18"/>
        </w:rPr>
        <w:t>——————————————————————————————————————————————————————————————————————</w:t>
      </w:r>
    </w:p>
    <w:p>
      <w:pPr>
        <w:spacing w:before="160" w:after="40" w:line="240" w:lineRule="auto"/>
      </w:pPr>
      <w:r>
        <w:rPr>
          <w:b/>
        </w:rPr>
        <w:t xml:space="preserve">[8] </w:t>
      </w:r>
      <w:hyperlink r:id="rId138">
        <w:r>
          <w:rPr>
            <w:color w:val="1155CC"/>
            <w:u w:val="single"/>
          </w:rPr>
          <w:t>[ASAP] 通过水触发的多阶段自组装实现可持续农业的仿生、稳健、可回收辐射冷却器</w:t>
        </w:r>
      </w:hyperlink>
    </w:p>
    <w:p>
      <w:pPr>
        <w:spacing w:before="0" w:after="80"/>
      </w:pPr>
      <w:r>
        <w:rPr>
          <w:i/>
          <w:sz w:val="20"/>
        </w:rPr>
        <w:t>EN: [ASAP] Biomimetic, Robust, Recyclable Radiative Cooler via Water-Triggered Multistage Self-Assembly Toward Sustainable Agriculture</w:t>
      </w:r>
    </w:p>
    <w:p>
      <w:pPr>
        <w:spacing w:before="0" w:after="120"/>
      </w:pPr>
      <w:r>
        <w:rPr>
          <w:b/>
        </w:rPr>
        <w:t xml:space="preserve">Source: </w:t>
      </w:r>
      <w:r>
        <w:t>ACS Energy Letters: Latest Articles (ACS Publications)</w:t>
      </w:r>
      <w:r>
        <w:t xml:space="preserve">    </w:t>
      </w:r>
      <w:r>
        <w:rPr>
          <w:b/>
        </w:rPr>
        <w:t xml:space="preserve">Pub date: </w:t>
      </w:r>
      <w:r>
        <w:t>2026-04-01 09:41:05+00:00</w:t>
      </w:r>
      <w:r>
        <w:t xml:space="preserve">    </w:t>
      </w:r>
      <w:r>
        <w:rPr>
          <w:b/>
        </w:rPr>
        <w:t xml:space="preserve">DOI: </w:t>
      </w:r>
      <w:hyperlink r:id="rId139">
        <w:r>
          <w:rPr>
            <w:color w:val="1155CC"/>
            <w:u w:val="single"/>
          </w:rPr>
          <w:t>10.1021/acsenergylett.6c00288</w:t>
        </w:r>
      </w:hyperlink>
    </w:p>
    <w:p>
      <w:pPr>
        <w:spacing w:before="0" w:after="120"/>
      </w:pPr>
      <w:r>
        <w:rPr>
          <w:b/>
        </w:rPr>
        <w:t xml:space="preserve">Notes: </w:t>
      </w:r>
      <w:r>
        <w:t>abstract_source=openalex</w:t>
      </w:r>
    </w:p>
    <w:p>
      <w:pPr>
        <w:spacing w:before="0" w:after="80" w:lineRule="auto" w:line="276"/>
      </w:pPr>
      <w:r>
        <w:rPr>
          <w:b/>
        </w:rPr>
        <w:t xml:space="preserve">摘要（ZH）: </w:t>
      </w:r>
      <w:r>
        <w:t>被动辐射冷却是一种新兴的热管理策略，但传统的石油衍生冷却器存在冷却性能有限和机械强度差的问题，而无机替代品虽然高效，但需要复杂且耗能的制造过程。受蜘蛛丝快速形成和卓越强度的启发，我们开发了一种简单的水触发多阶段自组装策略，以制造一种坚固、可回收且环保的仿生辐射冷却器（Biocooler）。该Biocooler表现出高太阳反射率（0.94）和发射率（0.91），在直射阳光下平均温度降低8°C。此外，它具有76 MPa的抗拉强度，超过大多数传统辐射冷却器，并实现了超过90%的材料回收。</w:t>
      </w:r>
    </w:p>
    <w:p>
      <w:pPr>
        <w:spacing w:before="0" w:after="200" w:lineRule="auto" w:line="276"/>
      </w:pPr>
      <w:r>
        <w:rPr>
          <w:b/>
        </w:rPr>
        <w:t xml:space="preserve">Abstract (EN): </w:t>
      </w:r>
      <w:r>
        <w:t>Passive radiative cooling is an emerging strategy for thermal management, yet conventional petroleum-derived coolers suffer from limited cooling performance and poor mechanical robustness, while inorganic alternatives, though efficient, require complex and energy-intensive fabrication. Inspired by the rapid formation and exceptional strength of spider silk, we develop a simple water-triggered multistage self-assembly strategy to fabricate a robust, recyclable, and eco-friendly bioinspired radiative cooler (Biocooler). The Biocooler exhibits high solar reflectance (0.94) and emittance (0.91), yielding an average temperature reduction of 8 °C under direct sunlight. Additionally, it possesses a tensile strength of 76 MPa, surpassing most conventional radiative coolers, and enables over 90% material recovery via water-triggered reassembly. As a soil mulch, the Biocooler reduces soil temperature by 7.2 °C and improves water retention by 61%, effectively mitigating crop heat stress. With its scalable production and durability, the Biocooler offers significant promise for sustainable agriculture applications.</w:t>
      </w:r>
    </w:p>
    <w:p>
      <w:pPr>
        <w:spacing w:before="120" w:after="120"/>
      </w:pPr>
      <w:r>
        <w:rPr>
          <w:sz w:val="18"/>
        </w:rPr>
        <w:t>——————————————————————————————————————————————————————————————————————</w:t>
      </w:r>
    </w:p>
    <w:p>
      <w:pPr>
        <w:spacing w:before="160" w:after="40" w:line="240" w:lineRule="auto"/>
      </w:pPr>
      <w:r>
        <w:rPr>
          <w:b/>
        </w:rPr>
        <w:t xml:space="preserve">[9] </w:t>
      </w:r>
      <w:hyperlink r:id="rId140">
        <w:r>
          <w:rPr>
            <w:color w:val="1155CC"/>
            <w:u w:val="single"/>
          </w:rPr>
          <w:t>焓驱动的微结构重构用于高性能半霍伊斯勒合金</w:t>
        </w:r>
      </w:hyperlink>
    </w:p>
    <w:p>
      <w:pPr>
        <w:spacing w:before="0" w:after="80"/>
      </w:pPr>
      <w:r>
        <w:rPr>
          <w:i/>
          <w:sz w:val="20"/>
        </w:rPr>
        <w:t>EN: Enthalpy‐Driven Microstructure Reconfiguration for High‐Performance Half‐Heusler Alloys</w:t>
      </w:r>
    </w:p>
    <w:p>
      <w:pPr>
        <w:spacing w:before="0" w:after="120"/>
      </w:pPr>
      <w:r>
        <w:rPr>
          <w:b/>
        </w:rPr>
        <w:t xml:space="preserve">Source: </w:t>
      </w:r>
      <w:r>
        <w:t>Wiley: Advanced Energy Materials: Table of Contents</w:t>
      </w:r>
      <w:r>
        <w:t xml:space="preserve">    </w:t>
      </w:r>
      <w:r>
        <w:rPr>
          <w:b/>
        </w:rPr>
        <w:t xml:space="preserve">Pub date: </w:t>
      </w:r>
      <w:r>
        <w:t>2026-04-01 10:06:06+00:00</w:t>
      </w:r>
      <w:r>
        <w:t xml:space="preserve">    </w:t>
      </w:r>
      <w:r>
        <w:rPr>
          <w:b/>
        </w:rPr>
        <w:t xml:space="preserve">DOI: </w:t>
      </w:r>
      <w:hyperlink r:id="rId141">
        <w:r>
          <w:rPr>
            <w:color w:val="1155CC"/>
            <w:u w:val="single"/>
          </w:rPr>
          <w:t>10.1002/aenm.70896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半霍伊斯勒（HH）合金因其优异的机械性能和高温热稳定性而受到广泛关注。然而，由于调节电子和声子行为的冲突，同时优化其功率因数（PF）和品质因数（zT）仍然具有挑战性。本文提出了一种基于调节焓主导的原子化学亲和力的微结构重构策略，以解耦电和热传输性能。在掺杂 Hf 的 ZrNiSn 合金中引入 Yb，削弱了 d-d 轨道杂化，从而</w:t>
      </w:r>
    </w:p>
    <w:p>
      <w:pPr>
        <w:spacing w:before="0" w:after="200" w:lineRule="auto" w:line="276"/>
      </w:pPr>
      <w:r>
        <w:rPr>
          <w:b/>
        </w:rPr>
        <w:t xml:space="preserve">Abstract (EN): </w:t>
      </w:r>
      <w:r>
        <w:t>Half‐Heusler (HH) alloys have attracted extensive attention due to their exceptional mechanical properties and high‐temperature thermal stability. However, simultaneously optimizing their power factor (</w:t>
      </w:r>
      <w:r>
        <w:t xml:space="preserve"> </w:t>
      </w:r>
      <w:r>
        <w:t>PF</w:t>
      </w:r>
      <w:r>
        <w:t xml:space="preserve"> </w:t>
      </w:r>
      <w:r>
        <w:t>) and figure of merit (</w:t>
      </w:r>
      <w:r>
        <w:t xml:space="preserve"> </w:t>
      </w:r>
      <w:r>
        <w:t>zT</w:t>
      </w:r>
      <w:r>
        <w:t xml:space="preserve"> </w:t>
      </w:r>
      <w:r>
        <w:t>) remains challenging due to the conflict of tuning electron and phonon behavior. Here, a microstructure reconfiguration strategy based on tuning the enthalpy‐dominated atomic chemical affinity is proposed to decouple electrical and thermal transport properties. The introduction of Yb into Hf‐doped ZrNiSn alloys weakens the</w:t>
      </w:r>
      <w:r>
        <w:t xml:space="preserve"> </w:t>
      </w:r>
      <w:r>
        <w:t>d</w:t>
      </w:r>
      <w:r>
        <w:t xml:space="preserve"> </w:t>
      </w:r>
      <w:r>
        <w:t>‐</w:t>
      </w:r>
      <w:r>
        <w:t xml:space="preserve"> </w:t>
      </w:r>
      <w:r>
        <w:t>d</w:t>
      </w:r>
      <w:r>
        <w:t xml:space="preserve"> </w:t>
      </w:r>
      <w:r>
        <w:t>orbital hybridization, which reduces the negative mixing enthalpy and diminishes the atomic affinity, thereby suppressing the formation of Hf precipitates. The Hf precipitates are transformed into superstructures, which promote the electron mobility with a 55% increase by eliminating the electron scattering around discontinuous lattices and introducing strong phonon scattering to suppres the thermal conductivity. Therefore, a “double‐high” Zr</w:t>
      </w:r>
      <w:r>
        <w:t xml:space="preserve"> </w:t>
      </w:r>
      <w:r>
        <w:t>0.66</w:t>
      </w:r>
      <w:r>
        <w:t xml:space="preserve"> </w:t>
      </w:r>
      <w:r>
        <w:t>Hf</w:t>
      </w:r>
      <w:r>
        <w:t xml:space="preserve"> </w:t>
      </w:r>
      <w:r>
        <w:t>0.3</w:t>
      </w:r>
      <w:r>
        <w:t xml:space="preserve"> </w:t>
      </w:r>
      <w:r>
        <w:t>Yb</w:t>
      </w:r>
      <w:r>
        <w:t xml:space="preserve"> </w:t>
      </w:r>
      <w:r>
        <w:t>0.04</w:t>
      </w:r>
      <w:r>
        <w:t xml:space="preserve"> </w:t>
      </w:r>
      <w:r>
        <w:t>NiSn</w:t>
      </w:r>
      <w:r>
        <w:t xml:space="preserve"> </w:t>
      </w:r>
      <w:r>
        <w:t>0.98</w:t>
      </w:r>
      <w:r>
        <w:t xml:space="preserve"> </w:t>
      </w:r>
      <w:r>
        <w:t>Sb</w:t>
      </w:r>
      <w:r>
        <w:t xml:space="preserve"> </w:t>
      </w:r>
      <w:r>
        <w:t>0.02</w:t>
      </w:r>
      <w:r>
        <w:t xml:space="preserve"> </w:t>
      </w:r>
      <w:r>
        <w:t>material with a high</w:t>
      </w:r>
      <w:r>
        <w:t xml:space="preserve"> </w:t>
      </w:r>
      <w:r>
        <w:t>PF</w:t>
      </w:r>
      <w:r>
        <w:t xml:space="preserve"> </w:t>
      </w:r>
      <w:r>
        <w:t>of 58 µW·cm</w:t>
      </w:r>
      <w:r>
        <w:t xml:space="preserve"> </w:t>
      </w:r>
      <w:r>
        <w:t>−</w:t>
      </w:r>
      <w:r>
        <w:rPr>
          <w:vertAlign w:val="subscript"/>
        </w:rPr>
        <w:t>1</w:t>
      </w:r>
      <w:r>
        <w:t>·K</w:t>
      </w:r>
      <w:r>
        <w:t xml:space="preserve"> </w:t>
      </w:r>
      <w:r>
        <w:t>−</w:t>
      </w:r>
      <w:r>
        <w:rPr>
          <w:vertAlign w:val="subscript"/>
        </w:rPr>
        <w:t>2</w:t>
      </w:r>
      <w:r>
        <w:t>and a peak</w:t>
      </w:r>
      <w:r>
        <w:t xml:space="preserve"> </w:t>
      </w:r>
      <w:r>
        <w:t>zT</w:t>
      </w:r>
      <w:r>
        <w:t xml:space="preserve"> </w:t>
      </w:r>
      <w:r>
        <w:t>of 1.32 at 950 K was obtained, contributing to a high experimental conversion efficiency of 10.2% in the fabricated module, which is among the highest values in HH alloys. This work highlights enthalpy‐dominated microstructure reconfiguration as an effective pathway for developing high performance thermoelectric power generations.</w:t>
      </w:r>
    </w:p>
    <w:p>
      <w:pPr>
        <w:spacing w:before="120" w:after="120"/>
      </w:pPr>
      <w:r>
        <w:rPr>
          <w:sz w:val="18"/>
        </w:rPr>
        <w:t>——————————————————————————————————————————————————————————————————————</w:t>
      </w:r>
    </w:p>
    <w:p>
      <w:pPr>
        <w:spacing w:before="160" w:after="40" w:line="240" w:lineRule="auto"/>
      </w:pPr>
      <w:r>
        <w:rPr>
          <w:b/>
        </w:rPr>
        <w:t xml:space="preserve">[10] </w:t>
      </w:r>
      <w:hyperlink r:id="rId142">
        <w:r>
          <w:rPr>
            <w:color w:val="1155CC"/>
            <w:u w:val="single"/>
          </w:rPr>
          <w:t>高温太阳能热蒸汽发生：材料、系统设计和应用</w:t>
        </w:r>
      </w:hyperlink>
    </w:p>
    <w:p>
      <w:pPr>
        <w:spacing w:before="0" w:after="80"/>
      </w:pPr>
      <w:r>
        <w:rPr>
          <w:i/>
          <w:sz w:val="20"/>
        </w:rPr>
        <w:t>EN: High-temperature solar-thermal steam generation: materials, system design and application</w:t>
      </w:r>
    </w:p>
    <w:p>
      <w:pPr>
        <w:spacing w:before="0" w:after="120"/>
      </w:pPr>
      <w:r>
        <w:rPr>
          <w:b/>
        </w:rPr>
        <w:t xml:space="preserve">Source: </w:t>
      </w:r>
      <w:r>
        <w:t>RSC - Energy Environ. Sci. latest articles</w:t>
      </w:r>
      <w:r>
        <w:t xml:space="preserve">    </w:t>
      </w:r>
      <w:r>
        <w:rPr>
          <w:b/>
        </w:rPr>
        <w:t xml:space="preserve">Pub date: </w:t>
      </w:r>
      <w:r>
        <w:t>2026-04-01 23:00:00+00:00</w:t>
      </w:r>
    </w:p>
    <w:p>
      <w:pPr>
        <w:spacing w:before="0" w:after="120"/>
      </w:pPr>
      <w:r>
        <w:rPr>
          <w:b/>
        </w:rPr>
        <w:t xml:space="preserve">Notes: </w:t>
      </w:r>
      <w:r>
        <w:t>abstract_source=rsc_html</w:t>
      </w:r>
    </w:p>
    <w:p>
      <w:pPr>
        <w:spacing w:before="0" w:after="80" w:lineRule="auto" w:line="276"/>
      </w:pPr>
      <w:r>
        <w:rPr>
          <w:b/>
        </w:rPr>
        <w:t xml:space="preserve">摘要（ZH）: </w:t>
      </w:r>
      <w:r>
        <w:t>太阳能蒸汽技术提供了一种利用丰富的可再生太阳能的有吸引力的方法，适用于广泛的应用。与低温蒸汽相比，超过100°C的高温蒸汽具有更高的能量输出、更强的物理和化学效应以及更高效的能量转换。然而，高温太阳能蒸汽的产生对多级系统设计和关键材料的热物理性质提出了更严格的要求。在这项工作中，我们总结了通过成熟的聚光太阳能技术以及新兴的界面和体积蒸发方法在高温太阳能蒸汽产生方面的研究进展。我们介绍了这些系统的工作原理，强调其独特的光学、热学和结构特性。</w:t>
      </w:r>
    </w:p>
    <w:p>
      <w:pPr>
        <w:spacing w:before="0" w:after="200" w:lineRule="auto" w:line="276"/>
      </w:pPr>
      <w:r>
        <w:rPr>
          <w:b/>
        </w:rPr>
        <w:t xml:space="preserve">Abstract (EN): </w:t>
      </w:r>
      <w:r>
        <w:t>Solar steam technology offers an attractive way to harness abundant renewable solar energy for a broad range of applications. Compared with low-temperature vapor, high-temperature steam exceeding 100 °C has much higher energy output, stronger physical and chemical effects, and more efficient power conversion. The generation of high-temperature solar steam, however, has raised more stringent requirements on multi-level system design, and thermophysical properties of key materials. In this work, we summarize research progress in high-temperature solar steam generation through both mature concentrated solar power technology, and emerged interfacial and volumetric evaporation approaches. We introduce the working principles of these systems, emphasizing their unique optical, thermal and structural design to achieve optimum performances. We systematically analyze the key materials and components that are involved in the steam generation systems, including solar concentration scheme, solar reflectors, photothermal converters, heat transfer fluids, and micro-/macrostructural design of evaporators. By overviewing representative applications including electricity generation, sterilization, production of green chemical fuels, desalination, cleaning, underground oil extraction and food processing, we highlight the necessity in integrating the complementary advantages from these steam generation technologies to overcome their respective bottlenecks. Finally, we envision the future prospect and required research needs in gaining in-depth understanding of the high-temperature solar steam generation processes at both the system level and the material-water molecular interaction level, developing thermal functional materials, optimizing system design, and exploring more diverse applications.</w:t>
      </w:r>
    </w:p>
    <w:p>
      <w:pPr>
        <w:spacing w:before="120" w:after="120"/>
      </w:pPr>
      <w:r>
        <w:rPr>
          <w:sz w:val="18"/>
        </w:rPr>
        <w:t>——————————————————————————————————————————————————————————————————————</w:t>
      </w:r>
    </w:p>
    <w:p>
      <w:pPr>
        <w:spacing w:before="160" w:after="40" w:line="240" w:lineRule="auto"/>
      </w:pPr>
      <w:r>
        <w:rPr>
          <w:b/>
        </w:rPr>
        <w:t xml:space="preserve">[11] </w:t>
      </w:r>
      <w:hyperlink r:id="rId143">
        <w:r>
          <w:rPr>
            <w:color w:val="1155CC"/>
            <w:u w:val="single"/>
          </w:rPr>
          <w:t>通过单原子取代调节声子传输</w:t>
        </w:r>
      </w:hyperlink>
    </w:p>
    <w:p>
      <w:pPr>
        <w:spacing w:before="0" w:after="80"/>
      </w:pPr>
      <w:r>
        <w:rPr>
          <w:i/>
          <w:sz w:val="20"/>
        </w:rPr>
        <w:t>EN: Tuning phonon transmission via single-atom substituents</w:t>
      </w:r>
    </w:p>
    <w:p>
      <w:pPr>
        <w:spacing w:before="0" w:after="120"/>
      </w:pPr>
      <w:r>
        <w:rPr>
          <w:b/>
        </w:rPr>
        <w:t xml:space="preserve">Source: </w:t>
      </w:r>
      <w:r>
        <w:t>Nature Materials</w:t>
      </w:r>
      <w:r>
        <w:t xml:space="preserve">    </w:t>
      </w:r>
      <w:r>
        <w:rPr>
          <w:b/>
        </w:rPr>
        <w:t xml:space="preserve">Pub date: </w:t>
      </w:r>
      <w:r>
        <w:t>2026-04-02 00:00:00+00:00</w:t>
      </w:r>
      <w:r>
        <w:t xml:space="preserve">    </w:t>
      </w:r>
      <w:r>
        <w:rPr>
          <w:b/>
        </w:rPr>
        <w:t xml:space="preserve">DOI: </w:t>
      </w:r>
      <w:hyperlink r:id="rId144">
        <w:r>
          <w:rPr>
            <w:color w:val="1155CC"/>
            <w:u w:val="single"/>
          </w:rPr>
          <w:t>10.1038/s41563-026-02568-9</w:t>
        </w:r>
      </w:hyperlink>
    </w:p>
    <w:p>
      <w:pPr>
        <w:spacing w:before="0" w:after="120"/>
      </w:pPr>
      <w:r>
        <w:rPr>
          <w:b/>
        </w:rPr>
        <w:t xml:space="preserve">Notes: </w:t>
      </w:r>
      <w:r>
        <w:t>abstract_source=nature_html</w:t>
      </w:r>
    </w:p>
    <w:p>
      <w:pPr>
        <w:spacing w:before="0" w:after="80" w:lineRule="auto" w:line="276"/>
      </w:pPr>
      <w:r>
        <w:rPr>
          <w:b/>
        </w:rPr>
        <w:t xml:space="preserve">摘要（ZH）: </w:t>
      </w:r>
      <w:r>
        <w:t>热传输在许多现代电子、光子和能量转换设备中起着至关重要的作用。最近的工作提供了关于纳米结构对热传输影响的基本见解。然而，声子传输的原子级控制几乎没有被探索。在此，我们展示了在77 K下分子结中的热传输系统研究，这得益于本工作中开发的高分辨率低温兼容量热扫描探针。我们的实验提供了直接证据，表明通过用卤素原子（–F, –Cl, –Br, –I）替换单个氢原子对分子结进行原子级改变，可以将结的热导率调节到两倍。我们的详细第一性原理建模阐明了分子结中原子间相互作用如何影响热传输。</w:t>
      </w:r>
    </w:p>
    <w:p>
      <w:pPr>
        <w:spacing w:before="0" w:after="200" w:lineRule="auto" w:line="276"/>
      </w:pPr>
      <w:r>
        <w:rPr>
          <w:b/>
        </w:rPr>
        <w:t xml:space="preserve">Abstract (EN): </w:t>
      </w:r>
      <w:r>
        <w:t>Thermal transport plays a crucial role in many modern electronic, photonic and energy conversion devices. Recent work has provided fundamental insights into the effects of nanostructuring on heat transport. However, the atomic-scale control of phonon transport has barely been explored. Here we present systematic studies of thermal transport in molecular junctions at 77 K, enabled by high-resolution cryogenic-compatible calorimetric scanning probes developed in this work. Our experiments provide direct evidence that atomistic changes to molecular junctions, implemented by substituting an individual hydrogen atom by a halogen atom (–F, –Cl, –Br, –I), tune the thermal conductance of the junctions by a factor of two. Our detailed first-principles modelling elucidates how the interaction between the vibrational eigenmodes of molecular junctions is modified by atomic substituents, resulting in both suppression of resonances and creation of antiresonances in the phonon transmission function. Further, the advances reported here and insights from this work inform how thermal transport in molecular materials can be probed and controlled.</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45">
        <w:r>
          <w:rPr>
            <w:color w:val="1155CC"/>
            <w:u w:val="single"/>
          </w:rPr>
          <w:t>聚变能不太可能具有竞争力</w:t>
        </w:r>
      </w:hyperlink>
    </w:p>
    <w:p>
      <w:pPr>
        <w:spacing w:before="0" w:after="80"/>
      </w:pPr>
      <w:r>
        <w:rPr>
          <w:i/>
          <w:sz w:val="20"/>
        </w:rPr>
        <w:t>EN: Fusion power unlikely to become competitive</w:t>
      </w:r>
    </w:p>
    <w:p>
      <w:pPr>
        <w:spacing w:before="0" w:after="120"/>
      </w:pPr>
      <w:r>
        <w:rPr>
          <w:b/>
        </w:rPr>
        <w:t xml:space="preserve">Source: </w:t>
      </w:r>
      <w:r>
        <w:t>Nature Energy</w:t>
      </w:r>
      <w:r>
        <w:t xml:space="preserve">    </w:t>
      </w:r>
      <w:r>
        <w:rPr>
          <w:b/>
        </w:rPr>
        <w:t xml:space="preserve">Pub date: </w:t>
      </w:r>
      <w:r>
        <w:t>2026-04-01 00:00:00+00:00</w:t>
      </w:r>
      <w:r>
        <w:t xml:space="preserve">    </w:t>
      </w:r>
      <w:r>
        <w:rPr>
          <w:b/>
        </w:rPr>
        <w:t xml:space="preserve">DOI: </w:t>
      </w:r>
      <w:hyperlink r:id="rId146">
        <w:r>
          <w:rPr>
            <w:color w:val="1155CC"/>
            <w:u w:val="single"/>
          </w:rPr>
          <w:t>10.1038/s41560-026-02022-9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47">
        <w:r>
          <w:rPr>
            <w:color w:val="1155CC"/>
            <w:u w:val="single"/>
          </w:rPr>
          <w:t>RedoxFormer：通过原位传感器测量进行燃料电池早期退化诊断的两阶段深度神经框架</w:t>
        </w:r>
      </w:hyperlink>
    </w:p>
    <w:p>
      <w:pPr>
        <w:spacing w:before="0" w:after="80"/>
      </w:pPr>
      <w:r>
        <w:rPr>
          <w:i/>
          <w:sz w:val="20"/>
        </w:rPr>
        <w:t>EN: RedoxFormer: A two-stage deep neural diagnosis framework for early-stage degradation in fuel cells via in-situ sensor measurements</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48">
        <w:r>
          <w:rPr>
            <w:color w:val="1155CC"/>
            <w:u w:val="single"/>
          </w:rPr>
          <w:t>基于可解释图学习和GPU加速优化的电力-氢能流动优化两阶段框架</w:t>
        </w:r>
      </w:hyperlink>
    </w:p>
    <w:p>
      <w:pPr>
        <w:spacing w:before="0" w:after="80"/>
      </w:pPr>
      <w:r>
        <w:rPr>
          <w:i/>
          <w:sz w:val="20"/>
        </w:rPr>
        <w:t>EN: A two-stage framework for optimal electricity‑hydrogen energy flow based on explainable graph learning and GPU-accelerated optimization</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49">
        <w:r>
          <w:rPr>
            <w:color w:val="1155CC"/>
            <w:u w:val="single"/>
          </w:rPr>
          <w:t>用于电力系统频率控制的PEM电解槽动态建模及电力HIL验证</w:t>
        </w:r>
      </w:hyperlink>
    </w:p>
    <w:p>
      <w:pPr>
        <w:spacing w:before="0" w:after="80"/>
      </w:pPr>
      <w:r>
        <w:rPr>
          <w:i/>
          <w:sz w:val="20"/>
        </w:rPr>
        <w:t>EN: Dynamic modelling of PEM Electrolyzers for power system frequency control with power HIL validation</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50">
        <w:r>
          <w:rPr>
            <w:color w:val="1155CC"/>
            <w:u w:val="single"/>
          </w:rPr>
          <w:t>由极端情景驱动的台风弹性风电场集群和氢能储能厂的协调调度</w:t>
        </w:r>
      </w:hyperlink>
    </w:p>
    <w:p>
      <w:pPr>
        <w:spacing w:before="0" w:after="80"/>
      </w:pPr>
      <w:r>
        <w:rPr>
          <w:i/>
          <w:sz w:val="20"/>
        </w:rPr>
        <w:t>EN: Typhoon-resilient coordinated dispatch of wind farm cluster and hydrogen energy storage plant driven by extreme scenarios</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51">
        <w:r>
          <w:rPr>
            <w:color w:val="1155CC"/>
            <w:u w:val="single"/>
          </w:rPr>
          <w:t>以政策驱动的创新路径推动战略性绿色技术：以韩国的氢气和碳捕集、利用与封存（CCUS）为例</w:t>
        </w:r>
      </w:hyperlink>
    </w:p>
    <w:p>
      <w:pPr>
        <w:spacing w:before="0" w:after="80"/>
      </w:pPr>
      <w:r>
        <w:rPr>
          <w:i/>
          <w:sz w:val="20"/>
        </w:rPr>
        <w:t>EN: Policy-driven innovation pathways for strategic green technologies: The case of hydrogen and carbon capture, utilization, and storage (CCUS) in South Korea</w:t>
      </w:r>
    </w:p>
    <w:p>
      <w:pPr>
        <w:spacing w:before="0" w:after="120"/>
      </w:pPr>
      <w:r>
        <w:rPr>
          <w:b/>
        </w:rPr>
        <w:t xml:space="preserve">Source: </w:t>
      </w:r>
      <w:r>
        <w:t>ScienceDirect Publication: Energy Policy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52">
        <w:r>
          <w:rPr>
            <w:color w:val="1155CC"/>
            <w:u w:val="single"/>
          </w:rPr>
          <w:t>盐穴氢气储存关键操作参数的设计原则</w:t>
        </w:r>
      </w:hyperlink>
    </w:p>
    <w:p>
      <w:pPr>
        <w:spacing w:before="0" w:after="80"/>
      </w:pPr>
      <w:r>
        <w:rPr>
          <w:i/>
          <w:sz w:val="20"/>
        </w:rPr>
        <w:t>EN: Design principles for key operational parameters of salt cavern hydrogen storage</w:t>
      </w:r>
    </w:p>
    <w:p>
      <w:pPr>
        <w:spacing w:before="0" w:after="120"/>
      </w:pPr>
      <w:r>
        <w:rPr>
          <w:b/>
        </w:rPr>
        <w:t xml:space="preserve">Source: </w:t>
      </w:r>
      <w:r>
        <w:t>ScienceDirect Publication: Applied Energy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53">
        <w:r>
          <w:rPr>
            <w:color w:val="1155CC"/>
            <w:u w:val="single"/>
          </w:rPr>
          <w:t>[ASAP] 通过高CuI含量和分子修饰的铜基催化剂增强的H2O活化实现CO2选择性电合成乙醇</w:t>
        </w:r>
      </w:hyperlink>
    </w:p>
    <w:p>
      <w:pPr>
        <w:spacing w:before="0" w:after="80"/>
      </w:pPr>
      <w:r>
        <w:rPr>
          <w:i/>
          <w:sz w:val="20"/>
        </w:rPr>
        <w:t>EN: [ASAP] Selective Electrosynthesis of Ethanol from CO2 Enabled by High CuI Content and Enhanced H2O Activation of Molecularly Modified Cu-Based Catalyst</w:t>
      </w:r>
    </w:p>
    <w:p>
      <w:pPr>
        <w:spacing w:before="0" w:after="120"/>
      </w:pPr>
      <w:r>
        <w:rPr>
          <w:b/>
        </w:rPr>
        <w:t xml:space="preserve">Source: </w:t>
      </w:r>
      <w:r>
        <w:t>Journal of the American Chemical Society: Latest Articles (ACS Publications)</w:t>
      </w:r>
      <w:r>
        <w:t xml:space="preserve">    </w:t>
      </w:r>
      <w:r>
        <w:rPr>
          <w:b/>
        </w:rPr>
        <w:t xml:space="preserve">Pub date: </w:t>
      </w:r>
      <w:r>
        <w:t>2026-03-30 08:52:24+00:00</w:t>
      </w:r>
      <w:r>
        <w:t xml:space="preserve">    </w:t>
      </w:r>
      <w:r>
        <w:rPr>
          <w:b/>
        </w:rPr>
        <w:t xml:space="preserve">DOI: </w:t>
      </w:r>
      <w:hyperlink r:id="rId154">
        <w:r>
          <w:rPr>
            <w:color w:val="1155CC"/>
            <w:u w:val="single"/>
          </w:rPr>
          <w:t>10.1021/jacs.5c19695</w:t>
        </w:r>
      </w:hyperlink>
    </w:p>
    <w:p>
      <w:pPr>
        <w:spacing w:before="0" w:after="120"/>
      </w:pPr>
      <w:r>
        <w:rPr>
          <w:b/>
        </w:rPr>
        <w:t xml:space="preserve">Notes: </w:t>
      </w:r>
      <w:r>
        <w:t>abstract_source=pubmed</w:t>
      </w:r>
    </w:p>
    <w:p>
      <w:pPr>
        <w:spacing w:before="0" w:after="80" w:lineRule="auto" w:line="276"/>
      </w:pPr>
      <w:r>
        <w:rPr>
          <w:b/>
        </w:rPr>
        <w:t xml:space="preserve">摘要（ZH）: </w:t>
      </w:r>
      <w:r>
        <w:t>从CO2和水电催化合成乙醇是一种在生产增值化学品的同时闭合碳循环的有前途的策略。然而，特别是在高电流密度下，高选择性生产乙醇仍然是一个巨大的挑战。在这项工作中，我们通过在Cu2O表面覆盖一层配位络合物来设计一系列铜（Cu）基催化剂，以稳定CO2电还原过程中的CuI。通过调节覆盖率，CuI的原子百分比可以从9.7%调节到83.6%，其CO2电还原为乙醇的选择性可以从6.1%提高到56.8%，并且观察到CuI原子百分比与乙醇选择性之间的线性相关性。值得注意的是，最佳的（CuI）83.6/Cu+BTEC表现出87.3%的C2+法拉第效率（FE）</w:t>
      </w:r>
    </w:p>
    <w:p>
      <w:pPr>
        <w:spacing w:before="0" w:after="200" w:lineRule="auto" w:line="276"/>
      </w:pPr>
      <w:r>
        <w:rPr>
          <w:b/>
        </w:rPr>
        <w:t xml:space="preserve">Abstract (EN): </w:t>
      </w:r>
      <w:r>
        <w:t>Electrocatalytic synthesis of ethanol from CO2 and water is a promising strategy to close the carbon cycle while producing value-added chemicals. However, highly selective production of ethanol remains an enormous challenge especially at high current density. In this work, we design a series of copper (Cu)-based catalysts by covering a layer of coordination complex on the surface of Cu2O to stabilize CuI in the CO2 electroreduction process. By tuning the coverage, the atomic percent of CuI can be regulated from 9.7 to 83.6%, their selectivity for CO2 electroreduction to ethanol may be improved from 6.1 to 56.8%, and a linear correlation is observed between the CuI atomic percent and ethanol selectivity. Notably, the optimal (CuI)83.6/Cu+BTEC exhibits a C2+ Faradaic efficiency (FE) of 87.3% with a partial current density of 676.0 mA cm-2. In particular, the ethanol FE is 56.8%, and the partial current density is up to 439.8 mA cm-2, which is close to the record value reported previously, and the catalyst is stable in 110 h electrolysis. In situ spectroscopy techniques and DFT calculations reveal that the catalyst reduces the energy barrier of *COatop-*COH coupling, stabilizes the selectivity-determining intermediate CH3CHO*, and accelerates the dissociation of water molecules into active hydrogen (*H), thus resulting in an excellent selective production of ethanol.</w:t>
      </w:r>
    </w:p>
    <w:p>
      <w:pPr>
        <w:spacing w:before="120" w:after="120"/>
      </w:pPr>
      <w:r>
        <w:rPr>
          <w:sz w:val="18"/>
        </w:rPr>
        <w:t>——————————————————————————————————————————————————————————————————————</w:t>
      </w:r>
    </w:p>
    <w:p>
      <w:pPr>
        <w:spacing w:before="160" w:after="40" w:line="240" w:lineRule="auto"/>
      </w:pPr>
      <w:r>
        <w:rPr>
          <w:b/>
        </w:rPr>
        <w:t xml:space="preserve">[8] </w:t>
      </w:r>
      <w:hyperlink r:id="rId155">
        <w:r>
          <w:rPr>
            <w:color w:val="1155CC"/>
            <w:u w:val="single"/>
          </w:rPr>
          <w:t>用于分布式氢气生产的模块化PEM电解系统的技术经济优化</w:t>
        </w:r>
      </w:hyperlink>
    </w:p>
    <w:p>
      <w:pPr>
        <w:spacing w:before="0" w:after="80"/>
      </w:pPr>
      <w:r>
        <w:rPr>
          <w:i/>
          <w:sz w:val="20"/>
        </w:rPr>
        <w:t>EN: Techno-economic optimization of a modular PEM electrolysis system for distributed hydrogen production</w:t>
      </w:r>
    </w:p>
    <w:p>
      <w:pPr>
        <w:spacing w:before="0" w:after="120"/>
      </w:pPr>
      <w:r>
        <w:rPr>
          <w:b/>
        </w:rPr>
        <w:t xml:space="preserve">Source: </w:t>
      </w:r>
      <w:r>
        <w:t>ScienceDirect Publication: Applied Energy</w:t>
      </w:r>
      <w:r>
        <w:t xml:space="preserve">    </w:t>
      </w:r>
      <w:r>
        <w:rPr>
          <w:b/>
        </w:rPr>
        <w:t xml:space="preserve">Pub date: </w:t>
      </w:r>
      <w:r>
        <w:t>2026-03-31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56">
        <w:r>
          <w:rPr>
            <w:color w:val="1155CC"/>
            <w:u w:val="single"/>
          </w:rPr>
          <w:t>绿色氢气的先进国家地图集和出口展望：阿尔及利亚案例</w:t>
        </w:r>
      </w:hyperlink>
    </w:p>
    <w:p>
      <w:pPr>
        <w:spacing w:before="0" w:after="80"/>
      </w:pPr>
      <w:r>
        <w:rPr>
          <w:i/>
          <w:sz w:val="20"/>
        </w:rPr>
        <w:t>EN: Advanced national Atlas and Export outlook of green hydrogen: The Algerian case</w:t>
      </w:r>
    </w:p>
    <w:p>
      <w:pPr>
        <w:spacing w:before="0" w:after="120"/>
      </w:pPr>
      <w:r>
        <w:rPr>
          <w:b/>
        </w:rPr>
        <w:t xml:space="preserve">Source: </w:t>
      </w:r>
      <w:r>
        <w:t>ScienceDirect Publication: Applied Energy</w:t>
      </w:r>
      <w:r>
        <w:t xml:space="preserve">    </w:t>
      </w:r>
      <w:r>
        <w:rPr>
          <w:b/>
        </w:rPr>
        <w:t xml:space="preserve">Pub date: </w:t>
      </w:r>
      <w:r>
        <w:t>2026-03-31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57">
        <w:r>
          <w:rPr>
            <w:color w:val="1155CC"/>
            <w:u w:val="single"/>
          </w:rPr>
          <w:t>水电解槽氢气生产的传质增强研究进展综述</w:t>
        </w:r>
      </w:hyperlink>
    </w:p>
    <w:p>
      <w:pPr>
        <w:spacing w:before="0" w:after="80"/>
      </w:pPr>
      <w:r>
        <w:rPr>
          <w:i/>
          <w:sz w:val="20"/>
        </w:rPr>
        <w:t>EN: A review of research progress in mass transfer enhancement of water electrolyzer for hydrogen production</w:t>
      </w:r>
    </w:p>
    <w:p>
      <w:pPr>
        <w:spacing w:before="0" w:after="120"/>
      </w:pPr>
      <w:r>
        <w:rPr>
          <w:b/>
        </w:rPr>
        <w:t xml:space="preserve">Source: </w:t>
      </w:r>
      <w:r>
        <w:t>ScienceDirect Publication: Applied Energy</w:t>
      </w:r>
      <w:r>
        <w:t xml:space="preserve">    </w:t>
      </w:r>
      <w:r>
        <w:rPr>
          <w:b/>
        </w:rPr>
        <w:t xml:space="preserve">Pub date: </w:t>
      </w:r>
      <w:r>
        <w:t>2026-03-31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58">
        <w:r>
          <w:rPr>
            <w:color w:val="1155CC"/>
            <w:u w:val="single"/>
          </w:rPr>
          <w:t>用于高效氨生产的电化学重构三元异质结构在不对称海水基电合成反应器中的应用</w:t>
        </w:r>
      </w:hyperlink>
    </w:p>
    <w:p>
      <w:pPr>
        <w:spacing w:before="0" w:after="80"/>
      </w:pPr>
      <w:r>
        <w:rPr>
          <w:i/>
          <w:sz w:val="20"/>
        </w:rPr>
        <w:t>EN: An Electrochemically Reconstructed Ternary Heterostructure for Efficient Ammonia Production in an Asymmetric Seawater‐Based Electrosynthesis Reactor</w:t>
      </w:r>
    </w:p>
    <w:p>
      <w:pPr>
        <w:spacing w:before="0" w:after="120"/>
      </w:pPr>
      <w:r>
        <w:rPr>
          <w:b/>
        </w:rPr>
        <w:t xml:space="preserve">Source: </w:t>
      </w:r>
      <w:r>
        <w:t>Wiley: Advanced Energy Materials: Table of Contents</w:t>
      </w:r>
      <w:r>
        <w:t xml:space="preserve">    </w:t>
      </w:r>
      <w:r>
        <w:rPr>
          <w:b/>
        </w:rPr>
        <w:t xml:space="preserve">Pub date: </w:t>
      </w:r>
      <w:r>
        <w:t>2026-03-31 06:01:06+00:00</w:t>
      </w:r>
      <w:r>
        <w:t xml:space="preserve">    </w:t>
      </w:r>
      <w:r>
        <w:rPr>
          <w:b/>
        </w:rPr>
        <w:t xml:space="preserve">DOI: </w:t>
      </w:r>
      <w:hyperlink r:id="rId159">
        <w:r>
          <w:rPr>
            <w:color w:val="1155CC"/>
            <w:u w:val="single"/>
          </w:rPr>
          <w:t>10.1002/aenm.70885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硝酸盐还原反应（NO3−RR）与基于海水的电合成系统耦合，为同时生产氨（NH3）和活性氯（AC）提供了一种可持续的方法，但实际应用仍受限于NO3−RR的复杂多电子-质子耦合。在此，我们开发了一种钴-铜掺杂的W2N3（CoCu-W2N3）前催化剂，可以电化学重构为Cu</w:t>
      </w:r>
    </w:p>
    <w:p>
      <w:pPr>
        <w:spacing w:before="0" w:after="200" w:lineRule="auto" w:line="276"/>
      </w:pPr>
      <w:r>
        <w:rPr>
          <w:b/>
        </w:rPr>
        <w:t xml:space="preserve">Abstract (EN): </w:t>
      </w:r>
      <w:r>
        <w:t>Coupling the nitrate reduction reaction (NO</w:t>
      </w:r>
      <w:r>
        <w:rPr>
          <w:vertAlign w:val="subscript"/>
        </w:rPr>
        <w:t>3</w:t>
      </w:r>
      <w:r>
        <w:t>−</w:t>
      </w:r>
      <w:r>
        <w:t>RR) with seawater‐based electrosynthesis systems provides a sustainable way for simultaneous ammonia (NH</w:t>
      </w:r>
      <w:r>
        <w:rPr>
          <w:vertAlign w:val="subscript"/>
        </w:rPr>
        <w:t>3</w:t>
      </w:r>
      <w:r>
        <w:t>) production and active chlorine (AC), yet practical implementation remains limited by the complex multielectron‐proton coupling of NO</w:t>
      </w:r>
      <w:r>
        <w:rPr>
          <w:vertAlign w:val="subscript"/>
        </w:rPr>
        <w:t>3</w:t>
      </w:r>
      <w:r>
        <w:t>−</w:t>
      </w:r>
      <w:r>
        <w:t>RR. Herein, we develop a cobalt‐copper doped W</w:t>
      </w:r>
      <w:r>
        <w:rPr>
          <w:vertAlign w:val="subscript"/>
        </w:rPr>
        <w:t>2</w:t>
      </w:r>
      <w:r>
        <w:t>N</w:t>
      </w:r>
      <w:r>
        <w:rPr>
          <w:vertAlign w:val="subscript"/>
        </w:rPr>
        <w:t>3</w:t>
      </w:r>
      <w:r>
        <w:t>(CoCu‐W</w:t>
      </w:r>
      <w:r>
        <w:rPr>
          <w:vertAlign w:val="subscript"/>
        </w:rPr>
        <w:t>2</w:t>
      </w:r>
      <w:r>
        <w:t>N</w:t>
      </w:r>
      <w:r>
        <w:rPr>
          <w:vertAlign w:val="subscript"/>
        </w:rPr>
        <w:t>3</w:t>
      </w:r>
      <w:r>
        <w:t>) precatalyst that can be electrochemically reconstructed into a Cu</w:t>
      </w:r>
      <w:r>
        <w:t xml:space="preserve"> </w:t>
      </w:r>
      <w:r>
        <w:t>0/1+</w:t>
      </w:r>
      <w:r>
        <w:t xml:space="preserve"> </w:t>
      </w:r>
      <w:r>
        <w:t>‐Co(OH)</w:t>
      </w:r>
      <w:r>
        <w:rPr>
          <w:vertAlign w:val="subscript"/>
        </w:rPr>
        <w:t>2</w:t>
      </w:r>
      <w:r>
        <w:t>‐W</w:t>
      </w:r>
      <w:r>
        <w:rPr>
          <w:vertAlign w:val="subscript"/>
        </w:rPr>
        <w:t>2</w:t>
      </w:r>
      <w:r>
        <w:t>N</w:t>
      </w:r>
      <w:r>
        <w:rPr>
          <w:vertAlign w:val="subscript"/>
        </w:rPr>
        <w:t>3</w:t>
      </w:r>
      <w:r>
        <w:t>ternary heterostructure with enhanced NO</w:t>
      </w:r>
      <w:r>
        <w:rPr>
          <w:vertAlign w:val="subscript"/>
        </w:rPr>
        <w:t>3</w:t>
      </w:r>
      <w:r>
        <w:t>−</w:t>
      </w:r>
      <w:r>
        <w:t>RR performance. This ternary heterostructure enables coordinated deoxygenation, intermediates transfer, and hydrogenation throughout the NO</w:t>
      </w:r>
      <w:r>
        <w:rPr>
          <w:vertAlign w:val="subscript"/>
        </w:rPr>
        <w:t>3</w:t>
      </w:r>
      <w:r>
        <w:t>−</w:t>
      </w:r>
      <w:r>
        <w:t>RR process. As a result, the catalyst achieves an NH</w:t>
      </w:r>
      <w:r>
        <w:rPr>
          <w:vertAlign w:val="subscript"/>
        </w:rPr>
        <w:t>3</w:t>
      </w:r>
      <w:r>
        <w:t>Faradaic efficiency (FE) of over 96% and maintains stable operation for 348 h. To enhance its practical applicability, we designed a seawater‐based bipolar‐membrane system coupling NO</w:t>
      </w:r>
      <w:r>
        <w:rPr>
          <w:vertAlign w:val="subscript"/>
        </w:rPr>
        <w:t>3</w:t>
      </w:r>
      <w:r>
        <w:t>−</w:t>
      </w:r>
      <w:r>
        <w:t>RR with AC generation. The system achieved an NH</w:t>
      </w:r>
      <w:r>
        <w:rPr>
          <w:vertAlign w:val="subscript"/>
        </w:rPr>
        <w:t>3</w:t>
      </w:r>
      <w:r>
        <w:t>Faradaic efficiency greater than 90% at 120 mA cm</w:t>
      </w:r>
      <w:r>
        <w:t xml:space="preserve"> </w:t>
      </w:r>
      <w:r>
        <w:t>−2</w:t>
      </w:r>
      <w:r>
        <w:t xml:space="preserve"> </w:t>
      </w:r>
      <w:r>
        <w:t>while simultaneously producing a disinfectant suitable for medical environment applications. Techno‐economic analysis estimates that the cost of producing a kilogram of NH</w:t>
      </w:r>
      <w:r>
        <w:rPr>
          <w:vertAlign w:val="subscript"/>
        </w:rPr>
        <w:t>3</w:t>
      </w:r>
      <w:r>
        <w:t>using this system is US$2.37, with further cost reduction potential unlocked by pairing nitrate‐rich wastewater and surplus renewable energy.</w:t>
      </w:r>
    </w:p>
    <w:p>
      <w:pPr>
        <w:spacing w:before="120" w:after="120"/>
      </w:pPr>
      <w:r>
        <w:rPr>
          <w:sz w:val="18"/>
        </w:rPr>
        <w:t>——————————————————————————————————————————————————————————————————————</w:t>
      </w:r>
    </w:p>
    <w:p>
      <w:pPr>
        <w:spacing w:before="160" w:after="40" w:line="240" w:lineRule="auto"/>
      </w:pPr>
      <w:r>
        <w:rPr>
          <w:b/>
        </w:rPr>
        <w:t xml:space="preserve">[12] </w:t>
      </w:r>
      <w:hyperlink r:id="rId160">
        <w:r>
          <w:rPr>
            <w:color w:val="1155CC"/>
            <w:u w:val="single"/>
          </w:rPr>
          <w:t>[ASAP] 仅含银的天线-反应器催化剂上的太阳能驱动氨合成</w:t>
        </w:r>
      </w:hyperlink>
    </w:p>
    <w:p>
      <w:pPr>
        <w:spacing w:before="0" w:after="80"/>
      </w:pPr>
      <w:r>
        <w:rPr>
          <w:i/>
          <w:sz w:val="20"/>
        </w:rPr>
        <w:t>EN: [ASAP] Solar-Driven Ammonia Synthesis over a Silver-Only Antenna–Reactor Catalyst</w:t>
      </w:r>
    </w:p>
    <w:p>
      <w:pPr>
        <w:spacing w:before="0" w:after="120"/>
      </w:pPr>
      <w:r>
        <w:rPr>
          <w:b/>
        </w:rPr>
        <w:t xml:space="preserve">Source: </w:t>
      </w:r>
      <w:r>
        <w:t>Journal of the American Chemical Society: Latest Articles (ACS Publications)</w:t>
      </w:r>
      <w:r>
        <w:t xml:space="preserve">    </w:t>
      </w:r>
      <w:r>
        <w:rPr>
          <w:b/>
        </w:rPr>
        <w:t xml:space="preserve">Pub date: </w:t>
      </w:r>
      <w:r>
        <w:t>2026-03-31 11:53:22+00:00</w:t>
      </w:r>
      <w:r>
        <w:t xml:space="preserve">    </w:t>
      </w:r>
      <w:r>
        <w:rPr>
          <w:b/>
        </w:rPr>
        <w:t xml:space="preserve">DOI: </w:t>
      </w:r>
      <w:hyperlink r:id="rId161">
        <w:r>
          <w:rPr>
            <w:color w:val="1155CC"/>
            <w:u w:val="single"/>
          </w:rPr>
          <w:t>10.1021/jacs.5c22728</w:t>
        </w:r>
      </w:hyperlink>
    </w:p>
    <w:p>
      <w:pPr>
        <w:spacing w:before="0" w:after="120"/>
      </w:pPr>
      <w:r>
        <w:rPr>
          <w:b/>
        </w:rPr>
        <w:t xml:space="preserve">Notes: </w:t>
      </w:r>
      <w:r>
        <w:t>abstract_source=pubmed</w:t>
      </w:r>
    </w:p>
    <w:p>
      <w:pPr>
        <w:spacing w:before="0" w:after="80" w:lineRule="auto" w:line="276"/>
      </w:pPr>
      <w:r>
        <w:rPr>
          <w:b/>
        </w:rPr>
        <w:t xml:space="preserve">摘要（ZH）: </w:t>
      </w:r>
      <w:r>
        <w:t>光催化氨合成是 Haber-Bosch 的潜在替代方案，但受限于低的太阳能到氨(STA)效率。我们报告了一种阳光驱动的等离子体天线-反应器催化剂，仅使用0.1 wt %的Ag沉积在蜂窝状AAO板上形成约200 nm的活性层。AAO孔捕获/回收光用于光子级联收集，而&gt;10 nm的Ag“天线”将近场集中到相邻的≤5 nm的Ag“反应器”上，这些反应器富含低配位位点，直接将光捕获与键激活耦合。在集中自然阳光(约4个太阳)下，反应器自加热至约150 °C，0.5 MPa(1:3 N2/H2)，并实现了5.6 × 10-3 s-1的高金属归一化速率，超过了工业Fe在450 °C/9 MPa下的金属归一化基准。在模拟阳光下(200 °C, 0.4 MPa)，它</w:t>
      </w:r>
    </w:p>
    <w:p>
      <w:pPr>
        <w:spacing w:before="0" w:after="200" w:lineRule="auto" w:line="276"/>
      </w:pPr>
      <w:r>
        <w:rPr>
          <w:b/>
        </w:rPr>
        <w:t xml:space="preserve">Abstract (EN): </w:t>
      </w:r>
      <w:r>
        <w:t>Photocatalytic ammonia synthesis is a potential alternative to Haber-Bosch but is limited by low solar-to-ammonia (STA) efficiency. We report a sunlight-driven, plasmonic antenna-reactor catalyst using just 0.1 wt % Ag deposited on a honeycomb AAO plate to form a ∼200 nm active layer. AAO pores trap/recycle light for photon-cascade harvesting, while &gt;10 nm Ag "antennas" concentrate near-fields onto adjacent ≤5 nm Ag "reactors" enriched in low-coordination sites, directly coupling light capture to bond activation. Under concentrating natural sunlight (∼4 suns), the reactor self-heats to ∼150 °C at 0.5 MPa (1:3 N2/H2) and achieves a high metal-normalized rate of 5.6 × 10-3 s-1, exceeding industrial Fe at 450 °C/9 MPa on a metal-normalized basis. Under simulated sunlight (200 °C, 0.4 MPa), it reaches 159 mmol gAg-1 h-1 for 200 h, with STA = 0.149% and AQE = 1.34% (575 nm). Density functional theory (DFT) and experiments support plasmon-assisted H2 dissociation and associative N2 hydrogenation (NNH*, N2Hx), overturning Ag's presumed inertness.</w:t>
      </w:r>
    </w:p>
    <w:p>
      <w:pPr>
        <w:spacing w:before="120" w:after="120"/>
      </w:pPr>
      <w:r>
        <w:rPr>
          <w:sz w:val="18"/>
        </w:rPr>
        <w:t>——————————————————————————————————————————————————————————————————————</w:t>
      </w:r>
    </w:p>
    <w:p>
      <w:pPr>
        <w:spacing w:before="160" w:after="40" w:line="240" w:lineRule="auto"/>
      </w:pPr>
      <w:r>
        <w:rPr>
          <w:b/>
        </w:rPr>
        <w:t xml:space="preserve">[13] </w:t>
      </w:r>
      <w:hyperlink r:id="rId162">
        <w:r>
          <w:rPr>
            <w:color w:val="1155CC"/>
            <w:u w:val="single"/>
          </w:rPr>
          <w:t>通过BPM电解CO2捕获和醛溶液实现低电压合成气合成</w:t>
        </w:r>
      </w:hyperlink>
    </w:p>
    <w:p>
      <w:pPr>
        <w:spacing w:before="0" w:after="80"/>
      </w:pPr>
      <w:r>
        <w:rPr>
          <w:i/>
          <w:sz w:val="20"/>
        </w:rPr>
        <w:t>EN: Low-voltage syngas synthesis via BPM electrolysis of CO2 capture and aldehyde solution</w:t>
      </w:r>
    </w:p>
    <w:p>
      <w:pPr>
        <w:spacing w:before="0" w:after="120"/>
      </w:pPr>
      <w:r>
        <w:rPr>
          <w:b/>
        </w:rPr>
        <w:t xml:space="preserve">Source: </w:t>
      </w:r>
      <w:r>
        <w:t>RSC - Energy Environ. Sci. latest articles</w:t>
      </w:r>
      <w:r>
        <w:t xml:space="preserve">    </w:t>
      </w:r>
      <w:r>
        <w:rPr>
          <w:b/>
        </w:rPr>
        <w:t xml:space="preserve">Pub date: </w:t>
      </w:r>
      <w:r>
        <w:t>2026-03-31 23:00:00+00:00</w:t>
      </w:r>
    </w:p>
    <w:p>
      <w:pPr>
        <w:spacing w:before="0" w:after="120"/>
      </w:pPr>
      <w:r>
        <w:rPr>
          <w:b/>
        </w:rPr>
        <w:t xml:space="preserve">Notes: </w:t>
      </w:r>
      <w:r>
        <w:t>abstract_source=rsc_html</w:t>
      </w:r>
    </w:p>
    <w:p>
      <w:pPr>
        <w:spacing w:before="0" w:after="80" w:lineRule="auto" w:line="276"/>
      </w:pPr>
      <w:r>
        <w:rPr>
          <w:b/>
        </w:rPr>
        <w:t xml:space="preserve">摘要（ZH）: </w:t>
      </w:r>
      <w:r>
        <w:t>我们展示了一种电化学合成气生产平台，该平台将碳酸氢盐电解与甲醛氧化结合在双极膜电极组件中。与传统的CO2电解相比，这一策略通过在阴极生成CO和在阳极生成H2，使合成气（CO + H2）吞吐量翻倍。该系统在工业相关电流密度200 mA cm−2下运行时，实现了1.7 V的全电池电压。系统在8小时内保持了200%的法拉第效率。该过程产生的合成气具有1:1的H2:CO比例，符合费托合成的下游要求。我们进一步研究了Cu阳极活性位点和电解质组成如何影响甲醛氧化活性。我们的集成电解系统减少了</w:t>
      </w:r>
    </w:p>
    <w:p>
      <w:pPr>
        <w:spacing w:before="0" w:after="200" w:lineRule="auto" w:line="276"/>
      </w:pPr>
      <w:r>
        <w:rPr>
          <w:b/>
        </w:rPr>
        <w:t xml:space="preserve">Abstract (EN): </w:t>
      </w:r>
      <w:r>
        <w:t>We demonstrate an electrochemical syngas production platform that couples bicarbonate electrolysis with formaldehyde oxidation in a bipolar membrane electrode assembly. This strategy doubles syngas (CO + H2) throughput compared to conventional CO2 electrolysis by generating CO at the cathode and H2 at the anode. The system achieves a full-cell voltage of 1.7 V while operating at an industrially relevant current density of 200 mA cm−2. The system maintained a combined Faradaic efficiency of 200% over 8 hours. The process produces syngas with a 1 : 1 H2 : CO ratio, aligning with downstream requirements for Fischer–Tropsch synthesis. We further investigated how Cu anode active sites and electrolyte composition affect formaldehyde oxidation activity. Our integrated electrolytic system reduces levelized energy by 45–61% relative to conventional electrochemical syngas production platforms.</w:t>
      </w:r>
    </w:p>
    <w:p>
      <w:pPr>
        <w:spacing w:before="120" w:after="120"/>
      </w:pPr>
      <w:r>
        <w:rPr>
          <w:sz w:val="18"/>
        </w:rPr>
        <w:t>——————————————————————————————————————————————————————————————————————</w:t>
      </w:r>
    </w:p>
    <w:p>
      <w:pPr>
        <w:spacing w:before="160" w:after="40" w:line="240" w:lineRule="auto"/>
      </w:pPr>
      <w:r>
        <w:rPr>
          <w:b/>
        </w:rPr>
        <w:t xml:space="preserve">[14] </w:t>
      </w:r>
      <w:hyperlink r:id="rId163">
        <w:r>
          <w:rPr>
            <w:color w:val="1155CC"/>
            <w:u w:val="single"/>
          </w:rPr>
          <w:t>羟基诱导的钴氧化物用于合成气到轻烯烃</w:t>
        </w:r>
      </w:hyperlink>
    </w:p>
    <w:p>
      <w:pPr>
        <w:spacing w:before="0" w:after="80"/>
      </w:pPr>
      <w:r>
        <w:rPr>
          <w:i/>
          <w:sz w:val="20"/>
        </w:rPr>
        <w:t>EN: Hydroxy-induced cobalt oxides for syngas to light olefins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164">
        <w:r>
          <w:rPr>
            <w:color w:val="1155CC"/>
            <w:u w:val="single"/>
          </w:rPr>
          <w:t>10.1038/s41586-026-10204-4</w:t>
        </w:r>
      </w:hyperlink>
    </w:p>
    <w:p>
      <w:pPr>
        <w:spacing w:before="0" w:after="120"/>
      </w:pPr>
      <w:r>
        <w:rPr>
          <w:b/>
        </w:rPr>
        <w:t xml:space="preserve">Notes: </w:t>
      </w:r>
      <w:r>
        <w:t>abstract_source=nature_html</w:t>
      </w:r>
    </w:p>
    <w:p>
      <w:pPr>
        <w:spacing w:before="0" w:after="80" w:lineRule="auto" w:line="276"/>
      </w:pPr>
      <w:r>
        <w:rPr>
          <w:b/>
        </w:rPr>
        <w:t xml:space="preserve">摘要（ZH）: </w:t>
      </w:r>
      <w:r>
        <w:t>轻烯烃——乙烯、丙烯和丁烯（C2=–C4=）是化学工业中的基本构件，传统上通过热裂解或催化裂解碳氢化合物原料生产。在温和条件下直接将合成气（CO和H2）转化为轻烯烃具有吸引力但具有挑战性1,2,3,4。棱柱形碳化钴（Co2C）及其相关的疏水改性在温和条件下选择性合成轻烯烃方面显示出潜力5,6。在此，我们展示了另一种亲水促进策略，其中一组羟基促进剂，以羟基磷灰石（Ca5(PO4)3(OH), HAP）、气相二氧化硅（SiO2(F)）和无定形勃姆石（AlO(OH), AB）为例，与Co2MnO4前体物理混合，诱导协同的钴-锰（Co–Mn）氧化物和Co2C用于合成气</w:t>
      </w:r>
    </w:p>
    <w:p>
      <w:pPr>
        <w:spacing w:before="0" w:after="200" w:lineRule="auto" w:line="276"/>
      </w:pPr>
      <w:r>
        <w:rPr>
          <w:b/>
        </w:rPr>
        <w:t xml:space="preserve">Abstract (EN): </w:t>
      </w:r>
      <w:r>
        <w:t>Light olefins—ethylene, propylene and butylene (C2=–C4=)—are essential building blocks in the chemicals industry and are traditionally produced by thermal or catalytic cracking of hydrocarbon feedstocks. Directly converting syngas (CO and H2) into light olefins under mild conditions is attractive but challenging1,2,3,4. Prismatic cobalt carbide (Co2C) and associated hydrophobic modifications have shown potential for selective light-olefin synthesis under mild conditions5,6. Here we show another hydrophilic-promotion strategy in which a set of hydroxy promoters, exemplified by hydroxyapatite (Ca5(PO4)3(OH), HAP), fumed silica (SiO2(F)) and amorphous boehmite (AlO(OH), AB), is physically mixed with a Co2MnO4 precursor, inducing synergistic cobalt–manganese (Co–Mn) oxides and Co2C for syngas conversion. The induced anorthic Co–Mn oxides may serve as active phase for adsorbed-hydrogen-assisted CO dissociation to CHx/CHxO intermediates, whereas induced Co2C or the Co2C–oxide interface may mediate C–C coupling of these intermediates to form light olefins. This design achieved 70–82% CO conversion with light-olefins selectivity of more than 60% at 250–260 °C, 0.1 MPa with H2/CO ratios of 1–2, giving light-olefins carbon utilization efficiency up to 13%, among the highest reported for syngas to light olefins. This simple hydrophilic strategy for facilitating CO activation may provide useful insights for improving industrial Fischer–Tropsch processes.</w:t>
      </w:r>
    </w:p>
    <w:p>
      <w:pPr>
        <w:spacing w:before="120" w:after="120"/>
      </w:pPr>
      <w:r>
        <w:rPr>
          <w:sz w:val="18"/>
        </w:rPr>
        <w:t>——————————————————————————————————————————————————————————————————————</w:t>
      </w:r>
    </w:p>
    <w:p>
      <w:pPr>
        <w:spacing w:before="160" w:after="40" w:line="240" w:lineRule="auto"/>
      </w:pPr>
      <w:r>
        <w:rPr>
          <w:b/>
        </w:rPr>
        <w:t xml:space="preserve">[15] </w:t>
      </w:r>
      <w:hyperlink r:id="rId165">
        <w:r>
          <w:rPr>
            <w:color w:val="1155CC"/>
            <w:u w:val="single"/>
          </w:rPr>
          <w:t>用于电催化的4H相高熵合金的合成</w:t>
        </w:r>
      </w:hyperlink>
    </w:p>
    <w:p>
      <w:pPr>
        <w:spacing w:before="0" w:after="80"/>
      </w:pPr>
      <w:r>
        <w:rPr>
          <w:i/>
          <w:sz w:val="20"/>
        </w:rPr>
        <w:t>EN: Synthesis of 4H-phase high-entropy alloys for electrocatalysis</w:t>
      </w:r>
    </w:p>
    <w:p>
      <w:pPr>
        <w:spacing w:before="0" w:after="120"/>
      </w:pPr>
      <w:r>
        <w:rPr>
          <w:b/>
        </w:rPr>
        <w:t xml:space="preserve">Source: </w:t>
      </w:r>
      <w:r>
        <w:t>Nature Materials</w:t>
      </w:r>
      <w:r>
        <w:t xml:space="preserve">    </w:t>
      </w:r>
      <w:r>
        <w:rPr>
          <w:b/>
        </w:rPr>
        <w:t xml:space="preserve">Pub date: </w:t>
      </w:r>
      <w:r>
        <w:t>2026-04-01 00:00:00+00:00</w:t>
      </w:r>
      <w:r>
        <w:t xml:space="preserve">    </w:t>
      </w:r>
      <w:r>
        <w:rPr>
          <w:b/>
        </w:rPr>
        <w:t xml:space="preserve">DOI: </w:t>
      </w:r>
      <w:hyperlink r:id="rId166">
        <w:r>
          <w:rPr>
            <w:color w:val="1155CC"/>
            <w:u w:val="single"/>
          </w:rPr>
          <w:t>10.1038/s41563-026-02562-1</w:t>
        </w:r>
      </w:hyperlink>
    </w:p>
    <w:p>
      <w:pPr>
        <w:spacing w:before="0" w:after="120"/>
      </w:pPr>
      <w:r>
        <w:rPr>
          <w:b/>
        </w:rPr>
        <w:t xml:space="preserve">Notes: </w:t>
      </w:r>
      <w:r>
        <w:t>abstract_source=nature_html</w:t>
      </w:r>
    </w:p>
    <w:p>
      <w:pPr>
        <w:spacing w:before="0" w:after="80" w:lineRule="auto" w:line="276"/>
      </w:pPr>
      <w:r>
        <w:rPr>
          <w:b/>
        </w:rPr>
        <w:t xml:space="preserve">摘要（ZH）: </w:t>
      </w:r>
      <w:r>
        <w:t>高熵合金（HEA）纳米材料是质子交换膜水电解器（PEMWE）的有前途的催化剂，但其晶体结构通常仅限于热力学稳定相。在此，我们使用具有不同晶相的Au纳米材料作为模板，通过一种通用且稳健的湿化学方法合成并稳定Au@HEA核壳纳米结构，其中HEA由多达十种金属元素（Ir、Pt、Ni、Fe、Co、Rh、Pd、Ru、Cu和Mn）组成。相依赖的水电解作为概念验证应用得以展示。六方密堆积4H-Au@4H-IrPtNiFeCo催化剂在酸性氢析出反应、氧析出反应和整体水电解中表现出优越的活性和稳定性。</w:t>
      </w:r>
    </w:p>
    <w:p>
      <w:pPr>
        <w:spacing w:before="0" w:after="200" w:lineRule="auto" w:line="276"/>
      </w:pPr>
      <w:r>
        <w:rPr>
          <w:b/>
        </w:rPr>
        <w:t xml:space="preserve">Abstract (EN): </w:t>
      </w:r>
      <w:r>
        <w:t>High-entropy alloy (HEA) nanomaterials are promising catalysts for proton exchange membrane water electrolysers (PEMWE), yet their crystalline structures have typically been restricted to thermodynamically stable phases. Here, using Au nanomaterials with distinct crystal phases as templates, we synthesize and stabilize Au@HEA core–shell nanostructures through a general and robust wet-chemical method in which the HEA is composed of up to ten metallic elements (Ir, Pt, Ni, Fe, Co, Rh, Pd, Ru, Cu and Mn). Phase-dependent water electrolysis is demonstrated as a proof-of-concept application. The hexagonal close-packed 4H-Au@4H-IrPtNiFeCo catalyst exhibits superior activity and stability for the acidic hydrogen evolution reaction, oxygen evolution reaction and overall water electrolysis compared with the conventional face-centred cubic IrPtNiFeCo catalyst. In a PEMWE at 60 °C, the 4H-Au@4H-IrPtNiFeCo catalyst achieves 3,000 mA cm−2 at only 1.90 V and maintains stable operation for over 1,200 h at 1,000 and 2,000 mA cm−2, with degradation rates of ~6.3 and ~15.7 µV h−1, respectively. This work offers a strategy for designing highly efficient and stable HEA catalysts with tailored phases for future practical water electrolysis.</w:t>
      </w:r>
    </w:p>
    <w:p>
      <w:pPr>
        <w:spacing w:before="120" w:after="120"/>
      </w:pPr>
      <w:r>
        <w:rPr>
          <w:sz w:val="18"/>
        </w:rPr>
        <w:t>——————————————————————————————————————————————————————————————————————</w:t>
      </w:r>
    </w:p>
    <w:p>
      <w:pPr>
        <w:spacing w:before="160" w:after="40" w:line="240" w:lineRule="auto"/>
      </w:pPr>
      <w:r>
        <w:rPr>
          <w:b/>
        </w:rPr>
        <w:t xml:space="preserve">[16] </w:t>
      </w:r>
      <w:hyperlink r:id="rId167">
        <w:r>
          <w:rPr>
            <w:color w:val="1155CC"/>
            <w:u w:val="single"/>
          </w:rPr>
          <w:t>混合电解槽系统的集成设计与控制</w:t>
        </w:r>
      </w:hyperlink>
    </w:p>
    <w:p>
      <w:pPr>
        <w:spacing w:before="0" w:after="80"/>
      </w:pPr>
      <w:r>
        <w:rPr>
          <w:i/>
          <w:sz w:val="20"/>
        </w:rPr>
        <w:t>EN: Integrated design and control of hybrid electrolyzers systems</w:t>
      </w:r>
    </w:p>
    <w:p>
      <w:pPr>
        <w:spacing w:before="0" w:after="120"/>
      </w:pPr>
      <w:r>
        <w:rPr>
          <w:b/>
        </w:rPr>
        <w:t xml:space="preserve">Source: </w:t>
      </w:r>
      <w:r>
        <w:t>Matter</w:t>
      </w:r>
      <w:r>
        <w:t xml:space="preserve">    </w:t>
      </w:r>
      <w:r>
        <w:rPr>
          <w:b/>
        </w:rPr>
        <w:t xml:space="preserve">Pub date: </w:t>
      </w:r>
      <w:r>
        <w:t>2026-04-01 00:00:00+00:00</w:t>
      </w:r>
      <w:r>
        <w:t xml:space="preserve">    </w:t>
      </w:r>
      <w:r>
        <w:rPr>
          <w:b/>
        </w:rPr>
        <w:t xml:space="preserve">DOI: </w:t>
      </w:r>
      <w:hyperlink r:id="rId168">
        <w:r>
          <w:rPr>
            <w:color w:val="1155CC"/>
            <w:u w:val="single"/>
          </w:rPr>
          <w:t>10.1016/j.matt.2026.102765</w:t>
        </w:r>
      </w:hyperlink>
    </w:p>
    <w:p>
      <w:pPr>
        <w:spacing w:before="0" w:after="120"/>
      </w:pPr>
      <w:r>
        <w:rPr>
          <w:b/>
        </w:rPr>
        <w:t xml:space="preserve">Notes: </w:t>
      </w:r>
      <w:r>
        <w:t>abstract_source=rss_cell</w:t>
      </w:r>
    </w:p>
    <w:p>
      <w:pPr>
        <w:spacing w:before="0" w:after="80" w:lineRule="auto" w:line="276"/>
      </w:pPr>
      <w:r>
        <w:rPr>
          <w:b/>
        </w:rPr>
        <w:t xml:space="preserve">摘要（ZH）: </w:t>
      </w:r>
      <w:r>
        <w:t>混合电解槽结合了质子、阴离子和双极膜系统的优势，以实现酸碱耦合和多功能电合成。其未来发展依赖于通过先进材料、架构设计和智能控制来克服离子和稳定性挑战，以实现可扩展、高效的脱碳。</w:t>
      </w:r>
    </w:p>
    <w:p>
      <w:pPr>
        <w:spacing w:before="0" w:after="200" w:lineRule="auto" w:line="276"/>
      </w:pPr>
      <w:r>
        <w:rPr>
          <w:b/>
        </w:rPr>
        <w:t xml:space="preserve">Abstract (EN): </w:t>
      </w:r>
      <w:r>
        <w:t>Hybrid electrolyzers integrate the strengths of proton-, anion-, and bipolar-membrane systems to enable acid-alkali coupling and multifunctional electrosynthesis. Their future development relies on overcoming ion and stability challenges through advanced materials, architecture design, and intelligent control for scalable, efficient decarbonization.</w:t>
      </w:r>
    </w:p>
    <w:p>
      <w:pPr>
        <w:spacing w:before="120" w:after="120"/>
      </w:pPr>
      <w:r>
        <w:rPr>
          <w:sz w:val="18"/>
        </w:rPr>
        <w:t>——————————————————————————————————————————————————————————————————————</w:t>
      </w:r>
    </w:p>
    <w:p>
      <w:pPr>
        <w:spacing w:before="160" w:after="40" w:line="240" w:lineRule="auto"/>
      </w:pPr>
      <w:r>
        <w:rPr>
          <w:b/>
        </w:rPr>
        <w:t xml:space="preserve">[17] </w:t>
      </w:r>
      <w:hyperlink r:id="rId169">
        <w:r>
          <w:rPr>
            <w:color w:val="1155CC"/>
            <w:u w:val="single"/>
          </w:rPr>
          <w:t>动态钴相变使中性介质中自适应电催化硝酸盐转化为氨成为可能</w:t>
        </w:r>
      </w:hyperlink>
    </w:p>
    <w:p>
      <w:pPr>
        <w:spacing w:before="0" w:after="80"/>
      </w:pPr>
      <w:r>
        <w:rPr>
          <w:i/>
          <w:sz w:val="20"/>
        </w:rPr>
        <w:t>EN: Dynamic Cobalt Phase Transition Enables Self‐Adaptive Electrocatalytic Nitrate‐to‐Ammonia Conversion in Neutral Media</w:t>
      </w:r>
    </w:p>
    <w:p>
      <w:pPr>
        <w:spacing w:before="0" w:after="120"/>
      </w:pPr>
      <w:r>
        <w:rPr>
          <w:b/>
        </w:rPr>
        <w:t xml:space="preserve">Source: </w:t>
      </w:r>
      <w:r>
        <w:t>Wiley: Angewandte Chemie International Edition: Table of Contents</w:t>
      </w:r>
      <w:r>
        <w:t xml:space="preserve">    </w:t>
      </w:r>
      <w:r>
        <w:rPr>
          <w:b/>
        </w:rPr>
        <w:t xml:space="preserve">Pub date: </w:t>
      </w:r>
      <w:r>
        <w:t>2026-04-01 13:39:34+00:00</w:t>
      </w:r>
      <w:r>
        <w:t xml:space="preserve">    </w:t>
      </w:r>
      <w:r>
        <w:rPr>
          <w:b/>
        </w:rPr>
        <w:t xml:space="preserve">DOI: </w:t>
      </w:r>
      <w:hyperlink r:id="rId170">
        <w:r>
          <w:rPr>
            <w:color w:val="1155CC"/>
            <w:u w:val="single"/>
          </w:rPr>
          <w:t>10.1002/anie.9755292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电催化硝酸盐 (NO3−) 还原为氨 (NH3) 代表了一种可持续的资源回收和废水处理途径。然而，其在典型的中性介质中的应用受到弱 NO3− 吸附和质子稀缺的限制，这需要高过电位，从而促进竞争的氢析出反应 (HER) 并降低选择性。在此，我们通过使用缺陷工程的 Co3O4-x 的动态相变策略克服了这一困境。</w:t>
      </w:r>
    </w:p>
    <w:p>
      <w:pPr>
        <w:spacing w:before="0" w:after="200" w:lineRule="auto" w:line="276"/>
      </w:pPr>
      <w:r>
        <w:rPr>
          <w:b/>
        </w:rPr>
        <w:t xml:space="preserve">Abstract (EN): </w:t>
      </w:r>
      <w:r>
        <w:t>Electrocatalytic nitrate (NO</w:t>
      </w:r>
      <w:r>
        <w:rPr>
          <w:vertAlign w:val="subscript"/>
        </w:rPr>
        <w:t>3</w:t>
      </w:r>
      <w:r>
        <w:t>−</w:t>
      </w:r>
      <w:r>
        <w:t>) reduction to ammonia (NH</w:t>
      </w:r>
      <w:r>
        <w:rPr>
          <w:vertAlign w:val="subscript"/>
        </w:rPr>
        <w:t>3</w:t>
      </w:r>
      <w:r>
        <w:t>) represents a sustainable pathway for resource recovery and wastewater treatment. However, its application in neutral media typical of real wastewater sources is constrained by weak NO</w:t>
      </w:r>
      <w:r>
        <w:rPr>
          <w:vertAlign w:val="subscript"/>
        </w:rPr>
        <w:t>3</w:t>
      </w:r>
      <w:r>
        <w:t>−</w:t>
      </w:r>
      <w:r>
        <w:t>adsorption and proton scarcity, which necessitate high overpotentials that promote the competing hydrogen evolution reaction (HER) and lower selectivity. Here, we overcome this dilemma through a dynamic phase‐transition strategy using a defect‐engineered Co</w:t>
      </w:r>
      <w:r>
        <w:rPr>
          <w:vertAlign w:val="subscript"/>
        </w:rPr>
        <w:t>3</w:t>
      </w:r>
      <w:r>
        <w:t>O</w:t>
      </w:r>
      <w:r>
        <w:t xml:space="preserve"> </w:t>
      </w:r>
      <w:r>
        <w:t>4‐x</w:t>
      </w:r>
      <w:r>
        <w:t xml:space="preserve"> </w:t>
      </w:r>
      <w:r>
        <w:t>catalyst, which achieves ∼100% Faradaic efficiency with a high NH</w:t>
      </w:r>
      <w:r>
        <w:rPr>
          <w:vertAlign w:val="subscript"/>
        </w:rPr>
        <w:t>3</w:t>
      </w:r>
      <w:r>
        <w:t>yield rate of 11.6 mg h</w:t>
      </w:r>
      <w:r>
        <w:t xml:space="preserve"> </w:t>
      </w:r>
      <w:r>
        <w:t>−1</w:t>
      </w:r>
      <w:r>
        <w:t xml:space="preserve"> </w:t>
      </w:r>
      <w:r>
        <w:t>cm</w:t>
      </w:r>
      <w:r>
        <w:t xml:space="preserve"> </w:t>
      </w:r>
      <w:r>
        <w:t>−2</w:t>
      </w:r>
      <w:r>
        <w:t xml:space="preserve"> </w:t>
      </w:r>
      <w:r>
        <w:t>at −0.5 V versus RHE in neutral electrolyte. Operando spectroscopy and theoretical calculations reveal an electrochemically reversible phase transition, wherein cathodic potential reduces Co</w:t>
      </w:r>
      <w:r>
        <w:t xml:space="preserve"> </w:t>
      </w:r>
      <w:r>
        <w:t>3+</w:t>
      </w:r>
      <w:r>
        <w:t xml:space="preserve"> </w:t>
      </w:r>
      <w:r>
        <w:t>to Co</w:t>
      </w:r>
      <w:r>
        <w:t xml:space="preserve"> </w:t>
      </w:r>
      <w:r>
        <w:t>2+</w:t>
      </w:r>
      <w:r>
        <w:t xml:space="preserve"> </w:t>
      </w:r>
      <w:r>
        <w:t>, forming a Co(OH)</w:t>
      </w:r>
      <w:r>
        <w:rPr>
          <w:vertAlign w:val="subscript"/>
        </w:rPr>
        <w:t>2</w:t>
      </w:r>
      <w:r>
        <w:t>intermediate that spontaneously reverts upon potential removal. This dynamic restructuring spatiotemporally decouples NO</w:t>
      </w:r>
      <w:r>
        <w:rPr>
          <w:vertAlign w:val="subscript"/>
        </w:rPr>
        <w:t>3</w:t>
      </w:r>
      <w:r>
        <w:t>−</w:t>
      </w:r>
      <w:r>
        <w:t>adsorption and hydrogenation: the Co</w:t>
      </w:r>
      <w:r>
        <w:t xml:space="preserve"> </w:t>
      </w:r>
      <w:r>
        <w:t>3+</w:t>
      </w:r>
      <w:r>
        <w:t xml:space="preserve"> </w:t>
      </w:r>
      <w:r>
        <w:t>‐rich phase captures NO</w:t>
      </w:r>
      <w:r>
        <w:rPr>
          <w:vertAlign w:val="subscript"/>
        </w:rPr>
        <w:t>3</w:t>
      </w:r>
      <w:r>
        <w:t>−</w:t>
      </w:r>
      <w:r>
        <w:t>, while the transient Co(OH)</w:t>
      </w:r>
      <w:r>
        <w:rPr>
          <w:vertAlign w:val="subscript"/>
        </w:rPr>
        <w:t>2</w:t>
      </w:r>
      <w:r>
        <w:t>activates water to supply active hydrogen for hydrogenation steps. This self‐adaptive process suppresses HER and ensures remarkable stability during 300 h of operation. The catalyst further demonstrates robust performance across diverse real wastewaters without supporting electrolytes and enables efficient NH</w:t>
      </w:r>
      <w:r>
        <w:rPr>
          <w:vertAlign w:val="subscript"/>
        </w:rPr>
        <w:t>3</w:t>
      </w:r>
      <w:r>
        <w:t>recovery. This work establishes dynamic phase engineering as a transformative design paradigm for adaptive electrocatalysts, paving the way for practical sustainable nitrogen management.</w:t>
      </w:r>
    </w:p>
    <w:p>
      <w:pPr>
        <w:spacing w:before="120" w:after="120"/>
      </w:pPr>
      <w:r>
        <w:rPr>
          <w:sz w:val="18"/>
        </w:rPr>
        <w:t>——————————————————————————————————————————————————————————————————————</w:t>
      </w:r>
    </w:p>
    <w:p>
      <w:pPr>
        <w:spacing w:before="160" w:after="40" w:line="240" w:lineRule="auto"/>
      </w:pPr>
      <w:r>
        <w:rPr>
          <w:b/>
        </w:rPr>
        <w:t xml:space="preserve">[18] </w:t>
      </w:r>
      <w:hyperlink r:id="rId171">
        <w:r>
          <w:rPr>
            <w:color w:val="1155CC"/>
            <w:u w:val="single"/>
          </w:rPr>
          <w:t>[ASAP] 可扩展的锌单原子粘合钌用于75瓦级碱性膜燃料电池堆</w:t>
        </w:r>
      </w:hyperlink>
    </w:p>
    <w:p>
      <w:pPr>
        <w:spacing w:before="0" w:after="80"/>
      </w:pPr>
      <w:r>
        <w:rPr>
          <w:i/>
          <w:sz w:val="20"/>
        </w:rPr>
        <w:t>EN: [ASAP] Scalable Zn Single Atom-Gluing Ru for 75-W-Scale Alkaline Membrane Fuel Cell Stacks</w:t>
      </w:r>
    </w:p>
    <w:p>
      <w:pPr>
        <w:spacing w:before="0" w:after="120"/>
      </w:pPr>
      <w:r>
        <w:rPr>
          <w:b/>
        </w:rPr>
        <w:t xml:space="preserve">Source: </w:t>
      </w:r>
      <w:r>
        <w:t>Journal of the American Chemical Society: Latest Articles (ACS Publications)</w:t>
      </w:r>
      <w:r>
        <w:t xml:space="preserve">    </w:t>
      </w:r>
      <w:r>
        <w:rPr>
          <w:b/>
        </w:rPr>
        <w:t xml:space="preserve">Pub date: </w:t>
      </w:r>
      <w:r>
        <w:t>2026-04-01 14:04:09+00:00</w:t>
      </w:r>
      <w:r>
        <w:t xml:space="preserve">    </w:t>
      </w:r>
      <w:r>
        <w:rPr>
          <w:b/>
        </w:rPr>
        <w:t xml:space="preserve">DOI: </w:t>
      </w:r>
      <w:hyperlink r:id="rId172">
        <w:r>
          <w:rPr>
            <w:color w:val="1155CC"/>
            <w:u w:val="single"/>
          </w:rPr>
          <w:t>10.1021/jacs.5c22364</w:t>
        </w:r>
      </w:hyperlink>
    </w:p>
    <w:p>
      <w:pPr>
        <w:spacing w:before="0" w:after="120"/>
      </w:pPr>
      <w:r>
        <w:rPr>
          <w:b/>
        </w:rPr>
        <w:t xml:space="preserve">Notes: </w:t>
      </w:r>
      <w:r>
        <w:t>abstract_source=openalex</w:t>
      </w:r>
    </w:p>
    <w:p>
      <w:pPr>
        <w:spacing w:before="0" w:after="80" w:lineRule="auto" w:line="276"/>
      </w:pPr>
      <w:r>
        <w:rPr>
          <w:b/>
        </w:rPr>
        <w:t xml:space="preserve">摘要（ZH）: </w:t>
      </w:r>
      <w:r>
        <w:t>阴离子交换膜燃料电池（AEMFCs）作为下一代低成本氢气转换技术引起了广泛关注。然而，AEMFC技术仍处于起步阶段，鲜有关于成本效益高的AEMFC堆的报道。因此，开发无铂、高活性和耐用的氢氧化反应（HOR）催化剂用于AEMFC堆应用是至关重要且具有挑战性的。在此，我们展示了一种可扩展的Zn单原子粘合Ru纳米颗粒在Zn–N–C支撑上的催化剂（Ru@Zn–N–C），其中Zn单原子的引入显著增强了H2的吸附并稳定了Ru纳米颗粒。因此，10克规模的Ru@Zn–N–C实现了前所未有的峰值功率密度（PPD）2.10 W cm–2和创纪录的阳极比功率42</w:t>
      </w:r>
    </w:p>
    <w:p>
      <w:pPr>
        <w:spacing w:before="0" w:after="200" w:lineRule="auto" w:line="276"/>
      </w:pPr>
      <w:r>
        <w:rPr>
          <w:b/>
        </w:rPr>
        <w:t xml:space="preserve">Abstract (EN): </w:t>
      </w:r>
      <w:r>
        <w:t>Anion exchange membrane fuel cells (AEMFCs) have caught widespread attention as a next-generation low-cost hydrogen conversion technology. However, the AEMFC technology is still in its infancy, and there are rarely reports of cost-effective AEMFC stacks. Therefore, it is imperative yet significantly challenging to develop Pt-free, highly active, and durable hydrogen oxidation reaction (HOR) catalysts for AEMFC stack applications. Here, we present a scalable Zn single atom-gluing Ru nanoparticle on a Zn–N–C support (Ru@Zn–N–C) in which the incorporation of Zn single atoms substantially boosts H2 adsorption and stabilizes Ru nanoparticles. Consequently, the 10-g-scale Ru@Zn–N–C achieves an unprecedented peak power density (PPD) of 2.10 W cm–2 and a record-breaking anode specific power of 42 W mg–1 with an ultralow Ru loading of 0.05 mg cm–2 in a single AEMFC. Meanwhile, the rated power density of the Ru@Zn–N–C-based fuel cell (1.24 W cm–2@0.65 V in H2–air) fulfills the US Department of Energy (DOE) target for 2025 (1 W cm–2, ≤0.125 mgPGM cm–2 loading), and the fuel cell can be operated stably at 1 A cm–2 for over 200 h, significantly outperforming the state-of-the-art AEMFCs. Most importantly, we develop cost-effective three-cell AEMFC stacks that can achieve an exceptional rate power of approximately 75 W in H2–O2 with an ultralow Ru loading of 0.05 mg cm–2, which can project only 8 g Ru utilization for a 100 kW fuel cell vehicle, surpassing the ultimate US DOE target of 0.1 gPt kW–1 for urban transportation.</w:t>
      </w:r>
    </w:p>
    <w:p>
      <w:pPr>
        <w:spacing w:before="120" w:after="120"/>
      </w:pPr>
      <w:r>
        <w:rPr>
          <w:sz w:val="18"/>
        </w:rPr>
        <w:t>——————————————————————————————————————————————————————————————————————</w:t>
      </w:r>
    </w:p>
    <w:p>
      <w:pPr>
        <w:spacing w:before="160" w:after="40" w:line="240" w:lineRule="auto"/>
      </w:pPr>
      <w:r>
        <w:rPr>
          <w:b/>
        </w:rPr>
        <w:t xml:space="preserve">[19] </w:t>
      </w:r>
      <w:hyperlink r:id="rId173">
        <w:r>
          <w:rPr>
            <w:color w:val="1155CC"/>
            <w:u w:val="single"/>
          </w:rPr>
          <w:t>[ASAP] 在Fe-Cu单原子催化剂中，通过原位Cu聚集诱导的自旋态调控增强串联电化学硝酸盐还原反应</w:t>
        </w:r>
      </w:hyperlink>
    </w:p>
    <w:p>
      <w:pPr>
        <w:spacing w:before="0" w:after="80"/>
      </w:pPr>
      <w:r>
        <w:rPr>
          <w:i/>
          <w:sz w:val="20"/>
        </w:rPr>
        <w:t>EN: [ASAP] Operando Cu Aggregation-Induced Spin State Modulation in Fe–Cu Single Atom Catalyst for Enhanced Tandem Electrochemical Nitrate Reduction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2026-04-01 15:31:44+00:00</w:t>
      </w:r>
      <w:r>
        <w:t xml:space="preserve">    </w:t>
      </w:r>
      <w:r>
        <w:rPr>
          <w:b/>
        </w:rPr>
        <w:t xml:space="preserve">DOI: </w:t>
      </w:r>
      <w:hyperlink r:id="rId174">
        <w:r>
          <w:rPr>
            <w:color w:val="1155CC"/>
            <w:u w:val="single"/>
          </w:rPr>
          <w:t>10.1021/jacs.6c00705</w:t>
        </w:r>
      </w:hyperlink>
    </w:p>
    <w:p>
      <w:pPr>
        <w:spacing w:before="0" w:after="120"/>
      </w:pPr>
      <w:r>
        <w:rPr>
          <w:b/>
        </w:rPr>
        <w:t xml:space="preserve">Notes: </w:t>
      </w:r>
      <w:r>
        <w:t>abstract_source=openalex</w:t>
      </w:r>
    </w:p>
    <w:p>
      <w:pPr>
        <w:spacing w:before="0" w:after="80" w:lineRule="auto" w:line="276"/>
      </w:pPr>
      <w:r>
        <w:rPr>
          <w:b/>
        </w:rPr>
        <w:t xml:space="preserve">摘要（ZH）: </w:t>
      </w:r>
      <w:r>
        <w:t>电催化硝酸盐还原反应（NO&lt;sub&gt;3&lt;/sub&gt;RR）提供了一种可持续的途径，将过量的硝酸盐转化为氨，但实现高选择性需要对反应过程中活性位点的动态结构变化有基本的理解。在此，我们通过结合密度泛函理论计算和&lt;i&gt;原位&lt;/i&gt;光谱研究了在NO&lt;sub&gt;3&lt;/sub&gt;RR过程中，原位Cu聚集如何动态激活Fe-Cu双金属单原子催化剂（FeCu-N-C）中的双催化位点。在还原电位下，原子分散的Cu自发聚集成纳米簇，有效激活NO&lt;sub&gt;3&lt;/sub&gt;&lt;sup&gt;-&lt;/sup&gt;。同时，Cu聚集在邻近的Fe-N&lt;sub&gt;&lt;i</w:t>
      </w:r>
    </w:p>
    <w:p>
      <w:pPr>
        <w:spacing w:before="0" w:after="200" w:lineRule="auto" w:line="276"/>
      </w:pPr>
      <w:r>
        <w:rPr>
          <w:b/>
        </w:rPr>
        <w:t xml:space="preserve">Abstract (EN): </w:t>
      </w:r>
      <w:r>
        <w:t>The electrocatalytic nitrate reduction reaction (NO&lt;sub&gt;3&lt;/sub&gt;RR) provides a sustainable pathway to convert excess nitrate into ammonia, yet realizing high selectivity requires a fundamental understanding of dynamic structural changes occuring at active sites during reactions. Here, we investigate how in situ Cu clustering dynamically activates dual catalytic sites in Fe-Cu bimetallic single-atom catalysts (FeCu-N-C) during NO&lt;sub&gt;3&lt;/sub&gt;RR, through combined density functional theory calculations and &lt;i&gt;operando&lt;/i&gt; spectroscopy. Under reductive potentials, atomically dispersed Cu spontaneously aggregates into nanoclusters that efficiently activate NO&lt;sub&gt;3&lt;/sub&gt;&lt;sup&gt;-&lt;/sup&gt;. Concurrently, Cu clustering induces pronounced structural strain and electronic distortion in adjacent Fe-N&lt;sub&gt;&lt;i&gt;x&lt;/i&gt;&lt;/sub&gt; moieties, triggering a spin-state transition in the Fe active site from low-spin to high-spin configuration. This spin modulation dramatically enhances the activity for subsequent NO&lt;sub&gt;2&lt;/sub&gt;&lt;sup&gt;-&lt;/sup&gt; conversion to NH&lt;sub&gt;3&lt;/sub&gt;. The synergistic coupling between Cu clusters and spin-modulated Fe establishes a highly effective tandem pathway, yielding superior NO&lt;sub&gt;3&lt;/sub&gt;RR activity and NH&lt;sub&gt;3&lt;/sub&gt; selectivity, compared to Cu-N-C and Fe-N-C counterparts. These findings provide new insights into the rational design of advanced multicomponent electrocatalysts with dynamically tunable active site properties.</w:t>
      </w:r>
    </w:p>
    <w:p>
      <w:pPr>
        <w:spacing w:before="120" w:after="120"/>
      </w:pPr>
      <w:r>
        <w:rPr>
          <w:sz w:val="18"/>
        </w:rPr>
        <w:t>——————————————————————————————————————————————————————————————————————</w:t>
      </w:r>
    </w:p>
    <w:p>
      <w:pPr>
        <w:spacing w:before="160" w:after="40" w:line="240" w:lineRule="auto"/>
      </w:pPr>
      <w:r>
        <w:rPr>
          <w:b/>
        </w:rPr>
        <w:t xml:space="preserve">[20] </w:t>
      </w:r>
      <w:hyperlink r:id="rId175">
        <w:r>
          <w:rPr>
            <w:color w:val="1155CC"/>
            <w:u w:val="single"/>
          </w:rPr>
          <w:t>氨-氢协同动力系统的建模与多目标优化</w:t>
        </w:r>
      </w:hyperlink>
    </w:p>
    <w:p>
      <w:pPr>
        <w:spacing w:before="0" w:after="80"/>
      </w:pPr>
      <w:r>
        <w:rPr>
          <w:i/>
          <w:sz w:val="20"/>
        </w:rPr>
        <w:t>EN: Modeling and multi-objective optimization of an Ammonia-hydrogen synergy power system</w:t>
      </w:r>
    </w:p>
    <w:p>
      <w:pPr>
        <w:spacing w:before="0" w:after="120"/>
      </w:pPr>
      <w:r>
        <w:rPr>
          <w:b/>
        </w:rPr>
        <w:t xml:space="preserve">Source: </w:t>
      </w:r>
      <w:r>
        <w:t>ScienceDirect Publication: Applied Energy</w:t>
      </w:r>
      <w:r>
        <w:t xml:space="preserve">    </w:t>
      </w:r>
      <w:r>
        <w:rPr>
          <w:b/>
        </w:rPr>
        <w:t xml:space="preserve">Pub date: </w:t>
      </w:r>
      <w:r>
        <w:t>2026-04-02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176">
        <w:r>
          <w:rPr>
            <w:color w:val="1155CC"/>
            <w:u w:val="single"/>
          </w:rPr>
          <w:t>制浆造纸环境中的氢气生产策略——关于工艺、挑战和经济性的综述</w:t>
        </w:r>
      </w:hyperlink>
    </w:p>
    <w:p>
      <w:pPr>
        <w:spacing w:before="0" w:after="80"/>
      </w:pPr>
      <w:r>
        <w:rPr>
          <w:i/>
          <w:sz w:val="20"/>
        </w:rPr>
        <w:t>EN: Hydrogen production strategies in pulp and papermaking environment- a review on processes, challenges and economics</w:t>
      </w:r>
    </w:p>
    <w:p>
      <w:pPr>
        <w:spacing w:before="0" w:after="120"/>
      </w:pPr>
      <w:r>
        <w:rPr>
          <w:b/>
        </w:rPr>
        <w:t xml:space="preserve">Source: </w:t>
      </w:r>
      <w:r>
        <w:t>ScienceDirect Publication: Applied Energy</w:t>
      </w:r>
      <w:r>
        <w:t xml:space="preserve">    </w:t>
      </w:r>
      <w:r>
        <w:rPr>
          <w:b/>
        </w:rPr>
        <w:t xml:space="preserve">Pub date: </w:t>
      </w:r>
      <w:r>
        <w:t>2026-04-02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177">
        <w:r>
          <w:rPr>
            <w:color w:val="1155CC"/>
            <w:u w:val="single"/>
          </w:rPr>
          <w:t>大型电-热-氢综合可再生能源基地的多能源分布鲁棒优化调度策略</w:t>
        </w:r>
      </w:hyperlink>
    </w:p>
    <w:p>
      <w:pPr>
        <w:spacing w:before="0" w:after="80"/>
      </w:pPr>
      <w:r>
        <w:rPr>
          <w:i/>
          <w:sz w:val="20"/>
        </w:rPr>
        <w:t>EN: Multi-energy distributionally robust optimisation scheduling strategy for large-scale electricity-heat-hydrogen integrated renewable energy bases</w:t>
      </w:r>
    </w:p>
    <w:p>
      <w:pPr>
        <w:spacing w:before="0" w:after="120"/>
      </w:pPr>
      <w:r>
        <w:rPr>
          <w:b/>
        </w:rPr>
        <w:t xml:space="preserve">Source: </w:t>
      </w:r>
      <w:r>
        <w:t>ScienceDirect Publication: Applied Energy</w:t>
      </w:r>
      <w:r>
        <w:t xml:space="preserve">    </w:t>
      </w:r>
      <w:r>
        <w:rPr>
          <w:b/>
        </w:rPr>
        <w:t xml:space="preserve">Pub date: </w:t>
      </w:r>
      <w:r>
        <w:t>2026-04-02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78">
        <w:r>
          <w:rPr>
            <w:color w:val="1155CC"/>
            <w:u w:val="single"/>
          </w:rPr>
          <w:t>一种用于中小型商业建筑节能控制的迁移学习方法</w:t>
        </w:r>
      </w:hyperlink>
    </w:p>
    <w:p>
      <w:pPr>
        <w:spacing w:before="0" w:after="80"/>
      </w:pPr>
      <w:r>
        <w:rPr>
          <w:i/>
          <w:sz w:val="20"/>
        </w:rPr>
        <w:t>EN: A transfer learning approach to energy-efficient control of small and medium-sized commercial buildings</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79">
        <w:r>
          <w:rPr>
            <w:color w:val="1155CC"/>
            <w:u w:val="single"/>
          </w:rPr>
          <w:t>碳峰值目标下中国省级减排配额与成本：效率优先还是公平优先？</w:t>
        </w:r>
      </w:hyperlink>
    </w:p>
    <w:p>
      <w:pPr>
        <w:spacing w:before="0" w:after="80"/>
      </w:pPr>
      <w:r>
        <w:rPr>
          <w:i/>
          <w:sz w:val="20"/>
        </w:rPr>
        <w:t>EN: Provincial emission reduction quotas and costs in China under the carbon peak target: Efficiency first or fairness first?</w:t>
      </w:r>
    </w:p>
    <w:p>
      <w:pPr>
        <w:spacing w:before="0" w:after="120"/>
      </w:pPr>
      <w:r>
        <w:rPr>
          <w:b/>
        </w:rPr>
        <w:t xml:space="preserve">Source: </w:t>
      </w:r>
      <w:r>
        <w:t>ScienceDirect Publication: Energy Policy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80">
        <w:r>
          <w:rPr>
            <w:color w:val="1155CC"/>
            <w:u w:val="single"/>
          </w:rPr>
          <w:t>排放交易体系重塑中国电力部门的脱碳路径</w:t>
        </w:r>
      </w:hyperlink>
    </w:p>
    <w:p>
      <w:pPr>
        <w:spacing w:before="0" w:after="80"/>
      </w:pPr>
      <w:r>
        <w:rPr>
          <w:i/>
          <w:sz w:val="20"/>
        </w:rPr>
        <w:t>EN: Emission trading scheme reshapes the decarbonisation pathways of China's power sector</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81">
        <w:r>
          <w:rPr>
            <w:color w:val="1155CC"/>
            <w:u w:val="single"/>
          </w:rPr>
          <w:t>通过电气化和氢气实现工业能效和脱碳</w:t>
        </w:r>
      </w:hyperlink>
    </w:p>
    <w:p>
      <w:pPr>
        <w:spacing w:before="0" w:after="80"/>
      </w:pPr>
      <w:r>
        <w:rPr>
          <w:i/>
          <w:sz w:val="20"/>
        </w:rPr>
        <w:t>EN: Industrial energy efficiency and decarbonisation via electrification and hydrogen</w:t>
      </w:r>
    </w:p>
    <w:p>
      <w:pPr>
        <w:spacing w:before="0" w:after="120"/>
      </w:pPr>
      <w:r>
        <w:rPr>
          <w:b/>
        </w:rPr>
        <w:t xml:space="preserve">Source: </w:t>
      </w:r>
      <w:r>
        <w:t>ScienceDirect Publication: Applied Energy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82">
        <w:r>
          <w:rPr>
            <w:color w:val="1155CC"/>
            <w:u w:val="single"/>
          </w:rPr>
          <w:t>考虑过程耦合和副产气灵活利用的工业多能源系统经济-碳协同优化</w:t>
        </w:r>
      </w:hyperlink>
    </w:p>
    <w:p>
      <w:pPr>
        <w:spacing w:before="0" w:after="80"/>
      </w:pPr>
      <w:r>
        <w:rPr>
          <w:i/>
          <w:sz w:val="20"/>
        </w:rPr>
        <w:t>EN: Economy‑carbon co-optimization of industrial multi-energy systems considering process coupling and the flexible utilization of by-product gas</w:t>
      </w:r>
    </w:p>
    <w:p>
      <w:pPr>
        <w:spacing w:before="0" w:after="120"/>
      </w:pPr>
      <w:r>
        <w:rPr>
          <w:b/>
        </w:rPr>
        <w:t xml:space="preserve">Source: </w:t>
      </w:r>
      <w:r>
        <w:t>ScienceDirect Publication: Applied Energy</w:t>
      </w:r>
      <w:r>
        <w:t xml:space="preserve">    </w:t>
      </w:r>
      <w:r>
        <w:rPr>
          <w:b/>
        </w:rPr>
        <w:t xml:space="preserve">Pub date: </w:t>
      </w:r>
      <w:r>
        <w:t>2026-03-31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83">
        <w:r>
          <w:rPr>
            <w:color w:val="1155CC"/>
            <w:u w:val="single"/>
          </w:rPr>
          <w:t>电解铝生产过程多能协同下的能源效率、碳效率和经济效益的多目标优化</w:t>
        </w:r>
      </w:hyperlink>
    </w:p>
    <w:p>
      <w:pPr>
        <w:spacing w:before="0" w:after="80"/>
      </w:pPr>
      <w:r>
        <w:rPr>
          <w:i/>
          <w:sz w:val="20"/>
        </w:rPr>
        <w:t>EN: Multi-objective optimization of energy efficiency, carbon efficiency and economic benefits under the multi-energy synergy of electrolytic aluminum production process</w:t>
      </w:r>
    </w:p>
    <w:p>
      <w:pPr>
        <w:spacing w:before="0" w:after="120"/>
      </w:pPr>
      <w:r>
        <w:rPr>
          <w:b/>
        </w:rPr>
        <w:t xml:space="preserve">Source: </w:t>
      </w:r>
      <w:r>
        <w:t>ScienceDirect Publication: Applied Energy</w:t>
      </w:r>
      <w:r>
        <w:t xml:space="preserve">    </w:t>
      </w:r>
      <w:r>
        <w:rPr>
          <w:b/>
        </w:rPr>
        <w:t xml:space="preserve">Pub date: </w:t>
      </w:r>
      <w:r>
        <w:t>2026-04-01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84">
        <w:r>
          <w:rPr>
            <w:color w:val="1155CC"/>
            <w:u w:val="single"/>
          </w:rPr>
          <w:t>用于交通排放估算和政策评估的无处不在的数据驱动框架</w:t>
        </w:r>
      </w:hyperlink>
    </w:p>
    <w:p>
      <w:pPr>
        <w:spacing w:before="0" w:after="80"/>
      </w:pPr>
      <w:r>
        <w:rPr>
          <w:i/>
          <w:sz w:val="20"/>
        </w:rPr>
        <w:t>EN: Ubiquitous data-driven framework for traffic emission estimation and policy evaluation</w:t>
      </w:r>
    </w:p>
    <w:p>
      <w:pPr>
        <w:spacing w:before="0" w:after="120"/>
      </w:pPr>
      <w:r>
        <w:rPr>
          <w:b/>
        </w:rPr>
        <w:t xml:space="preserve">Source: </w:t>
      </w:r>
      <w:r>
        <w:t>Nature Sustainability</w:t>
      </w:r>
      <w:r>
        <w:t xml:space="preserve">    </w:t>
      </w:r>
      <w:r>
        <w:rPr>
          <w:b/>
        </w:rPr>
        <w:t xml:space="preserve">Pub date: </w:t>
      </w:r>
      <w:r>
        <w:t>2026-04-02 00:00:00+00:00</w:t>
      </w:r>
      <w:r>
        <w:t xml:space="preserve">    </w:t>
      </w:r>
      <w:r>
        <w:rPr>
          <w:b/>
        </w:rPr>
        <w:t xml:space="preserve">DOI: </w:t>
      </w:r>
      <w:hyperlink r:id="rId185">
        <w:r>
          <w:rPr>
            <w:color w:val="1155CC"/>
            <w:u w:val="single"/>
          </w:rPr>
          <w:t>10.1038/s41893-026-01797-9</w:t>
        </w:r>
      </w:hyperlink>
    </w:p>
    <w:p>
      <w:pPr>
        <w:spacing w:before="0" w:after="120"/>
      </w:pPr>
      <w:r>
        <w:rPr>
          <w:b/>
        </w:rPr>
        <w:t xml:space="preserve">Notes: </w:t>
      </w:r>
      <w:r>
        <w:t>abstract_source=nature_html</w:t>
      </w:r>
    </w:p>
    <w:p>
      <w:pPr>
        <w:spacing w:before="0" w:after="80" w:lineRule="auto" w:line="276"/>
      </w:pPr>
      <w:r>
        <w:rPr>
          <w:b/>
        </w:rPr>
        <w:t xml:space="preserve">摘要（ZH）: </w:t>
      </w:r>
      <w:r>
        <w:t>量化城市交通排放动态对于评估脱碳政策至关重要，但现有模型往往缺乏分辨率、及时性或可扩展性。无处不在的城市数据为大规模、细粒度和近实时的排放估算提供了新机会。在此，我们提出了一个数据驱动的框架，将交通摄像头录像与手机数据结合，以估算全市范围的车辆排放。应用于纽约曼哈顿，我们的方法捕捉了排放在小时、天和道路段之间的显著时空变化。省略细粒度输入，如交通信号、速度变化或车队异质性，会在排放估算中引入平均不确定性为-49%到+25%。我们进一步评估了曼哈顿拥堵的早期影响</w:t>
      </w:r>
    </w:p>
    <w:p>
      <w:pPr>
        <w:spacing w:before="0" w:after="200" w:lineRule="auto" w:line="276"/>
      </w:pPr>
      <w:r>
        <w:rPr>
          <w:b/>
        </w:rPr>
        <w:t xml:space="preserve">Abstract (EN): </w:t>
      </w:r>
      <w:r>
        <w:t>Quantifying urban traffic emission dynamics is critical for evaluating decarbonization policies, yet existing models often lack resolution, timeliness or scalability. Ubiquitous urban data offer new opportunities for large-scale, fine-grained and near-real-time emission estimation. Here we present a data-driven framework that integrates traffic camera footage with mobile phone data to estimate citywide vehicular emissions. Applied to Manhattan, New York, our method captures substantial spatiotemporal variation in emissions across hours, days and road segments. Omitting fine-grained inputs, such as traffic signals, speed variation or fleet heterogeneity, introduces average uncertainties of −49% to +25% in emission estimates. We further evaluate the early impacts of Manhattan’s congestion pricing programme, finding that 8 weeks after the implementation, traffic volumes declined by 10%, resulting in a 16–22% drop in emissions. Our approach enables timely, high-resolution policy assessment using widely available urban big data, offering a practical and transferable tool for supporting climate action.</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86">
        <w:r>
          <w:rPr>
            <w:color w:val="1155CC"/>
            <w:u w:val="single"/>
          </w:rPr>
          <w:t>DMF介导的扩散调控在吡啶-羧酸盐金属有机框架中实现高效CHF3捕获</w:t>
        </w:r>
      </w:hyperlink>
    </w:p>
    <w:p>
      <w:pPr>
        <w:spacing w:before="0" w:after="80"/>
      </w:pPr>
      <w:r>
        <w:rPr>
          <w:i/>
          <w:sz w:val="20"/>
        </w:rPr>
        <w:t>EN: DMF‐Mediated Diffusion Regulation in Pyridine–Carboxylate Metal–Organic Frameworks Enables Efficient CHF3 Capture</w:t>
      </w:r>
    </w:p>
    <w:p>
      <w:pPr>
        <w:spacing w:before="0" w:after="120"/>
      </w:pPr>
      <w:r>
        <w:rPr>
          <w:b/>
        </w:rPr>
        <w:t xml:space="preserve">Source: </w:t>
      </w:r>
      <w:r>
        <w:t>Wiley: Angewandte Chemie International Edition: Table of Contents</w:t>
      </w:r>
      <w:r>
        <w:t xml:space="preserve">    </w:t>
      </w:r>
      <w:r>
        <w:rPr>
          <w:b/>
        </w:rPr>
        <w:t xml:space="preserve">Pub date: </w:t>
      </w:r>
      <w:r>
        <w:t>2026-03-28 07:51:44+00:00</w:t>
      </w:r>
      <w:r>
        <w:t xml:space="preserve">    </w:t>
      </w:r>
      <w:r>
        <w:rPr>
          <w:b/>
        </w:rPr>
        <w:t xml:space="preserve">DOI: </w:t>
      </w:r>
      <w:hyperlink r:id="rId187">
        <w:r>
          <w:rPr>
            <w:color w:val="1155CC"/>
            <w:u w:val="single"/>
          </w:rPr>
          <w:t>10.1002/anie.6961230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高效、稳定且易于扩展的吸附剂，以从工业废气中回收高纯度三氟甲烷（CHF3），面临重大挑战。在此，我们提出了一种溶剂对接策略，用于合成一种新的金属有机框架PAIF-101（基于吡啶-羧酸的框架）。该方法利用DMF分子配位实现亚埃精度的孔径调节，同时生成额外的吸附位点。DMF分子上的两个甲基基团如同分子钳，牢固地锚定CHF3，并实现基准CHF3吸附。</w:t>
      </w:r>
    </w:p>
    <w:p>
      <w:pPr>
        <w:spacing w:before="0" w:after="200" w:lineRule="auto" w:line="276"/>
      </w:pPr>
      <w:r>
        <w:rPr>
          <w:b/>
        </w:rPr>
        <w:t xml:space="preserve">Abstract (EN): </w:t>
      </w:r>
      <w:r>
        <w:t>The development of efficient, stable, and easily scalable adsorbents, which are designed for the recovery of high‐purity trifluoromethane (CHF</w:t>
      </w:r>
      <w:r>
        <w:rPr>
          <w:vertAlign w:val="subscript"/>
        </w:rPr>
        <w:t>3</w:t>
      </w:r>
      <w:r>
        <w:t>) from industrial waste gas, faces significant challenges. Here, we present a solvent‐docking strategy for synthesizing a new metal–organic framework, PAIF‐101 (Pyridine–carboxylic acid‐based frameworks). This approach utilizes DMF molecular coordination to achieve sub‐angstrom precision in pore‐aperture tuning while simultaneously generating additional adsorption sites. The two methyl groups on the DMF molecule function like molecular vises, firmly anchoring CHF</w:t>
      </w:r>
      <w:r>
        <w:rPr>
          <w:vertAlign w:val="subscript"/>
        </w:rPr>
        <w:t>3</w:t>
      </w:r>
      <w:r>
        <w:t>and achieving benchmark CHF</w:t>
      </w:r>
      <w:r>
        <w:rPr>
          <w:vertAlign w:val="subscript"/>
        </w:rPr>
        <w:t>3</w:t>
      </w:r>
      <w:r>
        <w:t>/N</w:t>
      </w:r>
      <w:r>
        <w:rPr>
          <w:vertAlign w:val="subscript"/>
        </w:rPr>
        <w:t>2</w:t>
      </w:r>
      <w:r>
        <w:t>separation. PAIF‐101 shows the highest reported CHF</w:t>
      </w:r>
      <w:r>
        <w:rPr>
          <w:vertAlign w:val="subscript"/>
        </w:rPr>
        <w:t>3</w:t>
      </w:r>
      <w:r>
        <w:t>uptake (3.54 mmol g</w:t>
      </w:r>
      <w:r>
        <w:t xml:space="preserve"> </w:t>
      </w:r>
      <w:r>
        <w:t>−1</w:t>
      </w:r>
      <w:r>
        <w:t xml:space="preserve"> </w:t>
      </w:r>
      <w:r>
        <w:t>) to date, pronounced affinity at low pressures, and exceptional IAST selectivity (140). Density functional theory (DFT) calculations and molecular dynamics (MD) simulations revealed that modified DMF molecules within the pores play a crucial role in enhancing performance. Breakthrough experiments validate practical feasibility, producing high‐purity (≥ 99.5%) CHF</w:t>
      </w:r>
      <w:r>
        <w:rPr>
          <w:vertAlign w:val="subscript"/>
        </w:rPr>
        <w:t>3</w:t>
      </w:r>
      <w:r>
        <w:t>with a productivity of 1.53 mmol g</w:t>
      </w:r>
      <w:r>
        <w:t xml:space="preserve"> </w:t>
      </w:r>
      <w:r>
        <w:t>−1</w:t>
      </w:r>
      <w:r>
        <w:t xml:space="preserve"> </w:t>
      </w:r>
      <w:r>
        <w:t>and sustaining excellent separation even at 60%RH. Notably, PAIF‐101 can be rapidly synthesized in scalable quantities via a simple reflux method, yielding around 5 grams per batch. Taken together, the outstanding separation performance, robust stability, and scalable synthesis of PAIF‐101 demonstrate its great potential for this challenging industrial separation.</w:t>
      </w:r>
    </w:p>
    <w:p>
      <w:pPr>
        <w:spacing w:before="120" w:after="120"/>
      </w:pPr>
      <w:r>
        <w:rPr>
          <w:sz w:val="18"/>
        </w:rPr>
        <w:t>——————————————————————————————————————————————————————————————————————</w:t>
      </w:r>
    </w:p>
    <w:p>
      <w:pPr>
        <w:spacing w:before="160" w:after="40" w:line="240" w:lineRule="auto"/>
      </w:pPr>
      <w:r>
        <w:rPr>
          <w:b/>
        </w:rPr>
        <w:t xml:space="preserve">[2] </w:t>
      </w:r>
      <w:hyperlink r:id="rId188">
        <w:r>
          <w:rPr>
            <w:color w:val="1155CC"/>
            <w:u w:val="single"/>
          </w:rPr>
          <w:t>成对电解的集成系统：协同CO2还原和高价值阳极氧化</w:t>
        </w:r>
      </w:hyperlink>
    </w:p>
    <w:p>
      <w:pPr>
        <w:spacing w:before="0" w:after="80"/>
      </w:pPr>
      <w:r>
        <w:rPr>
          <w:i/>
          <w:sz w:val="20"/>
        </w:rPr>
        <w:t>EN: Integrated Systems for Paired Electrolysis: Synergistic CO2 Reduction and High‐Value Anode Oxidation</w:t>
      </w:r>
    </w:p>
    <w:p>
      <w:pPr>
        <w:spacing w:before="0" w:after="120"/>
      </w:pPr>
      <w:r>
        <w:rPr>
          <w:b/>
        </w:rPr>
        <w:t xml:space="preserve">Source: </w:t>
      </w:r>
      <w:r>
        <w:t>Wiley: Advanced Materials: Table of Contents</w:t>
      </w:r>
      <w:r>
        <w:t xml:space="preserve">    </w:t>
      </w:r>
      <w:r>
        <w:rPr>
          <w:b/>
        </w:rPr>
        <w:t xml:space="preserve">Pub date: </w:t>
      </w:r>
      <w:r>
        <w:t>2026-03-28 08:21:43+00:00</w:t>
      </w:r>
      <w:r>
        <w:t xml:space="preserve">    </w:t>
      </w:r>
      <w:r>
        <w:rPr>
          <w:b/>
        </w:rPr>
        <w:t xml:space="preserve">DOI: </w:t>
      </w:r>
      <w:hyperlink r:id="rId189">
        <w:r>
          <w:rPr>
            <w:color w:val="1155CC"/>
            <w:u w:val="single"/>
          </w:rPr>
          <w:t>10.1002/adma.202522368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CO2还原反应（CO2RR）对于碳循环和碳中和至关重要，但其效率受到高能量的氧析出反应（OER）的阻碍。配对电解作为一种有前途的策略，通过用增值的有机氧化反应替代OER，同时降低能耗并提高产品价值。本文综述了CO2RR与替代阳极反应耦合的最新进展。首先介绍了CO2RR机制和产品控制策略，分析了催化剂性质、电解质环境的影响。</w:t>
      </w:r>
    </w:p>
    <w:p>
      <w:pPr>
        <w:spacing w:before="0" w:after="200" w:lineRule="auto" w:line="276"/>
      </w:pPr>
      <w:r>
        <w:rPr>
          <w:b/>
        </w:rPr>
        <w:t xml:space="preserve">Abstract (EN): </w:t>
      </w:r>
      <w:r>
        <w:t>Electrocatalytic CO</w:t>
      </w:r>
      <w:r>
        <w:rPr>
          <w:vertAlign w:val="subscript"/>
        </w:rPr>
        <w:t>2</w:t>
      </w:r>
      <w:r>
        <w:t>reduction reaction (CO</w:t>
      </w:r>
      <w:r>
        <w:rPr>
          <w:vertAlign w:val="subscript"/>
        </w:rPr>
        <w:t>2</w:t>
      </w:r>
      <w:r>
        <w:t>RR) is crucial for carbon recycling and neutrality, yet its efficiency is hampered by the high‐energy oxygen evolution reaction (OER). Paired electrolysis has emerged as a promising strategy to simultaneously lower energy consumption and enhance product value by replacing OER with value‐added organic oxidation reactions. This review summarizes recent advances in CO</w:t>
      </w:r>
      <w:r>
        <w:rPr>
          <w:vertAlign w:val="subscript"/>
        </w:rPr>
        <w:t>2</w:t>
      </w:r>
      <w:r>
        <w:t>RR coupled with alternative anode reactions. It begins with CO</w:t>
      </w:r>
      <w:r>
        <w:rPr>
          <w:vertAlign w:val="subscript"/>
        </w:rPr>
        <w:t>2</w:t>
      </w:r>
      <w:r>
        <w:t>RR mechanisms and product control strategies, analyzing influences of catalyst properties, electrolyte environments, and reaction conditions. Then, the core integration strategies of paired electrolysis systems are elaborated in terms of selection and integration of anode reaction, thermodynamic/kinetic matching, electron‐proton transfer synergy, pH compatibility, system stability, and optimal reactor design. A detailed review of the application of heterogeneous electrocatalyst pairs and homogeneous electrocatalyst pairs in coupled systems from the perspective of electrode material design is presented, and the relationship sbetween their structure‐activity and synergistic mechanism is also discussed. Finally, the existing technical problems in this field are summarized, including the bottlenecks of product value addition, system energy consumption, system stability, and large‐scale integration. This review provides theoretical guidance and technical reference for designing an efficient system of paired electrolysis in the future.</w:t>
      </w:r>
    </w:p>
    <w:p>
      <w:pPr>
        <w:spacing w:before="120" w:after="120"/>
      </w:pPr>
      <w:r>
        <w:rPr>
          <w:sz w:val="18"/>
        </w:rPr>
        <w:t>——————————————————————————————————————————————————————————————————————</w:t>
      </w:r>
    </w:p>
    <w:p>
      <w:pPr>
        <w:spacing w:before="160" w:after="40" w:line="240" w:lineRule="auto"/>
      </w:pPr>
      <w:r>
        <w:rPr>
          <w:b/>
        </w:rPr>
        <w:t xml:space="preserve">[3] </w:t>
      </w:r>
      <w:hyperlink r:id="rId151">
        <w:r>
          <w:rPr>
            <w:color w:val="1155CC"/>
            <w:u w:val="single"/>
          </w:rPr>
          <w:t>以政策驱动的创新路径推动战略性绿色技术：以韩国的氢气和碳捕集、利用与封存（CCUS）为例</w:t>
        </w:r>
      </w:hyperlink>
    </w:p>
    <w:p>
      <w:pPr>
        <w:spacing w:before="0" w:after="80"/>
      </w:pPr>
      <w:r>
        <w:rPr>
          <w:i/>
          <w:sz w:val="20"/>
        </w:rPr>
        <w:t>EN: Policy-driven innovation pathways for strategic green technologies: The case of hydrogen and carbon capture, utilization, and storage (CCUS) in South Korea</w:t>
      </w:r>
    </w:p>
    <w:p>
      <w:pPr>
        <w:spacing w:before="0" w:after="120"/>
      </w:pPr>
      <w:r>
        <w:rPr>
          <w:b/>
        </w:rPr>
        <w:t xml:space="preserve">Source: </w:t>
      </w:r>
      <w:r>
        <w:t>ScienceDirect Publication: Energy Policy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90">
        <w:r>
          <w:rPr>
            <w:color w:val="1155CC"/>
            <w:u w:val="single"/>
          </w:rPr>
          <w:t>使用水作为还原剂的二氧化碳电化学还原羧化反应</w:t>
        </w:r>
      </w:hyperlink>
    </w:p>
    <w:p>
      <w:pPr>
        <w:spacing w:before="0" w:after="80"/>
      </w:pPr>
      <w:r>
        <w:rPr>
          <w:i/>
          <w:sz w:val="20"/>
        </w:rPr>
        <w:t>EN: Electrochemical reductive carboxylation with carbon dioxide using water as the reductant</w:t>
      </w:r>
    </w:p>
    <w:p>
      <w:pPr>
        <w:spacing w:before="0" w:after="120"/>
      </w:pPr>
      <w:r>
        <w:rPr>
          <w:b/>
        </w:rPr>
        <w:t xml:space="preserve">Source: </w:t>
      </w:r>
      <w:r>
        <w:t>Chem</w:t>
      </w:r>
      <w:r>
        <w:t xml:space="preserve">    </w:t>
      </w:r>
      <w:r>
        <w:rPr>
          <w:b/>
        </w:rPr>
        <w:t xml:space="preserve">Pub date: </w:t>
      </w:r>
      <w:r>
        <w:t>2026-03-30 00:00:00+00:00</w:t>
      </w:r>
      <w:r>
        <w:t xml:space="preserve">    </w:t>
      </w:r>
      <w:r>
        <w:rPr>
          <w:b/>
        </w:rPr>
        <w:t xml:space="preserve">DOI: </w:t>
      </w:r>
      <w:hyperlink r:id="rId191">
        <w:r>
          <w:rPr>
            <w:color w:val="1155CC"/>
            <w:u w:val="single"/>
          </w:rPr>
          <w:t>10.1016/j.chempr.2026.103002</w:t>
        </w:r>
      </w:hyperlink>
    </w:p>
    <w:p>
      <w:pPr>
        <w:spacing w:before="0" w:after="120"/>
      </w:pPr>
      <w:r>
        <w:rPr>
          <w:b/>
        </w:rPr>
        <w:t xml:space="preserve">Notes: </w:t>
      </w:r>
      <w:r>
        <w:t>abstract_source=rss_cell</w:t>
      </w:r>
    </w:p>
    <w:p>
      <w:pPr>
        <w:spacing w:before="0" w:after="80" w:lineRule="auto" w:line="276"/>
      </w:pPr>
      <w:r>
        <w:rPr>
          <w:b/>
        </w:rPr>
        <w:t xml:space="preserve">摘要（ZH）: </w:t>
      </w:r>
      <w:r>
        <w:t>利用CO2进行羧化提供了一种合成羧酸的高效方法。我们在此报告了一种新颖的方法，采用水作为还原剂进行镍催化的CO2还原羧化，这有效地避免了传统上使用的化学计量金属或有机还原剂。采用配备质子交换膜的分隔电化学池将CO2转化为复杂的羧酸，产率从中等到良好，并伴随O2的生成，从而在一定程度上模拟了光合作用的过程。</w:t>
      </w:r>
    </w:p>
    <w:p>
      <w:pPr>
        <w:spacing w:before="0" w:after="200" w:lineRule="auto" w:line="276"/>
      </w:pPr>
      <w:r>
        <w:rPr>
          <w:b/>
        </w:rPr>
        <w:t xml:space="preserve">Abstract (EN): </w:t>
      </w:r>
      <w:r>
        <w:t>Carboxylation with CO2 provides an efficient method for the synthesis of carboxylic acids. We report here a novel approach that employs water as the reductant for the nickel-catalyzed reductive carboxylation with CO2, which efficiently circumvents the traditionally used stoichiometric amounts of metallic or organic reductants. A divided electrochemical cell equipped with proton exchange membranes was implemented to convert CO2 into complex carboxylic acids in moderate to good yields, coupled with evolution of O2, thus mimicking the process of photosynthesis to a certain degree.</w:t>
      </w:r>
    </w:p>
    <w:p>
      <w:pPr>
        <w:spacing w:before="120" w:after="120"/>
      </w:pPr>
      <w:r>
        <w:rPr>
          <w:sz w:val="18"/>
        </w:rPr>
        <w:t>——————————————————————————————————————————————————————————————————————</w:t>
      </w:r>
    </w:p>
    <w:p>
      <w:pPr>
        <w:spacing w:before="160" w:after="40" w:line="240" w:lineRule="auto"/>
      </w:pPr>
      <w:r>
        <w:rPr>
          <w:b/>
        </w:rPr>
        <w:t xml:space="preserve">[5] </w:t>
      </w:r>
      <w:hyperlink r:id="rId192">
        <w:r>
          <w:rPr>
            <w:color w:val="1155CC"/>
            <w:u w:val="single"/>
          </w:rPr>
          <w:t>调节共价金属有机框架的拓扑结构和孔径以促进催化CO2转化</w:t>
        </w:r>
      </w:hyperlink>
    </w:p>
    <w:p>
      <w:pPr>
        <w:spacing w:before="0" w:after="80"/>
      </w:pPr>
      <w:r>
        <w:rPr>
          <w:i/>
          <w:sz w:val="20"/>
        </w:rPr>
        <w:t>EN: Regulating the topology and pore size of covalent metal-organic framework for boosting catalytic CO2 conversion</w:t>
      </w:r>
    </w:p>
    <w:p>
      <w:pPr>
        <w:spacing w:before="0" w:after="120"/>
      </w:pPr>
      <w:r>
        <w:rPr>
          <w:b/>
        </w:rPr>
        <w:t xml:space="preserve">Source: </w:t>
      </w:r>
      <w:r>
        <w:t>Chem</w:t>
      </w:r>
      <w:r>
        <w:t xml:space="preserve">    </w:t>
      </w:r>
      <w:r>
        <w:rPr>
          <w:b/>
        </w:rPr>
        <w:t xml:space="preserve">Pub date: </w:t>
      </w:r>
      <w:r>
        <w:t>2026-03-30 00:00:00+00:00</w:t>
      </w:r>
      <w:r>
        <w:t xml:space="preserve">    </w:t>
      </w:r>
      <w:r>
        <w:rPr>
          <w:b/>
        </w:rPr>
        <w:t xml:space="preserve">DOI: </w:t>
      </w:r>
      <w:hyperlink r:id="rId193">
        <w:r>
          <w:rPr>
            <w:color w:val="1155CC"/>
            <w:u w:val="single"/>
          </w:rPr>
          <w:t>10.1016/j.chempr.2026.103006</w:t>
        </w:r>
      </w:hyperlink>
    </w:p>
    <w:p>
      <w:pPr>
        <w:spacing w:before="0" w:after="120"/>
      </w:pPr>
      <w:r>
        <w:rPr>
          <w:b/>
        </w:rPr>
        <w:t xml:space="preserve">Notes: </w:t>
      </w:r>
      <w:r>
        <w:t>abstract_source=rss_cell</w:t>
      </w:r>
    </w:p>
    <w:p>
      <w:pPr>
        <w:spacing w:before="0" w:after="80" w:lineRule="auto" w:line="276"/>
      </w:pPr>
      <w:r>
        <w:rPr>
          <w:b/>
        </w:rPr>
        <w:t xml:space="preserve">摘要（ZH）: </w:t>
      </w:r>
      <w:r>
        <w:t>调节共价金属有机框架（CMOFs）的拓扑结构和孔径可以显著提升其在CO2转化中的性能。异孔结构和减小的孔径在潮湿烟气条件下显著增强了CO2的吸附和活性，为高效碳捕获和转化提供了明确的设计策略。</w:t>
      </w:r>
    </w:p>
    <w:p>
      <w:pPr>
        <w:spacing w:before="0" w:after="200" w:lineRule="auto" w:line="276"/>
      </w:pPr>
      <w:r>
        <w:rPr>
          <w:b/>
        </w:rPr>
        <w:t xml:space="preserve">Abstract (EN): </w:t>
      </w:r>
      <w:r>
        <w:t>Tuning the topology and pore size of covalent metal-organic frameworks (CMOFs) can significantly boost their performance in converting CO2. Heteropore structures and reduced pore sizes dramatically enhance CO2 uptake and activity, even under humid flue gas conditions, providing a clear design strategy for efficient carbon capture and conversion.</w:t>
      </w:r>
    </w:p>
    <w:p>
      <w:pPr>
        <w:spacing w:before="120" w:after="120"/>
      </w:pPr>
      <w:r>
        <w:rPr>
          <w:sz w:val="18"/>
        </w:rPr>
        <w:t>——————————————————————————————————————————————————————————————————————</w:t>
      </w:r>
    </w:p>
    <w:p>
      <w:pPr>
        <w:spacing w:before="160" w:after="40" w:line="240" w:lineRule="auto"/>
      </w:pPr>
      <w:r>
        <w:rPr>
          <w:b/>
        </w:rPr>
        <w:t xml:space="preserve">[6] </w:t>
      </w:r>
      <w:hyperlink r:id="rId194">
        <w:r>
          <w:rPr>
            <w:color w:val="1155CC"/>
            <w:u w:val="single"/>
          </w:rPr>
          <w:t>欧盟如何利用其碳市场扩大二氧化碳去除规模</w:t>
        </w:r>
      </w:hyperlink>
    </w:p>
    <w:p>
      <w:pPr>
        <w:spacing w:before="0" w:after="80"/>
      </w:pPr>
      <w:r>
        <w:rPr>
          <w:i/>
          <w:sz w:val="20"/>
        </w:rPr>
        <w:t>EN: How the EU can utilize its carbon market to scale up carbon dioxide removal</w:t>
      </w:r>
    </w:p>
    <w:p>
      <w:pPr>
        <w:spacing w:before="0" w:after="120"/>
      </w:pPr>
      <w:r>
        <w:rPr>
          <w:b/>
        </w:rPr>
        <w:t xml:space="preserve">Source: </w:t>
      </w:r>
      <w:r>
        <w:t>Joule</w:t>
      </w:r>
      <w:r>
        <w:t xml:space="preserve">    </w:t>
      </w:r>
      <w:r>
        <w:rPr>
          <w:b/>
        </w:rPr>
        <w:t xml:space="preserve">Pub date: </w:t>
      </w:r>
      <w:r>
        <w:t>2026-03-31 00:00:00+00:00</w:t>
      </w:r>
      <w:r>
        <w:t xml:space="preserve">    </w:t>
      </w:r>
      <w:r>
        <w:rPr>
          <w:b/>
        </w:rPr>
        <w:t xml:space="preserve">DOI: </w:t>
      </w:r>
      <w:hyperlink r:id="rId195">
        <w:r>
          <w:rPr>
            <w:color w:val="1155CC"/>
            <w:u w:val="single"/>
          </w:rPr>
          <w:t>10.1016/j.joule.2026.102395</w:t>
        </w:r>
      </w:hyperlink>
    </w:p>
    <w:p>
      <w:pPr>
        <w:spacing w:before="0" w:after="120"/>
      </w:pPr>
      <w:r>
        <w:rPr>
          <w:b/>
        </w:rPr>
        <w:t xml:space="preserve">Notes: </w:t>
      </w:r>
      <w:r>
        <w:t>abstract_source=rss_cell</w:t>
      </w:r>
    </w:p>
    <w:p>
      <w:pPr>
        <w:spacing w:before="0" w:after="80" w:lineRule="auto" w:line="276"/>
      </w:pPr>
      <w:r>
        <w:rPr>
          <w:b/>
        </w:rPr>
        <w:t xml:space="preserve">摘要（ZH）: </w:t>
      </w:r>
      <w:r>
        <w:t>将永久性二氧化碳去除整合到欧盟排放交易系统中为投资者提供了财务确定性，因此可能在扩大新型去除技术方面发挥关键作用。模型结果表明，整合可以在2050年前激励68–86百万吨CO2/年的去除，前提是排序方法保障环境完整性。</w:t>
      </w:r>
    </w:p>
    <w:p>
      <w:pPr>
        <w:spacing w:before="0" w:after="200" w:lineRule="auto" w:line="276"/>
      </w:pPr>
      <w:r>
        <w:rPr>
          <w:b/>
        </w:rPr>
        <w:t xml:space="preserve">Abstract (EN): </w:t>
      </w:r>
      <w:r>
        <w:t>Integrating permanent carbon dioxide removal into the EU emissions trading system offers financial certainty for investors and could therefore play a key role in scaling novel removal technologies. Model results suggest integration could incentivize removals of 68–86 Mt CO2/year by 2050, provided that a sequencing approach safeguards environmental integrity.</w:t>
      </w:r>
    </w:p>
    <w:p>
      <w:pPr>
        <w:spacing w:before="120" w:after="120"/>
      </w:pPr>
      <w:r>
        <w:rPr>
          <w:sz w:val="18"/>
        </w:rPr>
        <w:t>——————————————————————————————————————————————————————————————————————</w:t>
      </w:r>
    </w:p>
    <w:p>
      <w:pPr>
        <w:spacing w:before="160" w:after="40" w:line="240" w:lineRule="auto"/>
      </w:pPr>
      <w:r>
        <w:rPr>
          <w:b/>
        </w:rPr>
        <w:t xml:space="preserve">[7] </w:t>
      </w:r>
      <w:hyperlink r:id="rId196">
        <w:r>
          <w:rPr>
            <w:color w:val="1155CC"/>
            <w:u w:val="single"/>
          </w:rPr>
          <w:t>朝着CO2电解的标准化：一个循环研究</w:t>
        </w:r>
      </w:hyperlink>
    </w:p>
    <w:p>
      <w:pPr>
        <w:spacing w:before="0" w:after="80"/>
      </w:pPr>
      <w:r>
        <w:rPr>
          <w:i/>
          <w:sz w:val="20"/>
        </w:rPr>
        <w:t>EN: Toward Standardization in CO2 Electrolysis: A Round Robin Study</w:t>
      </w:r>
    </w:p>
    <w:p>
      <w:pPr>
        <w:spacing w:before="0" w:after="120"/>
      </w:pPr>
      <w:r>
        <w:rPr>
          <w:b/>
        </w:rPr>
        <w:t xml:space="preserve">Source: </w:t>
      </w:r>
      <w:r>
        <w:t>Wiley: Advanced Energy Materials: Table of Contents</w:t>
      </w:r>
      <w:r>
        <w:t xml:space="preserve">    </w:t>
      </w:r>
      <w:r>
        <w:rPr>
          <w:b/>
        </w:rPr>
        <w:t xml:space="preserve">Pub date: </w:t>
      </w:r>
      <w:r>
        <w:t>2026-04-01 13:19:33+00:00</w:t>
      </w:r>
      <w:r>
        <w:t xml:space="preserve">    </w:t>
      </w:r>
      <w:r>
        <w:rPr>
          <w:b/>
        </w:rPr>
        <w:t xml:space="preserve">DOI: </w:t>
      </w:r>
      <w:hyperlink r:id="rId197">
        <w:r>
          <w:rPr>
            <w:color w:val="1155CC"/>
            <w:u w:val="single"/>
          </w:rPr>
          <w:t>10.1002/aenm.202506808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w:t>
      </w:r>
      <w:r>
        <w:rPr>
          <w:vertAlign w:val="subscript"/>
        </w:rPr>
        <w:t>2</w:t>
      </w:r>
      <w:r>
        <w:t>电解是一种新兴技术，用于可持续生产燃料和化学品。其从实验室规模研究到实际应用的过渡受到法规和战略手段的强烈推动，旨在实现净零温室气体排放。为了实现这一目标，CO</w:t>
      </w:r>
      <w:r>
        <w:rPr>
          <w:vertAlign w:val="subscript"/>
        </w:rPr>
        <w:t>2</w:t>
      </w:r>
      <w:r>
        <w:t>电解研究和技术开发的加速进展对于确保经济可行性至关重要。这需要明确的性能目标、参考材料和标准化测试协议，作为CO</w:t>
      </w:r>
      <w:r>
        <w:rPr>
          <w:vertAlign w:val="subscript"/>
        </w:rPr>
        <w:t>2</w:t>
      </w:r>
      <w:r>
        <w:t>电解社区内可靠性能比较的基础。为了解决</w:t>
      </w:r>
    </w:p>
    <w:p>
      <w:pPr>
        <w:spacing w:before="0" w:after="200" w:lineRule="auto" w:line="276"/>
      </w:pPr>
      <w:r>
        <w:rPr>
          <w:b/>
        </w:rPr>
        <w:t xml:space="preserve">Abstract (EN): </w:t>
      </w:r>
      <w:r>
        <w:t>CO</w:t>
      </w:r>
      <w:r>
        <w:rPr>
          <w:vertAlign w:val="subscript"/>
        </w:rPr>
        <w:t>2</w:t>
      </w:r>
      <w:r>
        <w:t>electrolysis is an emerging technology for the sustainable production of fuels and chemicals. Its transition from laboratory‐scale research to real‐world application is strongly driven by both regulatory and strategic means, aimed at achieving net‐zero greenhouse gas emissions. To meet this goal, accelerated progress in CO</w:t>
      </w:r>
      <w:r>
        <w:rPr>
          <w:vertAlign w:val="subscript"/>
        </w:rPr>
        <w:t>2</w:t>
      </w:r>
      <w:r>
        <w:t>electrolysis research and technological development is essential to ensure economic viability. This requires clear performance targets, reference materials, and standardized testing protocols that serve as a basis for reliable performance comparison within the CO</w:t>
      </w:r>
      <w:r>
        <w:rPr>
          <w:vertAlign w:val="subscript"/>
        </w:rPr>
        <w:t>2</w:t>
      </w:r>
      <w:r>
        <w:t>electrolysis community. To address this need, a Round Robin experiment was conducted involving well‐established R&amp;amp;D entities in the field of CO</w:t>
      </w:r>
      <w:r>
        <w:rPr>
          <w:vertAlign w:val="subscript"/>
        </w:rPr>
        <w:t>2</w:t>
      </w:r>
      <w:r>
        <w:t>electrolysis. The objective was to identify and mitigate the main sources of experimental variability, thereby enhancing reproducibility. We found that especially the modes of temperature measurements and cell/anolyte heating alongside pressure fluctuations and overpressures during product analysis are considerable differences among labs, while adjustments to the initial electrochemical protocol helped in minimizing voltage spikes in changing operation. As a result of multiple measurement campaigns and in‐depth discussions among participants, a recommendation for a standardized testing protocol and test setup requirements for CO</w:t>
      </w:r>
      <w:r>
        <w:rPr>
          <w:vertAlign w:val="subscript"/>
        </w:rPr>
        <w:t>2</w:t>
      </w:r>
      <w:r>
        <w:t>electrolyzers are provided.</w:t>
      </w:r>
    </w:p>
    <w:p>
      <w:pPr>
        <w:spacing w:before="120" w:after="120"/>
      </w:pPr>
      <w:r>
        <w:rPr>
          <w:sz w:val="18"/>
        </w:rPr>
        <w:t>——————————————————————————————————————————————————————————————————————</w:t>
      </w:r>
    </w:p>
    <w:p>
      <w:pPr>
        <w:spacing w:before="160" w:after="40" w:line="240" w:lineRule="auto"/>
      </w:pPr>
      <w:r>
        <w:rPr>
          <w:b/>
        </w:rPr>
        <w:t xml:space="preserve">[8] </w:t>
      </w:r>
      <w:hyperlink r:id="rId198">
        <w:r>
          <w:rPr>
            <w:color w:val="1155CC"/>
            <w:u w:val="single"/>
          </w:rPr>
          <w:t>[ASAP] 使用基于Fe4S4的配位聚合物直接将CO2还原为CO</w:t>
        </w:r>
      </w:hyperlink>
    </w:p>
    <w:p>
      <w:pPr>
        <w:spacing w:before="0" w:after="80"/>
      </w:pPr>
      <w:r>
        <w:rPr>
          <w:i/>
          <w:sz w:val="20"/>
        </w:rPr>
        <w:t>EN: [ASAP] Direct CO2 Reduction to CO with an Fe4S4-Based Coordination Polymer</w:t>
      </w:r>
    </w:p>
    <w:p>
      <w:pPr>
        <w:spacing w:before="0" w:after="120"/>
      </w:pPr>
      <w:r>
        <w:rPr>
          <w:b/>
        </w:rPr>
        <w:t xml:space="preserve">Source: </w:t>
      </w:r>
      <w:r>
        <w:t>Journal of the American Chemical Society: Latest Articles (ACS Publications)</w:t>
      </w:r>
      <w:r>
        <w:t xml:space="preserve">    </w:t>
      </w:r>
      <w:r>
        <w:rPr>
          <w:b/>
        </w:rPr>
        <w:t xml:space="preserve">Pub date: </w:t>
      </w:r>
      <w:r>
        <w:t>2026-04-02 11:34:30+00:00</w:t>
      </w:r>
      <w:r>
        <w:t xml:space="preserve">    </w:t>
      </w:r>
      <w:r>
        <w:rPr>
          <w:b/>
        </w:rPr>
        <w:t xml:space="preserve">DOI: </w:t>
      </w:r>
      <w:hyperlink r:id="rId199">
        <w:r>
          <w:rPr>
            <w:color w:val="1155CC"/>
            <w:u w:val="single"/>
          </w:rPr>
          <w:t>10.1021/jacs.5c23180</w:t>
        </w:r>
      </w:hyperlink>
    </w:p>
    <w:p>
      <w:pPr>
        <w:spacing w:before="0" w:after="120"/>
      </w:pPr>
      <w:r>
        <w:rPr>
          <w:b/>
        </w:rPr>
        <w:t xml:space="preserve">Notes: </w:t>
      </w:r>
      <w:r>
        <w:t>abstract_source=pubmed</w:t>
      </w:r>
    </w:p>
    <w:p>
      <w:pPr>
        <w:spacing w:before="0" w:after="80" w:lineRule="auto" w:line="276"/>
      </w:pPr>
      <w:r>
        <w:rPr>
          <w:b/>
        </w:rPr>
        <w:t xml:space="preserve">摘要（ZH）: </w:t>
      </w:r>
      <w:r>
        <w:t>Fe4S4簇在自然界中起着重要作用，传统上用于电子传输，但在新发现的反应性或催化中也越来越重要。这些作用激发了对开发合成Fe4S4系统的兴趣，尽管已经开发了几种由Fe4S4簇构建的分子和材料系统，但合成Fe4S4簇基催化剂的例子相对较少。在此，我们展示了一种基于Fe4S4的配位聚合物作为催化剂，用于直接和选择性地将CO2电还原为CO。计算研究表明，反应通过CO2与还原的Fe4S4簇结合开始，随后经历一系列质子化、还原和H2O损失步骤，生成CO结合的簇，最终可以与CO2交换以重新启动催化循环。CO结合</w:t>
      </w:r>
    </w:p>
    <w:p>
      <w:pPr>
        <w:spacing w:before="0" w:after="200" w:lineRule="auto" w:line="276"/>
      </w:pPr>
      <w:r>
        <w:rPr>
          <w:b/>
        </w:rPr>
        <w:t xml:space="preserve">Abstract (EN): </w:t>
      </w:r>
      <w:r>
        <w:t>Fe4S4 clusters play essential roles in nature, classically in electron transport but increasingly in newly discovered reactivity or catalysis. These roles have spurred interest in developing synthetic Fe4S4 systems and while several molecular and material systems built from Fe4S4 clusters have been developed, comparatively few examples of synthetic Fe4S4 cluster-based catalysts exist. Herein, we present the use of an Fe4S4-based coordination polymer as a catalyst for the direct and selective electroreduction of CO2 to CO. Computational studies suggest that the reaction proceeds through CO2 binding to a reduced Fe4S4 cluster, followed by a series of protonation, reduction, and H2O loss steps to yield a CO-bound cluster that can finally exchange with CO2 to restart the catalytic cycle. CO bound clusters are predicted to be thermodynamically stable, suggesting that carbonyl species might be off-cycle intermediates. Mechanistic CV studies as well as in situ studies by IR spectroscopy provide evidence for carbonyl-ligated clusters, supporting these compounds as unusual examples of small molecule binding to Fe4S4 clusters. This work establishes Fe4S4 cluster-based coordination polymers as direct electrocatalysts for CO2 reduction and provides mechanistic insights into how these species mediate catalytic conversions of small molecules.</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200">
        <w:r>
          <w:rPr>
            <w:color w:val="1155CC"/>
            <w:u w:val="single"/>
          </w:rPr>
          <w:t>磷酸促进的尼龙6废料醇解为ε-己内酰胺</w:t>
        </w:r>
      </w:hyperlink>
    </w:p>
    <w:p>
      <w:pPr>
        <w:spacing w:before="0" w:after="80"/>
      </w:pPr>
      <w:r>
        <w:rPr>
          <w:i/>
          <w:sz w:val="20"/>
        </w:rPr>
        <w:t>EN: Alcoholysis of nylon 6 waste to ε-caprolactam promoted by phosphoric acid</w:t>
      </w:r>
    </w:p>
    <w:p>
      <w:pPr>
        <w:spacing w:before="0" w:after="120"/>
      </w:pPr>
      <w:r>
        <w:rPr>
          <w:b/>
        </w:rPr>
        <w:t xml:space="preserve">Source: </w:t>
      </w:r>
      <w:r>
        <w:t>Chem</w:t>
      </w:r>
      <w:r>
        <w:t xml:space="preserve">    </w:t>
      </w:r>
      <w:r>
        <w:rPr>
          <w:b/>
        </w:rPr>
        <w:t xml:space="preserve">Pub date: </w:t>
      </w:r>
      <w:r>
        <w:t>2026-03-30 00:00:00+00:00</w:t>
      </w:r>
      <w:r>
        <w:t xml:space="preserve">    </w:t>
      </w:r>
      <w:r>
        <w:rPr>
          <w:b/>
        </w:rPr>
        <w:t xml:space="preserve">DOI: </w:t>
      </w:r>
      <w:hyperlink r:id="rId201">
        <w:r>
          <w:rPr>
            <w:color w:val="1155CC"/>
            <w:u w:val="single"/>
          </w:rPr>
          <w:t>10.1016/j.chempr.2026.102966</w:t>
        </w:r>
      </w:hyperlink>
    </w:p>
    <w:p>
      <w:pPr>
        <w:spacing w:before="0" w:after="120"/>
      </w:pPr>
      <w:r>
        <w:rPr>
          <w:b/>
        </w:rPr>
        <w:t xml:space="preserve">Notes: </w:t>
      </w:r>
      <w:r>
        <w:t>abstract_source=rss_cell</w:t>
      </w:r>
    </w:p>
    <w:p>
      <w:pPr>
        <w:spacing w:before="0" w:after="80" w:lineRule="auto" w:line="276"/>
      </w:pPr>
      <w:r>
        <w:rPr>
          <w:b/>
        </w:rPr>
        <w:t xml:space="preserve">摘要（ZH）: </w:t>
      </w:r>
      <w:r>
        <w:t>由尼龙6制成的材料被广泛使用，但很难回收成其原始单体ε-己内酰胺。该研究介绍了一种简单的酸催化醇解方法，可以高效且选择性地将尼龙6解聚为ε-己内酰胺。此外，该过程与多种实际尼龙6材料表现出极好的兼容性，包括消费后渔网废料、线、3D打印丝、织物和地毯，提供了一条具有环境和经济效益的闭环回收的实用途径。</w:t>
      </w:r>
    </w:p>
    <w:p>
      <w:pPr>
        <w:spacing w:before="0" w:after="200" w:lineRule="auto" w:line="276"/>
      </w:pPr>
      <w:r>
        <w:rPr>
          <w:b/>
        </w:rPr>
        <w:t xml:space="preserve">Abstract (EN): </w:t>
      </w:r>
      <w:r>
        <w:t>Materials made from nylon 6 are widely used but difficult to recycle back into their original monomer, ε-caprolactam. This work introduces a simple acid-catalyzed alcoholysis method that enables efficient and selective depolymerization of nylon 6 into ε-caprolactam. Additionally, this process shows excellent compatibility with a range of real-world nylon 6 materials, including post-consumer fishing net waste, thread, 3D-printing filament, fabric, and carpet, offering a practical pathway toward closed-loop recycling with both environmental and economic benefits.</w:t>
      </w:r>
    </w:p>
    <w:p>
      <w:pPr>
        <w:spacing w:before="120" w:after="120"/>
      </w:pPr>
      <w:r>
        <w:rPr>
          <w:sz w:val="18"/>
        </w:rPr>
        <w:t>——————————————————————————————————————————————————————————————————————</w:t>
      </w:r>
    </w:p>
    <w:p>
      <w:pPr>
        <w:spacing w:before="160" w:after="40" w:line="240" w:lineRule="auto"/>
      </w:pPr>
      <w:r>
        <w:rPr>
          <w:b/>
        </w:rPr>
        <w:t xml:space="preserve">[2] </w:t>
      </w:r>
      <w:hyperlink r:id="rId202">
        <w:r>
          <w:rPr>
            <w:color w:val="1155CC"/>
            <w:u w:val="single"/>
          </w:rPr>
          <w:t>[ASAP] 部分相容的可生物降解PBS/PCL/PBS-ran-PCL共混物中基于结晶驱动的象限特异性球晶自组装</w:t>
        </w:r>
      </w:hyperlink>
    </w:p>
    <w:p>
      <w:pPr>
        <w:spacing w:before="0" w:after="80"/>
      </w:pPr>
      <w:r>
        <w:rPr>
          <w:i/>
          <w:sz w:val="20"/>
        </w:rPr>
        <w:t>EN: [ASAP] Crystallization-Driven Quadrant-Specific Spherulitic Self-Assembly in Partially Miscible Biodegradable PBS/PCL/PBS-ran-PCL Blends</w:t>
      </w:r>
    </w:p>
    <w:p>
      <w:pPr>
        <w:spacing w:before="0" w:after="120"/>
      </w:pPr>
      <w:r>
        <w:rPr>
          <w:b/>
        </w:rPr>
        <w:t xml:space="preserve">Source: </w:t>
      </w:r>
      <w:r>
        <w:t>Journal of the American Chemical Society: Latest Articles (ACS Publications)</w:t>
      </w:r>
      <w:r>
        <w:t xml:space="preserve">    </w:t>
      </w:r>
      <w:r>
        <w:rPr>
          <w:b/>
        </w:rPr>
        <w:t xml:space="preserve">Pub date: </w:t>
      </w:r>
      <w:r>
        <w:t>2026-03-30 12:21:03+00:00</w:t>
      </w:r>
      <w:r>
        <w:t xml:space="preserve">    </w:t>
      </w:r>
      <w:r>
        <w:rPr>
          <w:b/>
        </w:rPr>
        <w:t xml:space="preserve">DOI: </w:t>
      </w:r>
      <w:hyperlink r:id="rId203">
        <w:r>
          <w:rPr>
            <w:color w:val="1155CC"/>
            <w:u w:val="single"/>
          </w:rPr>
          <w:t>10.1021/jacs.5c22442</w:t>
        </w:r>
      </w:hyperlink>
    </w:p>
    <w:p>
      <w:pPr>
        <w:spacing w:before="0" w:after="120"/>
      </w:pPr>
      <w:r>
        <w:rPr>
          <w:b/>
        </w:rPr>
        <w:t xml:space="preserve">Notes: </w:t>
      </w:r>
      <w:r>
        <w:t>abstract_source=pubmed</w:t>
      </w:r>
    </w:p>
    <w:p>
      <w:pPr>
        <w:spacing w:before="0" w:after="80" w:lineRule="auto" w:line="276"/>
      </w:pPr>
      <w:r>
        <w:rPr>
          <w:b/>
        </w:rPr>
        <w:t xml:space="preserve">摘要（ZH）: </w:t>
      </w:r>
      <w:r>
        <w:t>生物降解性脂肪族聚酯如聚（丁二酸丁二醇酯）（PBS）和聚（ε-己内酯）（PCL）的固有不相容性阻碍了强韧且可降解塑料的发展。在此，我们展示了随机等二态共聚酯，聚（丁二酸丁二醇酯-ran-ε-己内酯）（BSxCLy），通过一种基质驱动的结晶机制有效地使等摩尔PBS/PCL共混物相容，该机制在分子水平上耦合了两相。多尺度表征结合DSC、原位和空间分辨偏振FT-IR成像以及纳米束同步辐射WAXD/SAXS，揭示了象限特异性球晶的首个结构证据，其中交替象限表现出不同的层状结构：具有连续扭曲的带状区域和非带状区</w:t>
      </w:r>
    </w:p>
    <w:p>
      <w:pPr>
        <w:spacing w:before="0" w:after="200" w:lineRule="auto" w:line="276"/>
      </w:pPr>
      <w:r>
        <w:rPr>
          <w:b/>
        </w:rPr>
        <w:t xml:space="preserve">Abstract (EN): </w:t>
      </w:r>
      <w:r>
        <w:t>The inherent immiscibility of biodegradable aliphatic polyesters, such as poly(butylene succinate) (PBS) and poly(ε-caprolactone) (PCL), hampers the development of strong yet degradable plastics. Here, we demonstrate that random isodimorphic copolyesters, poly(butylene succinate-ran-ε-caprolactone) (BSxCLy), effectively compatibilize equimolar PBS/PCL blends through a matrix-driven crystallization mechanism that couples the two phases at the molecular level. Multiscale characterization, combining DSC, in situ and spatially resolved polarized FT-IR imaging, and nanobeam synchrotron WAXD/SAXS, reveals the first structural evidence of quadrant-specific spherulites, in which alternating quadrants exhibit distinct lamellar architectures: banded regions with continuous twisting and nonbanded regions with uniform orientation. This pronounced morphological anisotropy arises from the selective cocrystallization of BS-rich segments (within the random copolymer) with the PBS blend component and the formation of PBS β-form crystals with looser molecular packing. These features promote interfacial coupling and enhance degradability. The concept of matrix-directed crystallization establishes a potentially general framework for compatibilizing immiscible biodegradable polyesters and for designing biobased plastics with tunable crystalline hierarchy, mechanical performance, and controlled biodegradation behavior.</w:t>
      </w:r>
    </w:p>
    <w:p>
      <w:pPr>
        <w:spacing w:before="120" w:after="120"/>
      </w:pPr>
      <w:r>
        <w:rPr>
          <w:sz w:val="18"/>
        </w:rPr>
        <w:t>——————————————————————————————————————————————————————————————————————</w:t>
      </w:r>
    </w:p>
    <w:p>
      <w:pPr>
        <w:spacing w:before="160" w:after="40" w:line="240" w:lineRule="auto"/>
      </w:pPr>
      <w:r>
        <w:rPr>
          <w:b/>
        </w:rPr>
        <w:t xml:space="preserve">[3] </w:t>
      </w:r>
      <w:hyperlink r:id="rId204">
        <w:r>
          <w:rPr>
            <w:color w:val="1155CC"/>
            <w:u w:val="single"/>
          </w:rPr>
          <w:t>[ASAP] 可见光下聚烯烃的直接聚合物-聚合物接枝</w:t>
        </w:r>
      </w:hyperlink>
    </w:p>
    <w:p>
      <w:pPr>
        <w:spacing w:before="0" w:after="80"/>
      </w:pPr>
      <w:r>
        <w:rPr>
          <w:i/>
          <w:sz w:val="20"/>
        </w:rPr>
        <w:t>EN: [ASAP] Direct Polymer-on-Polymer Grafting of Polyolefins under Visible Light</w:t>
      </w:r>
    </w:p>
    <w:p>
      <w:pPr>
        <w:spacing w:before="0" w:after="120"/>
      </w:pPr>
      <w:r>
        <w:rPr>
          <w:b/>
        </w:rPr>
        <w:t xml:space="preserve">Source: </w:t>
      </w:r>
      <w:r>
        <w:t>Journal of the American Chemical Society: Latest Articles (ACS Publications)</w:t>
      </w:r>
      <w:r>
        <w:t xml:space="preserve">    </w:t>
      </w:r>
      <w:r>
        <w:rPr>
          <w:b/>
        </w:rPr>
        <w:t xml:space="preserve">Pub date: </w:t>
      </w:r>
      <w:r>
        <w:t>2026-03-31 14:20:44+00:00</w:t>
      </w:r>
      <w:r>
        <w:t xml:space="preserve">    </w:t>
      </w:r>
      <w:r>
        <w:rPr>
          <w:b/>
        </w:rPr>
        <w:t xml:space="preserve">DOI: </w:t>
      </w:r>
      <w:hyperlink r:id="rId205">
        <w:r>
          <w:rPr>
            <w:color w:val="1155CC"/>
            <w:u w:val="single"/>
          </w:rPr>
          <w:t>10.1021/jacs.5c21265</w:t>
        </w:r>
      </w:hyperlink>
    </w:p>
    <w:p>
      <w:pPr>
        <w:spacing w:before="0" w:after="120"/>
      </w:pPr>
      <w:r>
        <w:rPr>
          <w:b/>
        </w:rPr>
        <w:t xml:space="preserve">Notes: </w:t>
      </w:r>
      <w:r>
        <w:t>abstract_source=openalex</w:t>
      </w:r>
    </w:p>
    <w:p>
      <w:pPr>
        <w:spacing w:before="0" w:after="80" w:lineRule="auto" w:line="276"/>
      </w:pPr>
      <w:r>
        <w:rPr>
          <w:b/>
        </w:rPr>
        <w:t xml:space="preserve">摘要（ZH）: </w:t>
      </w:r>
      <w:r>
        <w:t>聚烯烃在全球塑料生产中占主导地位，但抗拒化学转化，导致废物持续积累。因此，开发能够将这些废物材料重新利用为更高价值产品的新策略至关重要。尽管传统的极性小分子接枝提高了功能性，但结果是密集取代的聚烯烃由于结晶度和强度较低，通常变得更柔软。在此，我们报告了一种可见光驱动的自由基方法，可以直接将多种乙烯基聚合物接枝到聚烯烃上，无需催化剂或引发剂。该方法广泛适用于多克级的原始和消费后聚烯烃。尽管显著的功能化显著增加了极性，接枝的聚烯烃保留</w:t>
      </w:r>
    </w:p>
    <w:p>
      <w:pPr>
        <w:spacing w:before="0" w:after="200" w:lineRule="auto" w:line="276"/>
      </w:pPr>
      <w:r>
        <w:rPr>
          <w:b/>
        </w:rPr>
        <w:t xml:space="preserve">Abstract (EN): </w:t>
      </w:r>
      <w:r>
        <w:t>Polyolefins dominate global plastic production but resist chemical transformation, leading to persistent waste accumulation. Developing new strategies that can repurpose these waste materials into higher-value products is therefore essential. Although conventional polar small-molecule grafting improves functionality, the resulting densely substituted polyolefins often become softer materials due to lower crystallinity and strength. Here, we report a visible-light-driven radical method that directly grafts diverse vinyl polymers onto polyolefins without the need for catalysts or initiators. The approach is broadly applicable to both pristine and postconsumer polyolefins on a multigram scale. Despite substantial functionalization that markedly increases polarity, the grafted polyolefins retain crystallinity, thermal stability, and mechanical robustness owing to their sparse yet extended polar polymer side chains. As a proof of concept, we demonstrate exceptional adhesion performance, with shear strengths approaching an order of magnitude higher than those of commercial hot-melt adhesives. This work establishes a general principle for polymer-on-polymer grafting of commodity plastics, expanding the conceptual space of polyolefin modification.</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206">
        <w:r>
          <w:rPr>
            <w:color w:val="1155CC"/>
            <w:u w:val="single"/>
          </w:rPr>
          <w:t>低碳微电网中多时长储能的在线调度与可解释参考学习</w:t>
        </w:r>
      </w:hyperlink>
    </w:p>
    <w:p>
      <w:pPr>
        <w:spacing w:before="0" w:after="80"/>
      </w:pPr>
      <w:r>
        <w:rPr>
          <w:i/>
          <w:sz w:val="20"/>
        </w:rPr>
        <w:t>EN: Online dispatch of multi-duration energy storage in low-carbon microgrid with explainable reference learning</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07">
        <w:r>
          <w:rPr>
            <w:color w:val="1155CC"/>
            <w:u w:val="single"/>
          </w:rPr>
          <w:t>考虑不确定性的频率稳定性预测及无标签模型适应电网拓扑变化</w:t>
        </w:r>
      </w:hyperlink>
    </w:p>
    <w:p>
      <w:pPr>
        <w:spacing w:before="0" w:after="80"/>
      </w:pPr>
      <w:r>
        <w:rPr>
          <w:i/>
          <w:sz w:val="20"/>
        </w:rPr>
        <w:t>EN: Uncertainty-aware frequency stability prediction with label-free model adaptation to grid topology changes</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08">
        <w:r>
          <w:rPr>
            <w:color w:val="1155CC"/>
            <w:u w:val="single"/>
          </w:rPr>
          <w:t>能源转型中的盐穴：从战略储备到高频循环储存的盐穴完整性比较综述</w:t>
        </w:r>
      </w:hyperlink>
    </w:p>
    <w:p>
      <w:pPr>
        <w:spacing w:before="0" w:after="80"/>
      </w:pPr>
      <w:r>
        <w:rPr>
          <w:i/>
          <w:sz w:val="20"/>
        </w:rPr>
        <w:t>EN: Salt caverns in the energy transition: A comparative review of cavern integrity from strategic reserves to high-frequency cyclic storage</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09">
        <w:r>
          <w:rPr>
            <w:color w:val="1155CC"/>
            <w:u w:val="single"/>
          </w:rPr>
          <w:t>锂离子电池的多物理信息快速充电策略以抑制老化和确保热安全</w:t>
        </w:r>
      </w:hyperlink>
    </w:p>
    <w:p>
      <w:pPr>
        <w:spacing w:before="0" w:after="80"/>
      </w:pPr>
      <w:r>
        <w:rPr>
          <w:i/>
          <w:sz w:val="20"/>
        </w:rPr>
        <w:t>EN: Multi-physics-informed fast charging strategy of lithium-ion batteries for aging suppression and thermal safety</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10">
        <w:r>
          <w:rPr>
            <w:color w:val="1155CC"/>
            <w:u w:val="single"/>
          </w:rPr>
          <w:t>印度农村能源转型：基于各州清洁能源采用的村级调查汇总的证据</w:t>
        </w:r>
      </w:hyperlink>
    </w:p>
    <w:p>
      <w:pPr>
        <w:spacing w:before="0" w:after="80"/>
      </w:pPr>
      <w:r>
        <w:rPr>
          <w:i/>
          <w:sz w:val="20"/>
        </w:rPr>
        <w:t>EN: India's rural energy transition: Evidence from village-level survey aggregates of clean energy adoption across states</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211">
        <w:r>
          <w:rPr>
            <w:color w:val="1155CC"/>
            <w:u w:val="single"/>
          </w:rPr>
          <w:t>使用耐用且坚固的超两性涂层增强建筑物中高效的被动白天辐射冷却以实现长期性能</w:t>
        </w:r>
      </w:hyperlink>
    </w:p>
    <w:p>
      <w:pPr>
        <w:spacing w:before="0" w:after="80"/>
      </w:pPr>
      <w:r>
        <w:rPr>
          <w:i/>
          <w:sz w:val="20"/>
        </w:rPr>
        <w:t>EN: Enhancing efficient passive daytime radiative cooling in buildings using a durable and robust superamphiphobic coating for long-term performance</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12">
        <w:r>
          <w:rPr>
            <w:color w:val="1155CC"/>
            <w:u w:val="single"/>
          </w:rPr>
          <w:t>预测元素而非序列：用于非常精确预测建筑物每小时能耗的ResNet替代方法</w:t>
        </w:r>
      </w:hyperlink>
    </w:p>
    <w:p>
      <w:pPr>
        <w:spacing w:before="0" w:after="80"/>
      </w:pPr>
      <w:r>
        <w:rPr>
          <w:i/>
          <w:sz w:val="20"/>
        </w:rPr>
        <w:t>EN: Predict the element instead of the sequence: ResNet surrogate method for very accurate predictions of hourly building energy</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13">
        <w:r>
          <w:rPr>
            <w:color w:val="1155CC"/>
            <w:u w:val="single"/>
          </w:rPr>
          <w:t>用于区域电力-经济预测的机器学习框架：开发美国区域能源经济指数（REEI）以实现公平的能源转型规划</w:t>
        </w:r>
      </w:hyperlink>
    </w:p>
    <w:p>
      <w:pPr>
        <w:spacing w:before="0" w:after="80"/>
      </w:pPr>
      <w:r>
        <w:rPr>
          <w:i/>
          <w:sz w:val="20"/>
        </w:rPr>
        <w:t>EN: A machine learning framework for regional electricity–economic forecasting: Developing the U.S. Regional energy economic index (REEI) for equitable energy transition planning</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14">
        <w:r>
          <w:rPr>
            <w:color w:val="1155CC"/>
            <w:u w:val="single"/>
          </w:rPr>
          <w:t>基于多智能体的双斯塔克尔伯格博弈模型和改进的利益分配策略，用于虚拟电厂集群加入能源和频率调节市场</w:t>
        </w:r>
      </w:hyperlink>
    </w:p>
    <w:p>
      <w:pPr>
        <w:spacing w:before="0" w:after="80"/>
      </w:pPr>
      <w:r>
        <w:rPr>
          <w:i/>
          <w:sz w:val="20"/>
        </w:rPr>
        <w:t>EN: Multi-agent-based dual-Stackelberg game model and improved benefit allocation strategy for virtual power plant cluster joining in energy and frequency regulation markets</w:t>
      </w:r>
    </w:p>
    <w:p>
      <w:pPr>
        <w:spacing w:before="0" w:after="120"/>
      </w:pPr>
      <w:r>
        <w:rPr>
          <w:b/>
        </w:rPr>
        <w:t xml:space="preserve">Source: </w:t>
      </w:r>
      <w:r>
        <w:t>ScienceDirect Publication: Applied Energy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15">
        <w:r>
          <w:rPr>
            <w:color w:val="1155CC"/>
            <w:u w:val="single"/>
          </w:rPr>
          <w:t>在行业发展信号下对新能源的创新投资：使用LLM方法捕捉政策和市场信号</w:t>
        </w:r>
      </w:hyperlink>
    </w:p>
    <w:p>
      <w:pPr>
        <w:spacing w:before="0" w:after="80"/>
      </w:pPr>
      <w:r>
        <w:rPr>
          <w:i/>
          <w:sz w:val="20"/>
        </w:rPr>
        <w:t>EN: Innovative investment in new energy under industry development signals: Capturing policy and market signals using LLM method</w:t>
      </w:r>
    </w:p>
    <w:p>
      <w:pPr>
        <w:spacing w:before="0" w:after="120"/>
      </w:pPr>
      <w:r>
        <w:rPr>
          <w:b/>
        </w:rPr>
        <w:t xml:space="preserve">Source: </w:t>
      </w:r>
      <w:r>
        <w:t>ScienceDirect Publication: Energy Policy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16">
        <w:r>
          <w:rPr>
            <w:color w:val="1155CC"/>
            <w:u w:val="single"/>
          </w:rPr>
          <w:t>意外延迟：绿色技术、金融和能源转型</w:t>
        </w:r>
      </w:hyperlink>
    </w:p>
    <w:p>
      <w:pPr>
        <w:spacing w:before="0" w:after="80"/>
      </w:pPr>
      <w:r>
        <w:rPr>
          <w:i/>
          <w:sz w:val="20"/>
        </w:rPr>
        <w:t>EN: Unintended delays: Green technology, finance, and energy transition</w:t>
      </w:r>
    </w:p>
    <w:p>
      <w:pPr>
        <w:spacing w:before="0" w:after="120"/>
      </w:pPr>
      <w:r>
        <w:rPr>
          <w:b/>
        </w:rPr>
        <w:t xml:space="preserve">Source: </w:t>
      </w:r>
      <w:r>
        <w:t>ScienceDirect Publication: Energy Policy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17">
        <w:r>
          <w:rPr>
            <w:color w:val="1155CC"/>
            <w:u w:val="single"/>
          </w:rPr>
          <w:t>通过受限分子包封原位生长仿生离子选择性膜以实现优越的氟化物/氯化物分离</w:t>
        </w:r>
      </w:hyperlink>
    </w:p>
    <w:p>
      <w:pPr>
        <w:spacing w:before="0" w:after="80"/>
      </w:pPr>
      <w:r>
        <w:rPr>
          <w:i/>
          <w:sz w:val="20"/>
        </w:rPr>
        <w:t>EN: In-situ growth of biomimetic ion-selective membranes via confined molecular encapsulation for superior fluoride/chloride separation</w:t>
      </w:r>
    </w:p>
    <w:p>
      <w:pPr>
        <w:spacing w:before="0" w:after="120"/>
      </w:pPr>
      <w:r>
        <w:rPr>
          <w:b/>
        </w:rPr>
        <w:t xml:space="preserve">Source: </w:t>
      </w:r>
      <w:r>
        <w:t>Nature Communications</w:t>
      </w:r>
      <w:r>
        <w:t xml:space="preserve">    </w:t>
      </w:r>
      <w:r>
        <w:rPr>
          <w:b/>
        </w:rPr>
        <w:t xml:space="preserve">Pub date: </w:t>
      </w:r>
      <w:r>
        <w:t>2026-03-28 00:00:00+00:00</w:t>
      </w:r>
      <w:r>
        <w:t xml:space="preserve">    </w:t>
      </w:r>
      <w:r>
        <w:rPr>
          <w:b/>
        </w:rPr>
        <w:t xml:space="preserve">DOI: </w:t>
      </w:r>
      <w:hyperlink r:id="rId218">
        <w:r>
          <w:rPr>
            <w:color w:val="1155CC"/>
            <w:u w:val="single"/>
          </w:rPr>
          <w:t>10.1038/s41467-026-71107-6</w:t>
        </w:r>
      </w:hyperlink>
    </w:p>
    <w:p>
      <w:pPr>
        <w:spacing w:before="0" w:after="120"/>
      </w:pPr>
      <w:r>
        <w:rPr>
          <w:b/>
        </w:rPr>
        <w:t xml:space="preserve">Notes: </w:t>
      </w:r>
      <w:r>
        <w:t>abstract_source=nature_html</w:t>
      </w:r>
    </w:p>
    <w:p>
      <w:pPr>
        <w:spacing w:before="0" w:after="80" w:lineRule="auto" w:line="276"/>
      </w:pPr>
      <w:r>
        <w:rPr>
          <w:b/>
        </w:rPr>
        <w:t xml:space="preserve">摘要（ZH）: </w:t>
      </w:r>
      <w:r>
        <w:t>仿生离子通道通过利用其独特的受限识别能力展示了在纳米级分子分离中的潜力。金属有机框架（MOF）基混合基质膜（MMMs）提供了一个有前景的平台，将MOF的埃尺度孔与聚合物的可加工性结合在一起。然而，缓慢的MOF成核动力学和弱的界面相互作用阻碍了精确通道的形成。在此，我们提出了一种受限分子封装（CME）策略，该策略同步调节MOF成核动力学和界面相互作用，通过超分子组装将前体转化为柔性凝胶网络金属有机凝胶（MOGs）。分子动力学模拟和原位光学检测表明，MOG-聚合物的相互作用更强，受限扩散</w:t>
      </w:r>
    </w:p>
    <w:p>
      <w:pPr>
        <w:spacing w:before="0" w:after="200" w:lineRule="auto" w:line="276"/>
      </w:pPr>
      <w:r>
        <w:rPr>
          <w:b/>
        </w:rPr>
        <w:t xml:space="preserve">Abstract (EN): </w:t>
      </w:r>
      <w:r>
        <w:t>Biomimetic ion channels demonstrate potential for nanoscale molecular separations by leveraging their unique confined recognition capabilities. Metal-organic framework (MOF)-based mixed matrix membranes (MMMs) offer a promising platform that integrates the ångström-scale pores of MOFs with polymer processability. However, slow MOF nucleation kinetics and weak interfacial interactions impede precise channel formation. Here, we present a confined molecular encapsulation (CME) strategy that synchronously regulates MOF nucleation kinetics and interfacial interactions, transforming precursors into flexible gel-network metal-organic gels (MOGs) via supramolecular assembly. Molecular dynamics simulations and in-situ optical detection show that stronger MOG-polymer interactions and confined diffusion govern enhanced interfacial compatibility and uniform dispersion. Optimized MMMs deliver a F⁻/Cl⁻ separation ratio of 32.0 with ionic current rectification. COMSOL simulations demonstrate that synergistic coupling of aligned MOF arrays and uniform surface charge enables efficient ion differentiation. This CME strategy establishes a versatile nanoscale platform for fabricating high-performance monovalent ion-selective membranes and nanofluidic devices.</w:t>
      </w:r>
    </w:p>
    <w:p>
      <w:pPr>
        <w:spacing w:before="120" w:after="120"/>
      </w:pPr>
      <w:r>
        <w:rPr>
          <w:sz w:val="18"/>
        </w:rPr>
        <w:t>——————————————————————————————————————————————————————————————————————</w:t>
      </w:r>
    </w:p>
    <w:p>
      <w:pPr>
        <w:spacing w:before="160" w:after="40" w:line="240" w:lineRule="auto"/>
      </w:pPr>
      <w:r>
        <w:rPr>
          <w:b/>
        </w:rPr>
        <w:t xml:space="preserve">[13] </w:t>
      </w:r>
      <w:hyperlink r:id="rId219">
        <w:r>
          <w:rPr>
            <w:color w:val="1155CC"/>
            <w:u w:val="single"/>
          </w:rPr>
          <w:t>虚拟代币的积累以获得大奖奖励增强了背侧前扣带皮层的性能和价值编码</w:t>
        </w:r>
      </w:hyperlink>
    </w:p>
    <w:p>
      <w:pPr>
        <w:spacing w:before="0" w:after="80"/>
      </w:pPr>
      <w:r>
        <w:rPr>
          <w:i/>
          <w:sz w:val="20"/>
        </w:rPr>
        <w:t>EN: Accumulation of virtual tokens towards a jackpot reward enhances performance and value encoding in dorsal anterior cingulate cortex</w:t>
      </w:r>
    </w:p>
    <w:p>
      <w:pPr>
        <w:spacing w:before="0" w:after="120"/>
      </w:pPr>
      <w:r>
        <w:rPr>
          <w:b/>
        </w:rPr>
        <w:t xml:space="preserve">Source: </w:t>
      </w:r>
      <w:r>
        <w:t>Nature Communications</w:t>
      </w:r>
      <w:r>
        <w:t xml:space="preserve">    </w:t>
      </w:r>
      <w:r>
        <w:rPr>
          <w:b/>
        </w:rPr>
        <w:t xml:space="preserve">Pub date: </w:t>
      </w:r>
      <w:r>
        <w:t>2026-03-28 00:00:00+00:00</w:t>
      </w:r>
      <w:r>
        <w:t xml:space="preserve">    </w:t>
      </w:r>
      <w:r>
        <w:rPr>
          <w:b/>
        </w:rPr>
        <w:t xml:space="preserve">DOI: </w:t>
      </w:r>
      <w:hyperlink r:id="rId220">
        <w:r>
          <w:rPr>
            <w:color w:val="1155CC"/>
            <w:u w:val="single"/>
          </w:rPr>
          <w:t>10.1038/s41467-026-70423-1</w:t>
        </w:r>
      </w:hyperlink>
    </w:p>
    <w:p>
      <w:pPr>
        <w:spacing w:before="0" w:after="120"/>
      </w:pPr>
      <w:r>
        <w:rPr>
          <w:b/>
        </w:rPr>
        <w:t xml:space="preserve">Notes: </w:t>
      </w:r>
      <w:r>
        <w:t>abstract_source=nature_html</w:t>
      </w:r>
    </w:p>
    <w:p>
      <w:pPr>
        <w:spacing w:before="0" w:after="80" w:lineRule="auto" w:line="276"/>
      </w:pPr>
      <w:r>
        <w:rPr>
          <w:b/>
        </w:rPr>
        <w:t xml:space="preserve">摘要（ZH）: </w:t>
      </w:r>
      <w:r>
        <w:t>规范上，我们的决策应该相对于我们的总财富来做出，但在实践中，我们的决策是相对于可变的、决策时间特定的设定点来做出的。这种偏好引入了一种主要的行为偏差，在前景理论中被称为参考点依赖，并且与心理账户密切相关。在此，我们研究了在进行基于代币的风险选择任务的猕猴的背侧前扣带皮层（dACC）中的神经活动，其中获得六个代币（在几个试验中累积）会导致一个大奖奖励。我们发现，当提供的条件更容易且大奖奖励更有可能实现时，受试者做出更快和更准确的选择，并且他们更不容易冒险。通过比较替代模型</w:t>
      </w:r>
    </w:p>
    <w:p>
      <w:pPr>
        <w:spacing w:before="0" w:after="200" w:lineRule="auto" w:line="276"/>
      </w:pPr>
      <w:r>
        <w:rPr>
          <w:b/>
        </w:rPr>
        <w:t xml:space="preserve">Abstract (EN): </w:t>
      </w:r>
      <w:r>
        <w:t>Normatively, our decisions ought to be made relative to our total wealth, but in practice, we make our decisions relative to variable, decision-time-specific set points. This predilection introduces a major behavioral bias that is known as reference-point dependence in Prospect Theory, and it has close links to mental accounting. Here we examined neural activity in the dorsal anterior cingulate cortex (dACC) of macaques performing a token-based risky choice task, in which the acquisition of six tokens (accumulated over several trials) resulted in a jackpot reward. We found that subjects make faster and more accurate choices, and that they are less prone to risk-taking as offer contingencies are easier and the jackpot reward becomes more likely to be achieved. By comparing alternative models that accounted for progressive token accumulation, we found that subjective evaluations are best explained by a reference-dependent value ‘RDV’ model where offer values are considered as potential gains or losses with respect to a token-dependent reference. The reference-dependent model allows to implement a dynamical comparison of the two offered values to each other and to the number of missing tokens to reach the six-tokens threshold as jackpot approaches. In dACC, we find that gains in subjective values entail higher fractions of encoding cells than losses, and that the encoding tuning of expected utility variables is best aligned with upcoming choices in gains than in losses. These results suggest a neural basis of reference dependence biases in shaping decision-making behavior and highlight the critical role of value representations in dACC in driving evaluations.</w:t>
      </w:r>
    </w:p>
    <w:p>
      <w:pPr>
        <w:spacing w:before="120" w:after="120"/>
      </w:pPr>
      <w:r>
        <w:rPr>
          <w:sz w:val="18"/>
        </w:rPr>
        <w:t>——————————————————————————————————————————————————————————————————————</w:t>
      </w:r>
    </w:p>
    <w:p>
      <w:pPr>
        <w:spacing w:before="160" w:after="40" w:line="240" w:lineRule="auto"/>
      </w:pPr>
      <w:r>
        <w:rPr>
          <w:b/>
        </w:rPr>
        <w:t xml:space="preserve">[14] </w:t>
      </w:r>
      <w:hyperlink r:id="rId221">
        <w:r>
          <w:rPr>
            <w:color w:val="1155CC"/>
            <w:u w:val="single"/>
          </w:rPr>
          <w:t>城市发展与能源转型：中国城市的证据</w:t>
        </w:r>
      </w:hyperlink>
    </w:p>
    <w:p>
      <w:pPr>
        <w:spacing w:before="0" w:after="80"/>
      </w:pPr>
      <w:r>
        <w:rPr>
          <w:i/>
          <w:sz w:val="20"/>
        </w:rPr>
        <w:t>EN: Urban development and the energy transition: Evidence from Chinese cities</w:t>
      </w:r>
    </w:p>
    <w:p>
      <w:pPr>
        <w:spacing w:before="0" w:after="120"/>
      </w:pPr>
      <w:r>
        <w:rPr>
          <w:b/>
        </w:rPr>
        <w:t xml:space="preserve">Source: </w:t>
      </w:r>
      <w:r>
        <w:t>ScienceDirect Publication: Energy Policy</w:t>
      </w:r>
      <w:r>
        <w:t xml:space="preserve">    </w:t>
      </w:r>
      <w:r>
        <w:rPr>
          <w:b/>
        </w:rPr>
        <w:t xml:space="preserve">Pub date: </w:t>
      </w:r>
      <w:r>
        <w:t>2026-03-28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22">
        <w:r>
          <w:rPr>
            <w:color w:val="1155CC"/>
            <w:u w:val="single"/>
          </w:rPr>
          <w:t>调节核刚度和包膜屏障促进AAV核进入并降低免疫原性</w:t>
        </w:r>
      </w:hyperlink>
    </w:p>
    <w:p>
      <w:pPr>
        <w:spacing w:before="0" w:after="80"/>
      </w:pPr>
      <w:r>
        <w:rPr>
          <w:i/>
          <w:sz w:val="20"/>
        </w:rPr>
        <w:t>EN: Modulating nuclear stiffness and envelope barrier facilitates AAV nuclear entry and reduces immunogenicity</w:t>
      </w:r>
    </w:p>
    <w:p>
      <w:pPr>
        <w:spacing w:before="0" w:after="120"/>
      </w:pPr>
      <w:r>
        <w:rPr>
          <w:b/>
        </w:rPr>
        <w:t xml:space="preserve">Source: </w:t>
      </w:r>
      <w:r>
        <w:t>Nature Communications</w:t>
      </w:r>
      <w:r>
        <w:t xml:space="preserve">    </w:t>
      </w:r>
      <w:r>
        <w:rPr>
          <w:b/>
        </w:rPr>
        <w:t xml:space="preserve">Pub date: </w:t>
      </w:r>
      <w:r>
        <w:t>2026-03-28 00:00:00+00:00</w:t>
      </w:r>
      <w:r>
        <w:t xml:space="preserve">    </w:t>
      </w:r>
      <w:r>
        <w:rPr>
          <w:b/>
        </w:rPr>
        <w:t xml:space="preserve">DOI: </w:t>
      </w:r>
      <w:hyperlink r:id="rId223">
        <w:r>
          <w:rPr>
            <w:color w:val="1155CC"/>
            <w:u w:val="single"/>
          </w:rPr>
          <w:t>10.1038/s41467-026-71194-5</w:t>
        </w:r>
      </w:hyperlink>
    </w:p>
    <w:p>
      <w:pPr>
        <w:spacing w:before="0" w:after="120"/>
      </w:pPr>
      <w:r>
        <w:rPr>
          <w:b/>
        </w:rPr>
        <w:t xml:space="preserve">Notes: </w:t>
      </w:r>
      <w:r>
        <w:t>abstract_source=nature_html</w:t>
      </w:r>
    </w:p>
    <w:p>
      <w:pPr>
        <w:spacing w:before="0" w:after="80" w:lineRule="auto" w:line="276"/>
      </w:pPr>
      <w:r>
        <w:rPr>
          <w:b/>
        </w:rPr>
        <w:t xml:space="preserve">摘要（ZH）: </w:t>
      </w:r>
      <w:r>
        <w:t>重组腺相关病毒（rAAVs）在骨科疾病中显示出前景。然而，传统的AAV载体面临重大挑战，其中免疫反应降低了转基因的有效性，而载体效力不足需要更高的剂量，导致成本增加和安全性问题。在此，我们展示了与AAV载体共同给药的包封雷帕霉素的Pluronic F-127（PF127-RAPA）胶束显著提高了AAV的转导效率并降低了其免疫原性。从机制上讲，PF127-RAPA调节了核膜的形态和机械性能，这与核孔复合体（NPCs）介导的增强被动运输相关，从而增加了AAV的核进入。同时，PF127-RAPA减少了AAV颗粒在</w:t>
      </w:r>
    </w:p>
    <w:p>
      <w:pPr>
        <w:spacing w:before="0" w:after="200" w:lineRule="auto" w:line="276"/>
      </w:pPr>
      <w:r>
        <w:rPr>
          <w:b/>
        </w:rPr>
        <w:t xml:space="preserve">Abstract (EN): </w:t>
      </w:r>
      <w:r>
        <w:t>Recombinant adeno-associated viruses (rAAVs) have shown promise for orthopedic diseases. However, conventional AAV vectors face major challenges, where immune responses reduce transgene efficacy and inadequate vector potency requires higher doses, leading to increased costs and safety concerns. Here, we show that Pluronic F-127 (PF127) micelles encapsulating rapamycin (PF127-RAPA), co-administered with AAV vectors, significantly enhanced AAV transduction efficiency and reduce its immunogenicity. Mechanistically, PF127-RAPA modulates the morphology and mechanical properties of the nuclear membrane, which is associated with enhanced passive transport mediated by nuclear pore complexes (NPCs) and thereby increased AAV nuclear entry. Concurrently, PF127-RAPA reduced AAV particle accumulation in the cytoplasm, minimizing MHC class I presentation of capsid proteins and attenuating the cellular immune response. Notably, in postmenopausal osteoporosis and rheumatoid arthritis mouse models, PF127-RAPA enabled AAV6-SEMA3A to achieve a 75% reduction in dosage while maintaining potent efficacy. This work presents a clinically translatable, cost-effective nanotechnology approach to enhance AAV-based therapies for osteoimmunological disorders.</w:t>
      </w:r>
    </w:p>
    <w:p>
      <w:pPr>
        <w:spacing w:before="120" w:after="120"/>
      </w:pPr>
      <w:r>
        <w:rPr>
          <w:sz w:val="18"/>
        </w:rPr>
        <w:t>——————————————————————————————————————————————————————————————————————</w:t>
      </w:r>
    </w:p>
    <w:p>
      <w:pPr>
        <w:spacing w:before="160" w:after="40" w:line="240" w:lineRule="auto"/>
      </w:pPr>
      <w:r>
        <w:rPr>
          <w:b/>
        </w:rPr>
        <w:t xml:space="preserve">[16] </w:t>
      </w:r>
      <w:hyperlink r:id="rId224">
        <w:r>
          <w:rPr>
            <w:color w:val="1155CC"/>
            <w:u w:val="single"/>
          </w:rPr>
          <w:t>DISC1突变猕猴捕捉精神疾病的行为和神经特征</w:t>
        </w:r>
      </w:hyperlink>
    </w:p>
    <w:p>
      <w:pPr>
        <w:spacing w:before="0" w:after="80"/>
      </w:pPr>
      <w:r>
        <w:rPr>
          <w:i/>
          <w:sz w:val="20"/>
        </w:rPr>
        <w:t>EN: DISC1 mutant macaques capture behavioral and neural hallmarks of psychiatric disease</w:t>
      </w:r>
    </w:p>
    <w:p>
      <w:pPr>
        <w:spacing w:before="0" w:after="120"/>
      </w:pPr>
      <w:r>
        <w:rPr>
          <w:b/>
        </w:rPr>
        <w:t xml:space="preserve">Source: </w:t>
      </w:r>
      <w:r>
        <w:t>National Science Review Advance Access</w:t>
      </w:r>
      <w:r>
        <w:t xml:space="preserve">    </w:t>
      </w:r>
      <w:r>
        <w:rPr>
          <w:b/>
        </w:rPr>
        <w:t xml:space="preserve">Pub date: </w:t>
      </w:r>
      <w:r>
        <w:t>2026-03-28 00:00:00+00:00</w:t>
      </w:r>
      <w:r>
        <w:t xml:space="preserve">    </w:t>
      </w:r>
      <w:r>
        <w:rPr>
          <w:b/>
        </w:rPr>
        <w:t xml:space="preserve">DOI: </w:t>
      </w:r>
      <w:hyperlink r:id="rId225">
        <w:r>
          <w:rPr>
            <w:color w:val="1155CC"/>
            <w:u w:val="single"/>
          </w:rPr>
          <w:t>10.1093/nsr/nwag200</w:t>
        </w:r>
      </w:hyperlink>
    </w:p>
    <w:p>
      <w:pPr>
        <w:spacing w:before="0" w:after="120"/>
      </w:pPr>
      <w:r>
        <w:rPr>
          <w:b/>
        </w:rPr>
        <w:t xml:space="preserve">Notes: </w:t>
      </w:r>
      <w:r>
        <w:t>abstract_source=rss_oup</w:t>
      </w:r>
    </w:p>
    <w:p>
      <w:pPr>
        <w:spacing w:before="0" w:after="80" w:lineRule="auto" w:line="276"/>
      </w:pPr>
      <w:r>
        <w:rPr>
          <w:b/>
        </w:rPr>
        <w:t xml:space="preserve">摘要（ZH）: </w:t>
      </w:r>
      <w:r>
        <w:t>精神分裂症是一种毁灭性且复杂的神经系统疾病，其神经发育起源尚未得到充分理解。目前的啮齿动物模型往往无法完全捕捉人类的症状学，阻碍了治疗开发。我们生成了一种可遗传的DISC1</w:t>
      </w:r>
    </w:p>
    <w:p>
      <w:pPr>
        <w:spacing w:before="0" w:after="200" w:lineRule="auto" w:line="276"/>
      </w:pPr>
      <w:r>
        <w:rPr>
          <w:b/>
        </w:rPr>
        <w:t xml:space="preserve">Abstract (EN): </w:t>
      </w:r>
      <w:r>
        <w:t>Schizophrenia is a devastating and complex neurological disorder with poorly understood neurodevelopmental origins. Current rodent models often fail to fully capture human symptomology, hindering therapeutic development. We generated a germline-transmissible DISC1</w:t>
      </w:r>
    </w:p>
    <w:p>
      <w:pPr>
        <w:spacing w:before="120" w:after="120"/>
      </w:pPr>
      <w:r>
        <w:rPr>
          <w:sz w:val="18"/>
        </w:rPr>
        <w:t>——————————————————————————————————————————————————————————————————————</w:t>
      </w:r>
    </w:p>
    <w:p>
      <w:pPr>
        <w:spacing w:before="160" w:after="40" w:line="240" w:lineRule="auto"/>
      </w:pPr>
      <w:r>
        <w:rPr>
          <w:b/>
        </w:rPr>
        <w:t xml:space="preserve">[17] </w:t>
      </w:r>
      <w:hyperlink r:id="rId226">
        <w:r>
          <w:rPr>
            <w:color w:val="1155CC"/>
            <w:u w:val="single"/>
          </w:rPr>
          <w:t>软骨靶向水凝胶纳米平台通过Nav1.7轴降解BRD4以缓解骨关节炎</w:t>
        </w:r>
      </w:hyperlink>
    </w:p>
    <w:p>
      <w:pPr>
        <w:spacing w:before="0" w:after="80"/>
      </w:pPr>
      <w:r>
        <w:rPr>
          <w:i/>
          <w:sz w:val="20"/>
        </w:rPr>
        <w:t>EN: Cartilage targeting hydrogel nanoplatform degrades BRD4 to alleviate osteoarthritis via Nav1.7 axis</w:t>
      </w:r>
    </w:p>
    <w:p>
      <w:pPr>
        <w:spacing w:before="0" w:after="120"/>
      </w:pPr>
      <w:r>
        <w:rPr>
          <w:b/>
        </w:rPr>
        <w:t xml:space="preserve">Source: </w:t>
      </w:r>
      <w:r>
        <w:t>Nature Communications</w:t>
      </w:r>
      <w:r>
        <w:t xml:space="preserve">    </w:t>
      </w:r>
      <w:r>
        <w:rPr>
          <w:b/>
        </w:rPr>
        <w:t xml:space="preserve">Pub date: </w:t>
      </w:r>
      <w:r>
        <w:t>2026-03-28 00:00:00+00:00</w:t>
      </w:r>
      <w:r>
        <w:t xml:space="preserve">    </w:t>
      </w:r>
      <w:r>
        <w:rPr>
          <w:b/>
        </w:rPr>
        <w:t xml:space="preserve">DOI: </w:t>
      </w:r>
      <w:hyperlink r:id="rId227">
        <w:r>
          <w:rPr>
            <w:color w:val="1155CC"/>
            <w:u w:val="single"/>
          </w:rPr>
          <w:t>10.1038/s41467-026-71246-w</w:t>
        </w:r>
      </w:hyperlink>
    </w:p>
    <w:p>
      <w:pPr>
        <w:spacing w:before="0" w:after="120"/>
      </w:pPr>
      <w:r>
        <w:rPr>
          <w:b/>
        </w:rPr>
        <w:t xml:space="preserve">Notes: </w:t>
      </w:r>
      <w:r>
        <w:t>abstract_source=nature_html</w:t>
      </w:r>
    </w:p>
    <w:p>
      <w:pPr>
        <w:spacing w:before="0" w:after="80" w:lineRule="auto" w:line="276"/>
      </w:pPr>
      <w:r>
        <w:rPr>
          <w:b/>
        </w:rPr>
        <w:t xml:space="preserve">摘要（ZH）: </w:t>
      </w:r>
      <w:r>
        <w:t>骨关节炎（OA）是一种常见的退行性关节疾病，具有有限的疾病修饰疗法。新兴证据表明，表观遗传失调导致软骨退化，但有效的选择性靶向这些途径的策略仍然缺乏。我们展示了BRD4/Nav1.7轴在OA中的炎症和代谢功能障碍中起作用。综合单细胞和转录组分析确定BRD4是一个关键调节因子，增强Nav1.7转录，促进软骨细胞中的线粒体损伤和分解代谢激活。为了治疗性地靶向这一途径，我们开发了一种仿生水凝胶系统，结合软骨细胞膜包裹的纳米颗粒，用于软骨特异性递送BRD4蛋白降解靶向嵌合体（PROTAC），一种设计的分子</w:t>
      </w:r>
    </w:p>
    <w:p>
      <w:pPr>
        <w:spacing w:before="0" w:after="200" w:lineRule="auto" w:line="276"/>
      </w:pPr>
      <w:r>
        <w:rPr>
          <w:b/>
        </w:rPr>
        <w:t xml:space="preserve">Abstract (EN): </w:t>
      </w:r>
      <w:r>
        <w:t>Osteoarthritis (OA) is a common degenerative joint disease with limited disease-modifying therapies. Emerging evidence suggests that epigenetic dysregulation contributes to cartilage degeneration, but effective strategies to selectively target these pathways remain lacking. Here we show that the BRD4/Nav1.7 axis drives inflammatory and metabolic dysfunction in OA. Integrated single-cell and transcriptomic analyses identify BRD4 as a key regulator that enhances Nav1.7 transcription, promoting mitochondrial impairment and catabolic activation in chondrocytes. To therapeutically target this pathway, we develop a biomimetic hydrogel system incorporating chondrocyte membrane-coated nanoparticles for cartilage-specific delivery of a BRD4 proteolysis-targeting chimera (PROTAC), a molecule designed to induce selective protein degradation. This nanoplatform enables efficient intra-articular delivery, immune evasion and targeted retention in cartilage. Treatment suppresses inflammatory responses, restores mitochondrial function and reduces cartilage degeneration and pain behaviors in two mouse models of OA. These findings establish targeted BRD4 degradation as a disease-modifying strategy and provide a precision nanotherapeutic platform for OA.</w:t>
      </w:r>
    </w:p>
    <w:p>
      <w:pPr>
        <w:spacing w:before="120" w:after="120"/>
      </w:pPr>
      <w:r>
        <w:rPr>
          <w:sz w:val="18"/>
        </w:rPr>
        <w:t>——————————————————————————————————————————————————————————————————————</w:t>
      </w:r>
    </w:p>
    <w:p>
      <w:pPr>
        <w:spacing w:before="160" w:after="40" w:line="240" w:lineRule="auto"/>
      </w:pPr>
      <w:r>
        <w:rPr>
          <w:b/>
        </w:rPr>
        <w:t xml:space="preserve">[18] </w:t>
      </w:r>
      <w:hyperlink r:id="rId228">
        <w:r>
          <w:rPr>
            <w:color w:val="1155CC"/>
            <w:u w:val="single"/>
          </w:rPr>
          <w:t>一种宿主-客体超分子方法以提升惰性C(sp3)─H键的连续多光子激发芳基化</w:t>
        </w:r>
      </w:hyperlink>
    </w:p>
    <w:p>
      <w:pPr>
        <w:spacing w:before="0" w:after="80"/>
      </w:pPr>
      <w:r>
        <w:rPr>
          <w:i/>
          <w:sz w:val="20"/>
        </w:rPr>
        <w:t>EN: A Host–Guest Supramolecular Approach to Boosting Consecutive Multi‐Photon Excitation for the Arylation of Inert C(sp3)─H Bonds</w:t>
      </w:r>
    </w:p>
    <w:p>
      <w:pPr>
        <w:spacing w:before="0" w:after="120"/>
      </w:pPr>
      <w:r>
        <w:rPr>
          <w:b/>
        </w:rPr>
        <w:t xml:space="preserve">Source: </w:t>
      </w:r>
      <w:r>
        <w:t>Wiley: Angewandte Chemie International Edition: Table of Contents</w:t>
      </w:r>
      <w:r>
        <w:t xml:space="preserve">    </w:t>
      </w:r>
      <w:r>
        <w:rPr>
          <w:b/>
        </w:rPr>
        <w:t xml:space="preserve">Pub date: </w:t>
      </w:r>
      <w:r>
        <w:t>2026-03-28 07:51:42+00:00</w:t>
      </w:r>
      <w:r>
        <w:t xml:space="preserve">    </w:t>
      </w:r>
      <w:r>
        <w:rPr>
          <w:b/>
        </w:rPr>
        <w:t xml:space="preserve">DOI: </w:t>
      </w:r>
      <w:hyperlink r:id="rId229">
        <w:r>
          <w:rPr>
            <w:color w:val="1155CC"/>
            <w:u w:val="single"/>
          </w:rPr>
          <w:t>10.1002/anie.8289757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光合作用利用多个可见光光子来驱动热力学上要求高的反应，而在人工光合作用中实现类似的多光子激发仍然具有挑战性。受酶级联反应的启发，我们在此报告了一种主体-客体超分子方法，通过将9-间甲苯基-10-甲基吖啶鎓高氯酸盐（Acr+）客体限制在由三苯胺衍生配体（TPA）与Ce─Ot‐Bu节点组装的配位超分子主体内，以提高连续多光子激发（&gt;2光子）的效率。</w:t>
      </w:r>
    </w:p>
    <w:p>
      <w:pPr>
        <w:spacing w:before="0" w:after="200" w:lineRule="auto" w:line="276"/>
      </w:pPr>
      <w:r>
        <w:rPr>
          <w:b/>
        </w:rPr>
        <w:t xml:space="preserve">Abstract (EN): </w:t>
      </w:r>
      <w:r>
        <w:t>Biological photosynthesis harnesses multiple visible light photons to drive thermodynamically demanding reactions, whereas realizing analogous multi‐photon excitation in artificial photosynthesis remains challenging. Inspired by enzymatic cascades, we herein report a host–guest supramolecular approach to boosting consecutive multi‐photon excitation (&amp;gt;2 photons) by confining a 9‐mesityl‐10‐methylacridinium perchlorate (</w:t>
      </w:r>
      <w:r>
        <w:t xml:space="preserve"> </w:t>
      </w:r>
      <w:r>
        <w:t>Acr</w:t>
      </w:r>
      <w:r>
        <w:t xml:space="preserve"> </w:t>
      </w:r>
      <w:r>
        <w:t>+</w:t>
      </w:r>
      <w:r>
        <w:t xml:space="preserve"> </w:t>
      </w:r>
      <w:r>
        <w:t>) guest within a coordination supramolecular host assembled from triphenylamine‐derived ligands (</w:t>
      </w:r>
      <w:r>
        <w:t xml:space="preserve"> </w:t>
      </w:r>
      <w:r>
        <w:t>TPA</w:t>
      </w:r>
      <w:r>
        <w:t xml:space="preserve"> </w:t>
      </w:r>
      <w:r>
        <w:t>) with Ce─O</w:t>
      </w:r>
      <w:r>
        <w:t xml:space="preserve"> </w:t>
      </w:r>
      <w:r>
        <w:t>t</w:t>
      </w:r>
      <w:r>
        <w:t xml:space="preserve"> </w:t>
      </w:r>
      <w:r>
        <w:t>‐Bu nodes for efficient inert C(</w:t>
      </w:r>
      <w:r>
        <w:t xml:space="preserve"> </w:t>
      </w:r>
      <w:r>
        <w:t>sp</w:t>
      </w:r>
      <w:r>
        <w:rPr>
          <w:vertAlign w:val="subscript"/>
        </w:rPr>
        <w:t>3</w:t>
      </w:r>
      <w:r>
        <w:t>)─H bond activation and transformation. The composition and structure of the consecutive multi‐photon excitation host–guest supramolecular system were characterized by a combination of high‐resolution electrospray ionization mass spectrometry, NMR, UV–vis spectrum, fluorescence spectrum, and isothermal titration calorimetry. The multi‐photon excitation host–guest supramolecular system furnished a catalytic proficiency of 50 h</w:t>
      </w:r>
      <w:r>
        <w:t xml:space="preserve"> </w:t>
      </w:r>
      <w:r>
        <w:t>−1</w:t>
      </w:r>
      <w:r>
        <w:t xml:space="preserve"> </w:t>
      </w:r>
      <w:r>
        <w:t>for the oxidative arylation of inert C(</w:t>
      </w:r>
      <w:r>
        <w:t xml:space="preserve"> </w:t>
      </w:r>
      <w:r>
        <w:t>sp</w:t>
      </w:r>
      <w:r>
        <w:rPr>
          <w:vertAlign w:val="subscript"/>
        </w:rPr>
        <w:t>3</w:t>
      </w:r>
      <w:r>
        <w:t>)─H bond, representing an approximately 88‐fold increase compared to methods employing strong oxidants or harsh acids, and obviously superior to the best previously reported more than two‐photon system based on consecutive excitation at a single site. To our knowledge, this represents the first example of consecutive multi‐photon excitation integrating three separated photo‐responsive sites within a host–guest supramolecular system, which reaches superactivity for inert C(</w:t>
      </w:r>
      <w:r>
        <w:t xml:space="preserve"> </w:t>
      </w:r>
      <w:r>
        <w:t>sp</w:t>
      </w:r>
      <w:r>
        <w:rPr>
          <w:vertAlign w:val="subscript"/>
        </w:rPr>
        <w:t>3</w:t>
      </w:r>
      <w:r>
        <w:t>)─H bond transformation, offering an attractive avenue toward low‐energy light‐driven challenging chemical transformations under mild conditions.</w:t>
      </w:r>
    </w:p>
    <w:p>
      <w:pPr>
        <w:spacing w:before="120" w:after="120"/>
      </w:pPr>
      <w:r>
        <w:rPr>
          <w:sz w:val="18"/>
        </w:rPr>
        <w:t>——————————————————————————————————————————————————————————————————————</w:t>
      </w:r>
    </w:p>
    <w:p>
      <w:pPr>
        <w:spacing w:before="160" w:after="40" w:line="240" w:lineRule="auto"/>
      </w:pPr>
      <w:r>
        <w:rPr>
          <w:b/>
        </w:rPr>
        <w:t xml:space="preserve">[19] </w:t>
      </w:r>
      <w:hyperlink r:id="rId230">
        <w:r>
          <w:rPr>
            <w:color w:val="1155CC"/>
            <w:u w:val="single"/>
          </w:rPr>
          <w:t>氧化还原介导的空穴传输层和埋藏界面的稳定化以实现稳定的钙钛矿太阳能电池</w:t>
        </w:r>
      </w:hyperlink>
    </w:p>
    <w:p>
      <w:pPr>
        <w:spacing w:before="0" w:after="80"/>
      </w:pPr>
      <w:r>
        <w:rPr>
          <w:i/>
          <w:sz w:val="20"/>
        </w:rPr>
        <w:t>EN: Redox‐Mediated Stabilization of the Hole Transport Layer and Buried Interface Toward Stable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2026-03-28 07:53:12+00:00</w:t>
      </w:r>
      <w:r>
        <w:t xml:space="preserve">    </w:t>
      </w:r>
      <w:r>
        <w:rPr>
          <w:b/>
        </w:rPr>
        <w:t xml:space="preserve">DOI: </w:t>
      </w:r>
      <w:hyperlink r:id="rId231">
        <w:r>
          <w:rPr>
            <w:color w:val="1155CC"/>
            <w:u w:val="single"/>
          </w:rPr>
          <w:t>10.1002/anie.4012708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镍氧化物（NiOx）上实现均匀的自组装单分子层（SAM）沉积并抑制由高氧化态镍物种引起的界面缺陷仍然是反向钙钛矿太阳能电池（PSCs）的一个挑战。在此，我们开发了一种使用草酸铯（CsOA）的表面改性策略，以协同调节NiOx/SAM埋藏界面。CsOA处理抑制了有害的Ni4+含量，并与Ni3+螯合形成复合物[Ni(C2O4)3]。</w:t>
      </w:r>
    </w:p>
    <w:p>
      <w:pPr>
        <w:spacing w:before="0" w:after="200" w:lineRule="auto" w:line="276"/>
      </w:pPr>
      <w:r>
        <w:rPr>
          <w:b/>
        </w:rPr>
        <w:t xml:space="preserve">Abstract (EN): </w:t>
      </w:r>
      <w:r>
        <w:t>Achieving uniform self‐assembled monolayer (SAM) deposition on nickel oxide (NiO</w:t>
      </w:r>
      <w:r>
        <w:t xml:space="preserve"> </w:t>
      </w:r>
      <w:r>
        <w:t>x</w:t>
      </w:r>
      <w:r>
        <w:t xml:space="preserve"> </w:t>
      </w:r>
      <w:r>
        <w:t>) and suppressing interfacial defects caused by high‐oxidation‐state nickel species remains a challenge for inverted perovskite solar cells (PSCs). Here, we develop a surface modification strategy using cesium oxalate (CsOA) to synergistically regulate the NiO</w:t>
      </w:r>
      <w:r>
        <w:t xml:space="preserve"> </w:t>
      </w:r>
      <w:r>
        <w:t>x</w:t>
      </w:r>
      <w:r>
        <w:t xml:space="preserve"> </w:t>
      </w:r>
      <w:r>
        <w:t>/SAM buried interface. The CsOA treatment suppresses detrimental Ni</w:t>
      </w:r>
      <w:r>
        <w:t xml:space="preserve"> </w:t>
      </w:r>
      <w:r>
        <w:t>4+</w:t>
      </w:r>
      <w:r>
        <w:t xml:space="preserve"> </w:t>
      </w:r>
      <w:r>
        <w:t>content and chelates with Ni</w:t>
      </w:r>
      <w:r>
        <w:t xml:space="preserve"> </w:t>
      </w:r>
      <w:r>
        <w:t>3+</w:t>
      </w:r>
      <w:r>
        <w:t xml:space="preserve"> </w:t>
      </w:r>
      <w:r>
        <w:t>to form the complex [Ni(C</w:t>
      </w:r>
      <w:r>
        <w:rPr>
          <w:vertAlign w:val="subscript"/>
        </w:rPr>
        <w:t>2</w:t>
      </w:r>
      <w:r>
        <w:t>O</w:t>
      </w:r>
      <w:r>
        <w:rPr>
          <w:vertAlign w:val="subscript"/>
        </w:rPr>
        <w:t>4</w:t>
      </w:r>
      <w:r>
        <w:t>)</w:t>
      </w:r>
      <w:r>
        <w:rPr>
          <w:vertAlign w:val="subscript"/>
        </w:rPr>
        <w:t>3</w:t>
      </w:r>
      <w:r>
        <w:t>]</w:t>
      </w:r>
      <w:r>
        <w:t xml:space="preserve"> </w:t>
      </w:r>
      <w:r>
        <w:t>3−</w:t>
      </w:r>
      <w:r>
        <w:t>, which maintains a stable oxidation state of Ni</w:t>
      </w:r>
      <w:r>
        <w:t xml:space="preserve"> </w:t>
      </w:r>
      <w:r>
        <w:t>3+</w:t>
      </w:r>
      <w:r>
        <w:t xml:space="preserve"> </w:t>
      </w:r>
      <w:r>
        <w:t>and inhibits its continuing redox reactions as a result of the enhanced conductivity and</w:t>
      </w:r>
      <w:r>
        <w:t xml:space="preserve"> </w:t>
      </w:r>
      <w:r>
        <w:t>p</w:t>
      </w:r>
      <w:r>
        <w:t xml:space="preserve"> </w:t>
      </w:r>
      <w:r>
        <w:t>‐type characteristics. Moreover, as a buffer layer, CsOA can prevent high‐oxidation‐state nickel species (Ni</w:t>
      </w:r>
      <w:r>
        <w:t xml:space="preserve"> </w:t>
      </w:r>
      <w:r>
        <w:t>≥3+</w:t>
      </w:r>
      <w:r>
        <w:t xml:space="preserve"> </w:t>
      </w:r>
      <w:r>
        <w:t>) from reacting directly with the perovskite in uncovered regions and passivate buried perovskite defects through the interaction of the oxalate ion and under‐coordinated Pb</w:t>
      </w:r>
      <w:r>
        <w:t xml:space="preserve"> </w:t>
      </w:r>
      <w:r>
        <w:t>2+</w:t>
      </w:r>
      <w:r>
        <w:t xml:space="preserve"> </w:t>
      </w:r>
      <w:r>
        <w:t>. Additionally, the enhanced anchoring between SAM and NiO</w:t>
      </w:r>
      <w:r>
        <w:t xml:space="preserve"> </w:t>
      </w:r>
      <w:r>
        <w:t>x</w:t>
      </w:r>
      <w:r>
        <w:t xml:space="preserve"> </w:t>
      </w:r>
      <w:r>
        <w:t>/CsOA promotes uniform SAM assembly, thereby improving film quality and stability. As a result, the optimized NiO</w:t>
      </w:r>
      <w:r>
        <w:t xml:space="preserve"> </w:t>
      </w:r>
      <w:r>
        <w:t>x</w:t>
      </w:r>
      <w:r>
        <w:t xml:space="preserve"> </w:t>
      </w:r>
      <w:r>
        <w:t>/CsOA/SAM HTL enables inverted PSCs with efficiencies of 22.89% (1.67 eV) and 26.48% (1.54 eV), retaining 85.7% of the initial efficiency after 1560 h under AM1.5G illumination at 65°C. A scalable mini‐module (an active area of 11.0 cm</w:t>
      </w:r>
      <w:r>
        <w:rPr>
          <w:vertAlign w:val="subscript"/>
        </w:rPr>
        <w:t>2</w:t>
      </w:r>
      <w:r>
        <w:t>) achieves an efficiency of 23.45%, highlighting the approach's potential for high‐performance, stable, and industrially viable PSCs.</w:t>
      </w:r>
    </w:p>
    <w:p>
      <w:pPr>
        <w:spacing w:before="120" w:after="120"/>
      </w:pPr>
      <w:r>
        <w:rPr>
          <w:sz w:val="18"/>
        </w:rPr>
        <w:t>——————————————————————————————————————————————————————————————————————</w:t>
      </w:r>
    </w:p>
    <w:p>
      <w:pPr>
        <w:spacing w:before="160" w:after="40" w:line="240" w:lineRule="auto"/>
      </w:pPr>
      <w:r>
        <w:rPr>
          <w:b/>
        </w:rPr>
        <w:t xml:space="preserve">[20] </w:t>
      </w:r>
      <w:hyperlink r:id="rId232">
        <w:r>
          <w:rPr>
            <w:color w:val="1155CC"/>
            <w:u w:val="single"/>
          </w:rPr>
          <w:t>无受体脱氢聚合</w:t>
        </w:r>
      </w:hyperlink>
    </w:p>
    <w:p>
      <w:pPr>
        <w:spacing w:before="0" w:after="80"/>
      </w:pPr>
      <w:r>
        <w:rPr>
          <w:i/>
          <w:sz w:val="20"/>
        </w:rPr>
        <w:t>EN: Acceptorless Dehydrogenative Polymerization</w:t>
      </w:r>
    </w:p>
    <w:p>
      <w:pPr>
        <w:spacing w:before="0" w:after="120"/>
      </w:pPr>
      <w:r>
        <w:rPr>
          <w:b/>
        </w:rPr>
        <w:t xml:space="preserve">Source: </w:t>
      </w:r>
      <w:r>
        <w:t>Wiley: Angewandte Chemie International Edition: Table of Contents</w:t>
      </w:r>
      <w:r>
        <w:t xml:space="preserve">    </w:t>
      </w:r>
      <w:r>
        <w:rPr>
          <w:b/>
        </w:rPr>
        <w:t xml:space="preserve">Pub date: </w:t>
      </w:r>
      <w:r>
        <w:t>2026-03-28 07:55:14+00:00</w:t>
      </w:r>
      <w:r>
        <w:t xml:space="preserve">    </w:t>
      </w:r>
      <w:r>
        <w:rPr>
          <w:b/>
        </w:rPr>
        <w:t xml:space="preserve">DOI: </w:t>
      </w:r>
      <w:hyperlink r:id="rId233">
        <w:r>
          <w:rPr>
            <w:color w:val="1155CC"/>
            <w:u w:val="single"/>
          </w:rPr>
          <w:t>10.1002/anie.202526144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策略的发展以实现具有目标特性的聚合物材料的合成，仍然是催化、聚合物化学和材料科学交界处的核心追求。无受体脱氢聚合（ADP）已成为一种逐步增长聚合的方法，用于从未活化的醇和胺构建聚酯、聚酰胺、聚氨酯和聚脲，释放出分子氢作为唯一的副产物。从机制上讲，ADP代表了x框架的高分子扩展，其中过渡金属催化剂介导顺序的底物脱氢和缩合。通过利用已建立的s</w:t>
      </w:r>
    </w:p>
    <w:p>
      <w:pPr>
        <w:spacing w:before="0" w:after="200" w:lineRule="auto" w:line="276"/>
      </w:pPr>
      <w:r>
        <w:rPr>
          <w:b/>
        </w:rPr>
        <w:t xml:space="preserve">Abstract (EN): </w:t>
      </w:r>
      <w:r>
        <w:t>The development of polymerization strategies for enabling the synthesis of polymeric materials with targeted properties remains a central pursuit at the interface of catalysis, polymer chemistry, and materials science. Acceptor‐less dehydrogenative polymerization (ADP) has emerged as an approach for a step‐growth polymerization for the construction of polyesters, polyamides, polyurethanes, and polyureas from unactivated alcohols and amines, liberating molecular hydrogen as the only by‐product. Mechanistically, ADP represents the macromolecular extension of the</w:t>
      </w:r>
      <w:r>
        <w:t xml:space="preserve"> </w:t>
      </w:r>
      <w:r>
        <w:t>x</w:t>
      </w:r>
      <w:r>
        <w:t xml:space="preserve"> </w:t>
      </w:r>
      <w:r>
        <w:t>framework, wherein transition‐metal catalysts mediate sequential substrate dehydrogenations and condensations. By leveraging well‐established small‐molecule dehydrogenation chemistry into a repetitive polymer‐forming sequence, ADP unites synthetic efficiency with sustainability to offer access to structurally diverse and high‐performance polymers directly from readily available feedstocks. This minireview highlights the mechanistic foundations, representative catalytic systems, and emerging polymer architectures realized through ADP while identifying some critical challenges and future opportunities we envision will shape its evolution into an enabling platform for green and circular macromolecular design.</w:t>
      </w:r>
    </w:p>
    <w:p>
      <w:pPr>
        <w:spacing w:before="120" w:after="120"/>
      </w:pPr>
      <w:r>
        <w:rPr>
          <w:sz w:val="18"/>
        </w:rPr>
        <w:t>——————————————————————————————————————————————————————————————————————</w:t>
      </w:r>
    </w:p>
    <w:p>
      <w:pPr>
        <w:spacing w:before="160" w:after="40" w:line="240" w:lineRule="auto"/>
      </w:pPr>
      <w:r>
        <w:rPr>
          <w:b/>
        </w:rPr>
        <w:t xml:space="preserve">[21] </w:t>
      </w:r>
      <w:hyperlink r:id="rId234">
        <w:r>
          <w:rPr>
            <w:color w:val="1155CC"/>
            <w:u w:val="single"/>
          </w:rPr>
          <w:t>完全暴露的铂-钯异核簇用于增强二硝基芳烃的多步加氢</w:t>
        </w:r>
      </w:hyperlink>
    </w:p>
    <w:p>
      <w:pPr>
        <w:spacing w:before="0" w:after="80"/>
      </w:pPr>
      <w:r>
        <w:rPr>
          <w:i/>
          <w:sz w:val="20"/>
        </w:rPr>
        <w:t>EN: Fully Exposed Platinum‐Palladium Heteronuclear Cluster for Enhanced Multi‐Step Hydrogenation of Dinitroaromatics</w:t>
      </w:r>
    </w:p>
    <w:p>
      <w:pPr>
        <w:spacing w:before="0" w:after="120"/>
      </w:pPr>
      <w:r>
        <w:rPr>
          <w:b/>
        </w:rPr>
        <w:t xml:space="preserve">Source: </w:t>
      </w:r>
      <w:r>
        <w:t>Wiley: Angewandte Chemie International Edition: Table of Contents</w:t>
      </w:r>
      <w:r>
        <w:t xml:space="preserve">    </w:t>
      </w:r>
      <w:r>
        <w:rPr>
          <w:b/>
        </w:rPr>
        <w:t xml:space="preserve">Pub date: </w:t>
      </w:r>
      <w:r>
        <w:t>2026-03-28 07:57:14+00:00</w:t>
      </w:r>
      <w:r>
        <w:t xml:space="preserve">    </w:t>
      </w:r>
      <w:r>
        <w:rPr>
          <w:b/>
        </w:rPr>
        <w:t xml:space="preserve">DOI: </w:t>
      </w:r>
      <w:hyperlink r:id="rId235">
        <w:r>
          <w:rPr>
            <w:color w:val="1155CC"/>
            <w:u w:val="single"/>
          </w:rPr>
          <w:t>10.1002/anie.7052958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完全暴露的簇催化剂（FECCs）由于其最大化的原子利用效率和多活性位点，在加氢反应中表现出显著的潜力。然而，在复杂的多步加氢中进一步提高其催化性能仍然具有挑战性。在此，我们报告了一种完全暴露的Pt-Pd异核簇（Pt</w:t>
      </w:r>
      <w:r>
        <w:rPr>
          <w:vertAlign w:val="subscript"/>
        </w:rPr>
        <w:t>4</w:t>
      </w:r>
      <w:r>
        <w:t>Pd</w:t>
      </w:r>
      <w:r>
        <w:rPr>
          <w:vertAlign w:val="subscript"/>
        </w:rPr>
        <w:t>1</w:t>
      </w:r>
      <w:r>
        <w:t>/ND@G），其特征是相邻的Pd单原子（Pd</w:t>
      </w:r>
      <w:r>
        <w:rPr>
          <w:vertAlign w:val="subscript"/>
        </w:rPr>
        <w:t>1</w:t>
      </w:r>
      <w:r>
        <w:t>）修饰的完全暴露的Pt簇（平均原子数为4）。结构表征和理论计算表明，相邻的Pd</w:t>
      </w:r>
      <w:r>
        <w:rPr>
          <w:vertAlign w:val="subscript"/>
        </w:rPr>
        <w:t>1</w:t>
      </w:r>
      <w:r>
        <w:t>作为一个附加</w:t>
      </w:r>
    </w:p>
    <w:p>
      <w:pPr>
        <w:spacing w:before="0" w:after="200" w:lineRule="auto" w:line="276"/>
      </w:pPr>
      <w:r>
        <w:rPr>
          <w:b/>
        </w:rPr>
        <w:t xml:space="preserve">Abstract (EN): </w:t>
      </w:r>
      <w:r>
        <w:t>Fully exposed cluster catalysts (FECCs) exhibit significant potential for hydrogenation reactions due to their maximized atom utilization efficiency and multi‐active sites. However, further enhancing their catalytic performance in complex multi‐step hydrogenations remains challenging. Herein, we report a fully exposed Pt‐Pd heteronuclear cluster (Pt</w:t>
      </w:r>
      <w:r>
        <w:rPr>
          <w:vertAlign w:val="subscript"/>
        </w:rPr>
        <w:t>4</w:t>
      </w:r>
      <w:r>
        <w:t>Pd</w:t>
      </w:r>
      <w:r>
        <w:rPr>
          <w:vertAlign w:val="subscript"/>
        </w:rPr>
        <w:t>1</w:t>
      </w:r>
      <w:r>
        <w:t>/ND@G), featuring adjacent Pd single atom (Pd</w:t>
      </w:r>
      <w:r>
        <w:rPr>
          <w:vertAlign w:val="subscript"/>
        </w:rPr>
        <w:t>1</w:t>
      </w:r>
      <w:r>
        <w:t>) modified fully exposed Pt clusters (with an average number of atoms of 4). Structural characterization and theoretical calculations reveal that the adjacent Pd</w:t>
      </w:r>
      <w:r>
        <w:rPr>
          <w:vertAlign w:val="subscript"/>
        </w:rPr>
        <w:t>1</w:t>
      </w:r>
      <w:r>
        <w:t>serves as an additional adsorption site for the nitro group in dinitrotoluene, inducing the dinitrotoluene molecule to adopt a bidentate configuration between the Pt clusters and the Pd</w:t>
      </w:r>
      <w:r>
        <w:rPr>
          <w:vertAlign w:val="subscript"/>
        </w:rPr>
        <w:t>1</w:t>
      </w:r>
      <w:r>
        <w:t>site and achieving the optimal adsorption strength. Concurrently, charge transfer from Pd</w:t>
      </w:r>
      <w:r>
        <w:rPr>
          <w:vertAlign w:val="subscript"/>
        </w:rPr>
        <w:t>1</w:t>
      </w:r>
      <w:r>
        <w:t>to Pt clusters elevates the charge density of the Pt clusters, facilitating H</w:t>
      </w:r>
      <w:r>
        <w:rPr>
          <w:vertAlign w:val="subscript"/>
        </w:rPr>
        <w:t>2</w:t>
      </w:r>
      <w:r>
        <w:t>dissociation. As a result, the Pt</w:t>
      </w:r>
      <w:r>
        <w:rPr>
          <w:vertAlign w:val="subscript"/>
        </w:rPr>
        <w:t>4</w:t>
      </w:r>
      <w:r>
        <w:t>Pd</w:t>
      </w:r>
      <w:r>
        <w:rPr>
          <w:vertAlign w:val="subscript"/>
        </w:rPr>
        <w:t>1</w:t>
      </w:r>
      <w:r>
        <w:t>/ND@G catalyst exhibits superior activity and stability in the multi‐step hydrogenation of DNT, achieving a remarkable turnover frequency (TOF) of 64,109 h</w:t>
      </w:r>
      <w:r>
        <w:t xml:space="preserve"> </w:t>
      </w:r>
      <w:r>
        <w:t>−1</w:t>
      </w:r>
      <w:r>
        <w:t xml:space="preserve"> </w:t>
      </w:r>
      <w:r>
        <w:t>, substantially surpassing the performance of state‐of‐the‐art catalysts reported in the literature. This work provides a strategic guideline for designing FECCs and offers valuable insights into atomic‐level manipulation of catalytic sites for multi‐step hydrogenation reactions.</w:t>
      </w:r>
    </w:p>
    <w:p>
      <w:pPr>
        <w:spacing w:before="120" w:after="120"/>
      </w:pPr>
      <w:r>
        <w:rPr>
          <w:sz w:val="18"/>
        </w:rPr>
        <w:t>——————————————————————————————————————————————————————————————————————</w:t>
      </w:r>
    </w:p>
    <w:p>
      <w:pPr>
        <w:spacing w:before="160" w:after="40" w:line="240" w:lineRule="auto"/>
      </w:pPr>
      <w:r>
        <w:rPr>
          <w:b/>
        </w:rPr>
        <w:t xml:space="preserve">[22] </w:t>
      </w:r>
      <w:hyperlink r:id="rId236">
        <w:r>
          <w:rPr>
            <w:color w:val="1155CC"/>
            <w:u w:val="single"/>
          </w:rPr>
          <w:t>“站立”自组装单层膜用于高效宽带隙和全钙钛矿叠层太阳能电池</w:t>
        </w:r>
      </w:hyperlink>
    </w:p>
    <w:p>
      <w:pPr>
        <w:spacing w:before="0" w:after="80"/>
      </w:pPr>
      <w:r>
        <w:rPr>
          <w:i/>
          <w:sz w:val="20"/>
        </w:rPr>
        <w:t>EN: “Standing up” SAMs for Efficient Wide Bandgap and All‐Perovskite Tandem Solar Cells</w:t>
      </w:r>
    </w:p>
    <w:p>
      <w:pPr>
        <w:spacing w:before="0" w:after="120"/>
      </w:pPr>
      <w:r>
        <w:rPr>
          <w:b/>
        </w:rPr>
        <w:t xml:space="preserve">Source: </w:t>
      </w:r>
      <w:r>
        <w:t>Wiley: Advanced Materials: Table of Contents</w:t>
      </w:r>
      <w:r>
        <w:t xml:space="preserve">    </w:t>
      </w:r>
      <w:r>
        <w:rPr>
          <w:b/>
        </w:rPr>
        <w:t xml:space="preserve">Pub date: </w:t>
      </w:r>
      <w:r>
        <w:t>2026-03-28 08:19:25+00:00</w:t>
      </w:r>
      <w:r>
        <w:t xml:space="preserve">    </w:t>
      </w:r>
      <w:r>
        <w:rPr>
          <w:b/>
        </w:rPr>
        <w:t xml:space="preserve">DOI: </w:t>
      </w:r>
      <w:hyperlink r:id="rId237">
        <w:r>
          <w:rPr>
            <w:color w:val="1155CC"/>
            <w:u w:val="single"/>
          </w:rPr>
          <w:t>10.1002/adma.202521898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全钙钛矿串联太阳能电池（all-PSK TSCs）提供了一条超越单结效率限制的有前途的途径，但宽带隙（WBG）子电池的性能仍受限于不充分的界面工程。特别是，自组装单分子层（SAMs）的分子取向和堆积可以显著影响钙钛矿薄膜的形成和器件性能。在此，我们合理设计了一系列基于咔唑的SAMs，并确定了一种双咔唑核心分子9,9-DCz，其在氧化铟锡（ITO）上采用主要直立的取向，与传统的平躺排列形成对比。这种垂直配置促进了更密集的表面覆盖，有利的能级排列和减少的非r</w:t>
      </w:r>
    </w:p>
    <w:p>
      <w:pPr>
        <w:spacing w:before="0" w:after="200" w:lineRule="auto" w:line="276"/>
      </w:pPr>
      <w:r>
        <w:rPr>
          <w:b/>
        </w:rPr>
        <w:t xml:space="preserve">Abstract (EN): </w:t>
      </w:r>
      <w:r>
        <w:t>All‐perovskite tandem solar cells (all‐PSK TSCs) offer a promising route to surpass single‐junction efficiency limits, yet the performance of wide‐bandgap (WBG) subcells remains constrained by inadequate interfacial engineering. In particular, the molecular orientation and packing of self‐assembled monolayers (SAMs) can significantly influence perovskite film formation and device performance. Here, we rationally design a series of carbazole‐based SAMs and identify a bicarbazole‐core molecule, 9,9‐DCz, that adopts a predominantly upright orientation on indium tin oxide (ITO), in contrast to the conventional flat‐lying alignment. This vertical configuration facilitates denser surface coverage, favorable energy‐level alignment, and reduced non‐radiative recombination in the WBG perovskite layer. As a result, we achieve a certified power conversion efficiency (PCE) of 19.95% (champion 20.81%) for the WBG subcell (1.77 eV, 0.0396 cm</w:t>
      </w:r>
      <w:r>
        <w:rPr>
          <w:vertAlign w:val="subscript"/>
        </w:rPr>
        <w:t>2</w:t>
      </w:r>
      <w:r>
        <w:t>), and 28.59% for the all‐PSK tandem device. Our findings indicate that upright SAMs orientation as an effective design principle for high‐performance WBG and tandem perovskite photovoltaics.</w:t>
      </w:r>
    </w:p>
    <w:p>
      <w:pPr>
        <w:spacing w:before="120" w:after="120"/>
      </w:pPr>
      <w:r>
        <w:rPr>
          <w:sz w:val="18"/>
        </w:rPr>
        <w:t>——————————————————————————————————————————————————————————————————————</w:t>
      </w:r>
    </w:p>
    <w:p>
      <w:pPr>
        <w:spacing w:before="160" w:after="40" w:line="240" w:lineRule="auto"/>
      </w:pPr>
      <w:r>
        <w:rPr>
          <w:b/>
        </w:rPr>
        <w:t xml:space="preserve">[23] </w:t>
      </w:r>
      <w:hyperlink r:id="rId238">
        <w:r>
          <w:rPr>
            <w:color w:val="1155CC"/>
            <w:u w:val="single"/>
          </w:rPr>
          <w:t>用于稳健聚合物生物电子学的定向锚定掺杂网络</w:t>
        </w:r>
      </w:hyperlink>
    </w:p>
    <w:p>
      <w:pPr>
        <w:spacing w:before="0" w:after="80"/>
      </w:pPr>
      <w:r>
        <w:rPr>
          <w:i/>
          <w:sz w:val="20"/>
        </w:rPr>
        <w:t>EN: Directional Anchoring Doping Networks for Robust Polymeric Bioelectronics</w:t>
      </w:r>
    </w:p>
    <w:p>
      <w:pPr>
        <w:spacing w:before="0" w:after="120"/>
      </w:pPr>
      <w:r>
        <w:rPr>
          <w:b/>
        </w:rPr>
        <w:t xml:space="preserve">Source: </w:t>
      </w:r>
      <w:r>
        <w:t>Wiley: Advanced Materials: Table of Contents</w:t>
      </w:r>
      <w:r>
        <w:t xml:space="preserve">    </w:t>
      </w:r>
      <w:r>
        <w:rPr>
          <w:b/>
        </w:rPr>
        <w:t xml:space="preserve">Pub date: </w:t>
      </w:r>
      <w:r>
        <w:t>2026-03-28 08:29:54+00:00</w:t>
      </w:r>
      <w:r>
        <w:t xml:space="preserve">    </w:t>
      </w:r>
      <w:r>
        <w:rPr>
          <w:b/>
        </w:rPr>
        <w:t xml:space="preserve">DOI: </w:t>
      </w:r>
      <w:hyperlink r:id="rId239">
        <w:r>
          <w:rPr>
            <w:color w:val="1155CC"/>
            <w:u w:val="single"/>
          </w:rPr>
          <w:t>10.1002/adma.202520074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生物电子学中，同时实现高电导率和组织样的可拉伸性的导电聚合物的开发是一项持续的挑战。在此，我们展示了一种“锚定-缓冲”分子设计策略，通过合理设计的原位聚合羟基烷基丙烯酸酯（HAX）掺杂剂在聚（3,4-乙烯二氧噻吩）：聚苯乙烯磺酸盐（PEDOT: PSS）中克服了这一限制。我们的掺杂剂结构具有刚性丙烯酸酯基团，据推测这些基团通过优先与较少共轭的PEDOT区域相互作用来维持共轭路径，并且羟基封端的烷基间隔物形成动态氢键网络以消散应变。通过系统地改变烷基链长度（HA0到H</w:t>
      </w:r>
    </w:p>
    <w:p>
      <w:pPr>
        <w:spacing w:before="0" w:after="200" w:lineRule="auto" w:line="276"/>
      </w:pPr>
      <w:r>
        <w:rPr>
          <w:b/>
        </w:rPr>
        <w:t xml:space="preserve">Abstract (EN): </w:t>
      </w:r>
      <w:r>
        <w:t>The development of conductive polymers that simultaneously achieve high electrical conductivity and tissue‐like stretchability represents a persistent challenge in bioelectronics. Here, we demonstrate an “anchoring‐buffering” molecular design strategy that overcomes this limitation through rationally designed in situ polymerizable hydroxyalkyl acrylate (HAX) dopants in poly(3,4‐ethylenedioxythiophene): polystyrene sulfonate (PEDOT: PSS). Our dopant architecture features rigid acrylate groups that are inferred to maintain conjugation pathways by preferentially interacting with less conjugated PEDOT regions, and hydroxyl‐terminated alkyl spacers that form a dynamic hydrogen‐bond network for strain dissipation. By systematically varying alkyl chain lengths (HA0 to HA4), we optimize electrostatic screening to improve doping efficiency and π‐stacking order, achieving a composite film with exceptional performance (850 S/cm conductivity and 88% elongation) that surpasses existing stretchable conductive polymers. When integrated into conformal biointerfaces, the electrode maintains stable electrophysiological signal acquisition (EMG/ECG/EEG) with 99.5% gesture recognition accuracy after 24 h of continuous wear, establishing a general molecular design framework to decouple conductivity and stretchability for next‐generation wearable and implantable electronics.</w:t>
      </w:r>
    </w:p>
    <w:p>
      <w:pPr>
        <w:spacing w:before="120" w:after="120"/>
      </w:pPr>
      <w:r>
        <w:rPr>
          <w:sz w:val="18"/>
        </w:rPr>
        <w:t>——————————————————————————————————————————————————————————————————————</w:t>
      </w:r>
    </w:p>
    <w:p>
      <w:pPr>
        <w:spacing w:before="160" w:after="40" w:line="240" w:lineRule="auto"/>
      </w:pPr>
      <w:r>
        <w:rPr>
          <w:b/>
        </w:rPr>
        <w:t xml:space="preserve">[24] </w:t>
      </w:r>
      <w:hyperlink r:id="rId240">
        <w:r>
          <w:rPr>
            <w:color w:val="1155CC"/>
            <w:u w:val="single"/>
          </w:rPr>
          <w:t>用于H2演化的钛氧簇和单金属原子的双位点光催化</w:t>
        </w:r>
      </w:hyperlink>
    </w:p>
    <w:p>
      <w:pPr>
        <w:spacing w:before="0" w:after="80"/>
      </w:pPr>
      <w:r>
        <w:rPr>
          <w:i/>
          <w:sz w:val="20"/>
        </w:rPr>
        <w:t>EN: Dual‐Site Photocatalysis With Titanium‐Oxo Clusters and Single Metal Atoms for H2 Evolution</w:t>
      </w:r>
    </w:p>
    <w:p>
      <w:pPr>
        <w:spacing w:before="0" w:after="120"/>
      </w:pPr>
      <w:r>
        <w:rPr>
          <w:b/>
        </w:rPr>
        <w:t xml:space="preserve">Source: </w:t>
      </w:r>
      <w:r>
        <w:t>Wiley: Angewandte Chemie International Edition: Table of Contents</w:t>
      </w:r>
      <w:r>
        <w:t xml:space="preserve">    </w:t>
      </w:r>
      <w:r>
        <w:rPr>
          <w:b/>
        </w:rPr>
        <w:t xml:space="preserve">Pub date: </w:t>
      </w:r>
      <w:r>
        <w:t>2026-03-28 08:34:02+00:00</w:t>
      </w:r>
      <w:r>
        <w:t xml:space="preserve">    </w:t>
      </w:r>
      <w:r>
        <w:rPr>
          <w:b/>
        </w:rPr>
        <w:t xml:space="preserve">DOI: </w:t>
      </w:r>
      <w:hyperlink r:id="rId241">
        <w:r>
          <w:rPr>
            <w:color w:val="1155CC"/>
            <w:u w:val="single"/>
          </w:rPr>
          <w:t>10.1002/anie.6559866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通过空间分离光物理和催化功能的光催化剂的合理设计是一种有效的策略，可以缓解太阳能制氢中的电荷复合和动力学瓶颈。在此，我们开发了一系列原子工程的金属有机框架（MOFs）基光催化剂，称为125-TNQ-M（M = Co, Ni, Cu），通过NH2-MIL-125(Ti)与噻萘醌（TNQ）的席夫碱修饰构建，然后将路易斯酸性单金属原子共价锚定到其框架上。高角环形暗场扫描透射电子显微镜（HAADF-STEM）、基于同步辐射的X射线吸收光谱（XAS）和X射线光电子能谱（XPS）</w:t>
      </w:r>
    </w:p>
    <w:p>
      <w:pPr>
        <w:spacing w:before="0" w:after="200" w:lineRule="auto" w:line="276"/>
      </w:pPr>
      <w:r>
        <w:rPr>
          <w:b/>
        </w:rPr>
        <w:t xml:space="preserve">Abstract (EN): </w:t>
      </w:r>
      <w:r>
        <w:t>Rational engineering of photocatalysts with spatially separated photophysical and catalytic functions is an effective strategy to alleviate charge recombination and kinetic bottlenecks in solar hydrogen evolution. Herein, we developed a family of atomically engineered metal–organic frameworks (MOFs)‐based photocatalysts, denoted as 125‐TNQ‐M (M = Co, Ni, Cu), constructed by Schiff‐base modification of NH</w:t>
      </w:r>
      <w:r>
        <w:rPr>
          <w:vertAlign w:val="subscript"/>
        </w:rPr>
        <w:t>2</w:t>
      </w:r>
      <w:r>
        <w:t>‐MIL‐125(Ti) with thionaphthenquinone (TNQ), followed by covalent anchoring of Lewis‐acidic single metal atoms onto its framework. High‐angle annular dark‐field scanning transmission electron microscopy (HAADF‐STEM), synchrotron‐based x‐ray absorption spectroscopy (XAS), and x‐ray photoelectron spectroscopy (XPS) analyses confirm the atomic dispersion of M sites and reveal their unique coordination environments. Among them, 125‐TNQ‐Ni demonstrates the highest hydrogen evolution rate of 13.54 mmol g</w:t>
      </w:r>
      <w:r>
        <w:t xml:space="preserve"> </w:t>
      </w:r>
      <w:r>
        <w:t>−1</w:t>
      </w:r>
      <w:r>
        <w:t xml:space="preserve"> </w:t>
      </w:r>
      <w:r>
        <w:t>h</w:t>
      </w:r>
      <w:r>
        <w:t xml:space="preserve"> </w:t>
      </w:r>
      <w:r>
        <w:t>−1</w:t>
      </w:r>
      <w:r>
        <w:t xml:space="preserve"> </w:t>
      </w:r>
      <w:r>
        <w:t>under visible‐light irradiation, far surpassing pristine MOFs. Mechanistic studies combining electron paramagnetic resonance (EPR) and density functional theory (DFT) calculations reveal that Ni single atoms function as efficient electron extraction and proton‐reduction centers, while the Ti‐oxo clusters act as photoactive charge‐generation units. The enhanced activity originates from metal‐induced reorganization of the hydrogen evolution pathway and improved charge separation, rather than direct dual‐metal synergy. This work establishes a structurally well‐defined MOF‐based platform for decoupling light harvesting and catalytic functions at the atomic scale.</w:t>
      </w:r>
    </w:p>
    <w:p>
      <w:pPr>
        <w:spacing w:before="120" w:after="120"/>
      </w:pPr>
      <w:r>
        <w:rPr>
          <w:sz w:val="18"/>
        </w:rPr>
        <w:t>——————————————————————————————————————————————————————————————————————</w:t>
      </w:r>
    </w:p>
    <w:p>
      <w:pPr>
        <w:spacing w:before="160" w:after="40" w:line="240" w:lineRule="auto"/>
      </w:pPr>
      <w:r>
        <w:rPr>
          <w:b/>
        </w:rPr>
        <w:t xml:space="preserve">[25] </w:t>
      </w:r>
      <w:hyperlink r:id="rId242">
        <w:r>
          <w:rPr>
            <w:color w:val="1155CC"/>
            <w:u w:val="single"/>
          </w:rPr>
          <w:t>乙烯基磺二亚胺酰胺的合成、功能化和反应性</w:t>
        </w:r>
      </w:hyperlink>
    </w:p>
    <w:p>
      <w:pPr>
        <w:spacing w:before="0" w:after="80"/>
      </w:pPr>
      <w:r>
        <w:rPr>
          <w:i/>
          <w:sz w:val="20"/>
        </w:rPr>
        <w:t>EN: Synthesis, Functionalization, and Reactivity of Vinyl Sulfondiimidamides</w:t>
      </w:r>
    </w:p>
    <w:p>
      <w:pPr>
        <w:spacing w:before="0" w:after="120"/>
      </w:pPr>
      <w:r>
        <w:rPr>
          <w:b/>
        </w:rPr>
        <w:t xml:space="preserve">Source: </w:t>
      </w:r>
      <w:r>
        <w:t>Wiley: Angewandte Chemie International Edition: Table of Contents</w:t>
      </w:r>
      <w:r>
        <w:t xml:space="preserve">    </w:t>
      </w:r>
      <w:r>
        <w:rPr>
          <w:b/>
        </w:rPr>
        <w:t xml:space="preserve">Pub date: </w:t>
      </w:r>
      <w:r>
        <w:t>2026-03-28 08:35:50+00:00</w:t>
      </w:r>
      <w:r>
        <w:t xml:space="preserve">    </w:t>
      </w:r>
      <w:r>
        <w:rPr>
          <w:b/>
        </w:rPr>
        <w:t xml:space="preserve">DOI: </w:t>
      </w:r>
      <w:hyperlink r:id="rId243">
        <w:r>
          <w:rPr>
            <w:color w:val="1155CC"/>
            <w:u w:val="single"/>
          </w:rPr>
          <w:t>10.1002/anie.9885717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丙烯酰胺是用于生物活性共价抑制剂的主要亲电战斗部。丙烯酰胺和相关的不饱和磺酰胺的一个限制是通过简单的结构修饰来调节其亲电性和反应性的范围狭窄。在此，我们展示了乙烯基磺二亚胺酰胺是与基于硫和氮的生物相关亲核试剂反应的有效亲电基序。我们证明了这些新试剂的亲电性可以通过改变亚胺基N-取代基来调节。乙烯基磺二亚胺酰胺通过一个短序列制备，其中Cope消除是形成烯烃的关键步骤。可以安装广泛的N-取代基。</w:t>
      </w:r>
    </w:p>
    <w:p>
      <w:pPr>
        <w:spacing w:before="0" w:after="200" w:lineRule="auto" w:line="276"/>
      </w:pPr>
      <w:r>
        <w:rPr>
          <w:b/>
        </w:rPr>
        <w:t xml:space="preserve">Abstract (EN): </w:t>
      </w:r>
      <w:r>
        <w:t>Acrylamides are the dominant electrophilic warheads used in bioactive covalent inhibitors. A limitation of acrylamides and related unsaturated sulfonamides is the narrow scope to modulate their electrophilicity, and hence reactivity, through simple structural modification. Here, we show that vinyl sulfondiimidamides are effective electrophilic motifs for reaction with both sulfur‐ and nitrogen‐based biologically relevant nucleophiles. We demonstrate that the electrophilicity of these new reagents can be tuned through variation of the imidic N‐substituents. Vinyl sulfondiimidamides are prepared via a short sequence that features a Cope elimination as the key alkene‐forming step. A broad range of N‐substituents can be installed.</w:t>
      </w:r>
    </w:p>
    <w:p>
      <w:pPr>
        <w:spacing w:before="120" w:after="120"/>
      </w:pPr>
      <w:r>
        <w:rPr>
          <w:sz w:val="18"/>
        </w:rPr>
        <w:t>——————————————————————————————————————————————————————————————————————</w:t>
      </w:r>
    </w:p>
    <w:p>
      <w:pPr>
        <w:spacing w:before="160" w:after="40" w:line="240" w:lineRule="auto"/>
      </w:pPr>
      <w:r>
        <w:rPr>
          <w:b/>
        </w:rPr>
        <w:t xml:space="preserve">[26] </w:t>
      </w:r>
      <w:hyperlink r:id="rId244">
        <w:r>
          <w:rPr>
            <w:color w:val="1155CC"/>
            <w:u w:val="single"/>
          </w:rPr>
          <w:t>将纳米结构等离子体-应变微波波导耦合到六方氮化硼中的自旋缺陷，用于高灵敏度量子传感器</w:t>
        </w:r>
      </w:hyperlink>
    </w:p>
    <w:p>
      <w:pPr>
        <w:spacing w:before="0" w:after="80"/>
      </w:pPr>
      <w:r>
        <w:rPr>
          <w:i/>
          <w:sz w:val="20"/>
        </w:rPr>
        <w:t>EN: Coupling Nanostructured Plasmon–Strain Microwave Waveguide to Spin Defects in Hexagonal Boron Nitride for High‐Sensitivity Quantum Sensors</w:t>
      </w:r>
    </w:p>
    <w:p>
      <w:pPr>
        <w:spacing w:before="0" w:after="120"/>
      </w:pPr>
      <w:r>
        <w:rPr>
          <w:b/>
        </w:rPr>
        <w:t xml:space="preserve">Source: </w:t>
      </w:r>
      <w:r>
        <w:t>Wiley: Advanced Materials: Table of Contents</w:t>
      </w:r>
      <w:r>
        <w:t xml:space="preserve">    </w:t>
      </w:r>
      <w:r>
        <w:rPr>
          <w:b/>
        </w:rPr>
        <w:t xml:space="preserve">Pub date: </w:t>
      </w:r>
      <w:r>
        <w:t>2026-03-28 08:35:53+00:00</w:t>
      </w:r>
      <w:r>
        <w:t xml:space="preserve">    </w:t>
      </w:r>
      <w:r>
        <w:rPr>
          <w:b/>
        </w:rPr>
        <w:t xml:space="preserve">DOI: </w:t>
      </w:r>
      <w:hyperlink r:id="rId245">
        <w:r>
          <w:rPr>
            <w:color w:val="1155CC"/>
            <w:u w:val="single"/>
          </w:rPr>
          <w:t>10.1002/adma.202516761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尽管六方氮化硼（hBN）与芯片设备无缝集成，但自旋活性硼空位（）缺陷的固有低光学量子产率仍然是hBN基量子传感器灵敏度的显著限制。在此，我们展示了一种具有增强量子产率和高直流磁场灵敏度（η</w:t>
      </w:r>
      <w:r>
        <w:t xml:space="preserve"> </w:t>
      </w:r>
      <w:r>
        <w:t>DC</w:t>
      </w:r>
      <w:r>
        <w:t xml:space="preserve"> </w:t>
      </w:r>
      <w:r>
        <w:t>）的hBN量子传感器，通过将hBN中的缺陷与纳米结构等离子体应变微波波导架构耦合实现。该平台通过在微波高效的单端口金共面波导的收缩区域上制造氧化铝涂层金纳米柱或等离子体纳米谐振器（PNRs）阵列来实现。氧化铝涂层起作用</w:t>
      </w:r>
    </w:p>
    <w:p>
      <w:pPr>
        <w:spacing w:before="0" w:after="200" w:lineRule="auto" w:line="276"/>
      </w:pPr>
      <w:r>
        <w:rPr>
          <w:b/>
        </w:rPr>
        <w:t xml:space="preserve">Abstract (EN): </w:t>
      </w:r>
      <w:r>
        <w:t>Despite seamless integration of hexagonal boron nitride (hBN) with on‐chip devices, the intrinsically low optical quantum yield of spin‐active boron vacancy () defects remains a significant limitation to the sensitivity of hBN‐based quantum sensors. Here, we demonstrate an hBN quantum sensor with enhanced quantum yield and high DC magnetic field sensitivity (η</w:t>
      </w:r>
      <w:r>
        <w:t xml:space="preserve"> </w:t>
      </w:r>
      <w:r>
        <w:t>DC</w:t>
      </w:r>
      <w:r>
        <w:t xml:space="preserve"> </w:t>
      </w:r>
      <w:r>
        <w:t>), achieved by coupling  defects in hBN with a nanostructured plasmon‐strain microwave waveguide architecture.This platform is realized by fabricating arrays of alumina‐coated gold nanopillars, or plasmonic nanoresonators (PNRs), onto the constricted region of a microwave‐efficient, single‐port gold coplanar waveguide. The alumina coating acts as a dielectric barrier that suppresses photoluminescence (PL) quenching, while gold nanopillars enhance local electromagnetic fields and induce strain‐driven perturbations of the defect energy levels, causing accelerated photo‐emission. This synergistic effect results in a ∼tenfold enhancement in PL and improves optically detected magnetic resonance to −17% for on‐PNR regions, exceeding comparable prior works by over an order of magnitude. Consequently, we achieve an η</w:t>
      </w:r>
      <w:r>
        <w:t xml:space="preserve"> </w:t>
      </w:r>
      <w:r>
        <w:t>DC</w:t>
      </w:r>
      <w:r>
        <w:t xml:space="preserve"> </w:t>
      </w:r>
      <w:r>
        <w:t>of 9.4 µT/√Hz, approaching the highest reported values for  defects. This research establishes a strategy for designing and fabricating highly sensitive quantum sensors that operate at room temperature without requiring extensive optimization of laser or microwave fields.</w:t>
      </w:r>
    </w:p>
    <w:p>
      <w:pPr>
        <w:spacing w:before="120" w:after="120"/>
      </w:pPr>
      <w:r>
        <w:rPr>
          <w:sz w:val="18"/>
        </w:rPr>
        <w:t>——————————————————————————————————————————————————————————————————————</w:t>
      </w:r>
    </w:p>
    <w:p>
      <w:pPr>
        <w:spacing w:before="160" w:after="40" w:line="240" w:lineRule="auto"/>
      </w:pPr>
      <w:r>
        <w:rPr>
          <w:b/>
        </w:rPr>
        <w:t xml:space="preserve">[27] </w:t>
      </w:r>
      <w:hyperlink r:id="rId246">
        <w:r>
          <w:rPr>
            <w:color w:val="1155CC"/>
            <w:u w:val="single"/>
          </w:rPr>
          <w:t>通过扭曲工程在二维范德华金属-有机框架中支持的一维材料的光学各向异性切换</w:t>
        </w:r>
      </w:hyperlink>
    </w:p>
    <w:p>
      <w:pPr>
        <w:spacing w:before="0" w:after="80"/>
      </w:pPr>
      <w:r>
        <w:rPr>
          <w:i/>
          <w:sz w:val="20"/>
        </w:rPr>
        <w:t>EN: One‐Dimensional Materials Supported in Two‐Dimensional Van der Waals Metal–Organic Frameworks with Optical Anisotropy Switching via Twist‐Engineering</w:t>
      </w:r>
    </w:p>
    <w:p>
      <w:pPr>
        <w:spacing w:before="0" w:after="120"/>
      </w:pPr>
      <w:r>
        <w:rPr>
          <w:b/>
        </w:rPr>
        <w:t xml:space="preserve">Source: </w:t>
      </w:r>
      <w:r>
        <w:t>Wiley: Advanced Materials: Table of Contents</w:t>
      </w:r>
      <w:r>
        <w:t xml:space="preserve">    </w:t>
      </w:r>
      <w:r>
        <w:rPr>
          <w:b/>
        </w:rPr>
        <w:t xml:space="preserve">Pub date: </w:t>
      </w:r>
      <w:r>
        <w:t>2026-03-28 08:45:42+00:00</w:t>
      </w:r>
      <w:r>
        <w:t xml:space="preserve">    </w:t>
      </w:r>
      <w:r>
        <w:rPr>
          <w:b/>
        </w:rPr>
        <w:t xml:space="preserve">DOI: </w:t>
      </w:r>
      <w:hyperlink r:id="rId247">
        <w:r>
          <w:rPr>
            <w:color w:val="1155CC"/>
            <w:u w:val="single"/>
          </w:rPr>
          <w:t>10.1002/adma.202517382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范德华（vdW）材料提供了一个研究和控制低维材料物理性质的平台。虽然为二维晶体开发的策略不能直接转移到一维系统，但我们可以通过创建由互连链组成的层来从中受益。在此，我们开发了一种分子策略来说明这一概念，即在二维金属有机框架（MOFs）中组装一维材料。[FeX(pzX)(bpy)]（X = Cl, F; pz = 咪唑; bpy = 联吡啶）晶体由沿b轴的铁链组成，通过bpy配体沿a轴交联形成二维层，沿c轴堆叠</w:t>
      </w:r>
    </w:p>
    <w:p>
      <w:pPr>
        <w:spacing w:before="0" w:after="200" w:lineRule="auto" w:line="276"/>
      </w:pPr>
      <w:r>
        <w:rPr>
          <w:b/>
        </w:rPr>
        <w:t xml:space="preserve">Abstract (EN): </w:t>
      </w:r>
      <w:r>
        <w:t>Van der Waals (vdW) materials provide a platform to study and control the physical properties of low‐dimensional materials. While strategies developed for 2D crystals are not directly transferable to 1D systems, we can benefit from them by creating layers formed by interconnected chains. Here, we develop a molecular strategy to illustrate this concept consisting of assembling 1D materials in 2D metal–organic frameworks (MOFs). Crystals of [FeX(pzX)(bpy)] (X = Cl, F; pz = pyrazole; bpy = bipyridine) consist of iron chains along the</w:t>
      </w:r>
      <w:r>
        <w:t xml:space="preserve"> </w:t>
      </w:r>
      <w:r>
        <w:t>b</w:t>
      </w:r>
      <w:r>
        <w:t xml:space="preserve"> </w:t>
      </w:r>
      <w:r>
        <w:t>‐axis, crosslinked via bpy ligands along the</w:t>
      </w:r>
      <w:r>
        <w:t xml:space="preserve"> </w:t>
      </w:r>
      <w:r>
        <w:t>a</w:t>
      </w:r>
      <w:r>
        <w:t xml:space="preserve"> </w:t>
      </w:r>
      <w:r>
        <w:t>‐axis to form 2D layers, stacked along the</w:t>
      </w:r>
      <w:r>
        <w:t xml:space="preserve"> </w:t>
      </w:r>
      <w:r>
        <w:t>c</w:t>
      </w:r>
      <w:r>
        <w:t xml:space="preserve"> </w:t>
      </w:r>
      <w:r>
        <w:t>‐axis via vdW forces. This structural anisotropy manifests itself in highly‐anisotropic optical properties, as demonstrated by optical measurements in the visible and terahertz ranges, results which are supported by DFT calculations. Chemical substitution enables the tuning of the optical properties, as exemplified by the photoluminescence of the Cl‐derivative, which is quenched for the F‐derivative. Thin‐layers are obtained by mechanical exfoliation, and their optical properties are further tuned through the fabrication of orthogonally‐twisted vdW heterostructures, enabling to effectively switch‐off the optical anisotropy. Our work highlights the chemical flexibility of vdW layered MOFs as a platform for designing and manipulating 1D architectures.</w:t>
      </w:r>
    </w:p>
    <w:p>
      <w:pPr>
        <w:spacing w:before="120" w:after="120"/>
      </w:pPr>
      <w:r>
        <w:rPr>
          <w:sz w:val="18"/>
        </w:rPr>
        <w:t>——————————————————————————————————————————————————————————————————————</w:t>
      </w:r>
    </w:p>
    <w:p>
      <w:pPr>
        <w:spacing w:before="160" w:after="40" w:line="240" w:lineRule="auto"/>
      </w:pPr>
      <w:r>
        <w:rPr>
          <w:b/>
        </w:rPr>
        <w:t xml:space="preserve">[28] </w:t>
      </w:r>
      <w:hyperlink r:id="rId248">
        <w:r>
          <w:rPr>
            <w:color w:val="1155CC"/>
            <w:u w:val="single"/>
          </w:rPr>
          <w:t>利用支持依赖的氢溢出用于基于镍的CO2加氢</w:t>
        </w:r>
      </w:hyperlink>
    </w:p>
    <w:p>
      <w:pPr>
        <w:spacing w:before="0" w:after="80"/>
      </w:pPr>
      <w:r>
        <w:rPr>
          <w:i/>
          <w:sz w:val="20"/>
        </w:rPr>
        <w:t>EN: Harnessing Support‐Dependent Hydrogen Spillover for Ni‐Based CO2 Hydrogenation</w:t>
      </w:r>
    </w:p>
    <w:p>
      <w:pPr>
        <w:spacing w:before="0" w:after="120"/>
      </w:pPr>
      <w:r>
        <w:rPr>
          <w:b/>
        </w:rPr>
        <w:t xml:space="preserve">Source: </w:t>
      </w:r>
      <w:r>
        <w:t>Wiley: Angewandte Chemie International Edition: Table of Contents</w:t>
      </w:r>
      <w:r>
        <w:t xml:space="preserve">    </w:t>
      </w:r>
      <w:r>
        <w:rPr>
          <w:b/>
        </w:rPr>
        <w:t xml:space="preserve">Pub date: </w:t>
      </w:r>
      <w:r>
        <w:t>2026-03-28 08:46:23+00:00</w:t>
      </w:r>
      <w:r>
        <w:t xml:space="preserve">    </w:t>
      </w:r>
      <w:r>
        <w:rPr>
          <w:b/>
        </w:rPr>
        <w:t xml:space="preserve">DOI: </w:t>
      </w:r>
      <w:hyperlink r:id="rId249">
        <w:r>
          <w:rPr>
            <w:color w:val="1155CC"/>
            <w:u w:val="single"/>
          </w:rPr>
          <w:t>10.1002/anie.9657522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氢溢流长期以来被认为是多相催化中的普遍现象，但由于缺乏考虑其对载体依赖性的设计原则，其合理利用一直受到阻碍。本研究表明，载体依赖的氢溢流可以被利用来促进基于镍的CO</w:t>
      </w:r>
      <w:r>
        <w:rPr>
          <w:vertAlign w:val="subscript"/>
        </w:rPr>
        <w:t>2</w:t>
      </w:r>
      <w:r>
        <w:t>加氢。这是通过将镍催化剂与含铂的助催化剂物理混合来实现的，从而引发氢溢流。对氧化物载体的系统比较表明，催化促进仅在溢出的氢在载体表面扩散而不是进入体相时发生，突出了载体依赖的溢流路径的决定性作用。</w:t>
      </w:r>
    </w:p>
    <w:p>
      <w:pPr>
        <w:spacing w:before="0" w:after="200" w:lineRule="auto" w:line="276"/>
      </w:pPr>
      <w:r>
        <w:rPr>
          <w:b/>
        </w:rPr>
        <w:t xml:space="preserve">Abstract (EN): </w:t>
      </w:r>
      <w:r>
        <w:t>Hydrogen spillover has long been recognized as a ubiquitous phenomenon in heterogeneous catalysis, yet its rational utilization has been hindered by the lack of design principles accounting for its support dependence. The present work demonstrates that support‐dependent hydrogen spillover can be harnessed to promote Ni‐based CO</w:t>
      </w:r>
      <w:r>
        <w:rPr>
          <w:vertAlign w:val="subscript"/>
        </w:rPr>
        <w:t>2</w:t>
      </w:r>
      <w:r>
        <w:t>hydrogenation. This is achieved by physically mixing Ni catalysts with Pt‐containing co‐catalysts, which initiates hydrogen spillover. Systematic comparisons across oxide supports reveal that catalytic promotion occurs only when spilled hydrogen diffuses on the support surface rather than into the bulk, highlighting the decisive role of support‐dependent spillover pathways. As a consequence, the intrinsic catalytic performance of Ni is markedly enhanced, reaching activity levels comparable to those of the highest reported Ni‐based CO</w:t>
      </w:r>
      <w:r>
        <w:rPr>
          <w:vertAlign w:val="subscript"/>
        </w:rPr>
        <w:t>2</w:t>
      </w:r>
      <w:r>
        <w:t>hydrogenation catalysts. Mechanistic investigations further show that hydrogen spillover plays distinct roles depending on support reducibility. On moderately reducible oxides, spilled hydrogen rapidly removes poisoning oxygen species that are formed during CO</w:t>
      </w:r>
      <w:r>
        <w:rPr>
          <w:vertAlign w:val="subscript"/>
        </w:rPr>
        <w:t>2</w:t>
      </w:r>
      <w:r>
        <w:t>activation on Ni nanoparticles, whereas on highly reducible oxides, it facilitates the formation of interfacial oxygen vacancies that promote bicarbonate formation as a key reaction intermediate. These findings establish support‐dependent hydrogen spillover as a versatile design principle that enables exceptional Ni‐based CO</w:t>
      </w:r>
      <w:r>
        <w:rPr>
          <w:vertAlign w:val="subscript"/>
        </w:rPr>
        <w:t>2</w:t>
      </w:r>
      <w:r>
        <w:t>hydrogenation performance without any modification of the Ni structure itself.</w:t>
      </w:r>
    </w:p>
    <w:p>
      <w:pPr>
        <w:spacing w:before="120" w:after="120"/>
      </w:pPr>
      <w:r>
        <w:rPr>
          <w:sz w:val="18"/>
        </w:rPr>
        <w:t>——————————————————————————————————————————————————————————————————————</w:t>
      </w:r>
    </w:p>
    <w:p>
      <w:pPr>
        <w:spacing w:before="160" w:after="40" w:line="240" w:lineRule="auto"/>
      </w:pPr>
      <w:r>
        <w:rPr>
          <w:b/>
        </w:rPr>
        <w:t xml:space="preserve">[29] </w:t>
      </w:r>
      <w:hyperlink r:id="rId250">
        <w:r>
          <w:rPr>
            <w:color w:val="1155CC"/>
            <w:u w:val="single"/>
          </w:rPr>
          <w:t>WO3在分子传感期间的多晶型特定电子传导</w:t>
        </w:r>
      </w:hyperlink>
    </w:p>
    <w:p>
      <w:pPr>
        <w:spacing w:before="0" w:after="80"/>
      </w:pPr>
      <w:r>
        <w:rPr>
          <w:i/>
          <w:sz w:val="20"/>
        </w:rPr>
        <w:t>EN: Polymorph‐Specific Electronic Transduction in WO3 during Molecular Sensing</w:t>
      </w:r>
    </w:p>
    <w:p>
      <w:pPr>
        <w:spacing w:before="0" w:after="120"/>
      </w:pPr>
      <w:r>
        <w:rPr>
          <w:b/>
        </w:rPr>
        <w:t xml:space="preserve">Source: </w:t>
      </w:r>
      <w:r>
        <w:t>Wiley: Advanced Materials: Table of Contents</w:t>
      </w:r>
      <w:r>
        <w:t xml:space="preserve">    </w:t>
      </w:r>
      <w:r>
        <w:rPr>
          <w:b/>
        </w:rPr>
        <w:t xml:space="preserve">Pub date: </w:t>
      </w:r>
      <w:r>
        <w:t>2026-03-28 08:49:46+00:00</w:t>
      </w:r>
      <w:r>
        <w:t xml:space="preserve">    </w:t>
      </w:r>
      <w:r>
        <w:rPr>
          <w:b/>
        </w:rPr>
        <w:t xml:space="preserve">DOI: </w:t>
      </w:r>
      <w:hyperlink r:id="rId251">
        <w:r>
          <w:rPr>
            <w:color w:val="1155CC"/>
            <w:u w:val="single"/>
          </w:rPr>
          <w:t>10.1002/adma.202516840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多晶型是同一化合物的不同结构形式，提供了在不改变化学成分的情况下定制材料性能的独特机会。特别是，WO</w:t>
      </w:r>
      <w:r>
        <w:rPr>
          <w:vertAlign w:val="subscript"/>
        </w:rPr>
        <w:t>3</w:t>
      </w:r>
      <w:r>
        <w:t>的多晶型已被广泛研究用于其分子传感性能；然而，其不同化学电阻性能背后的机制方面仍然难以捉摸或理解不充分。在此，我们强调转移电荷的能量分配是化学电阻响应生成的关键方面，提供了一种超越更传统的净转移指标的新视角，这些指标通常用于研究气固相互作用。为此，我们结合了</w:t>
      </w:r>
      <w:r>
        <w:t xml:space="preserve"> </w:t>
      </w:r>
      <w:r>
        <w:t>operando</w:t>
      </w:r>
    </w:p>
    <w:p>
      <w:pPr>
        <w:spacing w:before="0" w:after="200" w:lineRule="auto" w:line="276"/>
      </w:pPr>
      <w:r>
        <w:rPr>
          <w:b/>
        </w:rPr>
        <w:t xml:space="preserve">Abstract (EN): </w:t>
      </w:r>
      <w:r>
        <w:t>Polymorphs are distinct structural forms of the same compound and offer unique opportunities to tailor material properties without altering chemical composition. In particular, the polymorphs of WO</w:t>
      </w:r>
      <w:r>
        <w:rPr>
          <w:vertAlign w:val="subscript"/>
        </w:rPr>
        <w:t>3</w:t>
      </w:r>
      <w:r>
        <w:t>have been widely explored for their molecular sensing performance; yet, the mechanistic aspects behind their different chemoresistive properties have remained elusive or poorly understood. Here, we highlight the energetic allocation of transferred charge as a critical aspect for chemoresistive response generation, providing a new perspective beyond more conventional net‐transfer metrics, which are usually deployed to investigate gas–solid interactions. To this, we combined</w:t>
      </w:r>
      <w:r>
        <w:t xml:space="preserve"> </w:t>
      </w:r>
      <w:r>
        <w:t>operando</w:t>
      </w:r>
      <w:r>
        <w:t xml:space="preserve"> </w:t>
      </w:r>
      <w:r>
        <w:t>work function, chemisorption analysis, and in situ spectroscopy with density functional theory calculations on the example of acetone. Both</w:t>
      </w:r>
      <w:r>
        <w:t xml:space="preserve"> </w:t>
      </w:r>
      <w:r>
        <w:t>γ</w:t>
      </w:r>
      <w:r>
        <w:t xml:space="preserve"> </w:t>
      </w:r>
      <w:r>
        <w:t>‐ and</w:t>
      </w:r>
      <w:r>
        <w:t xml:space="preserve"> </w:t>
      </w:r>
      <w:r>
        <w:t>ε</w:t>
      </w:r>
      <w:r>
        <w:t xml:space="preserve"> </w:t>
      </w:r>
      <w:r>
        <w:t>‐WO</w:t>
      </w:r>
      <w:r>
        <w:rPr>
          <w:vertAlign w:val="subscript"/>
        </w:rPr>
        <w:t>3</w:t>
      </w:r>
      <w:r>
        <w:t>exhibit comparable surface‐level activation of acetone, mediated by electron‐deficient, coordinatively unsaturated tungsten sites. However, only</w:t>
      </w:r>
      <w:r>
        <w:t xml:space="preserve"> </w:t>
      </w:r>
      <w:r>
        <w:t>ε</w:t>
      </w:r>
      <w:r>
        <w:t xml:space="preserve"> </w:t>
      </w:r>
      <w:r>
        <w:t>‐WO</w:t>
      </w:r>
      <w:r>
        <w:rPr>
          <w:vertAlign w:val="subscript"/>
        </w:rPr>
        <w:t>3</w:t>
      </w:r>
      <w:r>
        <w:t>stabilizes analyte‐induced electronic states derived from W(5d) orbitals lying just below the conduction band—an energetically favorable region for conductivity modulation under operating conditions. While being associated with marginal work function shifts, these states reflect deeper subsurface electronic rearrangements that may underlie the</w:t>
      </w:r>
      <w:r>
        <w:t xml:space="preserve"> </w:t>
      </w:r>
      <w:r>
        <w:t>ε</w:t>
      </w:r>
      <w:r>
        <w:t xml:space="preserve"> </w:t>
      </w:r>
      <w:r>
        <w:t>‐WO</w:t>
      </w:r>
      <w:r>
        <w:rPr>
          <w:vertAlign w:val="subscript"/>
        </w:rPr>
        <w:t>3</w:t>
      </w:r>
      <w:r>
        <w:t>’s superior transduction efficiency despite similar receptor chemistry. Our results offer a new framework for rational transducer development rooted in intrinsic electronic structure.</w:t>
      </w:r>
    </w:p>
    <w:p>
      <w:pPr>
        <w:spacing w:before="120" w:after="120"/>
      </w:pPr>
      <w:r>
        <w:rPr>
          <w:sz w:val="18"/>
        </w:rPr>
        <w:t>——————————————————————————————————————————————————————————————————————</w:t>
      </w:r>
    </w:p>
    <w:p>
      <w:pPr>
        <w:spacing w:before="160" w:after="40" w:line="240" w:lineRule="auto"/>
      </w:pPr>
      <w:r>
        <w:rPr>
          <w:b/>
        </w:rPr>
        <w:t xml:space="preserve">[30] </w:t>
      </w:r>
      <w:hyperlink r:id="rId252">
        <w:r>
          <w:rPr>
            <w:color w:val="1155CC"/>
            <w:u w:val="single"/>
          </w:rPr>
          <w:t>具有p-d轨道杂化的Cu-Sn双相合金异质结构，用于高效电合成氨基酸</w:t>
        </w:r>
      </w:hyperlink>
    </w:p>
    <w:p>
      <w:pPr>
        <w:spacing w:before="0" w:after="80"/>
      </w:pPr>
      <w:r>
        <w:rPr>
          <w:i/>
          <w:sz w:val="20"/>
        </w:rPr>
        <w:t>EN: Cu‐Sn Biphasic Alloy Heterostructure With p‐d Orbital Hybridization for Efficient Electrosynthesis of Amino Acids</w:t>
      </w:r>
    </w:p>
    <w:p>
      <w:pPr>
        <w:spacing w:before="0" w:after="120"/>
      </w:pPr>
      <w:r>
        <w:rPr>
          <w:b/>
        </w:rPr>
        <w:t xml:space="preserve">Source: </w:t>
      </w:r>
      <w:r>
        <w:t>Wiley: Angewandte Chemie International Edition: Table of Contents</w:t>
      </w:r>
      <w:r>
        <w:t xml:space="preserve">    </w:t>
      </w:r>
      <w:r>
        <w:rPr>
          <w:b/>
        </w:rPr>
        <w:t xml:space="preserve">Pub date: </w:t>
      </w:r>
      <w:r>
        <w:t>2026-03-28 08:51:20+00:00</w:t>
      </w:r>
      <w:r>
        <w:t xml:space="preserve">    </w:t>
      </w:r>
      <w:r>
        <w:rPr>
          <w:b/>
        </w:rPr>
        <w:t xml:space="preserve">DOI: </w:t>
      </w:r>
      <w:hyperlink r:id="rId253">
        <w:r>
          <w:rPr>
            <w:color w:val="1155CC"/>
            <w:u w:val="single"/>
          </w:rPr>
          <w:t>10.1002/anie.7419264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将NO</w:t>
      </w:r>
      <w:r>
        <w:t xml:space="preserve"> </w:t>
      </w:r>
      <w:r>
        <w:t>x</w:t>
      </w:r>
      <w:r>
        <w:t xml:space="preserve"> </w:t>
      </w:r>
      <w:r>
        <w:t>物种电催化转化为氨基酸是一种有吸引力的方法。然而，C−N偶联的匹配动力学和目标产物的高选择性面临重大挑战。在此，通过相控工程构建了具有</w:t>
      </w:r>
      <w:r>
        <w:t xml:space="preserve"> </w:t>
      </w:r>
      <w:r>
        <w:t>p‐d</w:t>
      </w:r>
      <w:r>
        <w:t xml:space="preserve"> </w:t>
      </w:r>
      <w:r>
        <w:t>轨道杂化的Cu</w:t>
      </w:r>
      <w:r>
        <w:rPr>
          <w:vertAlign w:val="subscript"/>
        </w:rPr>
        <w:t>3</w:t>
      </w:r>
      <w:r>
        <w:t>Sn/Cu</w:t>
      </w:r>
      <w:r>
        <w:rPr>
          <w:vertAlign w:val="subscript"/>
        </w:rPr>
        <w:t>6</w:t>
      </w:r>
      <w:r>
        <w:t>Sn</w:t>
      </w:r>
      <w:r>
        <w:rPr>
          <w:vertAlign w:val="subscript"/>
        </w:rPr>
        <w:t>5</w:t>
      </w:r>
      <w:r>
        <w:t>双相合金异质结构（Cu‐Sn BAH），用于增强氨基酸电合成，在−0.8 V vs. RHE下实现了显著的甘氨酸法拉第效率80%和选择性93%。实验和机制研究揭示</w:t>
      </w:r>
    </w:p>
    <w:p>
      <w:pPr>
        <w:spacing w:before="0" w:after="200" w:lineRule="auto" w:line="276"/>
      </w:pPr>
      <w:r>
        <w:rPr>
          <w:b/>
        </w:rPr>
        <w:t xml:space="preserve">Abstract (EN): </w:t>
      </w:r>
      <w:r>
        <w:t>The electrocatalytic conversion of NO</w:t>
      </w:r>
      <w:r>
        <w:t xml:space="preserve"> </w:t>
      </w:r>
      <w:r>
        <w:t>x</w:t>
      </w:r>
      <w:r>
        <w:t xml:space="preserve"> </w:t>
      </w:r>
      <w:r>
        <w:t>species into amino acids is an attractive approach. However, significant challenges lie in the matching kinetics of C−N coupling and high selectivity for the target product. Herein, a Cu</w:t>
      </w:r>
      <w:r>
        <w:rPr>
          <w:vertAlign w:val="subscript"/>
        </w:rPr>
        <w:t>3</w:t>
      </w:r>
      <w:r>
        <w:t>Sn/Cu</w:t>
      </w:r>
      <w:r>
        <w:rPr>
          <w:vertAlign w:val="subscript"/>
        </w:rPr>
        <w:t>6</w:t>
      </w:r>
      <w:r>
        <w:t>Sn</w:t>
      </w:r>
      <w:r>
        <w:rPr>
          <w:vertAlign w:val="subscript"/>
        </w:rPr>
        <w:t>5</w:t>
      </w:r>
      <w:r>
        <w:t>biphasic alloy heterostructure (Cu‐Sn BAH) with</w:t>
      </w:r>
      <w:r>
        <w:t xml:space="preserve"> </w:t>
      </w:r>
      <w:r>
        <w:t>p‐d</w:t>
      </w:r>
      <w:r>
        <w:t xml:space="preserve"> </w:t>
      </w:r>
      <w:r>
        <w:t>orbital hybridization has been constructed by phase control engineering for enhanced amino acid electrosynthesis, delivering a remarkable glycine Faradaic efficiency of 80% and a selectivity of 93% at −0.8 V vs. RHE. Experimental and mechanistic studies reveal that the strong</w:t>
      </w:r>
      <w:r>
        <w:t xml:space="preserve"> </w:t>
      </w:r>
      <w:r>
        <w:t>p‐d</w:t>
      </w:r>
      <w:r>
        <w:t xml:space="preserve"> </w:t>
      </w:r>
      <w:r>
        <w:t>orbital hybridization between</w:t>
      </w:r>
      <w:r>
        <w:t xml:space="preserve"> </w:t>
      </w:r>
      <w:r>
        <w:t>d</w:t>
      </w:r>
      <w:r>
        <w:t xml:space="preserve"> </w:t>
      </w:r>
      <w:r>
        <w:t>‐block Cu and</w:t>
      </w:r>
      <w:r>
        <w:t xml:space="preserve"> </w:t>
      </w:r>
      <w:r>
        <w:t>p</w:t>
      </w:r>
      <w:r>
        <w:t xml:space="preserve"> </w:t>
      </w:r>
      <w:r>
        <w:t>‐block Sn effectively modulates interfacial electronic structure between Cu</w:t>
      </w:r>
      <w:r>
        <w:rPr>
          <w:vertAlign w:val="subscript"/>
        </w:rPr>
        <w:t>3</w:t>
      </w:r>
      <w:r>
        <w:t>Sn and Cu</w:t>
      </w:r>
      <w:r>
        <w:rPr>
          <w:vertAlign w:val="subscript"/>
        </w:rPr>
        <w:t>6</w:t>
      </w:r>
      <w:r>
        <w:t>Sn</w:t>
      </w:r>
      <w:r>
        <w:rPr>
          <w:vertAlign w:val="subscript"/>
        </w:rPr>
        <w:t>5</w:t>
      </w:r>
      <w:r>
        <w:t>biphasic alloys, promoting the electron transfer and optimizing the adsorption of NO</w:t>
      </w:r>
      <w:r>
        <w:t xml:space="preserve"> </w:t>
      </w:r>
      <w:r>
        <w:t>3–</w:t>
      </w:r>
      <w:r>
        <w:t xml:space="preserve"> </w:t>
      </w:r>
      <w:r>
        <w:t>and glyoxylic acid, and thus facilitating the generation of *NH</w:t>
      </w:r>
      <w:r>
        <w:rPr>
          <w:vertAlign w:val="subscript"/>
        </w:rPr>
        <w:t>2</w:t>
      </w:r>
      <w:r>
        <w:t>OH with reduced energy barriers and subsequent oxime hydrogenation. This work offers a distinctive electrocatalyst design strategy for highly selective amino acid synthesis via orbital engineering and heterostructure construction, and also encourages the development of C−N coupling systems.</w:t>
      </w:r>
    </w:p>
    <w:p>
      <w:pPr>
        <w:spacing w:before="120" w:after="120"/>
      </w:pPr>
      <w:r>
        <w:rPr>
          <w:sz w:val="18"/>
        </w:rPr>
        <w:t>——————————————————————————————————————————————————————————————————————</w:t>
      </w:r>
    </w:p>
    <w:p>
      <w:pPr>
        <w:spacing w:before="160" w:after="40" w:line="240" w:lineRule="auto"/>
      </w:pPr>
      <w:r>
        <w:rPr>
          <w:b/>
        </w:rPr>
        <w:t xml:space="preserve">[31] </w:t>
      </w:r>
      <w:hyperlink r:id="rId254">
        <w:r>
          <w:rPr>
            <w:color w:val="1155CC"/>
            <w:u w:val="single"/>
          </w:rPr>
          <w:t>逐步分子工程迈向高性能深蓝窄带OLED：刚性为基础，对称性为关键</w:t>
        </w:r>
      </w:hyperlink>
    </w:p>
    <w:p>
      <w:pPr>
        <w:spacing w:before="0" w:after="80"/>
      </w:pPr>
      <w:r>
        <w:rPr>
          <w:i/>
          <w:sz w:val="20"/>
        </w:rPr>
        <w:t>EN: Stepwise Molecular Engineering Toward High‐Performance Deep‐Blue Narrowband OLEDs: Rigidity as the Foundation, Symmetry as the Key</w:t>
      </w:r>
    </w:p>
    <w:p>
      <w:pPr>
        <w:spacing w:before="0" w:after="120"/>
      </w:pPr>
      <w:r>
        <w:rPr>
          <w:b/>
        </w:rPr>
        <w:t xml:space="preserve">Source: </w:t>
      </w:r>
      <w:r>
        <w:t>Wiley: Angewandte Chemie International Edition: Table of Contents</w:t>
      </w:r>
      <w:r>
        <w:t xml:space="preserve">    </w:t>
      </w:r>
      <w:r>
        <w:rPr>
          <w:b/>
        </w:rPr>
        <w:t xml:space="preserve">Pub date: </w:t>
      </w:r>
      <w:r>
        <w:t>2026-03-28 08:52:05+00:00</w:t>
      </w:r>
      <w:r>
        <w:t xml:space="preserve">    </w:t>
      </w:r>
      <w:r>
        <w:rPr>
          <w:b/>
        </w:rPr>
        <w:t xml:space="preserve">DOI: </w:t>
      </w:r>
      <w:hyperlink r:id="rId255">
        <w:r>
          <w:rPr>
            <w:color w:val="1155CC"/>
            <w:u w:val="single"/>
          </w:rPr>
          <w:t>10.1002/anie.8770556</w:t>
        </w:r>
      </w:hyperlink>
    </w:p>
    <w:p>
      <w:pPr>
        <w:spacing w:before="0" w:after="120"/>
      </w:pPr>
      <w:r>
        <w:rPr>
          <w:b/>
        </w:rPr>
        <w:t xml:space="preserve">Notes: </w:t>
      </w:r>
      <w:r>
        <w:t>abstract_source=crossref</w:t>
      </w:r>
    </w:p>
    <w:p>
      <w:pPr>
        <w:spacing w:before="0" w:after="80" w:lineRule="auto" w:line="276"/>
      </w:pPr>
      <w:r>
        <w:rPr>
          <w:b/>
        </w:rPr>
        <w:t xml:space="preserve">摘要（ZH）: </w:t>
      </w:r>
      <w:r>
        <w:t>在有机发光二极管（OLEDs）中开发符合BT.2020标准的高色纯度深蓝发射体仍然是一个关键挑战。在此，提出了一种逐步分子工程策略，以同时加速反向系间窜跃速率（</w:t>
      </w:r>
      <w:r>
        <w:t xml:space="preserve"> </w:t>
      </w:r>
      <w:r>
        <w:t>k</w:t>
      </w:r>
      <w:r>
        <w:t xml:space="preserve"> </w:t>
      </w:r>
      <w:r>
        <w:t>RISC</w:t>
      </w:r>
      <w:r>
        <w:t xml:space="preserve"> </w:t>
      </w:r>
      <w:r>
        <w:t>）和缩小半峰全宽（FWHM）用于深蓝材料。通过依次增强分子刚性、加强共振强度和完成分子对称性，开发了一种基于改良的二硼多重共振骨架构建的深蓝发射体（DBNDICz），其峰值为452 nm，超窄FWHM为15 nm（0.08 eV）和</w:t>
      </w:r>
      <w:r>
        <w:t xml:space="preserve"> </w:t>
      </w:r>
      <w:r>
        <w:t>k</w:t>
      </w:r>
      <w:r>
        <w:t xml:space="preserve"> </w:t>
      </w:r>
      <w:r>
        <w:t>RISC</w:t>
      </w:r>
    </w:p>
    <w:p>
      <w:pPr>
        <w:spacing w:before="0" w:after="200" w:lineRule="auto" w:line="276"/>
      </w:pPr>
      <w:r>
        <w:rPr>
          <w:b/>
        </w:rPr>
        <w:t xml:space="preserve">Abstract (EN): </w:t>
      </w:r>
      <w:r>
        <w:t>Developing high‐color‐purity deep‐blue emitters that meet the BT.2020 standard remains a critical challenge in organic light‐emitting diodes (OLEDs). Herein, a stepwise molecular engineering strategy for simultaneously accelerating reverse intersystem crossing rate (</w:t>
      </w:r>
      <w:r>
        <w:t xml:space="preserve"> </w:t>
      </w:r>
      <w:r>
        <w:t>k</w:t>
      </w:r>
      <w:r>
        <w:t xml:space="preserve"> </w:t>
      </w:r>
      <w:r>
        <w:t>RISC</w:t>
      </w:r>
      <w:r>
        <w:t xml:space="preserve"> </w:t>
      </w:r>
      <w:r>
        <w:t>) and narrowing full‐width at half maxima (FWHM) is proposed for deep‐blue materials. By sequentially enhancing molecular rigidity, strengthening resonant strength, and completing molecular symmetry, a deep‐blue emitter (DBNDICz), constructed on modified diboron multiple‐resonance scaffold, is developed with peak of 452 nm, ultra‐narrow FWHM of 15 nm (0.08 eV) and</w:t>
      </w:r>
      <w:r>
        <w:t xml:space="preserve"> </w:t>
      </w:r>
      <w:r>
        <w:t>k</w:t>
      </w:r>
      <w:r>
        <w:t xml:space="preserve"> </w:t>
      </w:r>
      <w:r>
        <w:t>RISC</w:t>
      </w:r>
      <w:r>
        <w:t xml:space="preserve"> </w:t>
      </w:r>
      <w:r>
        <w:t>of 3.0 × 10</w:t>
      </w:r>
      <w:r>
        <w:rPr>
          <w:vertAlign w:val="subscript"/>
        </w:rPr>
        <w:t>5</w:t>
      </w:r>
      <w:r>
        <w:t>s</w:t>
      </w:r>
      <w:r>
        <w:t xml:space="preserve"> </w:t>
      </w:r>
      <w:r>
        <w:t>−</w:t>
      </w:r>
      <w:r>
        <w:rPr>
          <w:vertAlign w:val="subscript"/>
        </w:rPr>
        <w:t>1</w:t>
      </w:r>
      <w:r>
        <w:t>. The dominant</w:t>
      </w:r>
      <w:r>
        <w:t xml:space="preserve"> </w:t>
      </w:r>
      <w:r>
        <w:t>υ</w:t>
      </w:r>
      <w:r>
        <w:t xml:space="preserve"> </w:t>
      </w:r>
      <w:r>
        <w:t>0‐0</w:t>
      </w:r>
      <w:r>
        <w:t xml:space="preserve"> </w:t>
      </w:r>
      <w:r>
        <w:t>transition character of DBNDICz produces a Commission Internationale de I’Éclairage (CIE) coordinates of (0.144, 0.060). Moreover, the expanded conjugated skeleton facilitates horizontal dipole orientation of 93%, leading to a high maximum external quantum efficiency (EQE</w:t>
      </w:r>
      <w:r>
        <w:t xml:space="preserve"> </w:t>
      </w:r>
      <w:r>
        <w:t>max</w:t>
      </w:r>
      <w:r>
        <w:t xml:space="preserve"> </w:t>
      </w:r>
      <w:r>
        <w:t>) of 24.2% in bottom‐emitting OLEDs. Impressively, top‐emitting OLED achieves a record‐setting blue index of 514 cd A</w:t>
      </w:r>
      <w:r>
        <w:t xml:space="preserve"> </w:t>
      </w:r>
      <w:r>
        <w:t>−</w:t>
      </w:r>
      <w:r>
        <w:rPr>
          <w:vertAlign w:val="subscript"/>
        </w:rPr>
        <w:t>1</w:t>
      </w:r>
      <w:r>
        <w:t>CIEy</w:t>
      </w:r>
      <w:r>
        <w:t xml:space="preserve"> </w:t>
      </w:r>
      <w:r>
        <w:t>−</w:t>
      </w:r>
      <w:r>
        <w:rPr>
          <w:vertAlign w:val="subscript"/>
        </w:rPr>
        <w:t>1</w:t>
      </w:r>
      <w:r>
        <w:t>with CIE (0.146, 0.036) and EQE</w:t>
      </w:r>
      <w:r>
        <w:t xml:space="preserve"> </w:t>
      </w:r>
      <w:r>
        <w:t>max</w:t>
      </w:r>
      <w:r>
        <w:t xml:space="preserve"> </w:t>
      </w:r>
      <w:r>
        <w:t>of 45.2%, establishing a benchmark for state‐of‐the‐art deep‐blue devices. Additionally, an operational lifetime (LT</w:t>
      </w:r>
      <w:r>
        <w:rPr>
          <w:vertAlign w:val="subscript"/>
        </w:rPr>
        <w:t>50</w:t>
      </w:r>
      <w:r>
        <w:t>) of 154.2 h is achieved in an anthracene‐based host. These results represent one of the best performances reported for deep‐blue OLEDs with CIEy≤ 0.06, providing a robust design paradigm for high‐performance narrowband deep‐blue TADF emitters.</w:t>
      </w:r>
    </w:p>
    <w:p>
      <w:pPr>
        <w:spacing w:before="120" w:after="120"/>
      </w:pPr>
      <w:r>
        <w:rPr>
          <w:sz w:val="18"/>
        </w:rPr>
        <w:t>——————————————————————————————————————————————————————————————————————</w:t>
      </w:r>
    </w:p>
    <w:p>
      <w:pPr>
        <w:spacing w:before="160" w:after="40" w:line="240" w:lineRule="auto"/>
      </w:pPr>
      <w:r>
        <w:rPr>
          <w:b/>
        </w:rPr>
        <w:t xml:space="preserve">[32] </w:t>
      </w:r>
      <w:hyperlink r:id="rId256">
        <w:r>
          <w:rPr>
            <w:color w:val="1155CC"/>
            <w:u w:val="single"/>
          </w:rPr>
          <w:t>免疫和干细胞介导的杀菌放大和骨重塑用于感染清除和骨整合</w:t>
        </w:r>
      </w:hyperlink>
    </w:p>
    <w:p>
      <w:pPr>
        <w:spacing w:before="0" w:after="80"/>
      </w:pPr>
      <w:r>
        <w:rPr>
          <w:i/>
          <w:sz w:val="20"/>
        </w:rPr>
        <w:t>EN: Immune and Stem Cell‐Mediated Bactericidal Amplification and Bone Remodeling for Infection Clearance and Osteointegration</w:t>
      </w:r>
    </w:p>
    <w:p>
      <w:pPr>
        <w:spacing w:before="0" w:after="120"/>
      </w:pPr>
      <w:r>
        <w:rPr>
          <w:b/>
        </w:rPr>
        <w:t xml:space="preserve">Source: </w:t>
      </w:r>
      <w:r>
        <w:t>Wiley: Advanced Materials: Table of Contents</w:t>
      </w:r>
      <w:r>
        <w:t xml:space="preserve">    </w:t>
      </w:r>
      <w:r>
        <w:rPr>
          <w:b/>
        </w:rPr>
        <w:t xml:space="preserve">Pub date: </w:t>
      </w:r>
      <w:r>
        <w:t>2026-03-28 08:55:47+00:00</w:t>
      </w:r>
      <w:r>
        <w:t xml:space="preserve">    </w:t>
      </w:r>
      <w:r>
        <w:rPr>
          <w:b/>
        </w:rPr>
        <w:t xml:space="preserve">DOI: </w:t>
      </w:r>
      <w:hyperlink r:id="rId257">
        <w:r>
          <w:rPr>
            <w:color w:val="1155CC"/>
            <w:u w:val="single"/>
          </w:rPr>
          <w:t>10.1002/adma.72941</w:t>
        </w:r>
      </w:hyperlink>
    </w:p>
    <w:p>
      <w:pPr>
        <w:spacing w:before="0" w:after="120"/>
      </w:pPr>
      <w:r>
        <w:rPr>
          <w:b/>
        </w:rPr>
        <w:t xml:space="preserve">Notes: </w:t>
      </w:r>
      <w:r>
        <w:t>abstract_source=crossref</w:t>
      </w:r>
    </w:p>
    <w:p>
      <w:pPr>
        <w:spacing w:before="0" w:after="80" w:lineRule="auto" w:line="276"/>
      </w:pPr>
      <w:r>
        <w:rPr>
          <w:b/>
        </w:rPr>
        <w:t xml:space="preserve">摘要（ZH）: </w:t>
      </w:r>
      <w:r>
        <w:t>植入物相关感染减少了植入部位附近间充质干细胞的积累，同时抑制了这些干细胞的活力和成骨能力。在此，我们展示了pH响应性生物材料界面利用感染引起的酸化来协调抗菌作用与干细胞和免疫细胞功能重编程。该系统可以释放杀菌肽以直接消除细菌，而在镁离子和细胞靶向肽存在下，间接杀菌增强发生，这分别使得免疫反应的积极调节和骨髓间充质干细胞的募集成为可能。此特性在植入物界面实现了强大的成骨分化，达到了280%的增加</w:t>
      </w:r>
    </w:p>
    <w:p>
      <w:pPr>
        <w:spacing w:before="0" w:after="200" w:lineRule="auto" w:line="276"/>
      </w:pPr>
      <w:r>
        <w:rPr>
          <w:b/>
        </w:rPr>
        <w:t xml:space="preserve">Abstract (EN): </w:t>
      </w:r>
      <w:r>
        <w:t>Implant‐related infections reduce mesenchymal stem cell accumulation near implant sites while suppressing the viability and osteogenic capacity of these stem cells. Here, we show that pH‐responsive biomaterial interfaces exploit infection‐induced acidification to coordinate antimicrobial action with stem and immune cell functional reprogramming. The system can release bactericidal peptides for direct bacterial elimination, whereas indirect bactericidal enhancement occurs in the presence of magnesium ions and cell‐targeting peptides, which enable a positive modulation of immune responses and recruitment of bone marrow mesenchymal stem cells, respectively. This feature results in robust osteogenic differentiation at the implant interfaces, achieving a 280% increase in the interfacial bone volume in rat infection models. Through transcriptomic analysis, we also show that Wnt‐activated stem cells and alternatively activated macrophages jointly upregulate antimicrobial effector programs along with osteogenic genes, contributing to the observed &amp;gt;4‐log bacterial reduction through combined material‐ and cell‐mediated suppression. The coordinated infection clearance and interface regeneration demonstrate that infection‐responsive biomaterials can transform endogenous cells to bifunctional therapeutic agents, defining a strategy that addresses infection and regeneration as integrated biological processes.</w:t>
      </w:r>
    </w:p>
    <w:p>
      <w:pPr>
        <w:spacing w:before="120" w:after="120"/>
      </w:pPr>
      <w:r>
        <w:rPr>
          <w:sz w:val="18"/>
        </w:rPr>
        <w:t>——————————————————————————————————————————————————————————————————————</w:t>
      </w:r>
    </w:p>
    <w:p>
      <w:pPr>
        <w:spacing w:before="160" w:after="40" w:line="240" w:lineRule="auto"/>
      </w:pPr>
      <w:r>
        <w:rPr>
          <w:b/>
        </w:rPr>
        <w:t xml:space="preserve">[33] </w:t>
      </w:r>
      <w:hyperlink r:id="rId258">
        <w:r>
          <w:rPr>
            <w:color w:val="1155CC"/>
            <w:u w:val="single"/>
          </w:rPr>
          <w:t>由锑辅助的三重态激子收集实现的高效稀土基混合金属卤化物单晶闪烁体</w:t>
        </w:r>
      </w:hyperlink>
    </w:p>
    <w:p>
      <w:pPr>
        <w:spacing w:before="0" w:after="80"/>
      </w:pPr>
      <w:r>
        <w:rPr>
          <w:i/>
          <w:sz w:val="20"/>
        </w:rPr>
        <w:t>EN: Efficient Rare‐Earth‐Based Hybrid Metal Halide Single‐Crystal Scintillators Enabled by Antimony‐Assisted Triplet Exciton‐Harvesting</w:t>
      </w:r>
    </w:p>
    <w:p>
      <w:pPr>
        <w:spacing w:before="0" w:after="120"/>
      </w:pPr>
      <w:r>
        <w:rPr>
          <w:b/>
        </w:rPr>
        <w:t xml:space="preserve">Source: </w:t>
      </w:r>
      <w:r>
        <w:t>Wiley: Angewandte Chemie International Edition: Table of Contents</w:t>
      </w:r>
      <w:r>
        <w:t xml:space="preserve">    </w:t>
      </w:r>
      <w:r>
        <w:rPr>
          <w:b/>
        </w:rPr>
        <w:t xml:space="preserve">Pub date: </w:t>
      </w:r>
      <w:r>
        <w:t>2026-03-28 08:56:36+00:00</w:t>
      </w:r>
      <w:r>
        <w:t xml:space="preserve">    </w:t>
      </w:r>
      <w:r>
        <w:rPr>
          <w:b/>
        </w:rPr>
        <w:t xml:space="preserve">DOI: </w:t>
      </w:r>
      <w:hyperlink r:id="rId259">
        <w:r>
          <w:rPr>
            <w:color w:val="1155CC"/>
            <w:u w:val="single"/>
          </w:rPr>
          <w:t>10.1002/anie.2103432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稀土基混合金属卤化物闪烁体因其无铅特性、强X射线吸收、溶液可加工性和可调节的光电特性而受到广泛关注。然而，其发展受到激子利用不足的阻碍，导致光产额有限。在此，我们报告了通过锑辅助实现的RE(DMSO)8[Bi1-xSbxCl6]组成的高效单晶闪烁体。</w:t>
      </w:r>
    </w:p>
    <w:p>
      <w:pPr>
        <w:spacing w:before="0" w:after="200" w:lineRule="auto" w:line="276"/>
      </w:pPr>
      <w:r>
        <w:rPr>
          <w:b/>
        </w:rPr>
        <w:t xml:space="preserve">Abstract (EN): </w:t>
      </w:r>
      <w:r>
        <w:t>Rare Earth‐based hybrid metal halide scintillators have attracted considerable attention, owing to their lead‐free nature, strong x‐ray absorption, solution processability, and tunable optoelectronic properties. Nevertheless, their development has been hindered by insufficient exciton utilization, which leads to limited light yield. Herein, we report efficient single‐crystal scintillators with the composition RE(DMSO)</w:t>
      </w:r>
      <w:r>
        <w:rPr>
          <w:vertAlign w:val="subscript"/>
        </w:rPr>
        <w:t>8</w:t>
      </w:r>
      <w:r>
        <w:t>[Bi</w:t>
      </w:r>
      <w:r>
        <w:t xml:space="preserve"> </w:t>
      </w:r>
      <w:r>
        <w:t>1‐</w:t>
      </w:r>
      <w:r>
        <w:t xml:space="preserve"> </w:t>
      </w:r>
      <w:r>
        <w:t>x</w:t>
      </w:r>
      <w:r>
        <w:t xml:space="preserve"> </w:t>
      </w:r>
      <w:r>
        <w:t>Sb</w:t>
      </w:r>
      <w:r>
        <w:t xml:space="preserve"> </w:t>
      </w:r>
      <w:r>
        <w:t>x</w:t>
      </w:r>
      <w:r>
        <w:t xml:space="preserve"> </w:t>
      </w:r>
      <w:r>
        <w:t>Cl</w:t>
      </w:r>
      <w:r>
        <w:rPr>
          <w:vertAlign w:val="subscript"/>
        </w:rPr>
        <w:t>6</w:t>
      </w:r>
      <w:r>
        <w:t>], achieved through the antimony‐assisted triplet exciton‐harvesting strategy. In addition to direct x‐ray excitation of RE</w:t>
      </w:r>
      <w:r>
        <w:t xml:space="preserve"> </w:t>
      </w:r>
      <w:r>
        <w:t>3+</w:t>
      </w:r>
      <w:r>
        <w:t xml:space="preserve"> </w:t>
      </w:r>
      <w:r>
        <w:t>ions, the generated triplet excitons further sensitize RE</w:t>
      </w:r>
      <w:r>
        <w:t xml:space="preserve"> </w:t>
      </w:r>
      <w:r>
        <w:t>3+</w:t>
      </w:r>
      <w:r>
        <w:t xml:space="preserve"> </w:t>
      </w:r>
      <w:r>
        <w:t>emitters through energy transfer, establishing a dual‐channel excitation pathway that markedly enhances the overall radioluminescence (RL) of RE</w:t>
      </w:r>
      <w:r>
        <w:t xml:space="preserve"> </w:t>
      </w:r>
      <w:r>
        <w:t>3+</w:t>
      </w:r>
      <w:r>
        <w:t xml:space="preserve"> </w:t>
      </w:r>
      <w:r>
        <w:t>. By optimizing Sb concentration, we achieved a 2.06‐fold increase in RL intensity for Tb‐based systems and a 1.33‐fold enhancement for Eu‐based systems. The resulting scintillators exhibit a high light yield of 19022 photons/MeV, ultralow detection limits of 124 nGy/s, and robust radiation resistance. Centimeter‐scale single crystals grown for x‐ray imaging demonstrated a high spatial resolution of 15.7 lp/mm. Moreover, color‐tunable radioluminescence realized by adjusting the Tb/Eu ratio highlights their potential for color‐visualized radiation detection.</w:t>
      </w:r>
    </w:p>
    <w:p>
      <w:pPr>
        <w:spacing w:before="120" w:after="120"/>
      </w:pPr>
      <w:r>
        <w:rPr>
          <w:sz w:val="18"/>
        </w:rPr>
        <w:t>——————————————————————————————————————————————————————————————————————</w:t>
      </w:r>
    </w:p>
    <w:p>
      <w:pPr>
        <w:spacing w:before="160" w:after="40" w:line="240" w:lineRule="auto"/>
      </w:pPr>
      <w:r>
        <w:rPr>
          <w:b/>
        </w:rPr>
        <w:t xml:space="preserve">[34] </w:t>
      </w:r>
      <w:hyperlink r:id="rId260">
        <w:r>
          <w:rPr>
            <w:color w:val="1155CC"/>
            <w:u w:val="single"/>
          </w:rPr>
          <w:t>MOFs中铈双位点的动态中间体配位促进烯烃的选择性环氧化</w:t>
        </w:r>
      </w:hyperlink>
    </w:p>
    <w:p>
      <w:pPr>
        <w:spacing w:before="0" w:after="80"/>
      </w:pPr>
      <w:r>
        <w:rPr>
          <w:i/>
          <w:sz w:val="20"/>
        </w:rPr>
        <w:t>EN: Dynamic Intermediate Coordination on Cerium Dual Sites in MOFs Boosts Selective Epoxidation of Alkenes</w:t>
      </w:r>
    </w:p>
    <w:p>
      <w:pPr>
        <w:spacing w:before="0" w:after="120"/>
      </w:pPr>
      <w:r>
        <w:rPr>
          <w:b/>
        </w:rPr>
        <w:t xml:space="preserve">Source: </w:t>
      </w:r>
      <w:r>
        <w:t>Wiley: Advanced Materials: Table of Contents</w:t>
      </w:r>
      <w:r>
        <w:t xml:space="preserve">    </w:t>
      </w:r>
      <w:r>
        <w:rPr>
          <w:b/>
        </w:rPr>
        <w:t xml:space="preserve">Pub date: </w:t>
      </w:r>
      <w:r>
        <w:t>2026-03-28 08:59:36+00:00</w:t>
      </w:r>
      <w:r>
        <w:t xml:space="preserve">    </w:t>
      </w:r>
      <w:r>
        <w:rPr>
          <w:b/>
        </w:rPr>
        <w:t xml:space="preserve">DOI: </w:t>
      </w:r>
      <w:hyperlink r:id="rId261">
        <w:r>
          <w:rPr>
            <w:color w:val="1155CC"/>
            <w:u w:val="single"/>
          </w:rPr>
          <w:t>10.1002/adma.72948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eO2在催化中被广泛研究，但在缺陷和微环境调控方面存在困难。在此，我们报告了在铈对苯二甲酸盐UiO-66中调控缺陷Ce对的动态配位和微环境以实现选择性氧化。在双位点对中每个Ce位点具有一个配位空位的情况下，铈2-氟对苯二甲酸盐UiO-66在使用O2和异丁醛于50°C下几乎完全转化时表现出87.7%的苯乙烯环氧化物选择性，而每个Ce位点的过量配位空位将苯乙烯环氧化物选择性降低至73.4%。此外，F取代的</w:t>
      </w:r>
    </w:p>
    <w:p>
      <w:pPr>
        <w:spacing w:before="0" w:after="200" w:lineRule="auto" w:line="276"/>
      </w:pPr>
      <w:r>
        <w:rPr>
          <w:b/>
        </w:rPr>
        <w:t xml:space="preserve">Abstract (EN): </w:t>
      </w:r>
      <w:r>
        <w:t>CeO</w:t>
      </w:r>
      <w:r>
        <w:rPr>
          <w:vertAlign w:val="subscript"/>
        </w:rPr>
        <w:t>2</w:t>
      </w:r>
      <w:r>
        <w:t>is widely studied in catalysis but struggles with precise defect and microenvironment modulation. Here, we report modulating dynamic coordination and microenvironment of defective Ce pairs on Ce</w:t>
      </w:r>
      <w:r>
        <w:rPr>
          <w:vertAlign w:val="subscript"/>
        </w:rPr>
        <w:t>6</w:t>
      </w:r>
      <w:r>
        <w:t>‐oxo clusters in cerium terephthalate UiO‐66 for selective oxidation. With one coordinative vacancy per Ce site in dual‐site pairs, cerium 2‐fluoroterephthalate UiO‐66 exhibits excellent styrene epoxidation with 87.7% styrene oxide selectivity at near‐complete conversion using O</w:t>
      </w:r>
      <w:r>
        <w:rPr>
          <w:vertAlign w:val="subscript"/>
        </w:rPr>
        <w:t>2</w:t>
      </w:r>
      <w:r>
        <w:t>and isobutyraldehyde at 50°C, while excess coordinative vacancies per Ce site reduce styrene oxide selectivity to 73.4%. Furthermore, F‐substituted UiO‐66 outperforms terephthalate (67.5%) and 2‐methylterephthalate (60.7%) analogs, and CeO</w:t>
      </w:r>
      <w:r>
        <w:rPr>
          <w:vertAlign w:val="subscript"/>
        </w:rPr>
        <w:t>2</w:t>
      </w:r>
      <w:r>
        <w:t>(54%). Mechanistic studies reveal that isobutyraldehyde initiates binding to defective Ce site, deprotonating and reacting with O</w:t>
      </w:r>
      <w:r>
        <w:rPr>
          <w:vertAlign w:val="subscript"/>
        </w:rPr>
        <w:t>2</w:t>
      </w:r>
      <w:r>
        <w:t>to generate peroxo radicals that favor styrene vinyl C═C bond adsorption. Concurrently, vinyl C═C bond and adjacent defective Ce site co‐interact with O</w:t>
      </w:r>
      <w:r>
        <w:rPr>
          <w:vertAlign w:val="subscript"/>
        </w:rPr>
        <w:t>2</w:t>
      </w:r>
      <w:r>
        <w:t>to form robust Ce─O bond, where activated O</w:t>
      </w:r>
      <w:r>
        <w:rPr>
          <w:vertAlign w:val="subscript"/>
        </w:rPr>
        <w:t>2</w:t>
      </w:r>
      <w:r>
        <w:t>undergoes configuration transition from linear to side‐on, inducing dynamic switching of carboxylate groups between bidentate and monodentate coordination; meanwhile, F‐substituted UiO‐66 facilitates peroxo O─O cleavage and vinyl π bond cleavage, enhancing styrene oxide selectivity over H/CH</w:t>
      </w:r>
      <w:r>
        <w:rPr>
          <w:vertAlign w:val="subscript"/>
        </w:rPr>
        <w:t>3</w:t>
      </w:r>
      <w:r>
        <w:t>counterparts. Substantially, F‐substituted UiO‐66 enables efficient epoxidation of diverse alkenes under mild condition.</w:t>
      </w:r>
    </w:p>
    <w:p>
      <w:pPr>
        <w:spacing w:before="120" w:after="120"/>
      </w:pPr>
      <w:r>
        <w:rPr>
          <w:sz w:val="18"/>
        </w:rPr>
        <w:t>——————————————————————————————————————————————————————————————————————</w:t>
      </w:r>
    </w:p>
    <w:p>
      <w:pPr>
        <w:spacing w:before="160" w:after="40" w:line="240" w:lineRule="auto"/>
      </w:pPr>
      <w:r>
        <w:rPr>
          <w:b/>
        </w:rPr>
        <w:t xml:space="preserve">[35] </w:t>
      </w:r>
      <w:hyperlink r:id="rId262">
        <w:r>
          <w:rPr>
            <w:color w:val="1155CC"/>
            <w:u w:val="single"/>
          </w:rPr>
          <w:t>(C5H7N2) (C8H4O4) PbBr: Jahn–Teller畸变引起的π共轭平面倾斜解决了二阶极化率-结构各向异性冲突</w:t>
        </w:r>
      </w:hyperlink>
    </w:p>
    <w:p>
      <w:pPr>
        <w:spacing w:before="0" w:after="80"/>
      </w:pPr>
      <w:r>
        <w:rPr>
          <w:i/>
          <w:sz w:val="20"/>
        </w:rPr>
        <w:t>EN: (C5H7N2) (C8H4O4) PbBr: Jahn–Teller Distortion‐Induced Tilting of π‐Conjugated Planes Resolving the Second‐Order Polarizability–Structural Anisotropy Conflicts</w:t>
      </w:r>
    </w:p>
    <w:p>
      <w:pPr>
        <w:spacing w:before="0" w:after="120"/>
      </w:pPr>
      <w:r>
        <w:rPr>
          <w:b/>
        </w:rPr>
        <w:t xml:space="preserve">Source: </w:t>
      </w:r>
      <w:r>
        <w:t>Wiley: Angewandte Chemie International Edition: Table of Contents</w:t>
      </w:r>
      <w:r>
        <w:t xml:space="preserve">    </w:t>
      </w:r>
      <w:r>
        <w:rPr>
          <w:b/>
        </w:rPr>
        <w:t xml:space="preserve">Pub date: </w:t>
      </w:r>
      <w:r>
        <w:t>2026-03-28 09:14:17+00:00</w:t>
      </w:r>
      <w:r>
        <w:t xml:space="preserve">    </w:t>
      </w:r>
      <w:r>
        <w:rPr>
          <w:b/>
        </w:rPr>
        <w:t xml:space="preserve">DOI: </w:t>
      </w:r>
      <w:hyperlink r:id="rId263">
        <w:r>
          <w:rPr>
            <w:color w:val="1155CC"/>
            <w:u w:val="single"/>
          </w:rPr>
          <w:t>10.1002/anie.3877634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具有π共轭单元的材料通常表现出强烈的二阶谐波生成，但过大的双折射（Δn），这种权衡因π–π堆积的平面限制而加剧。在此，我们报告了一种单斜P21 NLO晶体，（C5H7N2）（C8H4O4）PbBr（APPB），通过将π共轭平面相对于Y光轴倾斜一个大角度来解决这一冲突</w:t>
      </w:r>
    </w:p>
    <w:p>
      <w:pPr>
        <w:spacing w:before="0" w:after="200" w:lineRule="auto" w:line="276"/>
      </w:pPr>
      <w:r>
        <w:rPr>
          <w:b/>
        </w:rPr>
        <w:t xml:space="preserve">Abstract (EN): </w:t>
      </w:r>
      <w:r>
        <w:t>Materials with π‐conjugated units usually show strong second‐order harmonic generation but excessively large birefringence (Δ</w:t>
      </w:r>
      <w:r>
        <w:t xml:space="preserve"> </w:t>
      </w:r>
      <w:r>
        <w:t>n</w:t>
      </w:r>
      <w:r>
        <w:t xml:space="preserve"> </w:t>
      </w:r>
      <w:r>
        <w:t>), a trade‐off intensified by planar restrictions from π–π stacking. Here, we report a monoclinic</w:t>
      </w:r>
      <w:r>
        <w:t xml:space="preserve"> </w:t>
      </w:r>
      <w:r>
        <w:t>P</w:t>
      </w:r>
      <w:r>
        <w:rPr>
          <w:vertAlign w:val="subscript"/>
        </w:rPr>
        <w:t>2</w:t>
      </w:r>
      <w:r>
        <w:rPr>
          <w:vertAlign w:val="subscript"/>
        </w:rPr>
        <w:t>1</w:t>
      </w:r>
      <w:r>
        <w:t>NLO crystal, (C</w:t>
      </w:r>
      <w:r>
        <w:rPr>
          <w:vertAlign w:val="subscript"/>
        </w:rPr>
        <w:t>5</w:t>
      </w:r>
      <w:r>
        <w:t>H</w:t>
      </w:r>
      <w:r>
        <w:rPr>
          <w:vertAlign w:val="subscript"/>
        </w:rPr>
        <w:t>7</w:t>
      </w:r>
      <w:r>
        <w:t>N</w:t>
      </w:r>
      <w:r>
        <w:rPr>
          <w:vertAlign w:val="subscript"/>
        </w:rPr>
        <w:t>2</w:t>
      </w:r>
      <w:r>
        <w:t>)(C</w:t>
      </w:r>
      <w:r>
        <w:rPr>
          <w:vertAlign w:val="subscript"/>
        </w:rPr>
        <w:t>8</w:t>
      </w:r>
      <w:r>
        <w:t>H</w:t>
      </w:r>
      <w:r>
        <w:rPr>
          <w:vertAlign w:val="subscript"/>
        </w:rPr>
        <w:t>4</w:t>
      </w:r>
      <w:r>
        <w:t>O</w:t>
      </w:r>
      <w:r>
        <w:rPr>
          <w:vertAlign w:val="subscript"/>
        </w:rPr>
        <w:t>4</w:t>
      </w:r>
      <w:r>
        <w:t>)PbBr (APPB), which resolves this conflict by tilting π‐conjugated planes at a large angle relative to the Y optical axis to reduce Δ</w:t>
      </w:r>
      <w:r>
        <w:t xml:space="preserve"> </w:t>
      </w:r>
      <w:r>
        <w:t>n</w:t>
      </w:r>
      <w:r>
        <w:t xml:space="preserve"> </w:t>
      </w:r>
      <w:r>
        <w:t>. The second‐order Jahn–Teller distortion associated with the lone pair on Pb</w:t>
      </w:r>
      <w:r>
        <w:t xml:space="preserve"> </w:t>
      </w:r>
      <w:r>
        <w:t>2+</w:t>
      </w:r>
      <w:r>
        <w:t xml:space="preserve"> </w:t>
      </w:r>
      <w:r>
        <w:t>yields to a low‐symmetry distorted [PbO</w:t>
      </w:r>
      <w:r>
        <w:rPr>
          <w:vertAlign w:val="subscript"/>
        </w:rPr>
        <w:t>4</w:t>
      </w:r>
      <w:r>
        <w:t>Br</w:t>
      </w:r>
      <w:r>
        <w:rPr>
          <w:vertAlign w:val="subscript"/>
        </w:rPr>
        <w:t>2</w:t>
      </w:r>
      <w:r>
        <w:t>] pentagonal pyramid with two distinct Pb–Br bond lengths of 3.14 and 2.83 Å. The weaker Pb–Br bond strengthens the trans‐positional Pb–O coordination (2.82 Å vs. the normal range of 2.54–2.60 Å), tilting the</w:t>
      </w:r>
      <w:r>
        <w:t xml:space="preserve"> </w:t>
      </w:r>
      <w:r>
        <w:t>m</w:t>
      </w:r>
      <w:r>
        <w:t xml:space="preserve"> </w:t>
      </w:r>
      <w:r>
        <w:t>‐phthalate ligand plane by 58° relative to the Y optical axis (i.e., the</w:t>
      </w:r>
      <w:r>
        <w:t xml:space="preserve"> </w:t>
      </w:r>
      <w:r>
        <w:t>b</w:t>
      </w:r>
      <w:r>
        <w:t xml:space="preserve"> </w:t>
      </w:r>
      <w:r>
        <w:t>axis). This tilt raises the minimum refractive index along the</w:t>
      </w:r>
      <w:r>
        <w:t xml:space="preserve"> </w:t>
      </w:r>
      <w:r>
        <w:t>a</w:t>
      </w:r>
      <w:r>
        <w:t xml:space="preserve"> </w:t>
      </w:r>
      <w:r>
        <w:t>‐axis (</w:t>
      </w:r>
      <w:r>
        <w:t xml:space="preserve"> </w:t>
      </w:r>
      <w:r>
        <w:t>n</w:t>
      </w:r>
      <w:r>
        <w:t xml:space="preserve"> </w:t>
      </w:r>
      <w:r>
        <w:t>min</w:t>
      </w:r>
      <w:r>
        <w:t xml:space="preserve"> </w:t>
      </w:r>
      <w:r>
        <w:t>= n</w:t>
      </w:r>
      <w:r>
        <w:t xml:space="preserve"> </w:t>
      </w:r>
      <w:r>
        <w:t>x</w:t>
      </w:r>
      <w:r>
        <w:t xml:space="preserve"> </w:t>
      </w:r>
      <w:r>
        <w:t>), lowering the birefringence (Δ</w:t>
      </w:r>
      <w:r>
        <w:t xml:space="preserve"> </w:t>
      </w:r>
      <w:r>
        <w:t>n = n</w:t>
      </w:r>
      <w:r>
        <w:t xml:space="preserve"> </w:t>
      </w:r>
      <w:r>
        <w:t>z—</w:t>
      </w:r>
      <w:r>
        <w:t xml:space="preserve"> </w:t>
      </w:r>
      <w:r>
        <w:t>n</w:t>
      </w:r>
      <w:r>
        <w:t xml:space="preserve"> </w:t>
      </w:r>
      <w:r>
        <w:t>x</w:t>
      </w:r>
      <w:r>
        <w:t xml:space="preserve"> </w:t>
      </w:r>
      <w:r>
        <w:t>) to a favorable Δ = 0.11@546 nm. Interestingly, APPB exhibits a strong SHG response (5.74 × K H</w:t>
      </w:r>
      <w:r>
        <w:rPr>
          <w:vertAlign w:val="subscript"/>
        </w:rPr>
        <w:t>2</w:t>
      </w:r>
      <w:r>
        <w:t>PO</w:t>
      </w:r>
      <w:r>
        <w:rPr>
          <w:vertAlign w:val="subscript"/>
        </w:rPr>
        <w:t>4</w:t>
      </w:r>
      <w:r>
        <w:t>). This study provides a novel structural tuning approach for balancing strong SHG and suitable Δ</w:t>
      </w:r>
      <w:r>
        <w:t xml:space="preserve"> </w:t>
      </w:r>
      <w:r>
        <w:t>n</w:t>
      </w:r>
      <w:r>
        <w:t xml:space="preserve"> </w:t>
      </w:r>
      <w:r>
        <w:t>, offering design principles for high‐performance NLO crystals.</w:t>
      </w:r>
    </w:p>
    <w:p>
      <w:pPr>
        <w:spacing w:before="120" w:after="120"/>
      </w:pPr>
      <w:r>
        <w:rPr>
          <w:sz w:val="18"/>
        </w:rPr>
        <w:t>——————————————————————————————————————————————————————————————————————</w:t>
      </w:r>
    </w:p>
    <w:p>
      <w:pPr>
        <w:spacing w:before="160" w:after="40" w:line="240" w:lineRule="auto"/>
      </w:pPr>
      <w:r>
        <w:rPr>
          <w:b/>
        </w:rPr>
        <w:t xml:space="preserve">[36] </w:t>
      </w:r>
      <w:hyperlink r:id="rId264">
        <w:r>
          <w:rPr>
            <w:color w:val="1155CC"/>
            <w:u w:val="single"/>
          </w:rPr>
          <w:t>通过单原子聚合物涂层调整金属-载体相互作用：高性能催化剂的通用策略</w:t>
        </w:r>
      </w:hyperlink>
    </w:p>
    <w:p>
      <w:pPr>
        <w:spacing w:before="0" w:after="80"/>
      </w:pPr>
      <w:r>
        <w:rPr>
          <w:i/>
          <w:sz w:val="20"/>
        </w:rPr>
        <w:t>EN: Tailoring Metal‐Support Interactions With Single‐Atom Polymer Coatings: A Universal Strategy for High‐Performance Catalysts</w:t>
      </w:r>
    </w:p>
    <w:p>
      <w:pPr>
        <w:spacing w:before="0" w:after="120"/>
      </w:pPr>
      <w:r>
        <w:rPr>
          <w:b/>
        </w:rPr>
        <w:t xml:space="preserve">Source: </w:t>
      </w:r>
      <w:r>
        <w:t>Wiley: Angewandte Chemie International Edition: Table of Contents</w:t>
      </w:r>
      <w:r>
        <w:t xml:space="preserve">    </w:t>
      </w:r>
      <w:r>
        <w:rPr>
          <w:b/>
        </w:rPr>
        <w:t xml:space="preserve">Pub date: </w:t>
      </w:r>
      <w:r>
        <w:t>2026-03-28 09:15:37+00:00</w:t>
      </w:r>
      <w:r>
        <w:t xml:space="preserve">    </w:t>
      </w:r>
      <w:r>
        <w:rPr>
          <w:b/>
        </w:rPr>
        <w:t xml:space="preserve">DOI: </w:t>
      </w:r>
      <w:hyperlink r:id="rId265">
        <w:r>
          <w:rPr>
            <w:color w:val="1155CC"/>
            <w:u w:val="single"/>
          </w:rPr>
          <w:t>10.1002/anie.9654585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金属掺杂调节金属-载体相互作用（MSI）的传统方法通常缺乏满足多样催化需求所需的灵活性。在此，我们报告了一种多功能的原子分散金属掺杂聚合物涂层（MPC）策略，使得支持催化剂的精确工程成为可能，以提高性能。作为一个代表性例子，原子分散的Cu掺杂聚多巴胺（PDA-Cu）涂层在Pt纳米颗粒上诱导较低的表面电子密度，产生Pt/SiO2@PDA-Cu催化剂，在4-硝基苯乙烯氢化中对4-氨基苯乙烯表现出卓越的活性和选择性（≥ 98.0%）。这种作用机制通过结合的密</w:t>
      </w:r>
    </w:p>
    <w:p>
      <w:pPr>
        <w:spacing w:before="0" w:after="200" w:lineRule="auto" w:line="276"/>
      </w:pPr>
      <w:r>
        <w:rPr>
          <w:b/>
        </w:rPr>
        <w:t xml:space="preserve">Abstract (EN): </w:t>
      </w:r>
      <w:r>
        <w:t>Conventional approaches to tuning metal‐support interactions (MSI) through metal doping often lack the flexibility needed to meet diverse catalytic requirements. Here, we report a versatile atomically dispersed metal‐doped polymer coating (MPC) strategy that enables precise engineering of supported catalysts for enhanced performance. As a representative example, an atomically dispersed Cu‐doped polydopamine (PDA‐Cu) coating induces a lower surface electron density on Pt nanoparticles, yielding a Pt/SiO</w:t>
      </w:r>
      <w:r>
        <w:rPr>
          <w:vertAlign w:val="subscript"/>
        </w:rPr>
        <w:t>2</w:t>
      </w:r>
      <w:r>
        <w:t>@PDA‐Cu catalyst that shows exceptional activity and selectivity (≥ 98.0%) toward 4‐aminostyrene in 4‐nitrostyrene hydrogenation. This action mechanism is unequivocally demonstrated through combined density functional theory calculations and experimental characterization. Furthermore, we demonstrate the broad applicability of this MPC strategy by successfully modifying various supported catalysts, including Pd/CeO</w:t>
      </w:r>
      <w:r>
        <w:rPr>
          <w:vertAlign w:val="subscript"/>
        </w:rPr>
        <w:t>2</w:t>
      </w:r>
      <w:r>
        <w:t>, Pt/COF‐300 and Pd/SBA‐15. This approach not only preserves the inherent advantages of both the original supports (magnetism, porosity, photoelectric properties) and the MPCs (design flexibility, hydrophilicity), but also creates synergistic effects that significantly enhance catalytic performance. Our work provides a general platform for the rational design of advanced catalytic systems with tailored properties.</w:t>
      </w:r>
    </w:p>
    <w:p>
      <w:pPr>
        <w:spacing w:before="120" w:after="120"/>
      </w:pPr>
      <w:r>
        <w:rPr>
          <w:sz w:val="18"/>
        </w:rPr>
        <w:t>——————————————————————————————————————————————————————————————————————</w:t>
      </w:r>
    </w:p>
    <w:p>
      <w:pPr>
        <w:spacing w:before="160" w:after="40" w:line="240" w:lineRule="auto"/>
      </w:pPr>
      <w:r>
        <w:rPr>
          <w:b/>
        </w:rPr>
        <w:t xml:space="preserve">[37] </w:t>
      </w:r>
      <w:hyperlink r:id="rId266">
        <w:r>
          <w:rPr>
            <w:color w:val="1155CC"/>
            <w:u w:val="single"/>
          </w:rPr>
          <w:t>镍单原子重构的3D COFs促进H2O2光合成</w:t>
        </w:r>
      </w:hyperlink>
    </w:p>
    <w:p>
      <w:pPr>
        <w:spacing w:before="0" w:after="80"/>
      </w:pPr>
      <w:r>
        <w:rPr>
          <w:i/>
          <w:sz w:val="20"/>
        </w:rPr>
        <w:t>EN: Nickel Single Atoms Reconfigured 3D COFs Boost H2O2 Photosynthesis</w:t>
      </w:r>
    </w:p>
    <w:p>
      <w:pPr>
        <w:spacing w:before="0" w:after="120"/>
      </w:pPr>
      <w:r>
        <w:rPr>
          <w:b/>
        </w:rPr>
        <w:t xml:space="preserve">Source: </w:t>
      </w:r>
      <w:r>
        <w:t>Wiley: Angewandte Chemie International Edition: Table of Contents</w:t>
      </w:r>
      <w:r>
        <w:t xml:space="preserve">    </w:t>
      </w:r>
      <w:r>
        <w:rPr>
          <w:b/>
        </w:rPr>
        <w:t xml:space="preserve">Pub date: </w:t>
      </w:r>
      <w:r>
        <w:t>2026-03-28 09:17:26+00:00</w:t>
      </w:r>
      <w:r>
        <w:t xml:space="preserve">    </w:t>
      </w:r>
      <w:r>
        <w:rPr>
          <w:b/>
        </w:rPr>
        <w:t xml:space="preserve">DOI: </w:t>
      </w:r>
      <w:hyperlink r:id="rId267">
        <w:r>
          <w:rPr>
            <w:color w:val="1155CC"/>
            <w:u w:val="single"/>
          </w:rPr>
          <w:t>10.1002/anie.202515814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设计和实现具有独特3D拓扑结构的新型COFs是解锁新结构和功能的最重要方法之一。这些设计解决了传统二维共价有机框架（2D COFs）固有的关键限制，包括不明确的活性位点、受限的层间电荷传输和次优的激子利用率。本文报道了一种3D COF（PhFOONi‐COF）的合成，其特征是螺旋交错的层间连接拓扑结构，通过顺序共价组装和精确的镍锚定实现。由此产生的混合键合设置自然地创建了连续的电荷转移路径和空间开放的催化位点，从而有效地平衡了光催化中的活性选择性困境。</w:t>
      </w:r>
    </w:p>
    <w:p>
      <w:pPr>
        <w:spacing w:before="0" w:after="200" w:lineRule="auto" w:line="276"/>
      </w:pPr>
      <w:r>
        <w:rPr>
          <w:b/>
        </w:rPr>
        <w:t xml:space="preserve">Abstract (EN): </w:t>
      </w:r>
      <w:r>
        <w:t>Designing and implementing novel COFs with unique 3D topologies stand among the foremost methods for unlocking new structures and functions. Such designs address critical limitations inherent in traditional 2D covalent organic frameworks (2D COFs), including obscure active sites, constrained interlayer charge transport, and suboptimal exciton utilization. This work reports the synthesis of a 3D COF (PhFOONi‐COF) featuring a helical‐staggered interlayer‐connected topology, achieved through sequential covalent assembly and precise nickel anchoring. The resulting hybrid bonding setup naturally creates continuous pathways for charge transfer and spatially open catalytic sites, thus efficiently balancing the activity‐selectivity dilemma in photocatalytic H</w:t>
      </w:r>
      <w:r>
        <w:rPr>
          <w:vertAlign w:val="subscript"/>
        </w:rPr>
        <w:t>2</w:t>
      </w:r>
      <w:r>
        <w:t>O</w:t>
      </w:r>
      <w:r>
        <w:rPr>
          <w:vertAlign w:val="subscript"/>
        </w:rPr>
        <w:t>2</w:t>
      </w:r>
      <w:r>
        <w:t>production. The integrated framework, featuring nitrogen‐engineered fluorenone units coordinated with Ni centers, exhibits exceptional photocatalytic performance with a H</w:t>
      </w:r>
      <w:r>
        <w:rPr>
          <w:vertAlign w:val="subscript"/>
        </w:rPr>
        <w:t>2</w:t>
      </w:r>
      <w:r>
        <w:t>O</w:t>
      </w:r>
      <w:r>
        <w:rPr>
          <w:vertAlign w:val="subscript"/>
        </w:rPr>
        <w:t>2</w:t>
      </w:r>
      <w:r>
        <w:t>production rate of 9.73 mmol g</w:t>
      </w:r>
      <w:r>
        <w:t xml:space="preserve"> </w:t>
      </w:r>
      <w:r>
        <w:t>−1</w:t>
      </w:r>
      <w:r>
        <w:t xml:space="preserve"> </w:t>
      </w:r>
      <w:r>
        <w:t>h</w:t>
      </w:r>
      <w:r>
        <w:t xml:space="preserve"> </w:t>
      </w:r>
      <w:r>
        <w:t>−1</w:t>
      </w:r>
      <w:r>
        <w:t xml:space="preserve"> </w:t>
      </w:r>
      <w:r>
        <w:t>under visible light, which is 15 times that of its purely covalent counterpart. Advanced in situ investigations and density functional theory calculations systematically reveal that the integrated covalent‐coordination structure facilitates dual functionality: the Ni‐N4 sites geometrically confine O</w:t>
      </w:r>
      <w:r>
        <w:rPr>
          <w:vertAlign w:val="subscript"/>
        </w:rPr>
        <w:t>2</w:t>
      </w:r>
      <w:r>
        <w:t>molecules in optimal adsorption configurations, and the conjugated fluorenone skeleton enables directional electron funneling to catalytic centers through orbital hybridization. This work pioneers a paradigm‐shifting strategy for designing multifunctional photocatalytic platforms through atomic‐level integration of covalent and coordination networks.</w:t>
      </w:r>
    </w:p>
    <w:p>
      <w:pPr>
        <w:spacing w:before="120" w:after="120"/>
      </w:pPr>
      <w:r>
        <w:rPr>
          <w:sz w:val="18"/>
        </w:rPr>
        <w:t>——————————————————————————————————————————————————————————————————————</w:t>
      </w:r>
    </w:p>
    <w:p>
      <w:pPr>
        <w:spacing w:before="160" w:after="40" w:line="240" w:lineRule="auto"/>
      </w:pPr>
      <w:r>
        <w:rPr>
          <w:b/>
        </w:rPr>
        <w:t xml:space="preserve">[38] </w:t>
      </w:r>
      <w:hyperlink r:id="rId268">
        <w:r>
          <w:rPr>
            <w:color w:val="1155CC"/>
            <w:u w:val="single"/>
          </w:rPr>
          <w:t>在核苷类抗生素生物合成中通过PKS装配线的4',5'脱水形成脱氧糖</w:t>
        </w:r>
      </w:hyperlink>
    </w:p>
    <w:p>
      <w:pPr>
        <w:spacing w:before="0" w:after="80"/>
      </w:pPr>
      <w:r>
        <w:rPr>
          <w:i/>
          <w:sz w:val="20"/>
        </w:rPr>
        <w:t>EN: Deoxysugar Formation via 4',5'‐Dehydration on PKS Assembly Line in Nucleoside Antibiotic Biosynthesis</w:t>
      </w:r>
    </w:p>
    <w:p>
      <w:pPr>
        <w:spacing w:before="0" w:after="120"/>
      </w:pPr>
      <w:r>
        <w:rPr>
          <w:b/>
        </w:rPr>
        <w:t xml:space="preserve">Source: </w:t>
      </w:r>
      <w:r>
        <w:t>Wiley: Angewandte Chemie International Edition: Table of Contents</w:t>
      </w:r>
      <w:r>
        <w:t xml:space="preserve">    </w:t>
      </w:r>
      <w:r>
        <w:rPr>
          <w:b/>
        </w:rPr>
        <w:t xml:space="preserve">Pub date: </w:t>
      </w:r>
      <w:r>
        <w:t>2026-03-28 09:19:05+00:00</w:t>
      </w:r>
      <w:r>
        <w:t xml:space="preserve">    </w:t>
      </w:r>
      <w:r>
        <w:rPr>
          <w:b/>
        </w:rPr>
        <w:t xml:space="preserve">DOI: </w:t>
      </w:r>
      <w:hyperlink r:id="rId269">
        <w:r>
          <w:rPr>
            <w:color w:val="1155CC"/>
            <w:u w:val="single"/>
          </w:rPr>
          <w:t>10.1002/anie.6927983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阿米普霉素是一种肽核苷类抗生素，其特征是具有C9高碳糖，对稻瘟病病原菌Pyricularia oryzae具有强效活性。其脱氧糖中C‐4'亚甲基基团的生物合成机制尚不清楚。本研究揭示了DUF3500家族中的假设蛋白ApmL作为4′,5′‐脱水酶，其活性严格依赖于PKS组装线。与其伴侣还原酶ApmM一起，它们通过脱水‐还原完成了两步C‐4′脱氧过程。我们首次实现了这种独特的PKS耦合脱水的体外重构。</w:t>
      </w:r>
    </w:p>
    <w:p>
      <w:pPr>
        <w:spacing w:before="0" w:after="200" w:lineRule="auto" w:line="276"/>
      </w:pPr>
      <w:r>
        <w:rPr>
          <w:b/>
        </w:rPr>
        <w:t xml:space="preserve">Abstract (EN): </w:t>
      </w:r>
      <w:r>
        <w:t>Amipurimycin is a peptidyl nucleoside antibiotic characterized by a C</w:t>
      </w:r>
      <w:r>
        <w:rPr>
          <w:vertAlign w:val="subscript"/>
        </w:rPr>
        <w:t>9</w:t>
      </w:r>
      <w:r>
        <w:t>high‐carbon sugar, with potent activity against the rice blast pathogen</w:t>
      </w:r>
      <w:r>
        <w:t xml:space="preserve"> </w:t>
      </w:r>
      <w:r>
        <w:t>Pyricularia oryzae</w:t>
      </w:r>
      <w:r>
        <w:t xml:space="preserve"> </w:t>
      </w:r>
      <w:r>
        <w:t>. The biosynthetic machinery of the C‐4' methylene group in its deoxy sugar has remained unknown. This study reveals that ApmL, a hypothetical protein in the DUF3500 family, functions as a 4′,5′‐dehydratase whose activity is strictly dependent on the PKS assembly line. Together with its partner reductase ApmM, they complete a two‐step C‐4′ deoxygenation process</w:t>
      </w:r>
      <w:r>
        <w:t xml:space="preserve"> </w:t>
      </w:r>
      <w:r>
        <w:t>via</w:t>
      </w:r>
      <w:r>
        <w:t xml:space="preserve"> </w:t>
      </w:r>
      <w:r>
        <w:t>dehydration‐reduction. We achieve the first in vitro reconstitution of this unique PKS‐coupled dehydration process and show direct interaction between ApmL and PKS proteins. Our findings establish ApmL as a new family of dehydratase and uncover a noncanonical deoxygenation strategy in nucleoside antibiotic biosynthesis.</w:t>
      </w:r>
    </w:p>
    <w:p>
      <w:pPr>
        <w:spacing w:before="120" w:after="120"/>
      </w:pPr>
      <w:r>
        <w:rPr>
          <w:sz w:val="18"/>
        </w:rPr>
        <w:t>——————————————————————————————————————————————————————————————————————</w:t>
      </w:r>
    </w:p>
    <w:p>
      <w:pPr>
        <w:spacing w:before="160" w:after="40" w:line="240" w:lineRule="auto"/>
      </w:pPr>
      <w:r>
        <w:rPr>
          <w:b/>
        </w:rPr>
        <w:t xml:space="preserve">[39] </w:t>
      </w:r>
      <w:hyperlink r:id="rId270">
        <w:r>
          <w:rPr>
            <w:color w:val="1155CC"/>
            <w:u w:val="single"/>
          </w:rPr>
          <w:t>可扩展的大气水收集纸实现快速和连续的水收集</w:t>
        </w:r>
      </w:hyperlink>
    </w:p>
    <w:p>
      <w:pPr>
        <w:spacing w:before="0" w:after="80"/>
      </w:pPr>
      <w:r>
        <w:rPr>
          <w:i/>
          <w:sz w:val="20"/>
        </w:rPr>
        <w:t>EN: Scalable Atmospheric Water Harvesting Paper Enable Rapid and Continuous Water Collection</w:t>
      </w:r>
    </w:p>
    <w:p>
      <w:pPr>
        <w:spacing w:before="0" w:after="120"/>
      </w:pPr>
      <w:r>
        <w:rPr>
          <w:b/>
        </w:rPr>
        <w:t xml:space="preserve">Source: </w:t>
      </w:r>
      <w:r>
        <w:t>Wiley: Advanced Energy Materials: Table of Contents</w:t>
      </w:r>
      <w:r>
        <w:t xml:space="preserve">    </w:t>
      </w:r>
      <w:r>
        <w:rPr>
          <w:b/>
        </w:rPr>
        <w:t xml:space="preserve">Pub date: </w:t>
      </w:r>
      <w:r>
        <w:t>2026-03-28 12:05:14+00:00</w:t>
      </w:r>
      <w:r>
        <w:t xml:space="preserve">    </w:t>
      </w:r>
      <w:r>
        <w:rPr>
          <w:b/>
        </w:rPr>
        <w:t xml:space="preserve">DOI: </w:t>
      </w:r>
      <w:hyperlink r:id="rId271">
        <w:r>
          <w:rPr>
            <w:color w:val="1155CC"/>
            <w:u w:val="single"/>
          </w:rPr>
          <w:t>10.1002/aenm.70889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被动地将无处不在的大气湿气转化为液态水已成为解决水资源短缺问题的有吸引力的解决方案。然而，这项技术的水传输动力学和可扩展性限制了水的生产效率和生产力。在此，我们描述了一种大规模和快速的水收集模式，其核心吸收剂由工业造纸工艺生产，提供了卓越的成本效益，匹配的设备可以连续自动运行。规模生产的功能纸表现出良好的光热能力和快速的吸附/解吸动力学，在30%相对湿度下仅需14分钟即可达到其饱和吸水量的80%，随后15分钟。</w:t>
      </w:r>
    </w:p>
    <w:p>
      <w:pPr>
        <w:spacing w:before="0" w:after="200" w:lineRule="auto" w:line="276"/>
      </w:pPr>
      <w:r>
        <w:rPr>
          <w:b/>
        </w:rPr>
        <w:t xml:space="preserve">Abstract (EN): </w:t>
      </w:r>
      <w:r>
        <w:t>Passively converting ubiquitous atmospheric moisture into liquid water has emerged as an attractive solution to issues of water scarcity. However, the water transport kinetics and scalability of this technology limit the productive efficiency and productivity of water. Here, we describe a large‐scale and rapid mode of water harvesting, from which the core absorbent is produced by industrial paper‐making processes, offering exceptional cost‐effectiveness, and matching device can operate continuously and automatically. The scale‐produced functional paper exhibits good photothermal capacity and fast adsorption/desorption kinetics, that just required 14 min to reach 80% of its saturated water uptake at 30% relative humidity, and a subsequent 15 min to release the captured water under one‐sun illumination with extremely low electricity supply. A crawler‐type harvester was designed to collect atmospheric water continuously with synchronous and uninterrupted adsorption–desorption processes. The device was operated for 15 days in the field, achieving 13.3 g</w:t>
      </w:r>
      <w:r>
        <w:t xml:space="preserve"> </w:t>
      </w:r>
      <w:r>
        <w:t>water</w:t>
      </w:r>
      <w:r>
        <w:t xml:space="preserve"> </w:t>
      </w:r>
      <w:r>
        <w:t>m</w:t>
      </w:r>
      <w:r>
        <w:t xml:space="preserve"> </w:t>
      </w:r>
      <w:r>
        <w:t>device</w:t>
      </w:r>
      <w:r>
        <w:t xml:space="preserve"> </w:t>
      </w:r>
      <w:r>
        <w:t>−2</w:t>
      </w:r>
      <w:r>
        <w:t xml:space="preserve"> </w:t>
      </w:r>
      <w:r>
        <w:t>h</w:t>
      </w:r>
      <w:r>
        <w:t xml:space="preserve"> </w:t>
      </w:r>
      <w:r>
        <w:t>−1</w:t>
      </w:r>
      <w:r>
        <w:t xml:space="preserve"> </w:t>
      </w:r>
      <w:r>
        <w:t>in water production across a relative humidity range of 15%–65.8%. The proposed design strategy is effective in addressing the gap between innovation and productivity for scalable atmospheric water‐generation systems.</w:t>
      </w:r>
    </w:p>
    <w:p>
      <w:pPr>
        <w:spacing w:before="120" w:after="120"/>
      </w:pPr>
      <w:r>
        <w:rPr>
          <w:sz w:val="18"/>
        </w:rPr>
        <w:t>——————————————————————————————————————————————————————————————————————</w:t>
      </w:r>
    </w:p>
    <w:p>
      <w:pPr>
        <w:spacing w:before="160" w:after="40" w:line="240" w:lineRule="auto"/>
      </w:pPr>
      <w:r>
        <w:rPr>
          <w:b/>
        </w:rPr>
        <w:t xml:space="preserve">[40] </w:t>
      </w:r>
      <w:hyperlink r:id="rId272">
        <w:r>
          <w:rPr>
            <w:color w:val="1155CC"/>
            <w:u w:val="single"/>
          </w:rPr>
          <w:t>[ASAP] 吸附偏向的、卤化物调节的钙钛矿光催化剂用于将伯醇有氧氧化为苯并咪唑</w:t>
        </w:r>
      </w:hyperlink>
    </w:p>
    <w:p>
      <w:pPr>
        <w:spacing w:before="0" w:after="80"/>
      </w:pPr>
      <w:r>
        <w:rPr>
          <w:i/>
          <w:sz w:val="20"/>
        </w:rPr>
        <w:t>EN: [ASAP] Adsorption-Biased, Halide-Tuned Perovskite Photocatalysts for Aerobic Oxidation of Primary Alcohols to Benzimidazoles</w:t>
      </w:r>
    </w:p>
    <w:p>
      <w:pPr>
        <w:spacing w:before="0" w:after="120"/>
      </w:pPr>
      <w:r>
        <w:rPr>
          <w:b/>
        </w:rPr>
        <w:t xml:space="preserve">Source: </w:t>
      </w:r>
      <w:r>
        <w:t>Journal of the American Chemical Society: Latest Articles (ACS Publications)</w:t>
      </w:r>
      <w:r>
        <w:t xml:space="preserve">    </w:t>
      </w:r>
      <w:r>
        <w:rPr>
          <w:b/>
        </w:rPr>
        <w:t xml:space="preserve">Pub date: </w:t>
      </w:r>
      <w:r>
        <w:t>2026-03-28 13:56:05+00:00</w:t>
      </w:r>
      <w:r>
        <w:t xml:space="preserve">    </w:t>
      </w:r>
      <w:r>
        <w:rPr>
          <w:b/>
        </w:rPr>
        <w:t xml:space="preserve">DOI: </w:t>
      </w:r>
      <w:hyperlink r:id="rId273">
        <w:r>
          <w:rPr>
            <w:color w:val="1155CC"/>
            <w:u w:val="single"/>
          </w:rPr>
          <w:t>10.1021/jacs.5c22315</w:t>
        </w:r>
      </w:hyperlink>
    </w:p>
    <w:p>
      <w:pPr>
        <w:spacing w:before="0" w:after="120"/>
      </w:pPr>
      <w:r>
        <w:rPr>
          <w:b/>
        </w:rPr>
        <w:t xml:space="preserve">Notes: </w:t>
      </w:r>
      <w:r>
        <w:t>abstract_source=openalex</w:t>
      </w:r>
    </w:p>
    <w:p>
      <w:pPr>
        <w:spacing w:before="0" w:after="80" w:lineRule="auto" w:line="276"/>
      </w:pPr>
      <w:r>
        <w:rPr>
          <w:b/>
        </w:rPr>
        <w:t xml:space="preserve">摘要（ZH）: </w:t>
      </w:r>
      <w:r>
        <w:t>在更容易被氧化的伴侣存在下实现醇的高效有氧氧化是光催化合成中的一个核心挑战。特别是，从丰富的初级醇到苯并咪唑的可见光驱动途径受到线性脂肪醇的惰性和邻苯二胺（OPDs）的氧化脆弱性的阻碍，这迫使以前的方法使用醇作为主要溶剂。在此，我们展示了卤化物调谐的CsPbX3（X = Cl/Br/I）钙钛矿纳米晶体作为吸附偏向的、带隙工程的光催化剂用于此转化。通过调整卤化物组成，我们准备了一套光催化剂工具箱，其激发态氧化电位与不同类别的初级醇相匹配：在405 nm照射下，CsPbCl3有效地</w:t>
      </w:r>
    </w:p>
    <w:p>
      <w:pPr>
        <w:spacing w:before="0" w:after="200" w:lineRule="auto" w:line="276"/>
      </w:pPr>
      <w:r>
        <w:rPr>
          <w:b/>
        </w:rPr>
        <w:t xml:space="preserve">Abstract (EN): </w:t>
      </w:r>
      <w:r>
        <w:t>Achieving productive aerobic oxidation of alcohols in the presence of more easily oxidized partners is a central challenge in photocatalytic synthesis. In particular, visible-light-driven routes from abundant primary alcohols to benzimidazoles are hampered by the inertness of linear aliphatic alcohols and the oxidative fragility of o-phenylenediamines (OPDs), which has forced previous methods to use the alcohol as the bulk solvent. Here we show that halide-tuned CsPbX3 (X = Cl/Br/I) perovskite nanocrystals act as adsorption-biased, band-engineered photocatalysts for this transformation. By adjusting the halide composition, we prepare a toolbox of photocatalysts whose excited-state oxidation potentials are matched to different classes of primary alcohols: CsPbCl3 under 405 nm irradiation efficiently oxidizes linear aliphatic alcohols, whereas CsPbClBr2 under 455 nm light is optimal for benzylic alcohols. For challenging linear aliphatic alcohols, this oxidative dehydrogenative coupling operates with only ∼3 equiv of the alcohol (rather than solvent-level quantities), while benzylic alcohols are converted with only 2 equiv, in all cases using O2 (1 atm) as the terminal oxidant under mild, noble-metal-free and heterogeneous conditions to furnish a broad range of 2-alkyl and 2-aryl benzimidazoles. Temperature-programmed desorption experiments and density functional theory (DFT) calculations indicate that primary alcohols bind much more strongly to the perovskite surface than OPDs, while photophysical and electrochemical studies map a two-step interfacial electron-transfer sequence: alcohol → perovskite(h+) → O2. Together, these results demonstrate an adsorption-biased, halide-tunable perovskite platform for alcohol-favored aerobic oxidation and suggest a general design strategy for heterogeneous photoredox synthesis.</w:t>
      </w:r>
    </w:p>
    <w:p>
      <w:pPr>
        <w:spacing w:before="120" w:after="120"/>
      </w:pPr>
      <w:r>
        <w:rPr>
          <w:sz w:val="18"/>
        </w:rPr>
        <w:t>——————————————————————————————————————————————————————————————————————</w:t>
      </w:r>
    </w:p>
    <w:p>
      <w:pPr>
        <w:spacing w:before="160" w:after="40" w:line="240" w:lineRule="auto"/>
      </w:pPr>
      <w:r>
        <w:rPr>
          <w:b/>
        </w:rPr>
        <w:t xml:space="preserve">[41] </w:t>
      </w:r>
      <w:hyperlink r:id="rId274">
        <w:r>
          <w:rPr>
            <w:color w:val="1155CC"/>
            <w:u w:val="single"/>
          </w:rPr>
          <w:t>[ASAP] 通过烯基自由基实现烯基卤化物与硫酰胺的Cu催化立体趋同和对映选择性C–S交叉偶联</w:t>
        </w:r>
      </w:hyperlink>
    </w:p>
    <w:p>
      <w:pPr>
        <w:spacing w:before="0" w:after="80"/>
      </w:pPr>
      <w:r>
        <w:rPr>
          <w:i/>
          <w:sz w:val="20"/>
        </w:rPr>
        <w:t>EN: [ASAP] Cu-Catalyzed Stereoconvergent and Enantioselective C–S Cross-Coupling of Alkenyl Halides with Sulfenamides via Alkenyl Radicals</w:t>
      </w:r>
    </w:p>
    <w:p>
      <w:pPr>
        <w:spacing w:before="0" w:after="120"/>
      </w:pPr>
      <w:r>
        <w:rPr>
          <w:b/>
        </w:rPr>
        <w:t xml:space="preserve">Source: </w:t>
      </w:r>
      <w:r>
        <w:t>Journal of the American Chemical Society: Latest Articles (ACS Publications)</w:t>
      </w:r>
      <w:r>
        <w:t xml:space="preserve">    </w:t>
      </w:r>
      <w:r>
        <w:rPr>
          <w:b/>
        </w:rPr>
        <w:t xml:space="preserve">Pub date: </w:t>
      </w:r>
      <w:r>
        <w:t>2026-03-28 13:56:30+00:00</w:t>
      </w:r>
      <w:r>
        <w:t xml:space="preserve">    </w:t>
      </w:r>
      <w:r>
        <w:rPr>
          <w:b/>
        </w:rPr>
        <w:t xml:space="preserve">DOI: </w:t>
      </w:r>
      <w:hyperlink r:id="rId275">
        <w:r>
          <w:rPr>
            <w:color w:val="1155CC"/>
            <w:u w:val="single"/>
          </w:rPr>
          <w:t>10.1021/jacs.6c02132</w:t>
        </w:r>
      </w:hyperlink>
    </w:p>
    <w:p>
      <w:pPr>
        <w:spacing w:before="0" w:after="120"/>
      </w:pPr>
      <w:r>
        <w:rPr>
          <w:b/>
        </w:rPr>
        <w:t xml:space="preserve">Notes: </w:t>
      </w:r>
      <w:r>
        <w:t>abstract_source=pubmed</w:t>
      </w:r>
    </w:p>
    <w:p>
      <w:pPr>
        <w:spacing w:before="0" w:after="80" w:lineRule="auto" w:line="276"/>
      </w:pPr>
      <w:r>
        <w:rPr>
          <w:b/>
        </w:rPr>
        <w:t xml:space="preserve">摘要（ZH）: </w:t>
      </w:r>
      <w:r>
        <w:t>过渡金属催化的交叉偶联是安装烯基基团的核心策略。传统的烯基卤化物的双电子氧化加成通常是立体保持的，因此通常需要几何高度富集的（E）-或（Z）-烯基卤化物，使得（E/Z）混合原料的立体收敛不对称交叉偶联具有挑战性。在此，我们报告了一种立体收敛和对映选择性的铜催化的烯基碘化物和溴化物与硫酰胺的C-S交叉偶联，通过烯基自由基中间体生成S-手性烯基硫亚胺，从而消除初始烯烃的几何信息。该反应在可见光驱动的铜/光氧化还原条件下或铜催化的芳基自由基介导的卤素原子转移（XAT）条件下进行，提供对映</w:t>
      </w:r>
    </w:p>
    <w:p>
      <w:pPr>
        <w:spacing w:before="0" w:after="200" w:lineRule="auto" w:line="276"/>
      </w:pPr>
      <w:r>
        <w:rPr>
          <w:b/>
        </w:rPr>
        <w:t xml:space="preserve">Abstract (EN): </w:t>
      </w:r>
      <w:r>
        <w:t>Transition-metal-catalyzed cross-coupling is a central strategy for installing alkenyl groups. Conventional two-electron oxidative addition of alkenyl halides is typically stereoretentive and, therefore, often requires geometrically highly enriched (E)- or (Z)-alkenyl halides, making stereoconvergent asymmetric cross-coupling of (E/Z)-mixed feedstocks challenging. Here we report a stereoconvergent and enantioselective Cu-catalyzed C-S cross-coupling of alkenyl iodides and bromides with sulfenamides to afford S-chiral alkenyl sulfilimines via alkenyl-radical intermediates that erase the initial alkene geometric information. The reaction proceeds under visible-light-driven Cu/photoredox conditions or Cu-catalyzed aryl radical-mediated halogen-atom transfer (XAT) conditions, delivering enantioenriched products with high alkene stereoselectivity and enantioselectivity across a broad substrate scope. The method is scalable, and the resulting chiral alkenyl sulfilimines can be readily diversified into a range of S-chiral sulfur(VI)-containing motifs, providing modular access to otherwise difficult-to-access enantioenriched sulfur-stereogenic alkenyl scaffolds.</w:t>
      </w:r>
    </w:p>
    <w:p>
      <w:pPr>
        <w:spacing w:before="120" w:after="120"/>
      </w:pPr>
      <w:r>
        <w:rPr>
          <w:sz w:val="18"/>
        </w:rPr>
        <w:t>——————————————————————————————————————————————————————————————————————</w:t>
      </w:r>
    </w:p>
    <w:p>
      <w:pPr>
        <w:spacing w:before="160" w:after="40" w:line="240" w:lineRule="auto"/>
      </w:pPr>
      <w:r>
        <w:rPr>
          <w:b/>
        </w:rPr>
        <w:t xml:space="preserve">[42] </w:t>
      </w:r>
      <w:hyperlink r:id="rId276">
        <w:r>
          <w:rPr>
            <w:color w:val="1155CC"/>
            <w:u w:val="single"/>
          </w:rPr>
          <w:t>高价蛋白@UiO‐66复合材料的直接合成：将结晶路径与蛋白封装联系起来</w:t>
        </w:r>
      </w:hyperlink>
    </w:p>
    <w:p>
      <w:pPr>
        <w:spacing w:before="0" w:after="80"/>
      </w:pPr>
      <w:r>
        <w:rPr>
          <w:i/>
          <w:sz w:val="20"/>
        </w:rPr>
        <w:t>EN: Direct Synthesis of High‐Valence Protein@UiO‐66 Composites: Linking Crystallization Pathways to Protein Encapsulation</w:t>
      </w:r>
    </w:p>
    <w:p>
      <w:pPr>
        <w:spacing w:before="0" w:after="120"/>
      </w:pPr>
      <w:r>
        <w:rPr>
          <w:b/>
        </w:rPr>
        <w:t xml:space="preserve">Source: </w:t>
      </w:r>
      <w:r>
        <w:t>Wiley: Advanced Materials: Table of Contents</w:t>
      </w:r>
      <w:r>
        <w:t xml:space="preserve">    </w:t>
      </w:r>
      <w:r>
        <w:rPr>
          <w:b/>
        </w:rPr>
        <w:t xml:space="preserve">Pub date: </w:t>
      </w:r>
      <w:r>
        <w:t>2026-03-28 15:49:33+00:00</w:t>
      </w:r>
      <w:r>
        <w:t xml:space="preserve">    </w:t>
      </w:r>
      <w:r>
        <w:rPr>
          <w:b/>
        </w:rPr>
        <w:t xml:space="preserve">DOI: </w:t>
      </w:r>
      <w:hyperlink r:id="rId277">
        <w:r>
          <w:rPr>
            <w:color w:val="1155CC"/>
            <w:u w:val="single"/>
          </w:rPr>
          <w:t>10.1002/adma.202521603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生物相容条件下直接合成高价金属有机框架（HV-MOFs）仍然是一个突出挑战，因为其金属中心具有强路易斯酸性和缓慢的配位动力学。在此，我们报告了一种温和的水相合成UiO-66的方法——一种以Zr4+为基础的基准框架——使用传统的苯二甲酸（H2BDC）连接体。该方法能够形成高结晶度的蛋白质@UiO-66复合物，同时保持生物分子的完整性和活性。原位SAXS和cryoEM揭示了蛋白质的掺入调节了成核前和生长动力学，提供了机制上的见解。</w:t>
      </w:r>
    </w:p>
    <w:p>
      <w:pPr>
        <w:spacing w:before="0" w:after="200" w:lineRule="auto" w:line="276"/>
      </w:pPr>
      <w:r>
        <w:rPr>
          <w:b/>
        </w:rPr>
        <w:t xml:space="preserve">Abstract (EN): </w:t>
      </w:r>
      <w:r>
        <w:t>The direct synthesis of high‐valence metal–organic frameworks (HV‐MOFs) under biocompatible conditions remains an outstanding challenge due to the strong Lewis acidity and sluggish coordination kinetics of their metal centers. Here, we report a mild, aqueous synthesis of UiO‐66—a benchmark Zr</w:t>
      </w:r>
      <w:r>
        <w:rPr>
          <w:vertAlign w:val="subscript"/>
        </w:rPr>
        <w:t>4</w:t>
      </w:r>
      <w:r>
        <w:t>+</w:t>
      </w:r>
      <w:r>
        <w:t xml:space="preserve"> </w:t>
      </w:r>
      <w:r>
        <w:t>‐based framework—using the conventional benzene dicarboxylic acid (H</w:t>
      </w:r>
      <w:r>
        <w:rPr>
          <w:vertAlign w:val="subscript"/>
        </w:rPr>
        <w:t>2</w:t>
      </w:r>
      <w:r>
        <w:t>BDC) linker. The approach enables the formation of highly crystalline protein@UiO‐66 composites while preserving biomolecule integrity and activity. In situ SAXS and cryoEM reveal that protein incorporation modulates prenucleation and growth dynamics, providing mechanistic insight into how the Lewis acidity of Zr</w:t>
      </w:r>
      <w:r>
        <w:rPr>
          <w:vertAlign w:val="subscript"/>
        </w:rPr>
        <w:t>4</w:t>
      </w:r>
      <w:r>
        <w:t>+</w:t>
      </w:r>
      <w:r>
        <w:t xml:space="preserve"> </w:t>
      </w:r>
      <w:r>
        <w:t>governs framework assembly and biomolecule confinement. This work establishes a direct, biocompatible route to UiO‐66 and elucidates fundamental principles underlying MOF–biomolecule co‐assembly in highly Lewis‐acidic systems, advancing the design of robust biointegrated hybrid materials.</w:t>
      </w:r>
    </w:p>
    <w:p>
      <w:pPr>
        <w:spacing w:before="120" w:after="120"/>
      </w:pPr>
      <w:r>
        <w:rPr>
          <w:sz w:val="18"/>
        </w:rPr>
        <w:t>——————————————————————————————————————————————————————————————————————</w:t>
      </w:r>
    </w:p>
    <w:p>
      <w:pPr>
        <w:spacing w:before="160" w:after="40" w:line="240" w:lineRule="auto"/>
      </w:pPr>
      <w:r>
        <w:rPr>
          <w:b/>
        </w:rPr>
        <w:t xml:space="preserve">[43] </w:t>
      </w:r>
      <w:hyperlink r:id="rId278">
        <w:r>
          <w:rPr>
            <w:color w:val="1155CC"/>
            <w:u w:val="single"/>
          </w:rPr>
          <w:t>通过氢插层诱导的相变提升二氧化铱的氧析出电催化性能</w:t>
        </w:r>
      </w:hyperlink>
    </w:p>
    <w:p>
      <w:pPr>
        <w:spacing w:before="0" w:after="80"/>
      </w:pPr>
      <w:r>
        <w:rPr>
          <w:i/>
          <w:sz w:val="20"/>
        </w:rPr>
        <w:t>EN: Boosting Oxygen Evolution Electrocatalysis Through Hydrogen Intercalation‐Induced Phase Transformation in Iridium Dioxide</w:t>
      </w:r>
    </w:p>
    <w:p>
      <w:pPr>
        <w:spacing w:before="0" w:after="120"/>
      </w:pPr>
      <w:r>
        <w:rPr>
          <w:b/>
        </w:rPr>
        <w:t xml:space="preserve">Source: </w:t>
      </w:r>
      <w:r>
        <w:t>Wiley: Advanced Materials: Table of Contents</w:t>
      </w:r>
      <w:r>
        <w:t xml:space="preserve">    </w:t>
      </w:r>
      <w:r>
        <w:rPr>
          <w:b/>
        </w:rPr>
        <w:t xml:space="preserve">Pub date: </w:t>
      </w:r>
      <w:r>
        <w:t>2026-03-28 16:06:05+00:00</w:t>
      </w:r>
      <w:r>
        <w:t xml:space="preserve">    </w:t>
      </w:r>
      <w:r>
        <w:rPr>
          <w:b/>
        </w:rPr>
        <w:t xml:space="preserve">DOI: </w:t>
      </w:r>
      <w:hyperlink r:id="rId279">
        <w:r>
          <w:rPr>
            <w:color w:val="1155CC"/>
            <w:u w:val="single"/>
          </w:rPr>
          <w:t>10.1002/adma.202521450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氧化铱（IrO2）是质子交换膜水电解器（PEMWEs）中的工业阳极催化剂，需要开发有效的方法来增强其活性和耐久性。在此，我们展示了一种通过引入氢原子进入晶格来提升IrO2催化性能的策略，使用甘油作为氢源。这种氢插层驱动了从四方相到单斜相的相变，并将纳米颗粒精细化到亚2 nm的尺度。由于原子、电子和形态结构的协同修饰，氢插层纳米催化剂实现了性能提升。</w:t>
      </w:r>
    </w:p>
    <w:p>
      <w:pPr>
        <w:spacing w:before="0" w:after="200" w:lineRule="auto" w:line="276"/>
      </w:pPr>
      <w:r>
        <w:rPr>
          <w:b/>
        </w:rPr>
        <w:t xml:space="preserve">Abstract (EN): </w:t>
      </w:r>
      <w:r>
        <w:t>Iridium dioxide (IrO</w:t>
      </w:r>
      <w:r>
        <w:rPr>
          <w:vertAlign w:val="subscript"/>
        </w:rPr>
        <w:t>2</w:t>
      </w:r>
      <w:r>
        <w:t>) is an industrial anode catalyst in proton exchange membrane water electrolyzers (PEMWEs), and the development of effective methods to enhance its activity and durability is required. Here, we demonstrate a strategy to boost the catalytic performance of IrO</w:t>
      </w:r>
      <w:r>
        <w:rPr>
          <w:vertAlign w:val="subscript"/>
        </w:rPr>
        <w:t>2</w:t>
      </w:r>
      <w:r>
        <w:t>by introducing hydrogen atoms into the crystal lattice using glycerol as a hydrogen source. This hydrogen intercalation drives a tetragonal‐to‐monoclinic phase transition, with a refinement of the nanoparticles down to the sub‐2 nm scale. Due to the synergetic modification of the atomic, electronic, and morphological structures, the hydrogen‐intercalated nanocatalyst achieves a boost in catalytic activity for acidic oxygen evolution reaction and reduces Ir leaching by over 80% relative to pristine IrO</w:t>
      </w:r>
      <w:r>
        <w:rPr>
          <w:vertAlign w:val="subscript"/>
        </w:rPr>
        <w:t>2</w:t>
      </w:r>
      <w:r>
        <w:t>. When integrated into a practical PEMWE, the hydrogen‐intercalated nanocatalyst shows high activity at current densities of 1.0, 2.0, and 3.0 A cm</w:t>
      </w:r>
      <w:r>
        <w:t xml:space="preserve"> </w:t>
      </w:r>
      <w:r>
        <w:t>−2</w:t>
      </w:r>
      <w:r>
        <w:t xml:space="preserve"> </w:t>
      </w:r>
      <w:r>
        <w:t>, and operates stably for more than 1000 h at each current density. Integrated operando spectroscopy, isotopic tracing, and theoretical modeling reveal a mixed oxygen evolution mechanism, with the dominant adsorbate evolution route and a limited lattice oxygen participation. This work deepens the understanding of hydrogen intercalation chemistry of inorganic oxides, and provides a novel way to design efficient Ir‐based electrocatalysts without sacrificing catalytic stability.</w:t>
      </w:r>
    </w:p>
    <w:p>
      <w:pPr>
        <w:spacing w:before="120" w:after="120"/>
      </w:pPr>
      <w:r>
        <w:rPr>
          <w:sz w:val="18"/>
        </w:rPr>
        <w:t>——————————————————————————————————————————————————————————————————————</w:t>
      </w:r>
    </w:p>
    <w:p>
      <w:pPr>
        <w:spacing w:before="160" w:after="40" w:line="240" w:lineRule="auto"/>
      </w:pPr>
      <w:r>
        <w:rPr>
          <w:b/>
        </w:rPr>
        <w:t xml:space="preserve">[44] </w:t>
      </w:r>
      <w:hyperlink r:id="rId280">
        <w:r>
          <w:rPr>
            <w:color w:val="1155CC"/>
            <w:u w:val="single"/>
          </w:rPr>
          <w:t>通过控制富勒烯组装实现机械可编程三态分子开关</w:t>
        </w:r>
      </w:hyperlink>
    </w:p>
    <w:p>
      <w:pPr>
        <w:spacing w:before="0" w:after="80"/>
      </w:pPr>
      <w:r>
        <w:rPr>
          <w:i/>
          <w:sz w:val="20"/>
        </w:rPr>
        <w:t>EN: Mechanically Programmable Tristate Molecular Switching Through Controlled Fullerene Assembly</w:t>
      </w:r>
    </w:p>
    <w:p>
      <w:pPr>
        <w:spacing w:before="0" w:after="120"/>
      </w:pPr>
      <w:r>
        <w:rPr>
          <w:b/>
        </w:rPr>
        <w:t xml:space="preserve">Source: </w:t>
      </w:r>
      <w:r>
        <w:t>Wiley: Advanced Materials: Table of Contents</w:t>
      </w:r>
      <w:r>
        <w:t xml:space="preserve">    </w:t>
      </w:r>
      <w:r>
        <w:rPr>
          <w:b/>
        </w:rPr>
        <w:t xml:space="preserve">Pub date: </w:t>
      </w:r>
      <w:r>
        <w:t>2026-03-28 16:06:36+00:00</w:t>
      </w:r>
      <w:r>
        <w:t xml:space="preserve">    </w:t>
      </w:r>
      <w:r>
        <w:rPr>
          <w:b/>
        </w:rPr>
        <w:t xml:space="preserve">DOI: </w:t>
      </w:r>
      <w:hyperlink r:id="rId281">
        <w:r>
          <w:rPr>
            <w:color w:val="1155CC"/>
            <w:u w:val="single"/>
          </w:rPr>
          <w:t>10.1002/adma.202600026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分子尺度上对电导的多态控制对于将分子电子学扩展到超越二进制功能至关重要。在此，我们展示了一种基于富勒烯（C60）分子受控组装的机械可编程且完全可逆的三态分子结。使用扫描隧道显微镜-断裂结技术，我们识别出三个离散且分离良好的电导状态，跨越了四个数量级以上，可以通过机械推拉调节反复访问。低温扫描隧道显微镜结合噪声分析和传输计算表明，这些状态源于共轭效应。</w:t>
      </w:r>
    </w:p>
    <w:p>
      <w:pPr>
        <w:spacing w:before="0" w:after="200" w:lineRule="auto" w:line="276"/>
      </w:pPr>
      <w:r>
        <w:rPr>
          <w:b/>
        </w:rPr>
        <w:t xml:space="preserve">Abstract (EN): </w:t>
      </w:r>
      <w:r>
        <w:t>Multistate control of electrical conductance at the molecular scale is essential for extending molecular electronics beyond binary functionality. Here we demonstrate a mechanically programmable and fully reversible tristate molecular junction based on the controlled assembly of fullerene (C</w:t>
      </w:r>
      <w:r>
        <w:rPr>
          <w:vertAlign w:val="subscript"/>
        </w:rPr>
        <w:t>60</w:t>
      </w:r>
      <w:r>
        <w:t>) molecules. Using the scanning tunneling microscope–break junction technique, we identify three discrete and well–separated conductance states spanning more than four orders of magnitude, which can be repeatedly accessed by mechanical push–pull modulation of the junction. Low–temperature scanning tunneling microscopy, together with noise analysis and transport calculations, shows that the states originate from controlled stacking of one, two, and three C</w:t>
      </w:r>
      <w:r>
        <w:rPr>
          <w:vertAlign w:val="subscript"/>
        </w:rPr>
        <w:t>60</w:t>
      </w:r>
      <w:r>
        <w:t>molecules. Owing to the spherical geometry and isotropic π–electron delocalization of C</w:t>
      </w:r>
      <w:r>
        <w:rPr>
          <w:vertAlign w:val="subscript"/>
        </w:rPr>
        <w:t>60</w:t>
      </w:r>
      <w:r>
        <w:t>, the conductance is largely insensitive to molecular orientation and contact rearrangements, enabling robust and configuration–insensitive multistate transport. This work establishes mechanically controlled intermolecular assembly as a general route to deterministic multistate molecular switching, with relevance to adaptive and neuromorphic–inspired electronic systems.</w:t>
      </w:r>
    </w:p>
    <w:p>
      <w:pPr>
        <w:spacing w:before="120" w:after="120"/>
      </w:pPr>
      <w:r>
        <w:rPr>
          <w:sz w:val="18"/>
        </w:rPr>
        <w:t>——————————————————————————————————————————————————————————————————————</w:t>
      </w:r>
    </w:p>
    <w:p>
      <w:pPr>
        <w:spacing w:before="160" w:after="40" w:line="240" w:lineRule="auto"/>
      </w:pPr>
      <w:r>
        <w:rPr>
          <w:b/>
        </w:rPr>
        <w:t xml:space="preserve">[45] </w:t>
      </w:r>
      <w:hyperlink r:id="rId282">
        <w:r>
          <w:rPr>
            <w:color w:val="1155CC"/>
            <w:u w:val="single"/>
          </w:rPr>
          <w:t>[ASAP] 甲醛与醋酸乙烯酯的自由基共聚：在乙烯聚合物主链中直接引入C–O键</w:t>
        </w:r>
      </w:hyperlink>
    </w:p>
    <w:p>
      <w:pPr>
        <w:spacing w:before="0" w:after="80"/>
      </w:pPr>
      <w:r>
        <w:rPr>
          <w:i/>
          <w:sz w:val="20"/>
        </w:rPr>
        <w:t>EN: [ASAP] Radical Copolymerization of Formaldehyde with Vinyl Acetate: Direct Incorporation of C–O Bonds in Vinyl Polymer Backbones</w:t>
      </w:r>
    </w:p>
    <w:p>
      <w:pPr>
        <w:spacing w:before="0" w:after="120"/>
      </w:pPr>
      <w:r>
        <w:rPr>
          <w:b/>
        </w:rPr>
        <w:t xml:space="preserve">Source: </w:t>
      </w:r>
      <w:r>
        <w:t>Journal of the American Chemical Society: Latest Articles (ACS Publications)</w:t>
      </w:r>
      <w:r>
        <w:t xml:space="preserve">    </w:t>
      </w:r>
      <w:r>
        <w:rPr>
          <w:b/>
        </w:rPr>
        <w:t xml:space="preserve">Pub date: </w:t>
      </w:r>
      <w:r>
        <w:t>2026-03-28 19:57:26+00:00</w:t>
      </w:r>
      <w:r>
        <w:t xml:space="preserve">    </w:t>
      </w:r>
      <w:r>
        <w:rPr>
          <w:b/>
        </w:rPr>
        <w:t xml:space="preserve">DOI: </w:t>
      </w:r>
      <w:hyperlink r:id="rId283">
        <w:r>
          <w:rPr>
            <w:color w:val="1155CC"/>
            <w:u w:val="single"/>
          </w:rPr>
          <w:t>10.1021/jacs.6c02910</w:t>
        </w:r>
      </w:hyperlink>
    </w:p>
    <w:p>
      <w:pPr>
        <w:spacing w:before="0" w:after="120"/>
      </w:pPr>
      <w:r>
        <w:rPr>
          <w:b/>
        </w:rPr>
        <w:t xml:space="preserve">Notes: </w:t>
      </w:r>
      <w:r>
        <w:t>abstract_source=pubmed</w:t>
      </w:r>
    </w:p>
    <w:p>
      <w:pPr>
        <w:spacing w:before="0" w:after="80" w:lineRule="auto" w:line="276"/>
      </w:pPr>
      <w:r>
        <w:rPr>
          <w:b/>
        </w:rPr>
        <w:t xml:space="preserve">摘要（ZH）: </w:t>
      </w:r>
      <w:r>
        <w:t>羰基是化学中一种丰富且基本的官能团。虽然羰基化合物已经通过阴离子和阳离子机制聚合，但它们的自由基聚合仍然具有挑战性。在这项研究中，我们报告了甲醛（FA）和醋酸乙烯酯（VAc）的自由基共聚，以生成含有C-O键的新型乙烯基共聚物。以市售的多聚甲醛（PFA）作为FA来源，在VAc存在下进行聚合，通过VAc自由基加到FA的碳侧，然后烷氧自由基加到VAc，生成主链中的-CH2O-单元。NMR分析和DFT计算支持了这一反应路径。</w:t>
      </w:r>
    </w:p>
    <w:p>
      <w:pPr>
        <w:spacing w:before="0" w:after="200" w:lineRule="auto" w:line="276"/>
      </w:pPr>
      <w:r>
        <w:rPr>
          <w:b/>
        </w:rPr>
        <w:t xml:space="preserve">Abstract (EN): </w:t>
      </w:r>
      <w:r>
        <w:t>The carbonyl group is an abundant and fundamental functional group in chemistry. While carbonyl compounds have been polymerized via anionic and cationic mechanisms, their radical polymerization remains challenging. In this study, we report the radical copolymerization of formaldehyde (FA), an abundant and important C1 resource, and vinyl acetate (VAc) to generate novel vinyl copolymers that contain C-O bonds in their backbones. The polymerization of VAc in the presence of commercially available paraformaldehyde (PFA) as an FA source produced poly(FA-co-VAc)s via the addition of VAc radicals to the carbon side of FA and the subsequent addition of alkoxy radicals to VAc, resulting in the -CH2O- units in the backbone. This reaction pathway was supported by NMR analyses and DFT calculations. The incorporation of FA was increased to 22% when polar solvents with highly protic and hydrogen-donating natures were used, which increased the concentration of FA generated from PFA in situ. Saponification of the poly(FA-co-VAc)s produced novel poly(vinyl alcohol) (PVA) copolymers with main-chain oxygen atoms and unique thermal properties. In addition, the detailed structure of the resulting copolymers was analyzed by reacetylation of the poly(FA-co-VA)s. This study highlighted the potential of radical polymerization of the C═O bond to generate unprecedented polymers with oxygen atoms in the backbones.</w:t>
      </w:r>
    </w:p>
    <w:p>
      <w:pPr>
        <w:spacing w:before="120" w:after="120"/>
      </w:pPr>
      <w:r>
        <w:rPr>
          <w:sz w:val="18"/>
        </w:rPr>
        <w:t>——————————————————————————————————————————————————————————————————————</w:t>
      </w:r>
    </w:p>
    <w:p>
      <w:pPr>
        <w:spacing w:before="160" w:after="40" w:line="240" w:lineRule="auto"/>
      </w:pPr>
      <w:r>
        <w:rPr>
          <w:b/>
        </w:rPr>
        <w:t xml:space="preserve">[46] </w:t>
      </w:r>
      <w:hyperlink r:id="rId284">
        <w:r>
          <w:rPr>
            <w:color w:val="1155CC"/>
            <w:u w:val="single"/>
          </w:rPr>
          <w:t>心肌细胞衍生的GPX4稳定BNIP3以促进线粒体自噬并减轻心肌缺血/再灌注损伤</w:t>
        </w:r>
      </w:hyperlink>
    </w:p>
    <w:p>
      <w:pPr>
        <w:spacing w:before="0" w:after="80"/>
      </w:pPr>
      <w:r>
        <w:rPr>
          <w:i/>
          <w:sz w:val="20"/>
        </w:rPr>
        <w:t>EN: Cardiomyocyte-derived GPX4 stabilizes BNIP3 to facilitate mitophagy and mitigate myocardial ischemia/reperfusion injury</w:t>
      </w:r>
    </w:p>
    <w:p>
      <w:pPr>
        <w:spacing w:before="0" w:after="120"/>
      </w:pPr>
      <w:r>
        <w:rPr>
          <w:b/>
        </w:rPr>
        <w:t xml:space="preserve">Source: </w:t>
      </w:r>
      <w:r>
        <w:t>Nature Communications</w:t>
      </w:r>
      <w:r>
        <w:t xml:space="preserve">    </w:t>
      </w:r>
      <w:r>
        <w:rPr>
          <w:b/>
        </w:rPr>
        <w:t xml:space="preserve">Pub date: </w:t>
      </w:r>
      <w:r>
        <w:t>2026-03-29 00:00:00+00:00</w:t>
      </w:r>
      <w:r>
        <w:t xml:space="preserve">    </w:t>
      </w:r>
      <w:r>
        <w:rPr>
          <w:b/>
        </w:rPr>
        <w:t xml:space="preserve">DOI: </w:t>
      </w:r>
      <w:hyperlink r:id="rId285">
        <w:r>
          <w:rPr>
            <w:color w:val="1155CC"/>
            <w:u w:val="single"/>
          </w:rPr>
          <w:t>10.1038/s41467-026-71232-2</w:t>
        </w:r>
      </w:hyperlink>
    </w:p>
    <w:p>
      <w:pPr>
        <w:spacing w:before="0" w:after="120"/>
      </w:pPr>
      <w:r>
        <w:rPr>
          <w:b/>
        </w:rPr>
        <w:t xml:space="preserve">Notes: </w:t>
      </w:r>
      <w:r>
        <w:t>abstract_source=nature_html</w:t>
      </w:r>
    </w:p>
    <w:p>
      <w:pPr>
        <w:spacing w:before="0" w:after="80" w:lineRule="auto" w:line="276"/>
      </w:pPr>
      <w:r>
        <w:rPr>
          <w:b/>
        </w:rPr>
        <w:t xml:space="preserve">摘要（ZH）: </w:t>
      </w:r>
      <w:r>
        <w:t>GPX4是铁死亡的重要调节因子，但其在心肌缺血/再灌注损伤（MI/RI）期间的线粒体功能障碍中的作用尚不清楚。本研究旨在阐明GPX4在MI/RI中的作用及分子机制。我们分析了GPX4在MI/RI期间的时空动态，观察到在边界和正常区域的高表达水平，但在缺血区域显著减少，利用空间转录组学、空间蛋白质组学和单细胞测序。心肌细胞来源的GPX4显著减少MI/RI中的心肌损伤和线粒体功能障碍，同时也缓解了长期的心室重构。机制上，我们的研究发现GPX4通过其关键的U46活性位点增强了BNIP3和USP20之间的相互作用，减少了泛素化。</w:t>
      </w:r>
    </w:p>
    <w:p>
      <w:pPr>
        <w:spacing w:before="0" w:after="200" w:lineRule="auto" w:line="276"/>
      </w:pPr>
      <w:r>
        <w:rPr>
          <w:b/>
        </w:rPr>
        <w:t xml:space="preserve">Abstract (EN): </w:t>
      </w:r>
      <w:r>
        <w:t>GPX4 is a crucial regulator of ferroptosis, yet its role in mitochondrial dysfunction during myocardial ischemia/reperfusion injury (MI/RI) is unclear. This study aims to clarify the effect and molecular mechanisms of GPX4 in MI/RI. We analyzed the spatiotemporal dynamics of GPX4 during MI/RI and observed high expression levels in border and normal areas but a significant reduction in the ischemic region utilizing spatial transcriptomics, spatial proteomics, and single-cell sequencing. Cardiomyocyte-derived GPX4 notably reduces myocardial damage and mitochondrial dysfunction in MI/RI while also alleviating long-term ventricular remodeling. Mechanistically, our findings reveal that GPX4, through its critical U46 active site, enhances the interaction between BNIP3 and USP20, decreasing ubiquitination at K131 of BNIP3. This process stabilizes BNIP3, promotes mitophagy, improves mitochondrial function, and ultimately preserves cardiac function. Our research defines the role of the GPX4/BNIP3/USP20 complex in MI/RI and uncovers a mechanism linking GPX4 to ferroptosis-related mitochondrial damage, providing valuable insights for advancing ferroptosis studies.</w:t>
      </w:r>
    </w:p>
    <w:p>
      <w:pPr>
        <w:spacing w:before="120" w:after="120"/>
      </w:pPr>
      <w:r>
        <w:rPr>
          <w:sz w:val="18"/>
        </w:rPr>
        <w:t>——————————————————————————————————————————————————————————————————————</w:t>
      </w:r>
    </w:p>
    <w:p>
      <w:pPr>
        <w:spacing w:before="160" w:after="40" w:line="240" w:lineRule="auto"/>
      </w:pPr>
      <w:r>
        <w:rPr>
          <w:b/>
        </w:rPr>
        <w:t xml:space="preserve">[47] </w:t>
      </w:r>
      <w:hyperlink r:id="rId286">
        <w:r>
          <w:rPr>
            <w:color w:val="1155CC"/>
            <w:u w:val="single"/>
          </w:rPr>
          <w:t>CDK11对SF3B1的磷酸化通过SNIP1依赖的RES复合体招募协调剪接体激活</w:t>
        </w:r>
      </w:hyperlink>
    </w:p>
    <w:p>
      <w:pPr>
        <w:spacing w:before="0" w:after="80"/>
      </w:pPr>
      <w:r>
        <w:rPr>
          <w:i/>
          <w:sz w:val="20"/>
        </w:rPr>
        <w:t>EN: Phosphorylation of SF3B1 by CDK11 orchestrates spliceosome activation via SNIP1-dependent RES complex recruitment</w:t>
      </w:r>
    </w:p>
    <w:p>
      <w:pPr>
        <w:spacing w:before="0" w:after="120"/>
      </w:pPr>
      <w:r>
        <w:rPr>
          <w:b/>
        </w:rPr>
        <w:t xml:space="preserve">Source: </w:t>
      </w:r>
      <w:r>
        <w:t>Nature Communications</w:t>
      </w:r>
      <w:r>
        <w:t xml:space="preserve">    </w:t>
      </w:r>
      <w:r>
        <w:rPr>
          <w:b/>
        </w:rPr>
        <w:t xml:space="preserve">Pub date: </w:t>
      </w:r>
      <w:r>
        <w:t>2026-03-29 00:00:00+00:00</w:t>
      </w:r>
      <w:r>
        <w:t xml:space="preserve">    </w:t>
      </w:r>
      <w:r>
        <w:rPr>
          <w:b/>
        </w:rPr>
        <w:t xml:space="preserve">DOI: </w:t>
      </w:r>
      <w:hyperlink r:id="rId287">
        <w:r>
          <w:rPr>
            <w:color w:val="1155CC"/>
            <w:u w:val="single"/>
          </w:rPr>
          <w:t>10.1038/s41467-026-71119-2</w:t>
        </w:r>
      </w:hyperlink>
    </w:p>
    <w:p>
      <w:pPr>
        <w:spacing w:before="0" w:after="120"/>
      </w:pPr>
      <w:r>
        <w:rPr>
          <w:b/>
        </w:rPr>
        <w:t xml:space="preserve">Notes: </w:t>
      </w:r>
      <w:r>
        <w:t>abstract_source=nature_html</w:t>
      </w:r>
    </w:p>
    <w:p>
      <w:pPr>
        <w:spacing w:before="0" w:after="80" w:lineRule="auto" w:line="276"/>
      </w:pPr>
      <w:r>
        <w:rPr>
          <w:b/>
        </w:rPr>
        <w:t xml:space="preserve">摘要（ZH）: </w:t>
      </w:r>
      <w:r>
        <w:t>剪接因子3b亚基1（SF3B1）是剪接体的核心组成部分，在剪接周期中经历动态磷酸化和去磷酸化以调节前mRNA剪接。二十八个苏氨酸/脯氨酸重复序列在剪接体激活期间被CDK11磷酸化，并在催化活性剪接体中保持磷酸化。磷酸化SF3B1（P-SF3B1）的功能以及被CDK11抑制剂阻滞的剪接体的身份仍不清楚。通过染色质相关剪接体的定量蛋白质组学，我们鉴定出一个先前未被描述的中间复合物BOTS964，被CDK11抑制剂OTS964阻滞，包含十九相关（NTR）但不包含十九（NTC）复合物。iCLIP-seq揭示P-SF3B1与U6 snRNA内部结合。</w:t>
      </w:r>
    </w:p>
    <w:p>
      <w:pPr>
        <w:spacing w:before="0" w:after="200" w:lineRule="auto" w:line="276"/>
      </w:pPr>
      <w:r>
        <w:rPr>
          <w:b/>
        </w:rPr>
        <w:t xml:space="preserve">Abstract (EN): </w:t>
      </w:r>
      <w:r>
        <w:t>Splicing Factor 3b Subunit 1 (SF3B1), a core component of the spliceosome, undergoes dynamic phosphorylation and dephosphorylation during the splicing cycle to regulate pre-mRNA splicing. Twenty-eight threonine/proline repeats are phosphorylated by CDK11 during spliceosome activation and remain phosphorylated in the catalytically active spliceosomes. The function of phosphorylated SF3B1 (P-SF3B1), and the identity of spliceosomes stalled by CDK11 inhibition remain unclear. Using quantitative proteomics of chromatin-associated spliceosomes, we identify a previously uncharacterized intermediate complex BOTS964, arrested by CDK11 inhibitor OTS964, that incorporates the nineteen-related (NTR) but not nineteen (NTC) complex. iCLIP-seq revealed that P-SF3B1 engages with the U6 snRNA internal stem-loop (ISL), suggesting a potential role in stabilizing the RNA catalytic core. We further demonstrate that P-SF3B1 is recognized by forkhead-associated (FHA) domain of SNIP1, which promotes recruitment of retention and splicing (RES) complex during spliceosome activation. Acute SNIP1 depletion disrupts RES incorporation, causes widespread splicing defects, and promotes hyperphosphorylation of SF3B1 by CDK11. Mutations in SNIP1 FHA domain, including the neurodevelopmental disorder-associated E366G variant, impair P-SF3B1 binding, pre-mRNA splicing, and cell viability. Together, these findings uncover the phosphorylation-dependent CDK11/P-SF3B1/SNIP1 signaling axis that is critical for pre-mRNA splicing and cellular proliferation and provide a mechanistic insight into its dysregulation in disease.</w:t>
      </w:r>
    </w:p>
    <w:p>
      <w:pPr>
        <w:spacing w:before="120" w:after="120"/>
      </w:pPr>
      <w:r>
        <w:rPr>
          <w:sz w:val="18"/>
        </w:rPr>
        <w:t>——————————————————————————————————————————————————————————————————————</w:t>
      </w:r>
    </w:p>
    <w:p>
      <w:pPr>
        <w:spacing w:before="160" w:after="40" w:line="240" w:lineRule="auto"/>
      </w:pPr>
      <w:r>
        <w:rPr>
          <w:b/>
        </w:rPr>
        <w:t xml:space="preserve">[48] </w:t>
      </w:r>
      <w:hyperlink r:id="rId288">
        <w:r>
          <w:rPr>
            <w:color w:val="1155CC"/>
            <w:u w:val="single"/>
          </w:rPr>
          <w:t>多场耦合增强的等离子体Moδ+活性位点高效水解氨硼烷</w:t>
        </w:r>
      </w:hyperlink>
    </w:p>
    <w:p>
      <w:pPr>
        <w:spacing w:before="0" w:after="80"/>
      </w:pPr>
      <w:r>
        <w:rPr>
          <w:i/>
          <w:sz w:val="20"/>
        </w:rPr>
        <w:t>EN: Multi-field coupling enhanced plasmonic Moδ+ active site to efficiently hydrolyze ammonia borane</w:t>
      </w:r>
    </w:p>
    <w:p>
      <w:pPr>
        <w:spacing w:before="0" w:after="120"/>
      </w:pPr>
      <w:r>
        <w:rPr>
          <w:b/>
        </w:rPr>
        <w:t xml:space="preserve">Source: </w:t>
      </w:r>
      <w:r>
        <w:t>Nature Communications</w:t>
      </w:r>
      <w:r>
        <w:t xml:space="preserve">    </w:t>
      </w:r>
      <w:r>
        <w:rPr>
          <w:b/>
        </w:rPr>
        <w:t xml:space="preserve">Pub date: </w:t>
      </w:r>
      <w:r>
        <w:t>2026-03-29 00:00:00+00:00</w:t>
      </w:r>
      <w:r>
        <w:t xml:space="preserve">    </w:t>
      </w:r>
      <w:r>
        <w:rPr>
          <w:b/>
        </w:rPr>
        <w:t xml:space="preserve">DOI: </w:t>
      </w:r>
      <w:hyperlink r:id="rId289">
        <w:r>
          <w:rPr>
            <w:color w:val="1155CC"/>
            <w:u w:val="single"/>
          </w:rPr>
          <w:t>10.1038/s41467-026-71055-1</w:t>
        </w:r>
      </w:hyperlink>
    </w:p>
    <w:p>
      <w:pPr>
        <w:spacing w:before="0" w:after="120"/>
      </w:pPr>
      <w:r>
        <w:rPr>
          <w:b/>
        </w:rPr>
        <w:t xml:space="preserve">Notes: </w:t>
      </w:r>
      <w:r>
        <w:t>abstract_source=nature_html</w:t>
      </w:r>
    </w:p>
    <w:p>
      <w:pPr>
        <w:spacing w:before="0" w:after="80" w:lineRule="auto" w:line="276"/>
      </w:pPr>
      <w:r>
        <w:rPr>
          <w:b/>
        </w:rPr>
        <w:t xml:space="preserve">摘要（ZH）: </w:t>
      </w:r>
      <w:r>
        <w:t>光生载流子的快速复合和注入热电子的弱驱动力是太阳能驱动的氨硼烷水解中的关键瓶颈。在此，在机器学习的帮助下，开发了等离子体极化诱导的多场耦合，以增强氨硼烷的水解活性。重构的表面不饱和Moδ+活性位点在AB水解中表现出良好的活性和超过100小时的高稳定性，提供的周转频率高达5806 min-1，与已报道的非贵金属和贵金属基催化剂相比具有竞争力。经验证，极化电场通过结合极化成分（Ov和-OH）促进载流子分离，从而促进电子在Moδ+活性位点周围的积累。与此同时</w:t>
      </w:r>
    </w:p>
    <w:p>
      <w:pPr>
        <w:spacing w:before="0" w:after="200" w:lineRule="auto" w:line="276"/>
      </w:pPr>
      <w:r>
        <w:rPr>
          <w:b/>
        </w:rPr>
        <w:t xml:space="preserve">Abstract (EN): </w:t>
      </w:r>
      <w:r>
        <w:t>Rapid recombination of photogenerated carriers and weak driving forces to inject hot electrons are critical bottlenecks in solar-driven ammonia borane hydrolysis. Herein, aided by machine learning, plasmon polarization-induced multi-field coupling is developed to enhance ammonia borane hydrolytic activity. The reconstructed surface unsaturated Moδ+ active sites exhibit well activity and high stability over 100 hours in AB hydrolysis, which deliver a turnover frequency up to 5806 min-1, representing competitiveness compared to non-noble and noble-metal based catalysts ever reported. It is verified that the polarized electric field facilitates carrier separation through incorporating polarization components (Ov and -OH), thereby promoting electron accumulation around Moδ+ active sites. Meanwhile, the local electric field enables highly delocalized hot electrons through plasmon oscillation, thus lowering the reaction barrier between Moδ+ and AB. In this work, the hot electrons are efficiently channeled via an enhanced feedback pathway, facilitating their transfer into B-H antibonding orbitals toward boosted AB hydrolysis.</w:t>
      </w:r>
    </w:p>
    <w:p>
      <w:pPr>
        <w:spacing w:before="120" w:after="120"/>
      </w:pPr>
      <w:r>
        <w:rPr>
          <w:sz w:val="18"/>
        </w:rPr>
        <w:t>——————————————————————————————————————————————————————————————————————</w:t>
      </w:r>
    </w:p>
    <w:p>
      <w:pPr>
        <w:spacing w:before="160" w:after="40" w:line="240" w:lineRule="auto"/>
      </w:pPr>
      <w:r>
        <w:rPr>
          <w:b/>
        </w:rPr>
        <w:t xml:space="preserve">[49] </w:t>
      </w:r>
      <w:hyperlink r:id="rId290">
        <w:r>
          <w:rPr>
            <w:color w:val="1155CC"/>
            <w:u w:val="single"/>
          </w:rPr>
          <w:t>探索深度学习如何通过Grad-CAM解码异常扩散</w:t>
        </w:r>
      </w:hyperlink>
    </w:p>
    <w:p>
      <w:pPr>
        <w:spacing w:before="0" w:after="80"/>
      </w:pPr>
      <w:r>
        <w:rPr>
          <w:i/>
          <w:sz w:val="20"/>
        </w:rPr>
        <w:t>EN: Exploring how deep learning decodes anomalous diffusion via Grad-CAM</w:t>
      </w:r>
    </w:p>
    <w:p>
      <w:pPr>
        <w:spacing w:before="0" w:after="120"/>
      </w:pPr>
      <w:r>
        <w:rPr>
          <w:b/>
        </w:rPr>
        <w:t xml:space="preserve">Source: </w:t>
      </w:r>
      <w:r>
        <w:t>Nature Communications</w:t>
      </w:r>
      <w:r>
        <w:t xml:space="preserve">    </w:t>
      </w:r>
      <w:r>
        <w:rPr>
          <w:b/>
        </w:rPr>
        <w:t xml:space="preserve">Pub date: </w:t>
      </w:r>
      <w:r>
        <w:t>2026-03-29 00:00:00+00:00</w:t>
      </w:r>
      <w:r>
        <w:t xml:space="preserve">    </w:t>
      </w:r>
      <w:r>
        <w:rPr>
          <w:b/>
        </w:rPr>
        <w:t xml:space="preserve">DOI: </w:t>
      </w:r>
      <w:hyperlink r:id="rId291">
        <w:r>
          <w:rPr>
            <w:color w:val="1155CC"/>
            <w:u w:val="single"/>
          </w:rPr>
          <w:t>10.1038/s41467-026-71229-x</w:t>
        </w:r>
      </w:hyperlink>
    </w:p>
    <w:p>
      <w:pPr>
        <w:spacing w:before="0" w:after="120"/>
      </w:pPr>
      <w:r>
        <w:rPr>
          <w:b/>
        </w:rPr>
        <w:t xml:space="preserve">Notes: </w:t>
      </w:r>
      <w:r>
        <w:t>abstract_source=nature_html</w:t>
      </w:r>
    </w:p>
    <w:p>
      <w:pPr>
        <w:spacing w:before="0" w:after="80" w:lineRule="auto" w:line="276"/>
      </w:pPr>
      <w:r>
        <w:rPr>
          <w:b/>
        </w:rPr>
        <w:t xml:space="preserve">摘要（ZH）: </w:t>
      </w:r>
      <w:r>
        <w:t>虽然深度学习已成功应用于异常扩散机制的数据驱动分类，但算法如何实现这一壮举仍然是个谜。使用一种旨在实现可解释AI的知名技术，即梯度加权类激活图（Grad-CAM），我们研究了深度学习（由ResNets实现）如何从原始轨迹数据中识别特定异常扩散模型的独特特征。我们的结果表明，Grad-CAM揭示了轨迹中包含关于异常扩散潜在机制的重要信息的部分，这可以用于增强训练分类器对测量噪声的鲁棒性。此外，我们观察到深度学习提炼出独特的统计特征</w:t>
      </w:r>
    </w:p>
    <w:p>
      <w:pPr>
        <w:spacing w:before="0" w:after="200" w:lineRule="auto" w:line="276"/>
      </w:pPr>
      <w:r>
        <w:rPr>
          <w:b/>
        </w:rPr>
        <w:t xml:space="preserve">Abstract (EN): </w:t>
      </w:r>
      <w:r>
        <w:t>While deep learning has been successfully applied to the data-driven classification of anomalous diffusion mechanisms, how the algorithm achieves the feat remains a mystery. Using a well-known technique aimed at achieving explainable AI, namely the Gradient-weighted Class Activation Map (Grad-CAM), we investigate how deep learning (implemented by ResNets) recognizes the distinctive features of a particular anomalous diffusion model from the raw trajectory data. Our results show that Grad-CAM reveals the portions of the trajectory that hold crucial information about the underlying mechanism of anomalous diffusion, which can be utilized to enhance the robustness of the trained classifier against the measurement noise. Moreover, we observe that deep learning distills unique statistical characteristics of different diffusion mechanisms at various spatiotemporal scales, with larger-scale (smaller-scale) features identified at higher (lower) layers.</w:t>
      </w:r>
    </w:p>
    <w:p>
      <w:pPr>
        <w:spacing w:before="120" w:after="120"/>
      </w:pPr>
      <w:r>
        <w:rPr>
          <w:sz w:val="18"/>
        </w:rPr>
        <w:t>——————————————————————————————————————————————————————————————————————</w:t>
      </w:r>
    </w:p>
    <w:p>
      <w:pPr>
        <w:spacing w:before="160" w:after="40" w:line="240" w:lineRule="auto"/>
      </w:pPr>
      <w:r>
        <w:rPr>
          <w:b/>
        </w:rPr>
        <w:t xml:space="preserve">[50] </w:t>
      </w:r>
      <w:hyperlink r:id="rId292">
        <w:r>
          <w:rPr>
            <w:color w:val="1155CC"/>
            <w:u w:val="single"/>
          </w:rPr>
          <w:t>一种用于配电网络中能源交易的Stackelberg-广义Nash均衡模型，具有新颖的两阶段Wasserstein分布鲁棒重构</w:t>
        </w:r>
      </w:hyperlink>
    </w:p>
    <w:p>
      <w:pPr>
        <w:spacing w:before="0" w:after="80"/>
      </w:pPr>
      <w:r>
        <w:rPr>
          <w:i/>
          <w:sz w:val="20"/>
        </w:rPr>
        <w:t>EN: A stackelberg-generalized Nash equilibrium model for energy trading in distribution networks with novel two stage wasserstein distributionally robust reformulation</w:t>
      </w:r>
    </w:p>
    <w:p>
      <w:pPr>
        <w:spacing w:before="0" w:after="120"/>
      </w:pPr>
      <w:r>
        <w:rPr>
          <w:b/>
        </w:rPr>
        <w:t xml:space="preserve">Source: </w:t>
      </w:r>
      <w:r>
        <w:t>ScienceDirect Publication: Applied Energy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 </w:t>
      </w:r>
      <w:hyperlink r:id="rId293">
        <w:r>
          <w:rPr>
            <w:color w:val="1155CC"/>
            <w:u w:val="single"/>
          </w:rPr>
          <w:t>面向异构车队容量电动汽车路径问题的动态感知深度强化学习</w:t>
        </w:r>
      </w:hyperlink>
    </w:p>
    <w:p>
      <w:pPr>
        <w:spacing w:before="0" w:after="80"/>
      </w:pPr>
      <w:r>
        <w:rPr>
          <w:i/>
          <w:sz w:val="20"/>
        </w:rPr>
        <w:t>EN: Dynamic-aware deep reinforcement learning for heterogeneous fleet-based capacitated electric vehicle routing problems</w:t>
      </w:r>
    </w:p>
    <w:p>
      <w:pPr>
        <w:spacing w:before="0" w:after="120"/>
      </w:pPr>
      <w:r>
        <w:rPr>
          <w:b/>
        </w:rPr>
        <w:t xml:space="preserve">Source: </w:t>
      </w:r>
      <w:r>
        <w:t>ScienceDirect Publication: Applied Energy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 </w:t>
      </w:r>
      <w:hyperlink r:id="rId294">
        <w:r>
          <w:rPr>
            <w:color w:val="1155CC"/>
            <w:u w:val="single"/>
          </w:rPr>
          <w:t>在寒冷地区规划具有弹性的电动公交运营：基于代理的仿真优化框架</w:t>
        </w:r>
      </w:hyperlink>
    </w:p>
    <w:p>
      <w:pPr>
        <w:spacing w:before="0" w:after="80"/>
      </w:pPr>
      <w:r>
        <w:rPr>
          <w:i/>
          <w:sz w:val="20"/>
        </w:rPr>
        <w:t>EN: Planning resilient electric bus operations in cold regions: An agent-based simulation–optimization framework</w:t>
      </w:r>
    </w:p>
    <w:p>
      <w:pPr>
        <w:spacing w:before="0" w:after="120"/>
      </w:pPr>
      <w:r>
        <w:rPr>
          <w:b/>
        </w:rPr>
        <w:t xml:space="preserve">Source: </w:t>
      </w:r>
      <w:r>
        <w:t>ScienceDirect Publication: Applied Energy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 </w:t>
      </w:r>
      <w:hyperlink r:id="rId295">
        <w:r>
          <w:rPr>
            <w:color w:val="1155CC"/>
            <w:u w:val="single"/>
          </w:rPr>
          <w:t>在P2P能源交易中具有NDOE指导的DSO-产消者双层分布鲁棒优化方法</w:t>
        </w:r>
      </w:hyperlink>
    </w:p>
    <w:p>
      <w:pPr>
        <w:spacing w:before="0" w:after="80"/>
      </w:pPr>
      <w:r>
        <w:rPr>
          <w:i/>
          <w:sz w:val="20"/>
        </w:rPr>
        <w:t>EN: DSO-prosumers bi-level distributionally robust optimization method with NDOE guidance in the P2P energy trading</w:t>
      </w:r>
    </w:p>
    <w:p>
      <w:pPr>
        <w:spacing w:before="0" w:after="120"/>
      </w:pPr>
      <w:r>
        <w:rPr>
          <w:b/>
        </w:rPr>
        <w:t xml:space="preserve">Source: </w:t>
      </w:r>
      <w:r>
        <w:t>ScienceDirect Publication: Applied Energy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296">
        <w:r>
          <w:rPr>
            <w:color w:val="1155CC"/>
            <w:u w:val="single"/>
          </w:rPr>
          <w:t>在清洁和化石能源中进行能源转型与地缘政治风险：多尺度时变连通性和深度学习预测</w:t>
        </w:r>
      </w:hyperlink>
    </w:p>
    <w:p>
      <w:pPr>
        <w:spacing w:before="0" w:after="80"/>
      </w:pPr>
      <w:r>
        <w:rPr>
          <w:i/>
          <w:sz w:val="20"/>
        </w:rPr>
        <w:t>EN: Energy transition and geopolitical risk in clean and fossil energy with multiscale time-varying connectedness and deep learning forecasts</w:t>
      </w:r>
    </w:p>
    <w:p>
      <w:pPr>
        <w:spacing w:before="0" w:after="120"/>
      </w:pPr>
      <w:r>
        <w:rPr>
          <w:b/>
        </w:rPr>
        <w:t xml:space="preserve">Source: </w:t>
      </w:r>
      <w:r>
        <w:t>ScienceDirect Publication: Applied Energy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 </w:t>
      </w:r>
      <w:hyperlink r:id="rId297">
        <w:r>
          <w:rPr>
            <w:color w:val="1155CC"/>
            <w:u w:val="single"/>
          </w:rPr>
          <w:t>基于分层滚动优化的耦合电力和交通系统三层协调策略：整合个人电动汽车调度与网络管理</w:t>
        </w:r>
      </w:hyperlink>
    </w:p>
    <w:p>
      <w:pPr>
        <w:spacing w:before="0" w:after="80"/>
      </w:pPr>
      <w:r>
        <w:rPr>
          <w:i/>
          <w:sz w:val="20"/>
        </w:rPr>
        <w:t>EN: A tri-level coordination strategy for coupled power and transportation systems based on hierarchical rolling optimization: integrating individual EV dispatch with network management</w:t>
      </w:r>
    </w:p>
    <w:p>
      <w:pPr>
        <w:spacing w:before="0" w:after="120"/>
      </w:pPr>
      <w:r>
        <w:rPr>
          <w:b/>
        </w:rPr>
        <w:t xml:space="preserve">Source: </w:t>
      </w:r>
      <w:r>
        <w:t>ScienceDirect Publication: Applied Energy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298">
        <w:r>
          <w:rPr>
            <w:color w:val="1155CC"/>
            <w:u w:val="single"/>
          </w:rPr>
          <w:t>非洲的绿色金融与能源安全：可持续发展的面板VAR方法</w:t>
        </w:r>
      </w:hyperlink>
    </w:p>
    <w:p>
      <w:pPr>
        <w:spacing w:before="0" w:after="80"/>
      </w:pPr>
      <w:r>
        <w:rPr>
          <w:i/>
          <w:sz w:val="20"/>
        </w:rPr>
        <w:t>EN: Green finance and energy security in Africa: A panel VAR approach to sustainable development</w:t>
      </w:r>
    </w:p>
    <w:p>
      <w:pPr>
        <w:spacing w:before="0" w:after="120"/>
      </w:pPr>
      <w:r>
        <w:rPr>
          <w:b/>
        </w:rPr>
        <w:t xml:space="preserve">Source: </w:t>
      </w:r>
      <w:r>
        <w:t>ScienceDirect Publication: Energy Policy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299">
        <w:r>
          <w:rPr>
            <w:color w:val="1155CC"/>
            <w:u w:val="single"/>
          </w:rPr>
          <w:t>绿色金融与大数据双试点对能源弹性的协同效应：基于改进的合成控制方法的证据</w:t>
        </w:r>
      </w:hyperlink>
    </w:p>
    <w:p>
      <w:pPr>
        <w:spacing w:before="0" w:after="80"/>
      </w:pPr>
      <w:r>
        <w:rPr>
          <w:i/>
          <w:sz w:val="20"/>
        </w:rPr>
        <w:t>EN: Synergistic effects of green finance and big data dual pilots on energy resilience: Evidence from improved synthetic control methods</w:t>
      </w:r>
    </w:p>
    <w:p>
      <w:pPr>
        <w:spacing w:before="0" w:after="120"/>
      </w:pPr>
      <w:r>
        <w:rPr>
          <w:b/>
        </w:rPr>
        <w:t xml:space="preserve">Source: </w:t>
      </w:r>
      <w:r>
        <w:t>ScienceDirect Publication: Energy Policy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300">
        <w:r>
          <w:rPr>
            <w:color w:val="1155CC"/>
            <w:u w:val="single"/>
          </w:rPr>
          <w:t>工业电池车队管理的数字孪生框架：具有不确定性量化的统一多信号集成方法</w:t>
        </w:r>
      </w:hyperlink>
    </w:p>
    <w:p>
      <w:pPr>
        <w:spacing w:before="0" w:after="80"/>
      </w:pPr>
      <w:r>
        <w:rPr>
          <w:i/>
          <w:sz w:val="20"/>
        </w:rPr>
        <w:t>EN: A digital twin framework for industrial battery fleet management: A unified multi-signal ensemble approach with uncertainty quantification</w:t>
      </w:r>
    </w:p>
    <w:p>
      <w:pPr>
        <w:spacing w:before="0" w:after="120"/>
      </w:pPr>
      <w:r>
        <w:rPr>
          <w:b/>
        </w:rPr>
        <w:t xml:space="preserve">Source: </w:t>
      </w:r>
      <w:r>
        <w:t>ScienceDirect Publication: Applied Energy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 </w:t>
      </w:r>
      <w:hyperlink r:id="rId301">
        <w:r>
          <w:rPr>
            <w:color w:val="1155CC"/>
            <w:u w:val="single"/>
          </w:rPr>
          <w:t>多微电网的实时点对点能源交易：改进的双重拍卖机制和无预测在线交易方法</w:t>
        </w:r>
      </w:hyperlink>
    </w:p>
    <w:p>
      <w:pPr>
        <w:spacing w:before="0" w:after="80"/>
      </w:pPr>
      <w:r>
        <w:rPr>
          <w:i/>
          <w:sz w:val="20"/>
        </w:rPr>
        <w:t>EN: Real-time peer-to-peer energy trading for multi-microgrids: Improved double auction mechanism and prediction-free online trading approach</w:t>
      </w:r>
    </w:p>
    <w:p>
      <w:pPr>
        <w:spacing w:before="0" w:after="120"/>
      </w:pPr>
      <w:r>
        <w:rPr>
          <w:b/>
        </w:rPr>
        <w:t xml:space="preserve">Source: </w:t>
      </w:r>
      <w:r>
        <w:t>ScienceDirect Publication: Applied Energy</w:t>
      </w:r>
      <w:r>
        <w:t xml:space="preserve">    </w:t>
      </w:r>
      <w:r>
        <w:rPr>
          <w:b/>
        </w:rPr>
        <w:t xml:space="preserve">Pub date: </w:t>
      </w:r>
      <w:r>
        <w:t>2026-03-29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302">
        <w:r>
          <w:rPr>
            <w:color w:val="1155CC"/>
            <w:u w:val="single"/>
          </w:rPr>
          <w:t>[ASAP] 分子共面H-二聚体中的近乎统一的三重态量子产率</w:t>
        </w:r>
      </w:hyperlink>
    </w:p>
    <w:p>
      <w:pPr>
        <w:spacing w:before="0" w:after="80"/>
      </w:pPr>
      <w:r>
        <w:rPr>
          <w:i/>
          <w:sz w:val="20"/>
        </w:rPr>
        <w:t>EN: [ASAP] Near-Unity Triplet Quantum Yield in a Molecular Cofacial H-Dimer</w:t>
      </w:r>
    </w:p>
    <w:p>
      <w:pPr>
        <w:spacing w:before="0" w:after="120"/>
      </w:pPr>
      <w:r>
        <w:rPr>
          <w:b/>
        </w:rPr>
        <w:t xml:space="preserve">Source: </w:t>
      </w:r>
      <w:r>
        <w:t>Journal of the American Chemical Society: Latest Articles (ACS Publications)</w:t>
      </w:r>
      <w:r>
        <w:t xml:space="preserve">    </w:t>
      </w:r>
      <w:r>
        <w:rPr>
          <w:b/>
        </w:rPr>
        <w:t xml:space="preserve">Pub date: </w:t>
      </w:r>
      <w:r>
        <w:t>2026-03-29 16:45:47+00:00</w:t>
      </w:r>
      <w:r>
        <w:t xml:space="preserve">    </w:t>
      </w:r>
      <w:r>
        <w:rPr>
          <w:b/>
        </w:rPr>
        <w:t xml:space="preserve">DOI: </w:t>
      </w:r>
      <w:hyperlink r:id="rId303">
        <w:r>
          <w:rPr>
            <w:color w:val="1155CC"/>
            <w:u w:val="single"/>
          </w:rPr>
          <w:t>10.1021/jacs.5c21548</w:t>
        </w:r>
      </w:hyperlink>
    </w:p>
    <w:p>
      <w:pPr>
        <w:spacing w:before="0" w:after="120"/>
      </w:pPr>
      <w:r>
        <w:rPr>
          <w:b/>
        </w:rPr>
        <w:t xml:space="preserve">Notes: </w:t>
      </w:r>
      <w:r>
        <w:t>abstract_source=pubmed</w:t>
      </w:r>
    </w:p>
    <w:p>
      <w:pPr>
        <w:spacing w:before="0" w:after="80" w:lineRule="auto" w:line="276"/>
      </w:pPr>
      <w:r>
        <w:rPr>
          <w:b/>
        </w:rPr>
        <w:t xml:space="preserve">摘要（ZH）: </w:t>
      </w:r>
      <w:r>
        <w:t>光试剂激发态的量子产率对光过程的整体效率施加了上限。具有大或接近单位的三重态激发态量子产率（ΦT）的有机敏化剂通常通过引入重原子取代基或具有非键合电子的杂原子来实现自旋轨道耦合（SOC），这通常以缩短的三重态激发态寿命、降低的三重态能量和/或较差的光稳定性为代价。我们在此展示了有机发色团在H-二聚体中的排列提供了一条实现接近单位ΦT的途径，同时保持长激发态寿命并保留激发态能量。在黄酮骨架上共面排列的芘（Py2Xanth）提供了具有接近单位ΦT的H-二聚体光物理特性</w:t>
      </w:r>
    </w:p>
    <w:p>
      <w:pPr>
        <w:spacing w:before="0" w:after="200" w:lineRule="auto" w:line="276"/>
      </w:pPr>
      <w:r>
        <w:rPr>
          <w:b/>
        </w:rPr>
        <w:t xml:space="preserve">Abstract (EN): </w:t>
      </w:r>
      <w:r>
        <w:t>The quantum yield of a photoreagent's excited state imposes a ceiling on the overall efficiency of a photoprocess. Organic sensitizers with large or near-unity triplet excited-state quantum yields (ΦT) are often designed by implementing spin-orbit coupling (SOC) through the incorporation of heavy-atom substituents or heteroatoms with nonbonding electrons, which typically come at the cost of shortened triplet excited-state lifetimes, lowered triplet energies, and/or poor photostability. We show here that the disposition of organic chromophores in an H-dimer offers a path to near-unity ΦT while maintaining a long excited-state lifetime and preserving the excited-state energy. Cofacially poising pyrenes on a xanthene scaffold (Py2Xanth) furnishes H-dimer photophysics with a near-unity ΦT of 97% while preserving a 2.1 eV triplet energy and a long-lived, 180 μs, triplet lifetime. Given these properties, we show Py2Xanth to be a highly efficient triplet photosensitizer. This work reveals that H-dimer coupling of chromophores is a promising design principle for the development of highly efficient, photostable, organic photosensitizers that avoid the penalties associated with SOC modifications.</w:t>
      </w:r>
    </w:p>
    <w:p>
      <w:pPr>
        <w:spacing w:before="120" w:after="120"/>
      </w:pPr>
      <w:r>
        <w:rPr>
          <w:sz w:val="18"/>
        </w:rPr>
        <w:t>——————————————————————————————————————————————————————————————————————</w:t>
      </w:r>
    </w:p>
    <w:p>
      <w:pPr>
        <w:spacing w:before="160" w:after="40" w:line="240" w:lineRule="auto"/>
      </w:pPr>
      <w:r>
        <w:rPr>
          <w:b/>
        </w:rPr>
        <w:t xml:space="preserve">[61] </w:t>
      </w:r>
      <w:hyperlink r:id="rId304">
        <w:r>
          <w:rPr>
            <w:color w:val="1155CC"/>
            <w:u w:val="single"/>
          </w:rPr>
          <w:t>[ASAP] 三角烯二维框架中的无金属铁磁性</w:t>
        </w:r>
      </w:hyperlink>
    </w:p>
    <w:p>
      <w:pPr>
        <w:spacing w:before="0" w:after="80"/>
      </w:pPr>
      <w:r>
        <w:rPr>
          <w:i/>
          <w:sz w:val="20"/>
        </w:rPr>
        <w:t>EN: [ASAP] Metal-Free Ferromagnetism in Triangulene Two-Dimensional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2026-03-29 16:46:16+00:00</w:t>
      </w:r>
      <w:r>
        <w:t xml:space="preserve">    </w:t>
      </w:r>
      <w:r>
        <w:rPr>
          <w:b/>
        </w:rPr>
        <w:t xml:space="preserve">DOI: </w:t>
      </w:r>
      <w:hyperlink r:id="rId305">
        <w:r>
          <w:rPr>
            <w:color w:val="1155CC"/>
            <w:u w:val="single"/>
          </w:rPr>
          <w:t>10.1021/jacs.5c21206</w:t>
        </w:r>
      </w:hyperlink>
    </w:p>
    <w:p>
      <w:pPr>
        <w:spacing w:before="0" w:after="120"/>
      </w:pPr>
      <w:r>
        <w:rPr>
          <w:b/>
        </w:rPr>
        <w:t xml:space="preserve">Notes: </w:t>
      </w:r>
      <w:r>
        <w:t>abstract_source=pubmed</w:t>
      </w:r>
    </w:p>
    <w:p>
      <w:pPr>
        <w:spacing w:before="0" w:after="80" w:lineRule="auto" w:line="276"/>
      </w:pPr>
      <w:r>
        <w:rPr>
          <w:b/>
        </w:rPr>
        <w:t xml:space="preserve">摘要（ZH）: </w:t>
      </w:r>
      <w:r>
        <w:t>在纯有机二维（2D）材料中实现室温铁磁性仍然是一个基本挑战。在此，我们引入了一种混合拓扑策略，以在无金属的2D框架中诱导强铁磁（FM）耦合。通过共价连接具有不同亚晶格拓扑的非Kekulé多环芳烃（PAH）自由基，我们合理地打破了反演和时间反转对称性，从而在π-共轭2D网络中解锁了内在的FM顺序。利用这一概念，我们计算设计了一系列32个FM 2D框架，具有自旋-1/2和混合自旋-1/2-自旋-1蜂窝晶格。第一性原理计算表明，这些有机2D框架是具有可调自旋依赖带隙（0.9-3.8 eV）的稳健FM半导体。</w:t>
      </w:r>
    </w:p>
    <w:p>
      <w:pPr>
        <w:spacing w:before="0" w:after="200" w:lineRule="auto" w:line="276"/>
      </w:pPr>
      <w:r>
        <w:rPr>
          <w:b/>
        </w:rPr>
        <w:t xml:space="preserve">Abstract (EN): </w:t>
      </w:r>
      <w:r>
        <w:t>Achieving room-temperature ferromagnetism in purely organic two-dimensional (2D) materials remains a fundamental challenge. Here, we introduce a mixed-topology strategy to induce strong ferromagnetic (FM) coupling in metal-free 2D frameworks. By covalently connecting non-Kekulé polycyclic aromatic hydrocarbon (PAH) radicals with distinct sublattice topologies, we rationally break inversion and time-reversal symmetries and thereby unlock intrinsic FM order in π-conjugated 2D networks. Leveraging this concept, we computationally designed a family of 32 FM 2D frameworks featuring spin-1/2 and hybrid spin-1/2-spin-1 honeycomb lattices. First-principles calculations revealed that these organic 2D frameworks are robust FM semiconductors with tunable spin-dependent bandgaps (0.9-3.8 eV). Remarkably, they exhibit record-high FM couplings of up to 127 meV, spin-splitting energies exceeding 2 eV, and crossover (Curie) temperatures above 550 K, ensuring ferromagnetic order stability far beyond room temperature. The strong FM interaction originates from substantial overlap between half-filled, delocalized π-orbitals, which enhances direct magnetic exchange while suppressing antiferromagnetic superexchange. These findings establish an effective design principle for metal-free FM semiconductors and pave the way for flexible magnets for next-generation spintronics and quantum technologies.</w:t>
      </w:r>
    </w:p>
    <w:p>
      <w:pPr>
        <w:spacing w:before="120" w:after="120"/>
      </w:pPr>
      <w:r>
        <w:rPr>
          <w:sz w:val="18"/>
        </w:rPr>
        <w:t>——————————————————————————————————————————————————————————————————————</w:t>
      </w:r>
    </w:p>
    <w:p>
      <w:pPr>
        <w:spacing w:before="160" w:after="40" w:line="240" w:lineRule="auto"/>
      </w:pPr>
      <w:r>
        <w:rPr>
          <w:b/>
        </w:rPr>
        <w:t xml:space="preserve">[62] </w:t>
      </w:r>
      <w:hyperlink r:id="rId306">
        <w:r>
          <w:rPr>
            <w:color w:val="1155CC"/>
            <w:u w:val="single"/>
          </w:rPr>
          <w:t>[ASAP] 通过溶剂诱导的重叠在二维金属有机框架中增强配体交换动力学的原位见解</w:t>
        </w:r>
      </w:hyperlink>
    </w:p>
    <w:p>
      <w:pPr>
        <w:spacing w:before="0" w:after="80"/>
      </w:pPr>
      <w:r>
        <w:rPr>
          <w:i/>
          <w:sz w:val="20"/>
        </w:rPr>
        <w:t>EN: [ASAP] In Situ Insights into Enhanced Cooperative Ligand Exchange Kinetics via Solvent-Induced Restacking in a 2D Metal–Organic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2026-03-29 16:58:51+00:00</w:t>
      </w:r>
      <w:r>
        <w:t xml:space="preserve">    </w:t>
      </w:r>
      <w:r>
        <w:rPr>
          <w:b/>
        </w:rPr>
        <w:t xml:space="preserve">DOI: </w:t>
      </w:r>
      <w:hyperlink r:id="rId307">
        <w:r>
          <w:rPr>
            <w:color w:val="1155CC"/>
            <w:u w:val="single"/>
          </w:rPr>
          <w:t>10.1021/jacs.5c22455</w:t>
        </w:r>
      </w:hyperlink>
    </w:p>
    <w:p>
      <w:pPr>
        <w:spacing w:before="0" w:after="120"/>
      </w:pPr>
      <w:r>
        <w:rPr>
          <w:b/>
        </w:rPr>
        <w:t xml:space="preserve">Notes: </w:t>
      </w:r>
      <w:r>
        <w:t>abstract_source=pubmed</w:t>
      </w:r>
    </w:p>
    <w:p>
      <w:pPr>
        <w:spacing w:before="0" w:after="80" w:lineRule="auto" w:line="276"/>
      </w:pPr>
      <w:r>
        <w:rPr>
          <w:b/>
        </w:rPr>
        <w:t xml:space="preserve">摘要（ZH）: </w:t>
      </w:r>
      <w:r>
        <w:t>理解催化活性位点的反应动力学对于将催化二维（2D）材料整合到工业过程中至关重要。本研究重点观察了2D桨轮基MOF [Cu2(dttc)2]n（DUT-134(Cu)，dttc = 二噻吩并[3,2-b:2',3'-d]噻吩-2,6-二羧酸盐）中的配体交换动力学和溶剂辅助结构重叠转变的原位观察。配体交换过程涉及用腈类如乙腈（ACN）、戊腈和庚腈替换二甲基甲酰胺（DMF），使用包括粉末X射线衍射和拉曼光谱在内的高时间分辨率先进原位表征技术进行研究。较大的分析物表现出较低的交换速率，与增强的</w:t>
      </w:r>
    </w:p>
    <w:p>
      <w:pPr>
        <w:spacing w:before="0" w:after="200" w:lineRule="auto" w:line="276"/>
      </w:pPr>
      <w:r>
        <w:rPr>
          <w:b/>
        </w:rPr>
        <w:t xml:space="preserve">Abstract (EN): </w:t>
      </w:r>
      <w:r>
        <w:t>Understanding the reaction kinetics at catalytically active sites is crucial for integrating catalytic two-dimensional (2D) materials into industrial processes. This study focuses on in situ observation of ligand exchange kinetics and solvent-assisted structural restacking transition in the 2D paddle wheel-based MOF [Cu2(dttc)2]n (DUT-134(Cu), dttc = dithieno[3,2-b:2',3'-d]thiophene-2,6-dicarboxylate). The ligand exchange process, involving the replacement of dimethylformamide (DMF) with nitriles such as acetonitrile (ACN), pentanenitrile, and heptanenitrile, was investigated using advanced in situ characterization techniques with high temporal resolution, including powder X-ray diffraction and Raman spectroscopy. The larger analytes exhibited reduced exchange rates, consistent with enhanced steric hindrance and greater diffusion constraints. Interestingly, the study revealed that the exchange of DMF with ACN induces a structural transition to higher symmetry within few seconds, a transition from AB to AA stacking mode of the layers, and a widening of the interlayer distance. Crucially, this structural transition dramatically accelerates the solvent exchange process through cooperative effects, offering critical advantages for catalytic applications. Notably, the reverse exchange from ACN to DMF proceeds more slowly and does not reverse the structural changes, but a new phase is formed with preserved AA stacking. By isotope labeling of linker molecules in combination with two complementary theoretical vibrational simulation methods, the precise assignment of Raman bands and the vibrational modes associated with the ligand exchange process could be achieved. These pioneering insights into the dynamic behavior of 2D MOFs, coupled with ligand exchange, establish a highly promising and transformative approach to achieving enhanced tunability and responsiveness in future catalytic applications.</w:t>
      </w:r>
    </w:p>
    <w:p>
      <w:pPr>
        <w:spacing w:before="120" w:after="120"/>
      </w:pPr>
      <w:r>
        <w:rPr>
          <w:sz w:val="18"/>
        </w:rPr>
        <w:t>——————————————————————————————————————————————————————————————————————</w:t>
      </w:r>
    </w:p>
    <w:p>
      <w:pPr>
        <w:spacing w:before="160" w:after="40" w:line="240" w:lineRule="auto"/>
      </w:pPr>
      <w:r>
        <w:rPr>
          <w:b/>
        </w:rPr>
        <w:t xml:space="preserve">[63] </w:t>
      </w:r>
      <w:hyperlink r:id="rId308">
        <w:r>
          <w:rPr>
            <w:color w:val="1155CC"/>
            <w:u w:val="single"/>
          </w:rPr>
          <w:t>[ASAP] 磷酸盐活化化学对原始遗传字母选择的影响</w:t>
        </w:r>
      </w:hyperlink>
    </w:p>
    <w:p>
      <w:pPr>
        <w:spacing w:before="0" w:after="80"/>
      </w:pPr>
      <w:r>
        <w:rPr>
          <w:i/>
          <w:sz w:val="20"/>
        </w:rPr>
        <w:t>EN: [ASAP] Influence of Phosphate Activation Chemistry on the Selection of the Primordial Genetic Alphabet</w:t>
      </w:r>
    </w:p>
    <w:p>
      <w:pPr>
        <w:spacing w:before="0" w:after="120"/>
      </w:pPr>
      <w:r>
        <w:rPr>
          <w:b/>
        </w:rPr>
        <w:t xml:space="preserve">Source: </w:t>
      </w:r>
      <w:r>
        <w:t>Journal of the American Chemical Society: Latest Articles (ACS Publications)</w:t>
      </w:r>
      <w:r>
        <w:t xml:space="preserve">    </w:t>
      </w:r>
      <w:r>
        <w:rPr>
          <w:b/>
        </w:rPr>
        <w:t xml:space="preserve">Pub date: </w:t>
      </w:r>
      <w:r>
        <w:t>2026-03-29 18:01:02+00:00</w:t>
      </w:r>
      <w:r>
        <w:t xml:space="preserve">    </w:t>
      </w:r>
      <w:r>
        <w:rPr>
          <w:b/>
        </w:rPr>
        <w:t xml:space="preserve">DOI: </w:t>
      </w:r>
      <w:hyperlink r:id="rId309">
        <w:r>
          <w:rPr>
            <w:color w:val="1155CC"/>
            <w:u w:val="single"/>
          </w:rPr>
          <w:t>10.1021/jacs.5c23101</w:t>
        </w:r>
      </w:hyperlink>
    </w:p>
    <w:p>
      <w:pPr>
        <w:spacing w:before="0" w:after="120"/>
      </w:pPr>
      <w:r>
        <w:rPr>
          <w:b/>
        </w:rPr>
        <w:t xml:space="preserve">Notes: </w:t>
      </w:r>
      <w:r>
        <w:t>abstract_source=pubmed</w:t>
      </w:r>
    </w:p>
    <w:p>
      <w:pPr>
        <w:spacing w:before="0" w:after="80" w:lineRule="auto" w:line="276"/>
      </w:pPr>
      <w:r>
        <w:rPr>
          <w:b/>
        </w:rPr>
        <w:t xml:space="preserve">摘要（ZH）: </w:t>
      </w:r>
      <w:r>
        <w:t>在与原始细胞完整性兼容的温和条件下进行RNA复制需要输入化学能以驱动活化核苷酸如磷酸咪唑化物的合成。最近，已经探索了两类潜在的前生物磷酸活化剂，一类基于异腈-醛化学，另一类基于亚胺二咪唑（IDI）-N-氰基咪唑（NCI）化学。由于这种高度亲电的活化剂可能导致不良的核苷酸修饰，我们研究了这两种活化剂与经典核苷酸A、U、C和G以及潜在的原始核苷酸2-硫代-C（s2C）、2-硫代-U（s2U）和次黄嘌呤（I）的反应。我们发现异腈-醛系统显示出最小的羟基修饰，但确实会修饰</w:t>
      </w:r>
    </w:p>
    <w:p>
      <w:pPr>
        <w:spacing w:before="0" w:after="200" w:lineRule="auto" w:line="276"/>
      </w:pPr>
      <w:r>
        <w:rPr>
          <w:b/>
        </w:rPr>
        <w:t xml:space="preserve">Abstract (EN): </w:t>
      </w:r>
      <w:r>
        <w:t>RNA copying under mild conditions compatible with protocell integrity requires the input of chemical energy to drive the synthesis of activated nucleotides such as phosphorimidazolides. Recently, two potentially prebiotic classes of phosphate-activating agents have been explored, one based on isonitrile-aldehyde chemistry, the other on imine diimidazole (IDI)-N-cyanoimidazole (NCI) chemistry. Because such highly electrophilic activating agents may lead to undesirable nucleotide modifications, we have examined the reaction of both types of activating agents with the canonical ribonucleotides A, U, C, and G, and the potentially primordial nucleotides 2-thio-C (s2C), 2-thio-U (s2U), and inosine (I). We find that the isonitrile-aldehyde system shows minimal hydroxyl modification but does modify the nucleobases of U, G, s2U, and I. Except for guanosine, these modifications are readily reversible. In contrast, IDI-NCI systems acylate ribonucleotide hydroxyls while modifying nucleobases only transiently; mildly acidic pH suppresses undesired modifications. Both classes of activating agents modify 2-thiopyrimidines on the sulfur, with the isonitrile-aldehyde reaction promoting desulfurization and thus conversion to the canonical pyrimidines. To evaluate compatibility with model protocells, we tested the effects of activation chemistry on fatty acid vesicles and found that protocell integrity was preserved at moderate reagent concentrations. Our findings show that the potentially primordial s2U, s2C, and I nucleotides are more sensitive to modification than the canonical U, C, and G nucleotides, potentially contributing to the chemical selection of the early genetic alphabet.</w:t>
      </w:r>
    </w:p>
    <w:p>
      <w:pPr>
        <w:spacing w:before="120" w:after="120"/>
      </w:pPr>
      <w:r>
        <w:rPr>
          <w:sz w:val="18"/>
        </w:rPr>
        <w:t>——————————————————————————————————————————————————————————————————————</w:t>
      </w:r>
    </w:p>
    <w:p>
      <w:pPr>
        <w:spacing w:before="160" w:after="40" w:line="240" w:lineRule="auto"/>
      </w:pPr>
      <w:r>
        <w:rPr>
          <w:b/>
        </w:rPr>
        <w:t xml:space="preserve">[64] </w:t>
      </w:r>
      <w:hyperlink r:id="rId310">
        <w:r>
          <w:rPr>
            <w:color w:val="1155CC"/>
            <w:u w:val="single"/>
          </w:rPr>
          <w:t>调节蛋白质高阶结构和性质的翻译后修饰的催化策略</w:t>
        </w:r>
      </w:hyperlink>
    </w:p>
    <w:p>
      <w:pPr>
        <w:spacing w:before="0" w:after="80"/>
      </w:pPr>
      <w:r>
        <w:rPr>
          <w:i/>
          <w:sz w:val="20"/>
        </w:rPr>
        <w:t>EN: Catalytic strategies for post-translational modifications regulating protein higher-order structure and properties</w:t>
      </w:r>
    </w:p>
    <w:p>
      <w:pPr>
        <w:spacing w:before="0" w:after="120"/>
      </w:pPr>
      <w:r>
        <w:rPr>
          <w:b/>
        </w:rPr>
        <w:t xml:space="preserve">Source: </w:t>
      </w:r>
      <w:r>
        <w:t>RSC - Chem. Soc. Rev. latest articles</w:t>
      </w:r>
      <w:r>
        <w:t xml:space="preserve">    </w:t>
      </w:r>
      <w:r>
        <w:rPr>
          <w:b/>
        </w:rPr>
        <w:t xml:space="preserve">Pub date: </w:t>
      </w:r>
      <w:r>
        <w:t>2026-03-29 23:00:00+00:00</w:t>
      </w:r>
    </w:p>
    <w:p>
      <w:pPr>
        <w:spacing w:before="0" w:after="120"/>
      </w:pPr>
      <w:r>
        <w:rPr>
          <w:b/>
        </w:rPr>
        <w:t xml:space="preserve">Notes: </w:t>
      </w:r>
      <w:r>
        <w:t>abstract_source=rsc_html</w:t>
      </w:r>
    </w:p>
    <w:p>
      <w:pPr>
        <w:spacing w:before="0" w:after="80" w:lineRule="auto" w:line="276"/>
      </w:pPr>
      <w:r>
        <w:rPr>
          <w:b/>
        </w:rPr>
        <w:t xml:space="preserve">摘要（ZH）: </w:t>
      </w:r>
      <w:r>
        <w:t>蛋白质是生物体的主要功能成分，经历翻译后修饰（PTMs），从而扩展其结构和功能多样性。PTM分析和功能分析的最新进展揭示了许多PTMs作为蛋白质行为的可逆调节剂，能够以残基和结构域级别的精度运作，从而重塑高阶结构。生物和非生物催化都是解码和控制PTMs的新兴手段。在本教程综述中，我们概述了PTMs如何在多个结构尺度上影响蛋白质结构，并调查了能够进行分析和操控的催化策略。</w:t>
      </w:r>
    </w:p>
    <w:p>
      <w:pPr>
        <w:spacing w:before="0" w:after="200" w:lineRule="auto" w:line="276"/>
      </w:pPr>
      <w:r>
        <w:rPr>
          <w:b/>
        </w:rPr>
        <w:t xml:space="preserve">Abstract (EN): </w:t>
      </w:r>
      <w:r>
        <w:t>Proteins, the major functional components of living organisms, undergo post-translational modifications (PTMs) that expand their structural and functional diversity. Recent advances in PTM profiling and functional analysis have revealed that many PTMs act as reversible modulators of protein behavior, operating with residue- and domain-level precision to reshape higher-order structures. Both biotic and abiotic catalyses are emerging means of deciphering and controlling PTMs. In this Tutorial Review, we outline how PTMs influence protein architecture across multiple structural scales and survey catalytic strategies that enable their analysis and manipulation.</w:t>
      </w:r>
    </w:p>
    <w:p>
      <w:pPr>
        <w:spacing w:before="120" w:after="120"/>
      </w:pPr>
      <w:r>
        <w:rPr>
          <w:sz w:val="18"/>
        </w:rPr>
        <w:t>——————————————————————————————————————————————————————————————————————</w:t>
      </w:r>
    </w:p>
    <w:p>
      <w:pPr>
        <w:spacing w:before="160" w:after="40" w:line="240" w:lineRule="auto"/>
      </w:pPr>
      <w:r>
        <w:rPr>
          <w:b/>
        </w:rPr>
        <w:t xml:space="preserve">[65] </w:t>
      </w:r>
      <w:hyperlink r:id="rId311">
        <w:r>
          <w:rPr>
            <w:color w:val="1155CC"/>
            <w:u w:val="single"/>
          </w:rPr>
          <w:t>探索细菌细胞色素P450用于戊环三萜中脂肪族C–H键的选择性活化</w:t>
        </w:r>
      </w:hyperlink>
    </w:p>
    <w:p>
      <w:pPr>
        <w:spacing w:before="0" w:after="80"/>
      </w:pPr>
      <w:r>
        <w:rPr>
          <w:i/>
          <w:sz w:val="20"/>
        </w:rPr>
        <w:t>EN: Exploring bacterial cytochrome P450s for selective activation of aliphatic C–H bonds in pentacyclic triterpenoids</w:t>
      </w:r>
    </w:p>
    <w:p>
      <w:pPr>
        <w:spacing w:before="0" w:after="120"/>
      </w:pPr>
      <w:r>
        <w:rPr>
          <w:b/>
        </w:rPr>
        <w:t xml:space="preserve">Source: </w:t>
      </w:r>
      <w:r>
        <w:t>Nature Chemistry</w:t>
      </w:r>
      <w:r>
        <w:t xml:space="preserve">    </w:t>
      </w:r>
      <w:r>
        <w:rPr>
          <w:b/>
        </w:rPr>
        <w:t xml:space="preserve">Pub date: </w:t>
      </w:r>
      <w:r>
        <w:t>2026-03-30 00:00:00+00:00</w:t>
      </w:r>
      <w:r>
        <w:t xml:space="preserve">    </w:t>
      </w:r>
      <w:r>
        <w:rPr>
          <w:b/>
        </w:rPr>
        <w:t xml:space="preserve">DOI: </w:t>
      </w:r>
      <w:hyperlink r:id="rId312">
        <w:r>
          <w:rPr>
            <w:color w:val="1155CC"/>
            <w:u w:val="single"/>
          </w:rPr>
          <w:t>10.1038/s41557-026-02106-9</w:t>
        </w:r>
      </w:hyperlink>
    </w:p>
    <w:p>
      <w:pPr>
        <w:spacing w:before="0" w:after="120"/>
      </w:pPr>
      <w:r>
        <w:rPr>
          <w:b/>
        </w:rPr>
        <w:t xml:space="preserve">Notes: </w:t>
      </w:r>
      <w:r>
        <w:t>abstract_source=nature_html</w:t>
      </w:r>
    </w:p>
    <w:p>
      <w:pPr>
        <w:spacing w:before="0" w:after="80" w:lineRule="auto" w:line="276"/>
      </w:pPr>
      <w:r>
        <w:rPr>
          <w:b/>
        </w:rPr>
        <w:t xml:space="preserve">摘要（ZH）: </w:t>
      </w:r>
      <w:r>
        <w:t>多环萜类化合物中脂肪族C–H键的选择性活化为药物设计中探索多样化化学空间提供了一种有效策略，但在实现位点和非对映选择性方面仍然存在挑战，尤其是在结构复杂性增加的情况下。在此，我们报告了一种基于生物信息学的萜烯-P450发现策略，以开发细菌细胞色素P450用于选择性活化结构复杂的五环三萜（PTs）中的脂肪族C–H键。所识别的ApPT表现出优雅的非对映选择性和广泛的底物耐受性，促进了一种化学-酶促平台，以探索PTs在先前无法访问的位点的化学空间。蛋白质结晶和计算分析揭示了初步C–H键活化选择性的机制。</w:t>
      </w:r>
    </w:p>
    <w:p>
      <w:pPr>
        <w:spacing w:before="0" w:after="200" w:lineRule="auto" w:line="276"/>
      </w:pPr>
      <w:r>
        <w:rPr>
          <w:b/>
        </w:rPr>
        <w:t xml:space="preserve">Abstract (EN): </w:t>
      </w:r>
      <w:r>
        <w:t>Selective activation of aliphatic C–H bonds in polycyclic terpenoids offers a potent strategy for exploring diverse chemical space in drug design, yet challenges persist in achieving site- and diastereoselectivity, especially with increasing structural complexity. Here we report a bioinformatics-driven terpene–P450 discovery strategy to develop bacterial cytochrome P450s for selective activation of aliphatic C–H bonds in structurally intricate pentacyclic triterpenoids (PTs). The identified ApPT demonstrated elegant diastereoselectivity and broad substrate tolerance, facilitating a chemo-enzymatic platform to explore the chemical space of PTs at previously inaccessible sites. Protein crystallization and computational analysis reveal the mechanism of the preliminary C–H bond activation selectivity of ApPT towards various PTs, particularly an example of enzymatic C7-to-C15 relay oxidation mediated by 1,5-hydrogen atom transfer. This work offers ApPT as a valuable biocatalyst to explore the chemical space of PTs via aliphatic C–H bond activation, demonstrating the advantage of our biocatalyst-discovery strategy for the late-stage diversification of polycyclic terpenoids.</w:t>
      </w:r>
    </w:p>
    <w:p>
      <w:pPr>
        <w:spacing w:before="120" w:after="120"/>
      </w:pPr>
      <w:r>
        <w:rPr>
          <w:sz w:val="18"/>
        </w:rPr>
        <w:t>——————————————————————————————————————————————————————————————————————</w:t>
      </w:r>
    </w:p>
    <w:p>
      <w:pPr>
        <w:spacing w:before="160" w:after="40" w:line="240" w:lineRule="auto"/>
      </w:pPr>
      <w:r>
        <w:rPr>
          <w:b/>
        </w:rPr>
        <w:t xml:space="preserve">[66] </w:t>
      </w:r>
      <w:hyperlink r:id="rId313">
        <w:r>
          <w:rPr>
            <w:color w:val="1155CC"/>
            <w:u w:val="single"/>
          </w:rPr>
          <w:t>静电是个谜，但看不见的碳可能是关键</w:t>
        </w:r>
      </w:hyperlink>
    </w:p>
    <w:p>
      <w:pPr>
        <w:spacing w:before="0" w:after="80"/>
      </w:pPr>
      <w:r>
        <w:rPr>
          <w:i/>
          <w:sz w:val="20"/>
        </w:rPr>
        <w:t>EN: Static electricity is a mystery but invisible carbon may be key</w:t>
      </w:r>
    </w:p>
    <w:p>
      <w:pPr>
        <w:spacing w:before="0" w:after="120"/>
      </w:pPr>
      <w:r>
        <w:rPr>
          <w:b/>
        </w:rPr>
        <w:t xml:space="preserve">Source: </w:t>
      </w:r>
      <w:r>
        <w:t>Nature</w:t>
      </w:r>
      <w:r>
        <w:t xml:space="preserve">    </w:t>
      </w:r>
      <w:r>
        <w:rPr>
          <w:b/>
        </w:rPr>
        <w:t xml:space="preserve">Pub date: </w:t>
      </w:r>
      <w:r>
        <w:t>2026-03-30 00:00:00+00:00</w:t>
      </w:r>
      <w:r>
        <w:t xml:space="preserve">    </w:t>
      </w:r>
      <w:r>
        <w:rPr>
          <w:b/>
        </w:rPr>
        <w:t xml:space="preserve">DOI: </w:t>
      </w:r>
      <w:hyperlink r:id="rId314">
        <w:r>
          <w:rPr>
            <w:color w:val="1155CC"/>
            <w:u w:val="single"/>
          </w:rPr>
          <w:t>10.1038/d41586-026-01012-x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 </w:t>
      </w:r>
      <w:hyperlink r:id="rId315">
        <w:r>
          <w:rPr>
            <w:color w:val="1155CC"/>
            <w:u w:val="single"/>
          </w:rPr>
          <w:t>为什么我让一条河成为我的合著者</w:t>
        </w:r>
      </w:hyperlink>
    </w:p>
    <w:p>
      <w:pPr>
        <w:spacing w:before="0" w:after="80"/>
      </w:pPr>
      <w:r>
        <w:rPr>
          <w:i/>
          <w:sz w:val="20"/>
        </w:rPr>
        <w:t>EN: Why I made a river my co-author</w:t>
      </w:r>
    </w:p>
    <w:p>
      <w:pPr>
        <w:spacing w:before="0" w:after="120"/>
      </w:pPr>
      <w:r>
        <w:rPr>
          <w:b/>
        </w:rPr>
        <w:t xml:space="preserve">Source: </w:t>
      </w:r>
      <w:r>
        <w:t>Nature</w:t>
      </w:r>
      <w:r>
        <w:t xml:space="preserve">    </w:t>
      </w:r>
      <w:r>
        <w:rPr>
          <w:b/>
        </w:rPr>
        <w:t xml:space="preserve">Pub date: </w:t>
      </w:r>
      <w:r>
        <w:t>2026-03-30 00:00:00+00:00</w:t>
      </w:r>
      <w:r>
        <w:t xml:space="preserve">    </w:t>
      </w:r>
      <w:r>
        <w:rPr>
          <w:b/>
        </w:rPr>
        <w:t xml:space="preserve">DOI: </w:t>
      </w:r>
      <w:hyperlink r:id="rId316">
        <w:r>
          <w:rPr>
            <w:color w:val="1155CC"/>
            <w:u w:val="single"/>
          </w:rPr>
          <w:t>10.1038/d41586-026-00973-3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 </w:t>
      </w:r>
      <w:hyperlink r:id="rId317">
        <w:r>
          <w:rPr>
            <w:color w:val="1155CC"/>
            <w:u w:val="single"/>
          </w:rPr>
          <w:t>现在是科学学会引导全球研究的时候了</w:t>
        </w:r>
      </w:hyperlink>
    </w:p>
    <w:p>
      <w:pPr>
        <w:spacing w:before="0" w:after="80"/>
      </w:pPr>
      <w:r>
        <w:rPr>
          <w:i/>
          <w:sz w:val="20"/>
        </w:rPr>
        <w:t>EN: Now is the time for scientific societies to guide global research</w:t>
      </w:r>
    </w:p>
    <w:p>
      <w:pPr>
        <w:spacing w:before="0" w:after="120"/>
      </w:pPr>
      <w:r>
        <w:rPr>
          <w:b/>
        </w:rPr>
        <w:t xml:space="preserve">Source: </w:t>
      </w:r>
      <w:r>
        <w:t>Nature</w:t>
      </w:r>
      <w:r>
        <w:t xml:space="preserve">    </w:t>
      </w:r>
      <w:r>
        <w:rPr>
          <w:b/>
        </w:rPr>
        <w:t xml:space="preserve">Pub date: </w:t>
      </w:r>
      <w:r>
        <w:t>2026-03-30 00:00:00+00:00</w:t>
      </w:r>
      <w:r>
        <w:t xml:space="preserve">    </w:t>
      </w:r>
      <w:r>
        <w:rPr>
          <w:b/>
        </w:rPr>
        <w:t xml:space="preserve">DOI: </w:t>
      </w:r>
      <w:hyperlink r:id="rId318">
        <w:r>
          <w:rPr>
            <w:color w:val="1155CC"/>
            <w:u w:val="single"/>
          </w:rPr>
          <w:t>10.1038/d41586-025-04155-5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 </w:t>
      </w:r>
      <w:hyperlink r:id="rId319">
        <w:r>
          <w:rPr>
            <w:color w:val="1155CC"/>
            <w:u w:val="single"/>
          </w:rPr>
          <w:t>‘自动驾驶’实验室革命的内部</w:t>
        </w:r>
      </w:hyperlink>
    </w:p>
    <w:p>
      <w:pPr>
        <w:spacing w:before="0" w:after="80"/>
      </w:pPr>
      <w:r>
        <w:rPr>
          <w:i/>
          <w:sz w:val="20"/>
        </w:rPr>
        <w:t>EN: Inside the ‘self-driving’ lab revolution</w:t>
      </w:r>
    </w:p>
    <w:p>
      <w:pPr>
        <w:spacing w:before="0" w:after="120"/>
      </w:pPr>
      <w:r>
        <w:rPr>
          <w:b/>
        </w:rPr>
        <w:t xml:space="preserve">Source: </w:t>
      </w:r>
      <w:r>
        <w:t>Nature</w:t>
      </w:r>
      <w:r>
        <w:t xml:space="preserve">    </w:t>
      </w:r>
      <w:r>
        <w:rPr>
          <w:b/>
        </w:rPr>
        <w:t xml:space="preserve">Pub date: </w:t>
      </w:r>
      <w:r>
        <w:t>2026-03-30 00:00:00+00:00</w:t>
      </w:r>
      <w:r>
        <w:t xml:space="preserve">    </w:t>
      </w:r>
      <w:r>
        <w:rPr>
          <w:b/>
        </w:rPr>
        <w:t xml:space="preserve">DOI: </w:t>
      </w:r>
      <w:hyperlink r:id="rId320">
        <w:r>
          <w:rPr>
            <w:color w:val="1155CC"/>
            <w:u w:val="single"/>
          </w:rPr>
          <w:t>10.1038/d41586-026-00974-2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321">
        <w:r>
          <w:rPr>
            <w:color w:val="1155CC"/>
            <w:u w:val="single"/>
          </w:rPr>
          <w:t>阿尔忒弥斯倒计时：NASA的月球任务是新太空时代的黎明吗？</w:t>
        </w:r>
      </w:hyperlink>
    </w:p>
    <w:p>
      <w:pPr>
        <w:spacing w:before="0" w:after="80"/>
      </w:pPr>
      <w:r>
        <w:rPr>
          <w:i/>
          <w:sz w:val="20"/>
        </w:rPr>
        <w:t>EN: Countdown to Artemis: is NASA’s Moon mission the dawn of a new space age?</w:t>
      </w:r>
    </w:p>
    <w:p>
      <w:pPr>
        <w:spacing w:before="0" w:after="120"/>
      </w:pPr>
      <w:r>
        <w:rPr>
          <w:b/>
        </w:rPr>
        <w:t xml:space="preserve">Source: </w:t>
      </w:r>
      <w:r>
        <w:t>Nature</w:t>
      </w:r>
      <w:r>
        <w:t xml:space="preserve">    </w:t>
      </w:r>
      <w:r>
        <w:rPr>
          <w:b/>
        </w:rPr>
        <w:t xml:space="preserve">Pub date: </w:t>
      </w:r>
      <w:r>
        <w:t>2026-03-30 00:00:00+00:00</w:t>
      </w:r>
      <w:r>
        <w:t xml:space="preserve">    </w:t>
      </w:r>
      <w:r>
        <w:rPr>
          <w:b/>
        </w:rPr>
        <w:t xml:space="preserve">DOI: </w:t>
      </w:r>
      <w:hyperlink r:id="rId322">
        <w:r>
          <w:rPr>
            <w:color w:val="1155CC"/>
            <w:u w:val="single"/>
          </w:rPr>
          <w:t>10.1038/d41586-026-00998-8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 </w:t>
      </w:r>
      <w:hyperlink r:id="rId323">
        <w:r>
          <w:rPr>
            <w:color w:val="1155CC"/>
            <w:u w:val="single"/>
          </w:rPr>
          <w:t>安东尼·莱格特讣告：将量子理论带入宏观世界的物理学家</w:t>
        </w:r>
      </w:hyperlink>
    </w:p>
    <w:p>
      <w:pPr>
        <w:spacing w:before="0" w:after="80"/>
      </w:pPr>
      <w:r>
        <w:rPr>
          <w:i/>
          <w:sz w:val="20"/>
        </w:rPr>
        <w:t>EN: Anthony Leggett obituary: physicist who brought quantum theory to the macro world</w:t>
      </w:r>
    </w:p>
    <w:p>
      <w:pPr>
        <w:spacing w:before="0" w:after="120"/>
      </w:pPr>
      <w:r>
        <w:rPr>
          <w:b/>
        </w:rPr>
        <w:t xml:space="preserve">Source: </w:t>
      </w:r>
      <w:r>
        <w:t>Nature</w:t>
      </w:r>
      <w:r>
        <w:t xml:space="preserve">    </w:t>
      </w:r>
      <w:r>
        <w:rPr>
          <w:b/>
        </w:rPr>
        <w:t xml:space="preserve">Pub date: </w:t>
      </w:r>
      <w:r>
        <w:t>2026-03-30 00:00:00+00:00</w:t>
      </w:r>
      <w:r>
        <w:t xml:space="preserve">    </w:t>
      </w:r>
      <w:r>
        <w:rPr>
          <w:b/>
        </w:rPr>
        <w:t xml:space="preserve">DOI: </w:t>
      </w:r>
      <w:hyperlink r:id="rId324">
        <w:r>
          <w:rPr>
            <w:color w:val="1155CC"/>
            <w:u w:val="single"/>
          </w:rPr>
          <w:t>10.1038/d41586-026-01010-z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 </w:t>
      </w:r>
      <w:hyperlink r:id="rId325">
        <w:r>
          <w:rPr>
            <w:color w:val="1155CC"/>
            <w:u w:val="single"/>
          </w:rPr>
          <w:t>首次通过实验验证的量子模拟</w:t>
        </w:r>
      </w:hyperlink>
    </w:p>
    <w:p>
      <w:pPr>
        <w:spacing w:before="0" w:after="80"/>
      </w:pPr>
      <w:r>
        <w:rPr>
          <w:i/>
          <w:sz w:val="20"/>
        </w:rPr>
        <w:t>EN: Quantum simulations verified by experiments for the first time</w:t>
      </w:r>
    </w:p>
    <w:p>
      <w:pPr>
        <w:spacing w:before="0" w:after="120"/>
      </w:pPr>
      <w:r>
        <w:rPr>
          <w:b/>
        </w:rPr>
        <w:t xml:space="preserve">Source: </w:t>
      </w:r>
      <w:r>
        <w:t>Nature</w:t>
      </w:r>
      <w:r>
        <w:t xml:space="preserve">    </w:t>
      </w:r>
      <w:r>
        <w:rPr>
          <w:b/>
        </w:rPr>
        <w:t xml:space="preserve">Pub date: </w:t>
      </w:r>
      <w:r>
        <w:t>2026-03-30 00:00:00+00:00</w:t>
      </w:r>
      <w:r>
        <w:t xml:space="preserve">    </w:t>
      </w:r>
      <w:r>
        <w:rPr>
          <w:b/>
        </w:rPr>
        <w:t xml:space="preserve">DOI: </w:t>
      </w:r>
      <w:hyperlink r:id="rId326">
        <w:r>
          <w:rPr>
            <w:color w:val="1155CC"/>
            <w:u w:val="single"/>
          </w:rPr>
          <w:t>10.1038/d41586-026-00959-1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 </w:t>
      </w:r>
      <w:hyperlink r:id="rId327">
        <w:r>
          <w:rPr>
            <w:color w:val="1155CC"/>
            <w:u w:val="single"/>
          </w:rPr>
          <w:t>一种用于高效脱氢偶联胺的光充电半导体</w:t>
        </w:r>
      </w:hyperlink>
    </w:p>
    <w:p>
      <w:pPr>
        <w:spacing w:before="0" w:after="80"/>
      </w:pPr>
      <w:r>
        <w:rPr>
          <w:i/>
          <w:sz w:val="20"/>
        </w:rPr>
        <w:t>EN: A photochargeable semiconductor for highly efficient dehydrogenative coupling of amines</w:t>
      </w:r>
    </w:p>
    <w:p>
      <w:pPr>
        <w:spacing w:before="0" w:after="120"/>
      </w:pPr>
      <w:r>
        <w:rPr>
          <w:b/>
        </w:rPr>
        <w:t xml:space="preserve">Source: </w:t>
      </w:r>
      <w:r>
        <w:t>Nature Chemistry</w:t>
      </w:r>
      <w:r>
        <w:t xml:space="preserve">    </w:t>
      </w:r>
      <w:r>
        <w:rPr>
          <w:b/>
        </w:rPr>
        <w:t xml:space="preserve">Pub date: </w:t>
      </w:r>
      <w:r>
        <w:t>2026-03-30 00:00:00+00:00</w:t>
      </w:r>
      <w:r>
        <w:t xml:space="preserve">    </w:t>
      </w:r>
      <w:r>
        <w:rPr>
          <w:b/>
        </w:rPr>
        <w:t xml:space="preserve">DOI: </w:t>
      </w:r>
      <w:hyperlink r:id="rId328">
        <w:r>
          <w:rPr>
            <w:color w:val="1155CC"/>
            <w:u w:val="single"/>
          </w:rPr>
          <w:t>10.1038/s41557-026-02109-6</w:t>
        </w:r>
      </w:hyperlink>
    </w:p>
    <w:p>
      <w:pPr>
        <w:spacing w:before="0" w:after="120"/>
      </w:pPr>
      <w:r>
        <w:rPr>
          <w:b/>
        </w:rPr>
        <w:t xml:space="preserve">Notes: </w:t>
      </w:r>
      <w:r>
        <w:t>abstract_source=nature_html</w:t>
      </w:r>
    </w:p>
    <w:p>
      <w:pPr>
        <w:spacing w:before="0" w:after="80" w:lineRule="auto" w:line="276"/>
      </w:pPr>
      <w:r>
        <w:rPr>
          <w:b/>
        </w:rPr>
        <w:t xml:space="preserve">摘要（ZH）: </w:t>
      </w:r>
      <w:r>
        <w:t>开发具有高光催化效率的材料对于可持续化学转化至关重要。在此，我们介绍了具有显著电荷存储能力的可光充电硫化锌铟纳米晶体，使得胺的高效光催化脱氢偶联成为可能。结合镍助催化剂，纳米晶体以每小时每克光催化剂超过120 mmol的速率提供二胺和氢气，选择性超过95%，在环境条件下的表观量子效率高达39.4%。该系统表现出优异的可扩展性，通过20克规模的反应得到验证，并在促进氨基酸酯偶联和聚合反应的同时伴随氢气的演化，表现出广泛的多功能性。机理研究将光催化</w:t>
      </w:r>
    </w:p>
    <w:p>
      <w:pPr>
        <w:spacing w:before="0" w:after="200" w:lineRule="auto" w:line="276"/>
      </w:pPr>
      <w:r>
        <w:rPr>
          <w:b/>
        </w:rPr>
        <w:t xml:space="preserve">Abstract (EN): </w:t>
      </w:r>
      <w:r>
        <w:t>The development of materials with high photocatalytic efficiency is essential for sustainable chemical transformations. Here we introduce photochargeable zinc indium sulfide nanocrystals with notable charge storage capacity, enabling highly efficient photocatalytic dehydrogenative coupling of amines. Combined with a nickel cocatalyst, the nanocrystals deliver diamines and hydrogen at rates exceeding 120 mmol per gram of photocatalyst per hour, with &gt; 95% selectivity and an apparent quantum efficiency of up to 39.4% under ambient conditions. The system exhibits excellent scalability, demonstrated by a reaction on a 20-g scale, and broad versatility in promoting amino acid ester coupling and polymerization reactions with concurrent hydrogen evolution. Mechanistic studies attribute the photocharging capability of zinc indium sulfide nanocrystals to in situ-generated trap states such as sulfur vacancies, which extend hydrogen production into the dark catalytic cycle and enhance the overall charge utilization efficiency. These findings position photochargeable semiconductors as promising platforms for a wide range of photocatalytic applications.</w:t>
      </w:r>
    </w:p>
    <w:p>
      <w:pPr>
        <w:spacing w:before="120" w:after="120"/>
      </w:pPr>
      <w:r>
        <w:rPr>
          <w:sz w:val="18"/>
        </w:rPr>
        <w:t>——————————————————————————————————————————————————————————————————————</w:t>
      </w:r>
    </w:p>
    <w:p>
      <w:pPr>
        <w:spacing w:before="160" w:after="40" w:line="240" w:lineRule="auto"/>
      </w:pPr>
      <w:r>
        <w:rPr>
          <w:b/>
        </w:rPr>
        <w:t xml:space="preserve">[74] </w:t>
      </w:r>
      <w:hyperlink r:id="rId329">
        <w:r>
          <w:rPr>
            <w:color w:val="1155CC"/>
            <w:u w:val="single"/>
          </w:rPr>
          <w:t>全球市长公约倡议中城市能源获取和能源贫困的进展</w:t>
        </w:r>
      </w:hyperlink>
    </w:p>
    <w:p>
      <w:pPr>
        <w:spacing w:before="0" w:after="80"/>
      </w:pPr>
      <w:r>
        <w:rPr>
          <w:i/>
          <w:sz w:val="20"/>
        </w:rPr>
        <w:t>EN: Progress on urban energy access and energy poverty in the Global Covenant of Mayors initiative</w:t>
      </w:r>
    </w:p>
    <w:p>
      <w:pPr>
        <w:spacing w:before="0" w:after="120"/>
      </w:pPr>
      <w:r>
        <w:rPr>
          <w:b/>
        </w:rPr>
        <w:t xml:space="preserve">Source: </w:t>
      </w:r>
      <w:r>
        <w:t>Nature Energy</w:t>
      </w:r>
      <w:r>
        <w:t xml:space="preserve">    </w:t>
      </w:r>
      <w:r>
        <w:rPr>
          <w:b/>
        </w:rPr>
        <w:t xml:space="preserve">Pub date: </w:t>
      </w:r>
      <w:r>
        <w:t>2026-03-30 00:00:00+00:00</w:t>
      </w:r>
      <w:r>
        <w:t xml:space="preserve">    </w:t>
      </w:r>
      <w:r>
        <w:rPr>
          <w:b/>
        </w:rPr>
        <w:t xml:space="preserve">DOI: </w:t>
      </w:r>
      <w:hyperlink r:id="rId330">
        <w:r>
          <w:rPr>
            <w:color w:val="1155CC"/>
            <w:u w:val="single"/>
          </w:rPr>
          <w:t>10.1038/s41560-026-02019-4</w:t>
        </w:r>
      </w:hyperlink>
    </w:p>
    <w:p>
      <w:pPr>
        <w:spacing w:before="0" w:after="120"/>
      </w:pPr>
      <w:r>
        <w:rPr>
          <w:b/>
        </w:rPr>
        <w:t xml:space="preserve">Notes: </w:t>
      </w:r>
      <w:r>
        <w:t>abstract_source=nature_html</w:t>
      </w:r>
    </w:p>
    <w:p>
      <w:pPr>
        <w:spacing w:before="0" w:after="80" w:lineRule="auto" w:line="276"/>
      </w:pPr>
      <w:r>
        <w:rPr>
          <w:b/>
        </w:rPr>
        <w:t xml:space="preserve">摘要（ZH）: </w:t>
      </w:r>
      <w:r>
        <w:t>能源获取和能源贫困影响数亿城市居民，但市政当局缺乏协调干预的标准化工具。在此，我们提出了能源获取和能源贫困支柱，这是一种方法框架，使市政当局能够评估、规划和报告在安全性、可持续性和可负担性三个能源维度上的能源干预。该框架使能源行动得以实施，并为在市政层面将能源考虑纳入气候承诺设定了标准化的全球机制。我们通过对全球十个地区的1,354个市政当局的分析展示了框架的实施，这些地区在2023年第一年运营期间代表了2.96亿人。初步采用模式显示较大的城市</w:t>
      </w:r>
    </w:p>
    <w:p>
      <w:pPr>
        <w:spacing w:before="0" w:after="200" w:lineRule="auto" w:line="276"/>
      </w:pPr>
      <w:r>
        <w:rPr>
          <w:b/>
        </w:rPr>
        <w:t xml:space="preserve">Abstract (EN): </w:t>
      </w:r>
      <w:r>
        <w:t>Energy access and energy poverty affect hundreds of millions of urban residents, yet municipalities lack standardized tools for coordinated intervention. Here we present the Energy Access and Energy Poverty Pillar, a methodological framework enabling municipalities to assess, plan and report on energy interventions across three energy dimensions: security, sustainability and affordability. The framework operationalizes energy action and sets a standardized global mechanism for integrating energy considerations into climate commitments at the municipal level. We demonstrate framework implementation through analysis of 1,354 municipalities across ten regions worldwide representing 296 million people during the first operational year of 2023. Initial adoption patterns reveal that larger cities engage more readily with technical assessment components. We analyse 1,095 actions from European municipalities revealing concentration in sectors under direct local control. The framework marks a step forward in urban climate action providing municipalities with tools to address energy challenges while advancing climate objectives and social equity.</w:t>
      </w:r>
    </w:p>
    <w:p>
      <w:pPr>
        <w:spacing w:before="120" w:after="120"/>
      </w:pPr>
      <w:r>
        <w:rPr>
          <w:sz w:val="18"/>
        </w:rPr>
        <w:t>——————————————————————————————————————————————————————————————————————</w:t>
      </w:r>
    </w:p>
    <w:p>
      <w:pPr>
        <w:spacing w:before="160" w:after="40" w:line="240" w:lineRule="auto"/>
      </w:pPr>
      <w:r>
        <w:rPr>
          <w:b/>
        </w:rPr>
        <w:t xml:space="preserve">[75] </w:t>
      </w:r>
      <w:hyperlink r:id="rId331">
        <w:r>
          <w:rPr>
            <w:color w:val="1155CC"/>
            <w:u w:val="single"/>
          </w:rPr>
          <w:t>非应变环醚中的氧原子替换</w:t>
        </w:r>
      </w:hyperlink>
    </w:p>
    <w:p>
      <w:pPr>
        <w:spacing w:before="0" w:after="80"/>
      </w:pPr>
      <w:r>
        <w:rPr>
          <w:i/>
          <w:sz w:val="20"/>
        </w:rPr>
        <w:t>EN: Oxygen-atom replacement in non-strained cyclic ethers</w:t>
      </w:r>
    </w:p>
    <w:p>
      <w:pPr>
        <w:spacing w:before="0" w:after="120"/>
      </w:pPr>
      <w:r>
        <w:rPr>
          <w:b/>
        </w:rPr>
        <w:t xml:space="preserve">Source: </w:t>
      </w:r>
      <w:r>
        <w:t>Chem</w:t>
      </w:r>
      <w:r>
        <w:t xml:space="preserve">    </w:t>
      </w:r>
      <w:r>
        <w:rPr>
          <w:b/>
        </w:rPr>
        <w:t xml:space="preserve">Pub date: </w:t>
      </w:r>
      <w:r>
        <w:t>2026-03-30 00:00:00+00:00</w:t>
      </w:r>
      <w:r>
        <w:t xml:space="preserve">    </w:t>
      </w:r>
      <w:r>
        <w:rPr>
          <w:b/>
        </w:rPr>
        <w:t xml:space="preserve">DOI: </w:t>
      </w:r>
      <w:hyperlink r:id="rId332">
        <w:r>
          <w:rPr>
            <w:color w:val="1155CC"/>
            <w:u w:val="single"/>
          </w:rPr>
          <w:t>10.1016/j.chempr.2026.103000</w:t>
        </w:r>
      </w:hyperlink>
    </w:p>
    <w:p>
      <w:pPr>
        <w:spacing w:before="0" w:after="120"/>
      </w:pPr>
      <w:r>
        <w:rPr>
          <w:b/>
        </w:rPr>
        <w:t xml:space="preserve">Notes: </w:t>
      </w:r>
      <w:r>
        <w:t>abstract_source=rss_cell</w:t>
      </w:r>
    </w:p>
    <w:p>
      <w:pPr>
        <w:spacing w:before="0" w:after="80" w:lineRule="auto" w:line="276"/>
      </w:pPr>
      <w:r>
        <w:rPr>
          <w:b/>
        </w:rPr>
        <w:t xml:space="preserve">摘要（ZH）: </w:t>
      </w:r>
      <w:r>
        <w:t>报道了一种由膦介导的非应变环醚的氧原子替换方法，使N-、S-、Se-杂环和碳环分子的快速组装成为可能。显著的官能团兼容性和在药物合成中的应用突显了该策略在药物发现中的实用性。</w:t>
      </w:r>
    </w:p>
    <w:p>
      <w:pPr>
        <w:spacing w:before="0" w:after="200" w:lineRule="auto" w:line="276"/>
      </w:pPr>
      <w:r>
        <w:rPr>
          <w:b/>
        </w:rPr>
        <w:t xml:space="preserve">Abstract (EN): </w:t>
      </w:r>
      <w:r>
        <w:t>A phosphine-mediated oxygen-atom replacement of non-strained cyclic ethers is reported, enabling rapid assembly of N-, S-, and Se-heterocyclic and carbocyclic molecules. Remarkable functional group compatibility and applications in pharmaceutical synthesis highlight the utility of this strategy in drug discovery.</w:t>
      </w:r>
    </w:p>
    <w:p>
      <w:pPr>
        <w:spacing w:before="120" w:after="120"/>
      </w:pPr>
      <w:r>
        <w:rPr>
          <w:sz w:val="18"/>
        </w:rPr>
        <w:t>——————————————————————————————————————————————————————————————————————</w:t>
      </w:r>
    </w:p>
    <w:p>
      <w:pPr>
        <w:spacing w:before="160" w:after="40" w:line="240" w:lineRule="auto"/>
      </w:pPr>
      <w:r>
        <w:rPr>
          <w:b/>
        </w:rPr>
        <w:t xml:space="preserve">[76] </w:t>
      </w:r>
      <w:hyperlink r:id="rId333">
        <w:r>
          <w:rPr>
            <w:color w:val="1155CC"/>
            <w:u w:val="single"/>
          </w:rPr>
          <w:t>作者更正：植物光敏色素A的Pr和Pfr结构</w:t>
        </w:r>
      </w:hyperlink>
    </w:p>
    <w:p>
      <w:pPr>
        <w:spacing w:before="0" w:after="80"/>
      </w:pPr>
      <w:r>
        <w:rPr>
          <w:i/>
          <w:sz w:val="20"/>
        </w:rPr>
        <w:t>EN: Author Correction: Pr and Pfr structures of plant phytochrome A</w:t>
      </w:r>
    </w:p>
    <w:p>
      <w:pPr>
        <w:spacing w:before="0" w:after="120"/>
      </w:pPr>
      <w:r>
        <w:rPr>
          <w:b/>
        </w:rPr>
        <w:t xml:space="preserve">Source: </w:t>
      </w:r>
      <w:r>
        <w:t>Nature Communications</w:t>
      </w:r>
      <w:r>
        <w:t xml:space="preserve">    </w:t>
      </w:r>
      <w:r>
        <w:rPr>
          <w:b/>
        </w:rPr>
        <w:t xml:space="preserve">Pub date: </w:t>
      </w:r>
      <w:r>
        <w:t>2026-03-30 00:00:00+00:00</w:t>
      </w:r>
      <w:r>
        <w:t xml:space="preserve">    </w:t>
      </w:r>
      <w:r>
        <w:rPr>
          <w:b/>
        </w:rPr>
        <w:t xml:space="preserve">DOI: </w:t>
      </w:r>
      <w:hyperlink r:id="rId334">
        <w:r>
          <w:rPr>
            <w:color w:val="1155CC"/>
            <w:u w:val="single"/>
          </w:rPr>
          <w:t>10.1038/s41467-026-71456-2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 </w:t>
      </w:r>
      <w:hyperlink r:id="rId335">
        <w:r>
          <w:rPr>
            <w:color w:val="1155CC"/>
            <w:u w:val="single"/>
          </w:rPr>
          <w:t>脂质周转和GEF招募共同决定Rab5在早期内体形成第一步中的招募和激活</w:t>
        </w:r>
      </w:hyperlink>
    </w:p>
    <w:p>
      <w:pPr>
        <w:spacing w:before="0" w:after="80"/>
      </w:pPr>
      <w:r>
        <w:rPr>
          <w:i/>
          <w:sz w:val="20"/>
        </w:rPr>
        <w:t>EN: Lipid turnover and GEF recruitment collectively determine Rab5 recruitment and activation during the first step of early endosome formation</w:t>
      </w:r>
    </w:p>
    <w:p>
      <w:pPr>
        <w:spacing w:before="0" w:after="120"/>
      </w:pPr>
      <w:r>
        <w:rPr>
          <w:b/>
        </w:rPr>
        <w:t xml:space="preserve">Source: </w:t>
      </w:r>
      <w:r>
        <w:t>Nature Communications</w:t>
      </w:r>
      <w:r>
        <w:t xml:space="preserve">    </w:t>
      </w:r>
      <w:r>
        <w:rPr>
          <w:b/>
        </w:rPr>
        <w:t xml:space="preserve">Pub date: </w:t>
      </w:r>
      <w:r>
        <w:t>2026-03-30 00:00:00+00:00</w:t>
      </w:r>
      <w:r>
        <w:t xml:space="preserve">    </w:t>
      </w:r>
      <w:r>
        <w:rPr>
          <w:b/>
        </w:rPr>
        <w:t xml:space="preserve">DOI: </w:t>
      </w:r>
      <w:hyperlink r:id="rId336">
        <w:r>
          <w:rPr>
            <w:color w:val="1155CC"/>
            <w:u w:val="single"/>
          </w:rPr>
          <w:t>10.1038/s41467-026-70543-8</w:t>
        </w:r>
      </w:hyperlink>
    </w:p>
    <w:p>
      <w:pPr>
        <w:spacing w:before="0" w:after="120"/>
      </w:pPr>
      <w:r>
        <w:rPr>
          <w:b/>
        </w:rPr>
        <w:t xml:space="preserve">Notes: </w:t>
      </w:r>
      <w:r>
        <w:t>abstract_source=nature_html</w:t>
      </w:r>
    </w:p>
    <w:p>
      <w:pPr>
        <w:spacing w:before="0" w:after="80" w:lineRule="auto" w:line="276"/>
      </w:pPr>
      <w:r>
        <w:rPr>
          <w:b/>
        </w:rPr>
        <w:t xml:space="preserve">摘要（ZH）: </w:t>
      </w:r>
      <w:r>
        <w:t>早期内体是真核细胞中关键的分拣站。一个长期存在的关键问题是小GTP酶Rab5如何精确定位到正确的膜上以启动早期内体的形成。在此，我们确定Rabex5和hRME6是两个鸟苷酸交换因子（GEFs），它们共同调节Rab5在早期内体形成过程中的募集。基因组编辑细胞的单分子成像显示，Rabex5和hRME6分别被连续或瞬时招募到新生的无涂层内吞载体。然而，与无涂层内吞载体和其他细胞内细胞器不同，将Rabex5或其GEF结构域导向网格蛋白涂层小窝或质膜未能触发Rab5的募集。体内和体外实验均显示</w:t>
      </w:r>
    </w:p>
    <w:p>
      <w:pPr>
        <w:spacing w:before="0" w:after="200" w:lineRule="auto" w:line="276"/>
      </w:pPr>
      <w:r>
        <w:rPr>
          <w:b/>
        </w:rPr>
        <w:t xml:space="preserve">Abstract (EN): </w:t>
      </w:r>
      <w:r>
        <w:t>Early endosomes are the pivotal sorting station in eukaryotic cells. A longstanding critical question is how the small GTPase Rab5 is precisely targeted to the correct membrane to initiate early endosome formation. Here, we identify Rabex5 and hRME6 as the two guanine-nucleotide exchange factors (GEFs) that together regulate Rab5 recruitment during early endosome formation. Single-molecule imaging of genome-edited cells reveals that Rabex5 and hRME6 are recruited continuously or transiently to nascent uncoated endocytic carriers, respectively. However, in contrast to uncoated endocytic carriers and other intracellular organelles, directing Rabex5 or its GEF domain to clathrin-coated pits or the plasma membrane fails to trigger Rab5 recruitment. Both in vivo and in vitro experiments show that the plasma membrane-enriched phospholipid PI(4,5)P2 prevents Rab5 association with the plasma membrane. Importantly, we found that impaired hydrolysis of PI(4,5)P2 led to reduced early endosome formation in Lowe syndrome cells. Therefore, the spatiotemporal recruitment and activation of Rab5 during early endosome formation are collectively determined by Rabex5/hRME6 recruitment and PI(4,5)P2 depletion during uncoated endocytic carrier formation.</w:t>
      </w:r>
    </w:p>
    <w:p>
      <w:pPr>
        <w:spacing w:before="120" w:after="120"/>
      </w:pPr>
      <w:r>
        <w:rPr>
          <w:sz w:val="18"/>
        </w:rPr>
        <w:t>——————————————————————————————————————————————————————————————————————</w:t>
      </w:r>
    </w:p>
    <w:p>
      <w:pPr>
        <w:spacing w:before="160" w:after="40" w:line="240" w:lineRule="auto"/>
      </w:pPr>
      <w:r>
        <w:rPr>
          <w:b/>
        </w:rPr>
        <w:t xml:space="preserve">[78] </w:t>
      </w:r>
      <w:hyperlink r:id="rId337">
        <w:r>
          <w:rPr>
            <w:color w:val="1155CC"/>
            <w:u w:val="single"/>
          </w:rPr>
          <w:t>Candidozyma auris中蛋白酶体伴侣蛋白的深层同源性和设计</w:t>
        </w:r>
      </w:hyperlink>
    </w:p>
    <w:p>
      <w:pPr>
        <w:spacing w:before="0" w:after="80"/>
      </w:pPr>
      <w:r>
        <w:rPr>
          <w:i/>
          <w:sz w:val="20"/>
        </w:rPr>
        <w:t>EN: Deep homology and design of proteasome chaperone proteins in Candidozyma auris</w:t>
      </w:r>
    </w:p>
    <w:p>
      <w:pPr>
        <w:spacing w:before="0" w:after="120"/>
      </w:pPr>
      <w:r>
        <w:rPr>
          <w:b/>
        </w:rPr>
        <w:t xml:space="preserve">Source: </w:t>
      </w:r>
      <w:r>
        <w:t>Nature Communications</w:t>
      </w:r>
      <w:r>
        <w:t xml:space="preserve">    </w:t>
      </w:r>
      <w:r>
        <w:rPr>
          <w:b/>
        </w:rPr>
        <w:t xml:space="preserve">Pub date: </w:t>
      </w:r>
      <w:r>
        <w:t>2026-03-30 00:00:00+00:00</w:t>
      </w:r>
      <w:r>
        <w:t xml:space="preserve">    </w:t>
      </w:r>
      <w:r>
        <w:rPr>
          <w:b/>
        </w:rPr>
        <w:t xml:space="preserve">DOI: </w:t>
      </w:r>
      <w:hyperlink r:id="rId338">
        <w:r>
          <w:rPr>
            <w:color w:val="1155CC"/>
            <w:u w:val="single"/>
          </w:rPr>
          <w:t>10.1038/s41467-026-71206-4</w:t>
        </w:r>
      </w:hyperlink>
    </w:p>
    <w:p>
      <w:pPr>
        <w:spacing w:before="0" w:after="120"/>
      </w:pPr>
      <w:r>
        <w:rPr>
          <w:b/>
        </w:rPr>
        <w:t xml:space="preserve">Notes: </w:t>
      </w:r>
      <w:r>
        <w:t>abstract_source=nature_html</w:t>
      </w:r>
    </w:p>
    <w:p>
      <w:pPr>
        <w:spacing w:before="0" w:after="80" w:lineRule="auto" w:line="276"/>
      </w:pPr>
      <w:r>
        <w:rPr>
          <w:b/>
        </w:rPr>
        <w:t xml:space="preserve">摘要（ZH）: </w:t>
      </w:r>
      <w:r>
        <w:t>生物学的一个核心原则是蛋白质结构介导序列-功能关系。最近，关于蛋白质结构建模进展的承诺引发了人们的兴奋，以生成关于序列-结构-功能关系的假设。在此，我们利用结构相似性来识别快速进化的蛋白酶体组装伴侣并表征其在Candidozyma（Candida）auris中的功能。尽管序列差异很大，我们证明了功能的保守性，证实了特定的折叠而非序列是功能所需的。这一理论前提表明，具有某些特性的蛋白质结构应该在功能上是可互换的，即使它们不是共同进化历史的产物。为了减少这一理论</w:t>
      </w:r>
    </w:p>
    <w:p>
      <w:pPr>
        <w:spacing w:before="0" w:after="200" w:lineRule="auto" w:line="276"/>
      </w:pPr>
      <w:r>
        <w:rPr>
          <w:b/>
        </w:rPr>
        <w:t xml:space="preserve">Abstract (EN): </w:t>
      </w:r>
      <w:r>
        <w:t>A central tenet of biology is that protein structure mediates the sequence-function relationship. Recently, there has been excitement about the promise of advances in protein structure modeling to generate hypotheses about sequence-structure-function relationships. Here, we leverage structural similarity to identify rapidly evolving proteasome assembly chaperones and characterize their function in Candidozyma (Candida) auris. Despite extensive sequence divergence, we demonstrate conservation of function, corroborating that specific folds, and not sequences, are required for function. This theoretical premise suggests that protein structures with certain properties should be functionally interchangeable, even if they were not products of a common evolutionary history. To reduce this theory to practice, we performed structure-informed protein design, exploring sequence space that is not accessible via stepwise evolution, and mutated more than 40 residues in the Poc4 proteasome assembly chaperone to demonstrate that artificial proteins can rescue complex biological processes in the context of the whole cell. This sequence-structure-function relationship expands our ability to use structure to identify deep evolutionary relationships between proteins and generate hypotheses about gene function in non-model organisms. Overall, this helps to define and understand functional constraints on protein evolution, with important implications for both future protein design and retrospective function prediction.</w:t>
      </w:r>
    </w:p>
    <w:p>
      <w:pPr>
        <w:spacing w:before="120" w:after="120"/>
      </w:pPr>
      <w:r>
        <w:rPr>
          <w:sz w:val="18"/>
        </w:rPr>
        <w:t>——————————————————————————————————————————————————————————————————————</w:t>
      </w:r>
    </w:p>
    <w:p>
      <w:pPr>
        <w:spacing w:before="160" w:after="40" w:line="240" w:lineRule="auto"/>
      </w:pPr>
      <w:r>
        <w:rPr>
          <w:b/>
        </w:rPr>
        <w:t xml:space="preserve">[79] </w:t>
      </w:r>
      <w:hyperlink r:id="rId339">
        <w:r>
          <w:rPr>
            <w:color w:val="1155CC"/>
            <w:u w:val="single"/>
          </w:rPr>
          <w:t>加速异质催化中的多尺度建模</w:t>
        </w:r>
      </w:hyperlink>
    </w:p>
    <w:p>
      <w:pPr>
        <w:spacing w:before="0" w:after="80"/>
      </w:pPr>
      <w:r>
        <w:rPr>
          <w:i/>
          <w:sz w:val="20"/>
        </w:rPr>
        <w:t>EN: Accelerating multiscale modeling in heterogeneous catalysis</w:t>
      </w:r>
    </w:p>
    <w:p>
      <w:pPr>
        <w:spacing w:before="0" w:after="120"/>
      </w:pPr>
      <w:r>
        <w:rPr>
          <w:b/>
        </w:rPr>
        <w:t xml:space="preserve">Source: </w:t>
      </w:r>
      <w:r>
        <w:t>Nature Chemical Engineering</w:t>
      </w:r>
      <w:r>
        <w:t xml:space="preserve">    </w:t>
      </w:r>
      <w:r>
        <w:rPr>
          <w:b/>
        </w:rPr>
        <w:t xml:space="preserve">Pub date: </w:t>
      </w:r>
      <w:r>
        <w:t>2026-03-30 00:00:00+00:00</w:t>
      </w:r>
      <w:r>
        <w:t xml:space="preserve">    </w:t>
      </w:r>
      <w:r>
        <w:rPr>
          <w:b/>
        </w:rPr>
        <w:t xml:space="preserve">DOI: </w:t>
      </w:r>
      <w:hyperlink r:id="rId340">
        <w:r>
          <w:rPr>
            <w:color w:val="1155CC"/>
            <w:u w:val="single"/>
          </w:rPr>
          <w:t>10.1038/s44286-026-00363-6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 </w:t>
      </w:r>
      <w:hyperlink r:id="rId341">
        <w:r>
          <w:rPr>
            <w:color w:val="1155CC"/>
            <w:u w:val="single"/>
          </w:rPr>
          <w:t>道金斯悖论：剖析身体保持自私基因受控的斗争</w:t>
        </w:r>
      </w:hyperlink>
    </w:p>
    <w:p>
      <w:pPr>
        <w:spacing w:before="0" w:after="80"/>
      </w:pPr>
      <w:r>
        <w:rPr>
          <w:i/>
          <w:sz w:val="20"/>
        </w:rPr>
        <w:t>EN: Dawkins’s paradox: dissecting the body’s battle to keep selfish genes in check</w:t>
      </w:r>
    </w:p>
    <w:p>
      <w:pPr>
        <w:spacing w:before="0" w:after="120"/>
      </w:pPr>
      <w:r>
        <w:rPr>
          <w:b/>
        </w:rPr>
        <w:t xml:space="preserve">Source: </w:t>
      </w:r>
      <w:r>
        <w:t>Nature</w:t>
      </w:r>
      <w:r>
        <w:t xml:space="preserve">    </w:t>
      </w:r>
      <w:r>
        <w:rPr>
          <w:b/>
        </w:rPr>
        <w:t xml:space="preserve">Pub date: </w:t>
      </w:r>
      <w:r>
        <w:t>2026-03-30 00:00:00+00:00</w:t>
      </w:r>
      <w:r>
        <w:t xml:space="preserve">    </w:t>
      </w:r>
      <w:r>
        <w:rPr>
          <w:b/>
        </w:rPr>
        <w:t xml:space="preserve">DOI: </w:t>
      </w:r>
      <w:hyperlink r:id="rId342">
        <w:r>
          <w:rPr>
            <w:color w:val="1155CC"/>
            <w:u w:val="single"/>
          </w:rPr>
          <w:t>10.1038/d41586-026-00970-6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 </w:t>
      </w:r>
      <w:hyperlink r:id="rId343">
        <w:r>
          <w:rPr>
            <w:color w:val="1155CC"/>
            <w:u w:val="single"/>
          </w:rPr>
          <w:t>(R)进化的能量存储密度：受自然启发的Dewar嘧啶酮</w:t>
        </w:r>
      </w:hyperlink>
    </w:p>
    <w:p>
      <w:pPr>
        <w:spacing w:before="0" w:after="80"/>
      </w:pPr>
      <w:r>
        <w:rPr>
          <w:i/>
          <w:sz w:val="20"/>
        </w:rPr>
        <w:t>EN: (R)evolutionary energy-storage density: Dewar pyrimidones inspired by nature</w:t>
      </w:r>
    </w:p>
    <w:p>
      <w:pPr>
        <w:spacing w:before="0" w:after="120"/>
      </w:pPr>
      <w:r>
        <w:rPr>
          <w:b/>
        </w:rPr>
        <w:t xml:space="preserve">Source: </w:t>
      </w:r>
      <w:r>
        <w:t>Chem</w:t>
      </w:r>
      <w:r>
        <w:t xml:space="preserve">    </w:t>
      </w:r>
      <w:r>
        <w:rPr>
          <w:b/>
        </w:rPr>
        <w:t xml:space="preserve">Pub date: </w:t>
      </w:r>
      <w:r>
        <w:t>2026-03-30 00:00:00+00:00</w:t>
      </w:r>
      <w:r>
        <w:t xml:space="preserve">    </w:t>
      </w:r>
      <w:r>
        <w:rPr>
          <w:b/>
        </w:rPr>
        <w:t xml:space="preserve">DOI: </w:t>
      </w:r>
      <w:hyperlink r:id="rId344">
        <w:r>
          <w:rPr>
            <w:color w:val="1155CC"/>
            <w:u w:val="single"/>
          </w:rPr>
          <w:t>10.1016/j.chempr.2026.103031</w:t>
        </w:r>
      </w:hyperlink>
    </w:p>
    <w:p>
      <w:pPr>
        <w:spacing w:before="0" w:after="120"/>
      </w:pPr>
      <w:r>
        <w:rPr>
          <w:b/>
        </w:rPr>
        <w:t xml:space="preserve">Notes: </w:t>
      </w:r>
      <w:r>
        <w:t>abstract_source=rss_cell</w:t>
      </w:r>
    </w:p>
    <w:p>
      <w:pPr>
        <w:spacing w:before="0" w:after="80" w:lineRule="auto" w:line="276"/>
      </w:pPr>
      <w:r>
        <w:rPr>
          <w:b/>
        </w:rPr>
        <w:t xml:space="preserve">摘要（ZH）: </w:t>
      </w:r>
      <w:r>
        <w:t>在《科学》杂志中，Han及其同事将嘧啶酮衍生物及其Dewar光异构体确立为分子太阳能热能存储（MOST）的一类新型光开关。这些光开关表现出高达1.65 MJ/kg的创纪录能量密度，并在1秒内释放足够的热量以煮沸水，使MOST向具体应用迈进。</w:t>
      </w:r>
    </w:p>
    <w:p>
      <w:pPr>
        <w:spacing w:before="0" w:after="200" w:lineRule="auto" w:line="276"/>
      </w:pPr>
      <w:r>
        <w:rPr>
          <w:b/>
        </w:rPr>
        <w:t xml:space="preserve">Abstract (EN): </w:t>
      </w:r>
      <w:r>
        <w:t>In Science, Han and co-workers establish pyrimidone derivatives and their Dewar photoisomers as a new class of photoswitches for molecular solar thermal energy storage (MOST). The photoswitches exhibit record-high energy densities up to 1.65 MJ/kg and release sufficient heat to boil water within 1 s, moving MOST toward concrete applications.</w:t>
      </w:r>
    </w:p>
    <w:p>
      <w:pPr>
        <w:spacing w:before="120" w:after="120"/>
      </w:pPr>
      <w:r>
        <w:rPr>
          <w:sz w:val="18"/>
        </w:rPr>
        <w:t>——————————————————————————————————————————————————————————————————————</w:t>
      </w:r>
    </w:p>
    <w:p>
      <w:pPr>
        <w:spacing w:before="160" w:after="40" w:line="240" w:lineRule="auto"/>
      </w:pPr>
      <w:r>
        <w:rPr>
          <w:b/>
        </w:rPr>
        <w:t xml:space="preserve">[82] </w:t>
      </w:r>
      <w:hyperlink r:id="rId345">
        <w:r>
          <w:rPr>
            <w:color w:val="1155CC"/>
            <w:u w:val="single"/>
          </w:rPr>
          <w:t>筛选、设计和阐明抗溶解双原子位点以实现高耐久性质子交换膜燃料电池</w:t>
        </w:r>
      </w:hyperlink>
    </w:p>
    <w:p>
      <w:pPr>
        <w:spacing w:before="0" w:after="80"/>
      </w:pPr>
      <w:r>
        <w:rPr>
          <w:i/>
          <w:sz w:val="20"/>
        </w:rPr>
        <w:t>EN: Screening, designing, and elucidating anti-dissolving dual atomic sites for highly durable proton exchange membrane fuel cells</w:t>
      </w:r>
    </w:p>
    <w:p>
      <w:pPr>
        <w:spacing w:before="0" w:after="120"/>
      </w:pPr>
      <w:r>
        <w:rPr>
          <w:b/>
        </w:rPr>
        <w:t xml:space="preserve">Source: </w:t>
      </w:r>
      <w:r>
        <w:t>Chem</w:t>
      </w:r>
      <w:r>
        <w:t xml:space="preserve">    </w:t>
      </w:r>
      <w:r>
        <w:rPr>
          <w:b/>
        </w:rPr>
        <w:t xml:space="preserve">Pub date: </w:t>
      </w:r>
      <w:r>
        <w:t>2026-03-30 00:00:00+00:00</w:t>
      </w:r>
      <w:r>
        <w:t xml:space="preserve">    </w:t>
      </w:r>
      <w:r>
        <w:rPr>
          <w:b/>
        </w:rPr>
        <w:t xml:space="preserve">DOI: </w:t>
      </w:r>
      <w:hyperlink r:id="rId346">
        <w:r>
          <w:rPr>
            <w:color w:val="1155CC"/>
            <w:u w:val="single"/>
          </w:rPr>
          <w:t>10.1016/j.chempr.2026.103007</w:t>
        </w:r>
      </w:hyperlink>
    </w:p>
    <w:p>
      <w:pPr>
        <w:spacing w:before="0" w:after="120"/>
      </w:pPr>
      <w:r>
        <w:rPr>
          <w:b/>
        </w:rPr>
        <w:t xml:space="preserve">Notes: </w:t>
      </w:r>
      <w:r>
        <w:t>abstract_source=rss_cell</w:t>
      </w:r>
    </w:p>
    <w:p>
      <w:pPr>
        <w:spacing w:before="0" w:after="80" w:lineRule="auto" w:line="276"/>
      </w:pPr>
      <w:r>
        <w:rPr>
          <w:b/>
        </w:rPr>
        <w:t xml:space="preserve">摘要（ZH）: </w:t>
      </w:r>
      <w:r>
        <w:t>铁基单原子催化剂在质子交换膜燃料电池中具有替代铂族催化剂的巨大潜力，但其在酸性环境中的不稳定性是实际应用的主要挑战。通过引入一种新颖的结构描述符φ，我们设计并制备了一种Cr/Fe-NC催化剂，该催化剂由嵌入氮掺杂碳基质中的Cr-Fe双金属位点组成，表现出显著提高的活性和稳定性。这种基于描述符的策略建立了一种合理设计抗溶解位点的一般原则，为新一代耐用且非贵金属催化剂在燃料电池中的应用铺平了道路。</w:t>
      </w:r>
    </w:p>
    <w:p>
      <w:pPr>
        <w:spacing w:before="0" w:after="200" w:lineRule="auto" w:line="276"/>
      </w:pPr>
      <w:r>
        <w:rPr>
          <w:b/>
        </w:rPr>
        <w:t xml:space="preserve">Abstract (EN): </w:t>
      </w:r>
      <w:r>
        <w:t>Iron-based single-atom catalysts hold great potential to replace the platinum group catalysts in proton exchange membrane fuel cells, but their instability in acid environments is the main challenge for practical applications. By introducing a novel structural descriptor φ, we design and prepare a Cr/Fe-NC catalyst that is composed of Cr-Fe bimetallic sites embedded in nitrogen-doped carbon matrix, which demonstrated substantially improved activity and stability. This descriptor-driven strategy establishes a general principle for rationally designing anti-dissolving sites, paving the way for a new generation of durable and non-precious catalysts in fuel cells.</w:t>
      </w:r>
    </w:p>
    <w:p>
      <w:pPr>
        <w:spacing w:before="120" w:after="120"/>
      </w:pPr>
      <w:r>
        <w:rPr>
          <w:sz w:val="18"/>
        </w:rPr>
        <w:t>——————————————————————————————————————————————————————————————————————</w:t>
      </w:r>
    </w:p>
    <w:p>
      <w:pPr>
        <w:spacing w:before="160" w:after="40" w:line="240" w:lineRule="auto"/>
      </w:pPr>
      <w:r>
        <w:rPr>
          <w:b/>
        </w:rPr>
        <w:t xml:space="preserve">[83] </w:t>
      </w:r>
      <w:hyperlink r:id="rId347">
        <w:r>
          <w:rPr>
            <w:color w:val="1155CC"/>
            <w:u w:val="single"/>
          </w:rPr>
          <w:t>从绝对障碍到响应性：伦敦色散如何调节动力学-热力学关系</w:t>
        </w:r>
      </w:hyperlink>
    </w:p>
    <w:p>
      <w:pPr>
        <w:spacing w:before="0" w:after="80"/>
      </w:pPr>
      <w:r>
        <w:rPr>
          <w:i/>
          <w:sz w:val="20"/>
        </w:rPr>
        <w:t>EN: From absolute barriers to responsiveness: How London dispersion modulates kinetic-thermodynamic relationships</w:t>
      </w:r>
    </w:p>
    <w:p>
      <w:pPr>
        <w:spacing w:before="0" w:after="120"/>
      </w:pPr>
      <w:r>
        <w:rPr>
          <w:b/>
        </w:rPr>
        <w:t xml:space="preserve">Source: </w:t>
      </w:r>
      <w:r>
        <w:t>Chem</w:t>
      </w:r>
      <w:r>
        <w:t xml:space="preserve">    </w:t>
      </w:r>
      <w:r>
        <w:rPr>
          <w:b/>
        </w:rPr>
        <w:t xml:space="preserve">Pub date: </w:t>
      </w:r>
      <w:r>
        <w:t>2026-03-30 00:00:00+00:00</w:t>
      </w:r>
      <w:r>
        <w:t xml:space="preserve">    </w:t>
      </w:r>
      <w:r>
        <w:rPr>
          <w:b/>
        </w:rPr>
        <w:t xml:space="preserve">DOI: </w:t>
      </w:r>
      <w:hyperlink r:id="rId348">
        <w:r>
          <w:rPr>
            <w:color w:val="1155CC"/>
            <w:u w:val="single"/>
          </w:rPr>
          <w:t>10.1016/j.chempr.2026.103004</w:t>
        </w:r>
      </w:hyperlink>
    </w:p>
    <w:p>
      <w:pPr>
        <w:spacing w:before="0" w:after="120"/>
      </w:pPr>
      <w:r>
        <w:rPr>
          <w:b/>
        </w:rPr>
        <w:t xml:space="preserve">Notes: </w:t>
      </w:r>
      <w:r>
        <w:t>abstract_source=rss_cell</w:t>
      </w:r>
    </w:p>
    <w:p>
      <w:pPr>
        <w:spacing w:before="0" w:after="80" w:lineRule="auto" w:line="276"/>
      </w:pPr>
      <w:r>
        <w:rPr>
          <w:b/>
        </w:rPr>
        <w:t xml:space="preserve">摘要（ZH）: </w:t>
      </w:r>
      <w:r>
        <w:t>我们表明伦敦色散不仅降低反应障碍：它还重塑了障碍对热力学驱动力的响应。通过将内在反应性与热力学效应分离，我们证明了色散调节障碍敏感性并影响选择性及其在不同底物上的稳健性。该框架将色散重新定义为控制化学反应中动力学-热力学关系的可调设计参数。</w:t>
      </w:r>
    </w:p>
    <w:p>
      <w:pPr>
        <w:spacing w:before="0" w:after="200" w:lineRule="auto" w:line="276"/>
      </w:pPr>
      <w:r>
        <w:rPr>
          <w:b/>
        </w:rPr>
        <w:t xml:space="preserve">Abstract (EN): </w:t>
      </w:r>
      <w:r>
        <w:t>We show that London dispersion does more than lower reaction barriers: it reshapes how barriers respond to thermodynamic driving forces. By separating intrinsic reactivity from thermodynamic effects, we demonstrate that dispersion modulates barrier sensitivity and influences selectivity and its robustness across substrates. This framework reframes dispersion as a tunable design parameter for controlling kinetic-thermodynamic relationships in chemical reactions.</w:t>
      </w:r>
    </w:p>
    <w:p>
      <w:pPr>
        <w:spacing w:before="120" w:after="120"/>
      </w:pPr>
      <w:r>
        <w:rPr>
          <w:sz w:val="18"/>
        </w:rPr>
        <w:t>——————————————————————————————————————————————————————————————————————</w:t>
      </w:r>
    </w:p>
    <w:p>
      <w:pPr>
        <w:spacing w:before="160" w:after="40" w:line="240" w:lineRule="auto"/>
      </w:pPr>
      <w:r>
        <w:rPr>
          <w:b/>
        </w:rPr>
        <w:t xml:space="preserve">[84] </w:t>
      </w:r>
      <w:hyperlink r:id="rId349">
        <w:r>
          <w:rPr>
            <w:color w:val="1155CC"/>
            <w:u w:val="single"/>
          </w:rPr>
          <w:t>每日简报：女性的学术生涯因育儿受到的影响远大于男性</w:t>
        </w:r>
      </w:hyperlink>
    </w:p>
    <w:p>
      <w:pPr>
        <w:spacing w:before="0" w:after="80"/>
      </w:pPr>
      <w:r>
        <w:rPr>
          <w:i/>
          <w:sz w:val="20"/>
        </w:rPr>
        <w:t>EN: Daily briefing: Women’s academic careers are knocked by parenthood much more than men’s</w:t>
      </w:r>
    </w:p>
    <w:p>
      <w:pPr>
        <w:spacing w:before="0" w:after="120"/>
      </w:pPr>
      <w:r>
        <w:rPr>
          <w:b/>
        </w:rPr>
        <w:t xml:space="preserve">Source: </w:t>
      </w:r>
      <w:r>
        <w:t>Nature</w:t>
      </w:r>
      <w:r>
        <w:t xml:space="preserve">    </w:t>
      </w:r>
      <w:r>
        <w:rPr>
          <w:b/>
        </w:rPr>
        <w:t xml:space="preserve">Pub date: </w:t>
      </w:r>
      <w:r>
        <w:t>2026-03-30 00:00:00+00:00</w:t>
      </w:r>
      <w:r>
        <w:t xml:space="preserve">    </w:t>
      </w:r>
      <w:r>
        <w:rPr>
          <w:b/>
        </w:rPr>
        <w:t xml:space="preserve">DOI: </w:t>
      </w:r>
      <w:hyperlink r:id="rId350">
        <w:r>
          <w:rPr>
            <w:color w:val="1155CC"/>
            <w:u w:val="single"/>
          </w:rPr>
          <w:t>10.1038/d41586-026-01018-5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[85] </w:t>
      </w:r>
      <w:hyperlink r:id="rId351">
        <w:r>
          <w:rPr>
            <w:color w:val="1155CC"/>
            <w:u w:val="single"/>
          </w:rPr>
          <w:t>作者更正：E3连接酶FBXW7在抗病毒反应中对RIG-I稳定性至关重要</w:t>
        </w:r>
      </w:hyperlink>
    </w:p>
    <w:p>
      <w:pPr>
        <w:spacing w:before="0" w:after="80"/>
      </w:pPr>
      <w:r>
        <w:rPr>
          <w:i/>
          <w:sz w:val="20"/>
        </w:rPr>
        <w:t>EN: Author Correction: E3 ligase FBXW7 is critical for RIG-I stabilization during antiviral responses</w:t>
      </w:r>
    </w:p>
    <w:p>
      <w:pPr>
        <w:spacing w:before="0" w:after="120"/>
      </w:pPr>
      <w:r>
        <w:rPr>
          <w:b/>
        </w:rPr>
        <w:t xml:space="preserve">Source: </w:t>
      </w:r>
      <w:r>
        <w:t>Nature Communications</w:t>
      </w:r>
      <w:r>
        <w:t xml:space="preserve">    </w:t>
      </w:r>
      <w:r>
        <w:rPr>
          <w:b/>
        </w:rPr>
        <w:t xml:space="preserve">Pub date: </w:t>
      </w:r>
      <w:r>
        <w:t>2026-03-30 00:00:00+00:00</w:t>
      </w:r>
      <w:r>
        <w:t xml:space="preserve">    </w:t>
      </w:r>
      <w:r>
        <w:rPr>
          <w:b/>
        </w:rPr>
        <w:t xml:space="preserve">DOI: </w:t>
      </w:r>
      <w:hyperlink r:id="rId352">
        <w:r>
          <w:rPr>
            <w:color w:val="1155CC"/>
            <w:u w:val="single"/>
          </w:rPr>
          <w:t>10.1038/s41467-026-70926-x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[86] </w:t>
      </w:r>
      <w:hyperlink r:id="rId353">
        <w:r>
          <w:rPr>
            <w:color w:val="1155CC"/>
            <w:u w:val="single"/>
          </w:rPr>
          <w:t>一种可扩展的自纳米乳化方法用于均匀纳米载体</w:t>
        </w:r>
      </w:hyperlink>
    </w:p>
    <w:p>
      <w:pPr>
        <w:spacing w:before="0" w:after="80"/>
      </w:pPr>
      <w:r>
        <w:rPr>
          <w:i/>
          <w:sz w:val="20"/>
        </w:rPr>
        <w:t>EN: A scalable self-nanoemulsification approach to uniform nanocarriers</w:t>
      </w:r>
    </w:p>
    <w:p>
      <w:pPr>
        <w:spacing w:before="0" w:after="120"/>
      </w:pPr>
      <w:r>
        <w:rPr>
          <w:b/>
        </w:rPr>
        <w:t xml:space="preserve">Source: </w:t>
      </w:r>
      <w:r>
        <w:t>Nature Chemical Engineering</w:t>
      </w:r>
      <w:r>
        <w:t xml:space="preserve">    </w:t>
      </w:r>
      <w:r>
        <w:rPr>
          <w:b/>
        </w:rPr>
        <w:t xml:space="preserve">Pub date: </w:t>
      </w:r>
      <w:r>
        <w:t>2026-03-30 00:00:00+00:00</w:t>
      </w:r>
      <w:r>
        <w:t xml:space="preserve">    </w:t>
      </w:r>
      <w:r>
        <w:rPr>
          <w:b/>
        </w:rPr>
        <w:t xml:space="preserve">DOI: </w:t>
      </w:r>
      <w:hyperlink r:id="rId354">
        <w:r>
          <w:rPr>
            <w:color w:val="1155CC"/>
            <w:u w:val="single"/>
          </w:rPr>
          <w:t>10.1038/s44286-026-00370-7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[87] </w:t>
      </w:r>
      <w:hyperlink r:id="rId355">
        <w:r>
          <w:rPr>
            <w:color w:val="1155CC"/>
            <w:u w:val="single"/>
          </w:rPr>
          <w:t>用于人机协作的边缘智能双模离子电子皮肤</w:t>
        </w:r>
      </w:hyperlink>
    </w:p>
    <w:p>
      <w:pPr>
        <w:spacing w:before="0" w:after="80"/>
      </w:pPr>
      <w:r>
        <w:rPr>
          <w:i/>
          <w:sz w:val="20"/>
        </w:rPr>
        <w:t>EN: Edge-intelligent bimodal iontronic skin for human-robot collaboration</w:t>
      </w:r>
    </w:p>
    <w:p>
      <w:pPr>
        <w:spacing w:before="0" w:after="120"/>
      </w:pPr>
      <w:r>
        <w:rPr>
          <w:b/>
        </w:rPr>
        <w:t xml:space="preserve">Source: </w:t>
      </w:r>
      <w:r>
        <w:t>National Science Review Advance Access</w:t>
      </w:r>
      <w:r>
        <w:t xml:space="preserve">    </w:t>
      </w:r>
      <w:r>
        <w:rPr>
          <w:b/>
        </w:rPr>
        <w:t xml:space="preserve">Pub date: </w:t>
      </w:r>
      <w:r>
        <w:t>2026-03-30 00:00:00+00:00</w:t>
      </w:r>
      <w:r>
        <w:t xml:space="preserve">    </w:t>
      </w:r>
      <w:r>
        <w:rPr>
          <w:b/>
        </w:rPr>
        <w:t xml:space="preserve">DOI: </w:t>
      </w:r>
      <w:hyperlink r:id="rId356">
        <w:r>
          <w:rPr>
            <w:color w:val="1155CC"/>
            <w:u w:val="single"/>
          </w:rPr>
          <w:t>10.1093/nsr/nwag194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[88] </w:t>
      </w:r>
      <w:hyperlink r:id="rId357">
        <w:r>
          <w:rPr>
            <w:color w:val="1155CC"/>
            <w:u w:val="single"/>
          </w:rPr>
          <w:t>硒启发的碲纳米药物</w:t>
        </w:r>
      </w:hyperlink>
    </w:p>
    <w:p>
      <w:pPr>
        <w:spacing w:before="0" w:after="80"/>
      </w:pPr>
      <w:r>
        <w:rPr>
          <w:i/>
          <w:sz w:val="20"/>
        </w:rPr>
        <w:t>EN: Selenium-inspired tellurium nanomedicines</w:t>
      </w:r>
    </w:p>
    <w:p>
      <w:pPr>
        <w:spacing w:before="0" w:after="120"/>
      </w:pPr>
      <w:r>
        <w:rPr>
          <w:b/>
        </w:rPr>
        <w:t xml:space="preserve">Source: </w:t>
      </w:r>
      <w:r>
        <w:t>Matter</w:t>
      </w:r>
      <w:r>
        <w:t xml:space="preserve">    </w:t>
      </w:r>
      <w:r>
        <w:rPr>
          <w:b/>
        </w:rPr>
        <w:t xml:space="preserve">Pub date: </w:t>
      </w:r>
      <w:r>
        <w:t>2026-03-30 00:00:00+00:00</w:t>
      </w:r>
      <w:r>
        <w:t xml:space="preserve">    </w:t>
      </w:r>
      <w:r>
        <w:rPr>
          <w:b/>
        </w:rPr>
        <w:t xml:space="preserve">DOI: </w:t>
      </w:r>
      <w:hyperlink r:id="rId358">
        <w:r>
          <w:rPr>
            <w:color w:val="1155CC"/>
            <w:u w:val="single"/>
          </w:rPr>
          <w:t>10.1016/j.matt.2026.102721</w:t>
        </w:r>
      </w:hyperlink>
    </w:p>
    <w:p>
      <w:pPr>
        <w:spacing w:before="0" w:after="120"/>
      </w:pPr>
      <w:r>
        <w:rPr>
          <w:b/>
        </w:rPr>
        <w:t xml:space="preserve">Notes: </w:t>
      </w:r>
      <w:r>
        <w:t>abstract_source=rss_cell</w:t>
      </w:r>
    </w:p>
    <w:p>
      <w:pPr>
        <w:spacing w:before="0" w:after="80" w:lineRule="auto" w:line="276"/>
      </w:pPr>
      <w:r>
        <w:rPr>
          <w:b/>
        </w:rPr>
        <w:t xml:space="preserve">摘要（ZH）: </w:t>
      </w:r>
      <w:r>
        <w:t>碲（Te）作为一种与硒（Se）密切相关的硫族元素，表现出与Se高度相似的物理化学性质，从而激发了其独特的生物应用。然而，关于Te的生物功能、合理设计和生物医学应用的研究仍然相对稀少。因此，以Se为基准，综述系统地阐述了Te的优势，强调了应用前景，识别了新兴机会，并提出了未来研究的深刻方向。</w:t>
      </w:r>
    </w:p>
    <w:p>
      <w:pPr>
        <w:spacing w:before="0" w:after="200" w:lineRule="auto" w:line="276"/>
      </w:pPr>
      <w:r>
        <w:rPr>
          <w:b/>
        </w:rPr>
        <w:t xml:space="preserve">Abstract (EN): </w:t>
      </w:r>
      <w:r>
        <w:t>Tellurium (Te), as a chalcogen closely related to selenium (Se), exhibits highly similar physicochemical properties to Se, thus inspiring its unique biological applications. However, studies regarding the biological functions, rational design, and biomedical applications of Te remain relatively scarce. Hence, referencing Se as a benchmark, the review systematically delineates the advantages of Te, highlights application prospects, identifies emerging opportunities, and proposes insightful directions for future research.</w:t>
      </w:r>
    </w:p>
    <w:p>
      <w:pPr>
        <w:spacing w:before="120" w:after="120"/>
      </w:pPr>
      <w:r>
        <w:rPr>
          <w:sz w:val="18"/>
        </w:rPr>
        <w:t>——————————————————————————————————————————————————————————————————————</w:t>
      </w:r>
    </w:p>
    <w:p>
      <w:pPr>
        <w:spacing w:before="160" w:after="40" w:line="240" w:lineRule="auto"/>
      </w:pPr>
      <w:r>
        <w:rPr>
          <w:b/>
        </w:rPr>
        <w:t xml:space="preserve">[89] </w:t>
      </w:r>
      <w:hyperlink r:id="rId359">
        <w:r>
          <w:rPr>
            <w:color w:val="1155CC"/>
            <w:u w:val="single"/>
          </w:rPr>
          <w:t>水凝胶超结构中的结构辅助化学信号传播</w:t>
        </w:r>
      </w:hyperlink>
    </w:p>
    <w:p>
      <w:pPr>
        <w:spacing w:before="0" w:after="80"/>
      </w:pPr>
      <w:r>
        <w:rPr>
          <w:i/>
          <w:sz w:val="20"/>
        </w:rPr>
        <w:t>EN: Structure-aided chemical signal propagation in hydrogel metastructures</w:t>
      </w:r>
    </w:p>
    <w:p>
      <w:pPr>
        <w:spacing w:before="0" w:after="120"/>
      </w:pPr>
      <w:r>
        <w:rPr>
          <w:b/>
        </w:rPr>
        <w:t xml:space="preserve">Source: </w:t>
      </w:r>
      <w:r>
        <w:t>Matter</w:t>
      </w:r>
      <w:r>
        <w:t xml:space="preserve">    </w:t>
      </w:r>
      <w:r>
        <w:rPr>
          <w:b/>
        </w:rPr>
        <w:t xml:space="preserve">Pub date: </w:t>
      </w:r>
      <w:r>
        <w:t>2026-03-30 00:00:00+00:00</w:t>
      </w:r>
      <w:r>
        <w:t xml:space="preserve">    </w:t>
      </w:r>
      <w:r>
        <w:rPr>
          <w:b/>
        </w:rPr>
        <w:t xml:space="preserve">DOI: </w:t>
      </w:r>
      <w:hyperlink r:id="rId360">
        <w:r>
          <w:rPr>
            <w:color w:val="1155CC"/>
            <w:u w:val="single"/>
          </w:rPr>
          <w:t>10.1016/j.matt.2026.102722</w:t>
        </w:r>
      </w:hyperlink>
    </w:p>
    <w:p>
      <w:pPr>
        <w:spacing w:before="0" w:after="120"/>
      </w:pPr>
      <w:r>
        <w:rPr>
          <w:b/>
        </w:rPr>
        <w:t xml:space="preserve">Notes: </w:t>
      </w:r>
      <w:r>
        <w:t>abstract_source=rss_cell</w:t>
      </w:r>
    </w:p>
    <w:p>
      <w:pPr>
        <w:spacing w:before="0" w:after="80" w:lineRule="auto" w:line="276"/>
      </w:pPr>
      <w:r>
        <w:rPr>
          <w:b/>
        </w:rPr>
        <w:t xml:space="preserve">摘要（ZH）: </w:t>
      </w:r>
      <w:r>
        <w:t>水凝胶超材料的折叠改变了单元之间的接触点，从而改变了化学信号通过这些结构的轨迹。这一现象适用于各种超材料几何形状、化学信号类型和水凝胶成分。超材料结构的反复折叠实时调节化学信号传递，并允许跨越较大距离的跳跃。</w:t>
      </w:r>
    </w:p>
    <w:p>
      <w:pPr>
        <w:spacing w:before="0" w:after="200" w:lineRule="auto" w:line="276"/>
      </w:pPr>
      <w:r>
        <w:rPr>
          <w:b/>
        </w:rPr>
        <w:t xml:space="preserve">Abstract (EN): </w:t>
      </w:r>
      <w:r>
        <w:t>Folding of a hydrogel metamaterial changes contact points between units, which changes trajectories of chemical signals traveling through these structures. This phenomenon is applicable across a variety of metamaterial geometries, types of chemical signals, and hydrogel compositions. Repeated folding of metamaterial structures modulates chemical signaling in real time and allows hopping across large distances.</w:t>
      </w:r>
    </w:p>
    <w:p>
      <w:pPr>
        <w:spacing w:before="120" w:after="120"/>
      </w:pPr>
      <w:r>
        <w:rPr>
          <w:sz w:val="18"/>
        </w:rPr>
        <w:t>——————————————————————————————————————————————————————————————————————</w:t>
      </w:r>
    </w:p>
    <w:p>
      <w:pPr>
        <w:spacing w:before="160" w:after="40" w:line="240" w:lineRule="auto"/>
      </w:pPr>
      <w:r>
        <w:rPr>
          <w:b/>
        </w:rPr>
        <w:t xml:space="preserve">[90] </w:t>
      </w:r>
      <w:hyperlink r:id="rId361">
        <w:r>
          <w:rPr>
            <w:color w:val="1155CC"/>
            <w:u w:val="single"/>
          </w:rPr>
          <w:t>湿润驱动的热冻结印刷方法用于超软硅胶薄膜制造</w:t>
        </w:r>
      </w:hyperlink>
    </w:p>
    <w:p>
      <w:pPr>
        <w:spacing w:before="0" w:after="80"/>
      </w:pPr>
      <w:r>
        <w:rPr>
          <w:i/>
          <w:sz w:val="20"/>
        </w:rPr>
        <w:t>EN: Wetting-driven thermal-freezing printing method for ultra-soft silicone film fabrication</w:t>
      </w:r>
    </w:p>
    <w:p>
      <w:pPr>
        <w:spacing w:before="0" w:after="120"/>
      </w:pPr>
      <w:r>
        <w:rPr>
          <w:b/>
        </w:rPr>
        <w:t xml:space="preserve">Source: </w:t>
      </w:r>
      <w:r>
        <w:t>Matter</w:t>
      </w:r>
      <w:r>
        <w:t xml:space="preserve">    </w:t>
      </w:r>
      <w:r>
        <w:rPr>
          <w:b/>
        </w:rPr>
        <w:t xml:space="preserve">Pub date: </w:t>
      </w:r>
      <w:r>
        <w:t>2026-03-30 00:00:00+00:00</w:t>
      </w:r>
      <w:r>
        <w:t xml:space="preserve">    </w:t>
      </w:r>
      <w:r>
        <w:rPr>
          <w:b/>
        </w:rPr>
        <w:t xml:space="preserve">DOI: </w:t>
      </w:r>
      <w:hyperlink r:id="rId362">
        <w:r>
          <w:rPr>
            <w:color w:val="1155CC"/>
            <w:u w:val="single"/>
          </w:rPr>
          <w:t>10.1016/j.matt.2026.102723</w:t>
        </w:r>
      </w:hyperlink>
    </w:p>
    <w:p>
      <w:pPr>
        <w:spacing w:before="0" w:after="120"/>
      </w:pPr>
      <w:r>
        <w:rPr>
          <w:b/>
        </w:rPr>
        <w:t xml:space="preserve">Notes: </w:t>
      </w:r>
      <w:r>
        <w:t>abstract_source=rss_cell</w:t>
      </w:r>
    </w:p>
    <w:p>
      <w:pPr>
        <w:spacing w:before="0" w:after="80" w:lineRule="auto" w:line="276"/>
      </w:pPr>
      <w:r>
        <w:rPr>
          <w:b/>
        </w:rPr>
        <w:t xml:space="preserve">摘要（ZH）: </w:t>
      </w:r>
      <w:r>
        <w:t>传统的软材料印刷通常试图使材料“停止流动”。在这里，我们采取相反的方法，通过精确设计超软硅胶如何随时间流动、扩散和冻结。通过将曾被视为失败的坍塌转变为可控的成型机制，这项工作使得从超软材料制成的图案化平面薄膜和多层结构成为可能，为柔性和软性设备开辟了一条新的制造途径。</w:t>
      </w:r>
    </w:p>
    <w:p>
      <w:pPr>
        <w:spacing w:before="0" w:after="200" w:lineRule="auto" w:line="276"/>
      </w:pPr>
      <w:r>
        <w:rPr>
          <w:b/>
        </w:rPr>
        <w:t xml:space="preserve">Abstract (EN): </w:t>
      </w:r>
      <w:r>
        <w:t>Traditional soft-material printing usually attempts to make materials “stop flowing.” Here, we take the opposite approach by precisely designing how ultra-soft silicone flows, spreads, and freezes over time. By transforming collapse—once seen as a failure—into a controllable shaping mechanism, this work enables patterned flat films and multilayer structures from ultra-soft materials, opening a new manufacturing pathway for flexible and soft devices.</w:t>
      </w:r>
    </w:p>
    <w:p>
      <w:pPr>
        <w:spacing w:before="120" w:after="120"/>
      </w:pPr>
      <w:r>
        <w:rPr>
          <w:sz w:val="18"/>
        </w:rPr>
        <w:t>——————————————————————————————————————————————————————————————————————</w:t>
      </w:r>
    </w:p>
    <w:p>
      <w:pPr>
        <w:spacing w:before="160" w:after="40" w:line="240" w:lineRule="auto"/>
      </w:pPr>
      <w:r>
        <w:rPr>
          <w:b/>
        </w:rPr>
        <w:t xml:space="preserve">[91] </w:t>
      </w:r>
      <w:hyperlink r:id="rId363">
        <w:r>
          <w:rPr>
            <w:color w:val="1155CC"/>
            <w:u w:val="single"/>
          </w:rPr>
          <w:t>STEER: 使用空间-时间可解释专家模型解耦动力学以推断RNA速度</w:t>
        </w:r>
      </w:hyperlink>
    </w:p>
    <w:p>
      <w:pPr>
        <w:spacing w:before="0" w:after="80"/>
      </w:pPr>
      <w:r>
        <w:rPr>
          <w:i/>
          <w:sz w:val="20"/>
        </w:rPr>
        <w:t>EN: STEER: Decoupling kinetics with Spatial-Temporal Explainable Expert Model for RNA velocity inference</w:t>
      </w:r>
    </w:p>
    <w:p>
      <w:pPr>
        <w:spacing w:before="0" w:after="120"/>
      </w:pPr>
      <w:r>
        <w:rPr>
          <w:b/>
        </w:rPr>
        <w:t xml:space="preserve">Source: </w:t>
      </w:r>
      <w:r>
        <w:t>National Science Review Advance Access</w:t>
      </w:r>
      <w:r>
        <w:t xml:space="preserve">    </w:t>
      </w:r>
      <w:r>
        <w:rPr>
          <w:b/>
        </w:rPr>
        <w:t xml:space="preserve">Pub date: </w:t>
      </w:r>
      <w:r>
        <w:t>2026-03-30 00:00:00+00:00</w:t>
      </w:r>
      <w:r>
        <w:t xml:space="preserve">    </w:t>
      </w:r>
      <w:r>
        <w:rPr>
          <w:b/>
        </w:rPr>
        <w:t xml:space="preserve">DOI: </w:t>
      </w:r>
      <w:hyperlink r:id="rId364">
        <w:r>
          <w:rPr>
            <w:color w:val="1155CC"/>
            <w:u w:val="single"/>
          </w:rPr>
          <w:t>10.1093/nsr/nwag199</w:t>
        </w:r>
      </w:hyperlink>
    </w:p>
    <w:p>
      <w:pPr>
        <w:spacing w:before="0" w:after="120"/>
      </w:pPr>
      <w:r>
        <w:rPr>
          <w:b/>
        </w:rPr>
        <w:t xml:space="preserve">Notes: </w:t>
      </w:r>
      <w:r>
        <w:t>abstract_source=rss_oup</w:t>
      </w:r>
    </w:p>
    <w:p>
      <w:pPr>
        <w:spacing w:before="0" w:after="80" w:lineRule="auto" w:line="276"/>
      </w:pPr>
      <w:r>
        <w:rPr>
          <w:b/>
        </w:rPr>
        <w:t xml:space="preserve">摘要（ZH）: </w:t>
      </w:r>
      <w:r>
        <w:t>RNA速度通过模拟单细胞或空间转录组技术捕获的剪接和未剪接mRNA，为理解细胞状态动态提供了强大的视角。然而，现有方法依赖于限制性的动力学假设，在复杂生物系统组织中常见的异质动力学机制下往往失败。这些限制阻碍了准确推断和解释，特别是在具有动力学混合的空间环境中。在此，我们提出STEER（用于RNA速度推断的空间-时间可解释专家模型），这是一个灵活且可解释的框架，结合了空间信息图注意力自动编码器和动力学引导的专家混合架构。STEER解开了动力学和/或空间混合</w:t>
      </w:r>
    </w:p>
    <w:p>
      <w:pPr>
        <w:spacing w:before="0" w:after="200" w:lineRule="auto" w:line="276"/>
      </w:pPr>
      <w:r>
        <w:rPr>
          <w:b/>
        </w:rPr>
        <w:t xml:space="preserve">Abstract (EN): </w:t>
      </w:r>
      <w:r>
        <w:t>RNA velocity provides a powerful scope for understanding cell state dynamics by modeling spliced and unspliced mRNA captured by single-cell or spatial transcriptomic technologies. However, prevailing methods rely on restrictive kinetic assumptions often fail in the presence of heterogeneous kinetic regimes, which is common in tissues of complex biological systems. These limitations hinder both accurate inference and interpretability, particularly in spatial contexts with kinetic mixing. Here, we present STEER (Spatial-Temporal Explainable Expert model for RNA-velocity inference), a flexible and interpretable framework that integrates spatially informed graph-attention auto-encoder with a kinetically guided mixture-of-experts architecture. STEER disentangles kinetically and/or spatially mixed populations by assigning cells to expert-defined regimes, and infers cell-gene-specific kinetic rates with cell-level latent time. Benchmarking STEER on synthetic and challenging real-world systems, demonstrates its robust performance and enhanced interpretability. Particularly, STEER reveals spatiotemporally complementary immunoregulatory programs at the maternal–fetal interface of mouse uterus. Overall, STEER provides a generalizable and explainable framework for decoding nuanced spatio‑temporal dynamics in complex tissues, offering insight into tissue morphogenesis, lineage specification, and tumor progression.</w:t>
      </w:r>
    </w:p>
    <w:p>
      <w:pPr>
        <w:spacing w:before="120" w:after="120"/>
      </w:pPr>
      <w:r>
        <w:rPr>
          <w:sz w:val="18"/>
        </w:rPr>
        <w:t>——————————————————————————————————————————————————————————————————————</w:t>
      </w:r>
    </w:p>
    <w:p>
      <w:pPr>
        <w:spacing w:before="160" w:after="40" w:line="240" w:lineRule="auto"/>
      </w:pPr>
      <w:r>
        <w:rPr>
          <w:b/>
        </w:rPr>
        <w:t xml:space="preserve">[92] </w:t>
      </w:r>
      <w:hyperlink r:id="rId365">
        <w:r>
          <w:rPr>
            <w:color w:val="1155CC"/>
            <w:u w:val="single"/>
          </w:rPr>
          <w:t>用于从振动光谱中进行无损缺陷识别的基础模型</w:t>
        </w:r>
      </w:hyperlink>
    </w:p>
    <w:p>
      <w:pPr>
        <w:spacing w:before="0" w:after="80"/>
      </w:pPr>
      <w:r>
        <w:rPr>
          <w:i/>
          <w:sz w:val="20"/>
        </w:rPr>
        <w:t>EN: A foundation model for non-destructive defect identification from vibrational spectra</w:t>
      </w:r>
    </w:p>
    <w:p>
      <w:pPr>
        <w:spacing w:before="0" w:after="120"/>
      </w:pPr>
      <w:r>
        <w:rPr>
          <w:b/>
        </w:rPr>
        <w:t xml:space="preserve">Source: </w:t>
      </w:r>
      <w:r>
        <w:t>Matter</w:t>
      </w:r>
      <w:r>
        <w:t xml:space="preserve">    </w:t>
      </w:r>
      <w:r>
        <w:rPr>
          <w:b/>
        </w:rPr>
        <w:t xml:space="preserve">Pub date: </w:t>
      </w:r>
      <w:r>
        <w:t>2026-03-30 00:00:00+00:00</w:t>
      </w:r>
      <w:r>
        <w:t xml:space="preserve">    </w:t>
      </w:r>
      <w:r>
        <w:rPr>
          <w:b/>
        </w:rPr>
        <w:t xml:space="preserve">DOI: </w:t>
      </w:r>
      <w:hyperlink r:id="rId366">
        <w:r>
          <w:rPr>
            <w:color w:val="1155CC"/>
            <w:u w:val="single"/>
          </w:rPr>
          <w:t>10.1016/j.matt.2026.102728</w:t>
        </w:r>
      </w:hyperlink>
    </w:p>
    <w:p>
      <w:pPr>
        <w:spacing w:before="0" w:after="120"/>
      </w:pPr>
      <w:r>
        <w:rPr>
          <w:b/>
        </w:rPr>
        <w:t xml:space="preserve">Notes: </w:t>
      </w:r>
      <w:r>
        <w:t>abstract_source=rss_cell</w:t>
      </w:r>
    </w:p>
    <w:p>
      <w:pPr>
        <w:spacing w:before="0" w:after="80" w:lineRule="auto" w:line="276"/>
      </w:pPr>
      <w:r>
        <w:rPr>
          <w:b/>
        </w:rPr>
        <w:t xml:space="preserve">摘要（ZH）: </w:t>
      </w:r>
      <w:r>
        <w:t>点缺陷决定了半导体和量子材料的性能，但其非破坏性量化仍然难以实现。DefectNet利用振动光谱和物理信息的机器学习框架，直接从声子态密度识别缺陷种类和浓度。该模型在模拟和中子散射数据上得到验证，解决了多种共存掺杂剂的问题，并弥合了模拟与实验之间的差距，推动振动光谱学向自动化缺陷检测迈进。</w:t>
      </w:r>
    </w:p>
    <w:p>
      <w:pPr>
        <w:spacing w:before="0" w:after="200" w:lineRule="auto" w:line="276"/>
      </w:pPr>
      <w:r>
        <w:rPr>
          <w:b/>
        </w:rPr>
        <w:t xml:space="preserve">Abstract (EN): </w:t>
      </w:r>
      <w:r>
        <w:t>Point defects govern the performance of semiconductors and quantum materials, yet their non-destructive quantification remains elusive. DefectNet leverages vibrational spectra and a physics-informed machine learning framework to identify defect species and concentrations directly from phonon density-of-states. Validated on both simulated and neutron-scattering data, the model resolves multiple coexisting dopants and bridges the gap between simulation and experiment, advancing vibrational spectroscopy toward automated defect detection.</w:t>
      </w:r>
    </w:p>
    <w:p>
      <w:pPr>
        <w:spacing w:before="120" w:after="120"/>
      </w:pPr>
      <w:r>
        <w:rPr>
          <w:sz w:val="18"/>
        </w:rPr>
        <w:t>——————————————————————————————————————————————————————————————————————</w:t>
      </w:r>
    </w:p>
    <w:p>
      <w:pPr>
        <w:spacing w:before="160" w:after="40" w:line="240" w:lineRule="auto"/>
      </w:pPr>
      <w:r>
        <w:rPr>
          <w:b/>
        </w:rPr>
        <w:t xml:space="preserve">[93] </w:t>
      </w:r>
      <w:hyperlink r:id="rId367">
        <w:r>
          <w:rPr>
            <w:color w:val="1155CC"/>
            <w:u w:val="single"/>
          </w:rPr>
          <w:t>生成式AI在金属有机框架设计和合成中的崛起</w:t>
        </w:r>
      </w:hyperlink>
    </w:p>
    <w:p>
      <w:pPr>
        <w:spacing w:before="0" w:after="80"/>
      </w:pPr>
      <w:r>
        <w:rPr>
          <w:i/>
          <w:sz w:val="20"/>
        </w:rPr>
        <w:t>EN: The rise of generative AI for metal-organic framework design and synthesis</w:t>
      </w:r>
    </w:p>
    <w:p>
      <w:pPr>
        <w:spacing w:before="0" w:after="120"/>
      </w:pPr>
      <w:r>
        <w:rPr>
          <w:b/>
        </w:rPr>
        <w:t xml:space="preserve">Source: </w:t>
      </w:r>
      <w:r>
        <w:t>Matter</w:t>
      </w:r>
      <w:r>
        <w:t xml:space="preserve">    </w:t>
      </w:r>
      <w:r>
        <w:rPr>
          <w:b/>
        </w:rPr>
        <w:t xml:space="preserve">Pub date: </w:t>
      </w:r>
      <w:r>
        <w:t>2026-03-30 00:00:00+00:00</w:t>
      </w:r>
      <w:r>
        <w:t xml:space="preserve">    </w:t>
      </w:r>
      <w:r>
        <w:rPr>
          <w:b/>
        </w:rPr>
        <w:t xml:space="preserve">DOI: </w:t>
      </w:r>
      <w:hyperlink r:id="rId368">
        <w:r>
          <w:rPr>
            <w:color w:val="1155CC"/>
            <w:u w:val="single"/>
          </w:rPr>
          <w:t>10.1016/j.matt.2026.102748</w:t>
        </w:r>
      </w:hyperlink>
    </w:p>
    <w:p>
      <w:pPr>
        <w:spacing w:before="0" w:after="120"/>
      </w:pPr>
      <w:r>
        <w:rPr>
          <w:b/>
        </w:rPr>
        <w:t xml:space="preserve">Notes: </w:t>
      </w:r>
      <w:r>
        <w:t>abstract_source=rss_cell</w:t>
      </w:r>
    </w:p>
    <w:p>
      <w:pPr>
        <w:spacing w:before="0" w:after="80" w:lineRule="auto" w:line="276"/>
      </w:pPr>
      <w:r>
        <w:rPr>
          <w:b/>
        </w:rPr>
        <w:t xml:space="preserve">摘要（ZH）: </w:t>
      </w:r>
      <w:r>
        <w:t>这一观点概述了生成式AI（从扩散模型到基于语言的AI代理）如何将金属有机框架的发现从缓慢的筛选转向有针对性的设计。它强调了将计算与自动化实验相结合对加速探索能源和环境应用中难以获取的材料的影响。</w:t>
      </w:r>
    </w:p>
    <w:p>
      <w:pPr>
        <w:spacing w:before="0" w:after="200" w:lineRule="auto" w:line="276"/>
      </w:pPr>
      <w:r>
        <w:rPr>
          <w:b/>
        </w:rPr>
        <w:t xml:space="preserve">Abstract (EN): </w:t>
      </w:r>
      <w:r>
        <w:t>This perspective outlines how generative AI, from diffusion models to language-based AI agents, is shifting metal-organic framework discovery from slow screening to targeted design. It highlights the influence of coupling computation with automated experiments on accelerating the exploration of otherwise difficult-to-access materials for energy and environmental applications.</w:t>
      </w:r>
    </w:p>
    <w:p>
      <w:pPr>
        <w:spacing w:before="120" w:after="120"/>
      </w:pPr>
      <w:r>
        <w:rPr>
          <w:sz w:val="18"/>
        </w:rPr>
        <w:t>——————————————————————————————————————————————————————————————————————</w:t>
      </w:r>
    </w:p>
    <w:p>
      <w:pPr>
        <w:spacing w:before="160" w:after="40" w:line="240" w:lineRule="auto"/>
      </w:pPr>
      <w:r>
        <w:rPr>
          <w:b/>
        </w:rPr>
        <w:t xml:space="preserve">[94] </w:t>
      </w:r>
      <w:hyperlink r:id="rId369">
        <w:r>
          <w:rPr>
            <w:color w:val="1155CC"/>
            <w:u w:val="single"/>
          </w:rPr>
          <w:t>含贵金属的MAX相及其衍生物</w:t>
        </w:r>
      </w:hyperlink>
    </w:p>
    <w:p>
      <w:pPr>
        <w:spacing w:before="0" w:after="80"/>
      </w:pPr>
      <w:r>
        <w:rPr>
          <w:i/>
          <w:sz w:val="20"/>
        </w:rPr>
        <w:t>EN: Noble metal-containing MAX phase and its derivatives</w:t>
      </w:r>
    </w:p>
    <w:p>
      <w:pPr>
        <w:spacing w:before="0" w:after="120"/>
      </w:pPr>
      <w:r>
        <w:rPr>
          <w:b/>
        </w:rPr>
        <w:t xml:space="preserve">Source: </w:t>
      </w:r>
      <w:r>
        <w:t>Matter</w:t>
      </w:r>
      <w:r>
        <w:t xml:space="preserve">    </w:t>
      </w:r>
      <w:r>
        <w:rPr>
          <w:b/>
        </w:rPr>
        <w:t xml:space="preserve">Pub date: </w:t>
      </w:r>
      <w:r>
        <w:t>2026-03-30 00:00:00+00:00</w:t>
      </w:r>
      <w:r>
        <w:t xml:space="preserve">    </w:t>
      </w:r>
      <w:r>
        <w:rPr>
          <w:b/>
        </w:rPr>
        <w:t xml:space="preserve">DOI: </w:t>
      </w:r>
      <w:hyperlink r:id="rId370">
        <w:r>
          <w:rPr>
            <w:color w:val="1155CC"/>
            <w:u w:val="single"/>
          </w:rPr>
          <w:t>10.1016/j.matt.2026.102752</w:t>
        </w:r>
      </w:hyperlink>
    </w:p>
    <w:p>
      <w:pPr>
        <w:spacing w:before="0" w:after="120"/>
      </w:pPr>
      <w:r>
        <w:rPr>
          <w:b/>
        </w:rPr>
        <w:t xml:space="preserve">Notes: </w:t>
      </w:r>
      <w:r>
        <w:t>abstract_source=rss_cell</w:t>
      </w:r>
    </w:p>
    <w:p>
      <w:pPr>
        <w:spacing w:before="0" w:after="80" w:lineRule="auto" w:line="276"/>
      </w:pPr>
      <w:r>
        <w:rPr>
          <w:b/>
        </w:rPr>
        <w:t xml:space="preserve">摘要（ZH）: </w:t>
      </w:r>
      <w:r>
        <w:t>含贵金属的MAX相（层状碳化物/氮化物）和MXene衍生物结合了M-X骨架与贵金属的催化/电子特性。本文综述了拓扑A位修饰策略和MXene贵金属键合途径，强调了增强的电荷转移、稳定性和应用，以及未来可扩展的先进催化剂/设备设计。</w:t>
      </w:r>
    </w:p>
    <w:p>
      <w:pPr>
        <w:spacing w:before="0" w:after="200" w:lineRule="auto" w:line="276"/>
      </w:pPr>
      <w:r>
        <w:rPr>
          <w:b/>
        </w:rPr>
        <w:t xml:space="preserve">Abstract (EN): </w:t>
      </w:r>
      <w:r>
        <w:t>Noble metal-containing MAX phases (layered carbides/nitrides) and MXene derivatives combine M-X scaffolds with noble metals’ catalytic/electronic properties. This review covers topotactic A site modification strategies and MXene noble metal bonding pathways, highlighting enhanced charge transfer, stability, and applications, as well as future scalable design for advanced catalysts/devices.</w:t>
      </w:r>
    </w:p>
    <w:p>
      <w:pPr>
        <w:spacing w:before="120" w:after="120"/>
      </w:pPr>
      <w:r>
        <w:rPr>
          <w:sz w:val="18"/>
        </w:rPr>
        <w:t>——————————————————————————————————————————————————————————————————————</w:t>
      </w:r>
    </w:p>
    <w:p>
      <w:pPr>
        <w:spacing w:before="160" w:after="40" w:line="240" w:lineRule="auto"/>
      </w:pPr>
      <w:r>
        <w:rPr>
          <w:b/>
        </w:rPr>
        <w:t xml:space="preserve">[95] </w:t>
      </w:r>
      <w:hyperlink r:id="rId371">
        <w:r>
          <w:rPr>
            <w:color w:val="1155CC"/>
            <w:u w:val="single"/>
          </w:rPr>
          <w:t>用于可扩展生物样本冷冻保存的液态金属冷冻保护剂</w:t>
        </w:r>
      </w:hyperlink>
    </w:p>
    <w:p>
      <w:pPr>
        <w:spacing w:before="0" w:after="80"/>
      </w:pPr>
      <w:r>
        <w:rPr>
          <w:i/>
          <w:sz w:val="20"/>
        </w:rPr>
        <w:t>EN: Liquid metal cryoprotectants for scalable biosamples cryopreservation</w:t>
      </w:r>
    </w:p>
    <w:p>
      <w:pPr>
        <w:spacing w:before="0" w:after="120"/>
      </w:pPr>
      <w:r>
        <w:rPr>
          <w:b/>
        </w:rPr>
        <w:t xml:space="preserve">Source: </w:t>
      </w:r>
      <w:r>
        <w:t>Matter</w:t>
      </w:r>
      <w:r>
        <w:t xml:space="preserve">    </w:t>
      </w:r>
      <w:r>
        <w:rPr>
          <w:b/>
        </w:rPr>
        <w:t xml:space="preserve">Pub date: </w:t>
      </w:r>
      <w:r>
        <w:t>2026-03-30 00:00:00+00:00</w:t>
      </w:r>
      <w:r>
        <w:t xml:space="preserve">    </w:t>
      </w:r>
      <w:r>
        <w:rPr>
          <w:b/>
        </w:rPr>
        <w:t xml:space="preserve">DOI: </w:t>
      </w:r>
      <w:hyperlink r:id="rId372">
        <w:r>
          <w:rPr>
            <w:color w:val="1155CC"/>
            <w:u w:val="single"/>
          </w:rPr>
          <w:t>10.1016/j.matt.2026.102764</w:t>
        </w:r>
      </w:hyperlink>
    </w:p>
    <w:p>
      <w:pPr>
        <w:spacing w:before="0" w:after="120"/>
      </w:pPr>
      <w:r>
        <w:rPr>
          <w:b/>
        </w:rPr>
        <w:t xml:space="preserve">Notes: </w:t>
      </w:r>
      <w:r>
        <w:t>abstract_source=rss_cell</w:t>
      </w:r>
    </w:p>
    <w:p>
      <w:pPr>
        <w:spacing w:before="0" w:after="80" w:lineRule="auto" w:line="276"/>
      </w:pPr>
      <w:r>
        <w:rPr>
          <w:b/>
        </w:rPr>
        <w:t xml:space="preserve">摘要（ZH）: </w:t>
      </w:r>
      <w:r>
        <w:t>本研究介绍了一种液态金属冷冻保护剂介导的介入增强传热方法，用于快速且均匀地复温可扩展的生物样本。通过使用高导热性的液态金属冷冻保护剂，界面和接触热阻大幅降低。结合表面和体积效应，实现了优越且协同的传热。这一突破显著提高了组织的存活率，并实现了首次成功移植玻璃化的兔肾，为大规模器官储存铺平了道路。</w:t>
      </w:r>
    </w:p>
    <w:p>
      <w:pPr>
        <w:spacing w:before="0" w:after="200" w:lineRule="auto" w:line="276"/>
      </w:pPr>
      <w:r>
        <w:rPr>
          <w:b/>
        </w:rPr>
        <w:t xml:space="preserve">Abstract (EN): </w:t>
      </w:r>
      <w:r>
        <w:t>This study introduces a liquid metal cryoprotectant-mediated interventional enhanced heat transfer method to rapidly and uniformly rewarm scalable biosamples. By using highly thermal-conductive liquid metal cryoprotectants, interfacial and contact thermal resistance are drastically reduced. With both surface and volumetric effects, superior and synergetic heat transfer is realized. This breakthrough significantly improved tissue viability and enabled the first successful transplantation of a vitrified rabbit kidney, paving the way for large-scale organ banking.</w:t>
      </w:r>
    </w:p>
    <w:p>
      <w:pPr>
        <w:spacing w:before="120" w:after="120"/>
      </w:pPr>
      <w:r>
        <w:rPr>
          <w:sz w:val="18"/>
        </w:rPr>
        <w:t>——————————————————————————————————————————————————————————————————————</w:t>
      </w:r>
    </w:p>
    <w:p>
      <w:pPr>
        <w:spacing w:before="160" w:after="40" w:line="240" w:lineRule="auto"/>
      </w:pPr>
      <w:r>
        <w:rPr>
          <w:b/>
        </w:rPr>
        <w:t xml:space="preserve">[96] </w:t>
      </w:r>
      <w:hyperlink r:id="rId373">
        <w:r>
          <w:rPr>
            <w:color w:val="1155CC"/>
            <w:u w:val="single"/>
          </w:rPr>
          <w:t>通过超分辨率光学显微镜照明微观结构如何控制超分子水凝胶的机械性能</w:t>
        </w:r>
      </w:hyperlink>
    </w:p>
    <w:p>
      <w:pPr>
        <w:spacing w:before="0" w:after="80"/>
      </w:pPr>
      <w:r>
        <w:rPr>
          <w:i/>
          <w:sz w:val="20"/>
        </w:rPr>
        <w:t>EN: Illuminating how microstructure controls mechanical properties in supramolecular hydrogels via super-resolution optical microscopy</w:t>
      </w:r>
    </w:p>
    <w:p>
      <w:pPr>
        <w:spacing w:before="0" w:after="120"/>
      </w:pPr>
      <w:r>
        <w:rPr>
          <w:b/>
        </w:rPr>
        <w:t xml:space="preserve">Source: </w:t>
      </w:r>
      <w:r>
        <w:t>Matter</w:t>
      </w:r>
      <w:r>
        <w:t xml:space="preserve">    </w:t>
      </w:r>
      <w:r>
        <w:rPr>
          <w:b/>
        </w:rPr>
        <w:t xml:space="preserve">Pub date: </w:t>
      </w:r>
      <w:r>
        <w:t>2026-03-30 00:00:00+00:00</w:t>
      </w:r>
      <w:r>
        <w:t xml:space="preserve">    </w:t>
      </w:r>
      <w:r>
        <w:rPr>
          <w:b/>
        </w:rPr>
        <w:t xml:space="preserve">DOI: </w:t>
      </w:r>
      <w:hyperlink r:id="rId374">
        <w:r>
          <w:rPr>
            <w:color w:val="1155CC"/>
            <w:u w:val="single"/>
          </w:rPr>
          <w:t>10.1016/j.matt.2026.102720</w:t>
        </w:r>
      </w:hyperlink>
    </w:p>
    <w:p>
      <w:pPr>
        <w:spacing w:before="0" w:after="120"/>
      </w:pPr>
      <w:r>
        <w:rPr>
          <w:b/>
        </w:rPr>
        <w:t xml:space="preserve">Notes: </w:t>
      </w:r>
      <w:r>
        <w:t>abstract_source=rss_cell</w:t>
      </w:r>
    </w:p>
    <w:p>
      <w:pPr>
        <w:spacing w:before="0" w:after="80" w:lineRule="auto" w:line="276"/>
      </w:pPr>
      <w:r>
        <w:rPr>
          <w:b/>
        </w:rPr>
        <w:t xml:space="preserve">摘要（ZH）: </w:t>
      </w:r>
      <w:r>
        <w:t>这项工作利用超分辨率显微镜解析聚合物-纳米颗粒（PNP）水凝胶的微观结构。通过空间统计分析和流变学表征的先进显微镜技术描述了在α-环糊精（αCD）存在下PNP水凝胶力学性能增强的结构变化。超分子添加剂引起纳米颗粒从均匀分布到聚集的变化，这与流变性能的提高有关。时间分析进一步将结构变化与材料老化和聚集动力学联系起来。</w:t>
      </w:r>
    </w:p>
    <w:p>
      <w:pPr>
        <w:spacing w:before="0" w:after="200" w:lineRule="auto" w:line="276"/>
      </w:pPr>
      <w:r>
        <w:rPr>
          <w:b/>
        </w:rPr>
        <w:t xml:space="preserve">Abstract (EN): </w:t>
      </w:r>
      <w:r>
        <w:t>This work leverages super-resolution microscopy to resolve the microstructure of polymer-nanoparticle (PNP) hydrogels. Advanced microscopy with spatial statistical analysis and rheological characterization describes structural changes that reinforce mechanics of the PNP hydrogels in the presence of α-cyclodextrin (αCD). The supramolecular additive induces a change from a homogenous distribution of nanoparticles to aggregates, which are associated with the increase rheological properties. Temporal analysis further links structural changes to material aging and aggregation kinetics.</w:t>
      </w:r>
    </w:p>
    <w:p>
      <w:pPr>
        <w:spacing w:before="120" w:after="120"/>
      </w:pPr>
      <w:r>
        <w:rPr>
          <w:sz w:val="18"/>
        </w:rPr>
        <w:t>——————————————————————————————————————————————————————————————————————</w:t>
      </w:r>
    </w:p>
    <w:p>
      <w:pPr>
        <w:spacing w:before="160" w:after="40" w:line="240" w:lineRule="auto"/>
      </w:pPr>
      <w:r>
        <w:rPr>
          <w:b/>
        </w:rPr>
        <w:t xml:space="preserve">[97] </w:t>
      </w:r>
      <w:hyperlink r:id="rId375">
        <w:r>
          <w:rPr>
            <w:color w:val="1155CC"/>
            <w:u w:val="single"/>
          </w:rPr>
          <w:t>耦合自旋量子比特的射频级联读出</w:t>
        </w:r>
      </w:hyperlink>
    </w:p>
    <w:p>
      <w:pPr>
        <w:spacing w:before="0" w:after="80"/>
      </w:pPr>
      <w:r>
        <w:rPr>
          <w:i/>
          <w:sz w:val="20"/>
        </w:rPr>
        <w:t>EN: Radiofrequency cascade readout of coupled spin qubits</w:t>
      </w:r>
    </w:p>
    <w:p>
      <w:pPr>
        <w:spacing w:before="0" w:after="120"/>
      </w:pPr>
      <w:r>
        <w:rPr>
          <w:b/>
        </w:rPr>
        <w:t xml:space="preserve">Source: </w:t>
      </w:r>
      <w:r>
        <w:t>Nature Electronics</w:t>
      </w:r>
      <w:r>
        <w:t xml:space="preserve">    </w:t>
      </w:r>
      <w:r>
        <w:rPr>
          <w:b/>
        </w:rPr>
        <w:t xml:space="preserve">Pub date: </w:t>
      </w:r>
      <w:r>
        <w:t>2026-03-30 00:00:00+00:00</w:t>
      </w:r>
      <w:r>
        <w:t xml:space="preserve">    </w:t>
      </w:r>
      <w:r>
        <w:rPr>
          <w:b/>
        </w:rPr>
        <w:t xml:space="preserve">DOI: </w:t>
      </w:r>
      <w:hyperlink r:id="rId376">
        <w:r>
          <w:rPr>
            <w:color w:val="1155CC"/>
            <w:u w:val="single"/>
          </w:rPr>
          <w:t>10.1038/s41928-026-01582-8</w:t>
        </w:r>
      </w:hyperlink>
    </w:p>
    <w:p>
      <w:pPr>
        <w:spacing w:before="0" w:after="120"/>
      </w:pPr>
      <w:r>
        <w:rPr>
          <w:b/>
        </w:rPr>
        <w:t xml:space="preserve">Notes: </w:t>
      </w:r>
      <w:r>
        <w:t>abstract_source=nature_html</w:t>
      </w:r>
    </w:p>
    <w:p>
      <w:pPr>
        <w:spacing w:before="0" w:after="80" w:lineRule="auto" w:line="276"/>
      </w:pPr>
      <w:r>
        <w:rPr>
          <w:b/>
        </w:rPr>
        <w:t xml:space="preserve">摘要（ZH）: </w:t>
      </w:r>
      <w:r>
        <w:t>基于金属-氧化物-半导体（MOS）技术的硅自旋量子比特与半导体制造兼容，提供了一条可扩展量子处理的途径。然而，自旋读出通常依赖于邻近电荷传感器，这增加了架构复杂性并限制了量子比特的连接性。原位色散读出技术更为紧凑，可以缓解这些限制，但表现出有限的灵敏度。在此，我们报告了一种射频电子级联读出方法，通过交流电子共隧穿增强色散信号。通过这种方法，我们实现了信噪比超过35 dB的增强，导致最小积分时间为7.6 ± 0.2 µs。我们展示了自然状态下两个电子自旋的单重态-三重态读出。</w:t>
      </w:r>
    </w:p>
    <w:p>
      <w:pPr>
        <w:spacing w:before="0" w:after="200" w:lineRule="auto" w:line="276"/>
      </w:pPr>
      <w:r>
        <w:rPr>
          <w:b/>
        </w:rPr>
        <w:t xml:space="preserve">Abstract (EN): </w:t>
      </w:r>
      <w:r>
        <w:t>Silicon spin qubits based on metal–oxide–semiconductor (MOS) technology are compatible with semiconductor manufacturing and offer a route to scalable quantum processing. However, spin readout typically relies on proximal charge sensors, which add architectural complexity and limit qubit connectivity. In situ dispersive readout techniques are more compact, which can alleviate these constrains, but exhibit limited sensitivity. Here we report a radiofrequency electron-cascade readout method that enhances the dispersive signal through alternating-current electron co-tunnelling. With this approach, we achieve an enhancement in signal-to-noise ratio of more than 35 dB, leading to a minimum integration time of 7.6 ± 0.2 µs. We demonstrate singlet-triplet readout of two-electron spins in a natural silicon planar MOS quantum dot array, and coherent spin control using the exchange interaction, which forms the basis for entangling gates. We find dephasing times of up to 500 ns and a gate quality factor that exceeds 10.</w:t>
      </w:r>
    </w:p>
    <w:p>
      <w:pPr>
        <w:spacing w:before="120" w:after="120"/>
      </w:pPr>
      <w:r>
        <w:rPr>
          <w:sz w:val="18"/>
        </w:rPr>
        <w:t>——————————————————————————————————————————————————————————————————————</w:t>
      </w:r>
    </w:p>
    <w:p>
      <w:pPr>
        <w:spacing w:before="160" w:after="40" w:line="240" w:lineRule="auto"/>
      </w:pPr>
      <w:r>
        <w:rPr>
          <w:b/>
        </w:rPr>
        <w:t xml:space="preserve">[98] </w:t>
      </w:r>
      <w:hyperlink r:id="rId377">
        <w:r>
          <w:rPr>
            <w:color w:val="1155CC"/>
            <w:u w:val="single"/>
          </w:rPr>
          <w:t>解开量子计算的挑战</w:t>
        </w:r>
      </w:hyperlink>
    </w:p>
    <w:p>
      <w:pPr>
        <w:spacing w:before="0" w:after="80"/>
      </w:pPr>
      <w:r>
        <w:rPr>
          <w:i/>
          <w:sz w:val="20"/>
        </w:rPr>
        <w:t>EN: Untangling the challenges of quantum computing</w:t>
      </w:r>
    </w:p>
    <w:p>
      <w:pPr>
        <w:spacing w:before="0" w:after="120"/>
      </w:pPr>
      <w:r>
        <w:rPr>
          <w:b/>
        </w:rPr>
        <w:t xml:space="preserve">Source: </w:t>
      </w:r>
      <w:r>
        <w:t>Nature Electronics</w:t>
      </w:r>
      <w:r>
        <w:t xml:space="preserve">    </w:t>
      </w:r>
      <w:r>
        <w:rPr>
          <w:b/>
        </w:rPr>
        <w:t xml:space="preserve">Pub date: </w:t>
      </w:r>
      <w:r>
        <w:t>2026-03-30 00:00:00+00:00</w:t>
      </w:r>
      <w:r>
        <w:t xml:space="preserve">    </w:t>
      </w:r>
      <w:r>
        <w:rPr>
          <w:b/>
        </w:rPr>
        <w:t xml:space="preserve">DOI: </w:t>
      </w:r>
      <w:hyperlink r:id="rId378">
        <w:r>
          <w:rPr>
            <w:color w:val="1155CC"/>
            <w:u w:val="single"/>
          </w:rPr>
          <w:t>10.1038/s41928-026-01607-2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[99] </w:t>
      </w:r>
      <w:hyperlink r:id="rId379">
        <w:r>
          <w:rPr>
            <w:color w:val="1155CC"/>
            <w:u w:val="single"/>
          </w:rPr>
          <w:t>通过最大噪声直接测量电催化剂活性</w:t>
        </w:r>
      </w:hyperlink>
    </w:p>
    <w:p>
      <w:pPr>
        <w:spacing w:before="0" w:after="80"/>
      </w:pPr>
      <w:r>
        <w:rPr>
          <w:i/>
          <w:sz w:val="20"/>
        </w:rPr>
        <w:t>EN: Direct measurement of electrocatalyst activity through maximum noise</w:t>
      </w:r>
    </w:p>
    <w:p>
      <w:pPr>
        <w:spacing w:before="0" w:after="120"/>
      </w:pPr>
      <w:r>
        <w:rPr>
          <w:b/>
        </w:rPr>
        <w:t xml:space="preserve">Source: </w:t>
      </w:r>
      <w:r>
        <w:t>Joule</w:t>
      </w:r>
      <w:r>
        <w:t xml:space="preserve">    </w:t>
      </w:r>
      <w:r>
        <w:rPr>
          <w:b/>
        </w:rPr>
        <w:t xml:space="preserve">Pub date: </w:t>
      </w:r>
      <w:r>
        <w:t>2026-03-30 00:00:00+00:00</w:t>
      </w:r>
      <w:r>
        <w:t xml:space="preserve">    </w:t>
      </w:r>
      <w:r>
        <w:rPr>
          <w:b/>
        </w:rPr>
        <w:t xml:space="preserve">DOI: </w:t>
      </w:r>
      <w:hyperlink r:id="rId380">
        <w:r>
          <w:rPr>
            <w:color w:val="1155CC"/>
            <w:u w:val="single"/>
          </w:rPr>
          <w:t>10.1016/j.joule.2026.102386</w:t>
        </w:r>
      </w:hyperlink>
    </w:p>
    <w:p>
      <w:pPr>
        <w:spacing w:before="0" w:after="120"/>
      </w:pPr>
      <w:r>
        <w:rPr>
          <w:b/>
        </w:rPr>
        <w:t xml:space="preserve">Notes: </w:t>
      </w:r>
      <w:r>
        <w:t>abstract_source=rss_cell</w:t>
      </w:r>
    </w:p>
    <w:p>
      <w:pPr>
        <w:spacing w:before="0" w:after="80" w:lineRule="auto" w:line="276"/>
      </w:pPr>
      <w:r>
        <w:rPr>
          <w:b/>
        </w:rPr>
        <w:t xml:space="preserve">摘要（ZH）: </w:t>
      </w:r>
      <w:r>
        <w:t>电化学电流的波动提供了直接测量电催化剂活性的方法，这一指标通常通过外推法确定。利用电流波动量化了在各种浓度、速率常数和反应条件下催化剂的动力学，并提供了氢析出反应真实动力学速率常数的测量。</w:t>
      </w:r>
    </w:p>
    <w:p>
      <w:pPr>
        <w:spacing w:before="0" w:after="200" w:lineRule="auto" w:line="276"/>
      </w:pPr>
      <w:r>
        <w:rPr>
          <w:b/>
        </w:rPr>
        <w:t xml:space="preserve">Abstract (EN): </w:t>
      </w:r>
      <w:r>
        <w:t>Fluctuations in electrochemical current provide the means to directly measure electrocatalyst activity, a metric commonly determined via extrapolation. Current fluctuations were leveraged to quantify catalyst kinetics across a variety of concentrations, rate constants, and reactions and provided a measurement of the true kinetic rate constant of the hydrogen evolution reaction.</w:t>
      </w:r>
    </w:p>
    <w:p>
      <w:pPr>
        <w:spacing w:before="120" w:after="120"/>
      </w:pPr>
      <w:r>
        <w:rPr>
          <w:sz w:val="18"/>
        </w:rPr>
        <w:t>——————————————————————————————————————————————————————————————————————</w:t>
      </w:r>
    </w:p>
    <w:p>
      <w:pPr>
        <w:spacing w:before="160" w:after="40" w:line="240" w:lineRule="auto"/>
      </w:pPr>
      <w:r>
        <w:rPr>
          <w:b/>
        </w:rPr>
        <w:t xml:space="preserve">[100] </w:t>
      </w:r>
      <w:hyperlink r:id="rId381">
        <w:r>
          <w:rPr>
            <w:color w:val="1155CC"/>
            <w:u w:val="single"/>
          </w:rPr>
          <w:t>在超薄铁电Hf0.5Zr0.5O2薄膜中电阻切换行为对极化反转的解耦效应</w:t>
        </w:r>
      </w:hyperlink>
    </w:p>
    <w:p>
      <w:pPr>
        <w:spacing w:before="0" w:after="80"/>
      </w:pPr>
      <w:r>
        <w:rPr>
          <w:i/>
          <w:sz w:val="20"/>
        </w:rPr>
        <w:t>EN: Decoupling effects of the resistive-switching behavior on the polarization reversal in ultrathin ferroelectric Hf0.5Zr0.5O2 films</w:t>
      </w:r>
    </w:p>
    <w:p>
      <w:pPr>
        <w:spacing w:before="0" w:after="120"/>
      </w:pPr>
      <w:r>
        <w:rPr>
          <w:b/>
        </w:rPr>
        <w:t xml:space="preserve">Source: </w:t>
      </w:r>
      <w:r>
        <w:t>Matter</w:t>
      </w:r>
      <w:r>
        <w:t xml:space="preserve">    </w:t>
      </w:r>
      <w:r>
        <w:rPr>
          <w:b/>
        </w:rPr>
        <w:t xml:space="preserve">Pub date: </w:t>
      </w:r>
      <w:r>
        <w:t>2026-03-30 00:00:00+00:00</w:t>
      </w:r>
      <w:r>
        <w:t xml:space="preserve">    </w:t>
      </w:r>
      <w:r>
        <w:rPr>
          <w:b/>
        </w:rPr>
        <w:t xml:space="preserve">DOI: </w:t>
      </w:r>
      <w:hyperlink r:id="rId382">
        <w:r>
          <w:rPr>
            <w:color w:val="1155CC"/>
            <w:u w:val="single"/>
          </w:rPr>
          <w:t>10.1016/j.matt.2026.102726</w:t>
        </w:r>
      </w:hyperlink>
    </w:p>
    <w:p>
      <w:pPr>
        <w:spacing w:before="0" w:after="120"/>
      </w:pPr>
      <w:r>
        <w:rPr>
          <w:b/>
        </w:rPr>
        <w:t xml:space="preserve">Notes: </w:t>
      </w:r>
      <w:r>
        <w:t>abstract_source=rss_cell</w:t>
      </w:r>
    </w:p>
    <w:p>
      <w:pPr>
        <w:spacing w:before="0" w:after="80" w:lineRule="auto" w:line="276"/>
      </w:pPr>
      <w:r>
        <w:rPr>
          <w:b/>
        </w:rPr>
        <w:t xml:space="preserve">摘要（ZH）: </w:t>
      </w:r>
      <w:r>
        <w:t>超薄HfO2器件中电阻和铁电开关的耦合使铁电特性表征复杂化，并限制了器件的耐久性。通过定制的脉冲工程，本研究解耦了这些现象，确定氧空位迁移是导致极化值夸大和器件失效的主要原因。我们提出了有效的策略来抑制电阻伪影，为准确评估内在铁电性能和提高下一代铁电存储器的可靠性铺平了道路。</w:t>
      </w:r>
    </w:p>
    <w:p>
      <w:pPr>
        <w:spacing w:before="0" w:after="200" w:lineRule="auto" w:line="276"/>
      </w:pPr>
      <w:r>
        <w:rPr>
          <w:b/>
        </w:rPr>
        <w:t xml:space="preserve">Abstract (EN): </w:t>
      </w:r>
      <w:r>
        <w:t>The coupling of resistive and ferroelectric switching in ultrathin HfO2 devices complicates ferroelectric characterization and limits device endurance. Through tailored pulse engineering, this study decouples these phenomena, pinpointing oxygen vacancy migration as the main cause of exaggerated polarization values and device failure. We present effective strategies to suppress resistive artifacts, paving the way for accurate assessment of intrinsic ferroelectric performances and improved reliability in next-generation ferroelectric memories.</w:t>
      </w:r>
    </w:p>
    <w:p>
      <w:pPr>
        <w:spacing w:before="120" w:after="120"/>
      </w:pPr>
      <w:r>
        <w:rPr>
          <w:sz w:val="18"/>
        </w:rPr>
        <w:t>——————————————————————————————————————————————————————————————————————</w:t>
      </w:r>
    </w:p>
    <w:p>
      <w:pPr>
        <w:spacing w:before="160" w:after="40" w:line="240" w:lineRule="auto"/>
      </w:pPr>
      <w:r>
        <w:rPr>
          <w:b/>
        </w:rPr>
        <w:t xml:space="preserve">[101] </w:t>
      </w:r>
      <w:hyperlink r:id="rId383">
        <w:r>
          <w:rPr>
            <w:color w:val="1155CC"/>
            <w:u w:val="single"/>
          </w:rPr>
          <w:t>通过热机械编程增强聚氨酯基相变材料的稳健焓</w:t>
        </w:r>
      </w:hyperlink>
    </w:p>
    <w:p>
      <w:pPr>
        <w:spacing w:before="0" w:after="80"/>
      </w:pPr>
      <w:r>
        <w:rPr>
          <w:i/>
          <w:sz w:val="20"/>
        </w:rPr>
        <w:t>EN: Robust enthalpy enhancement of polyurethane-based phase change materials via thermomechanical programming</w:t>
      </w:r>
    </w:p>
    <w:p>
      <w:pPr>
        <w:spacing w:before="0" w:after="120"/>
      </w:pPr>
      <w:r>
        <w:rPr>
          <w:b/>
        </w:rPr>
        <w:t xml:space="preserve">Source: </w:t>
      </w:r>
      <w:r>
        <w:t>Joule</w:t>
      </w:r>
      <w:r>
        <w:t xml:space="preserve">    </w:t>
      </w:r>
      <w:r>
        <w:rPr>
          <w:b/>
        </w:rPr>
        <w:t xml:space="preserve">Pub date: </w:t>
      </w:r>
      <w:r>
        <w:t>2026-03-30 00:00:00+00:00</w:t>
      </w:r>
      <w:r>
        <w:t xml:space="preserve">    </w:t>
      </w:r>
      <w:r>
        <w:rPr>
          <w:b/>
        </w:rPr>
        <w:t xml:space="preserve">DOI: </w:t>
      </w:r>
      <w:hyperlink r:id="rId384">
        <w:r>
          <w:rPr>
            <w:color w:val="1155CC"/>
            <w:u w:val="single"/>
          </w:rPr>
          <w:t>10.1016/j.joule.2026.102399</w:t>
        </w:r>
      </w:hyperlink>
    </w:p>
    <w:p>
      <w:pPr>
        <w:spacing w:before="0" w:after="120"/>
      </w:pPr>
      <w:r>
        <w:rPr>
          <w:b/>
        </w:rPr>
        <w:t xml:space="preserve">Notes: </w:t>
      </w:r>
      <w:r>
        <w:t>abstract_source=rss_cell</w:t>
      </w:r>
    </w:p>
    <w:p>
      <w:pPr>
        <w:spacing w:before="0" w:after="80" w:lineRule="auto" w:line="276"/>
      </w:pPr>
      <w:r>
        <w:rPr>
          <w:b/>
        </w:rPr>
        <w:t xml:space="preserve">摘要（ZH）: </w:t>
      </w:r>
      <w:r>
        <w:t>一种热机械编程策略激活动态氨基甲酸酯键交换以重组聚合物拓扑结构，从而实现固-固相变材料的内在焓增强。该方法为先进的热管理提供了一个可扩展、可回收的平台，显著减轻了商业电池在高倍率放电期间的热积累。</w:t>
      </w:r>
    </w:p>
    <w:p>
      <w:pPr>
        <w:spacing w:before="0" w:after="200" w:lineRule="auto" w:line="276"/>
      </w:pPr>
      <w:r>
        <w:rPr>
          <w:b/>
        </w:rPr>
        <w:t xml:space="preserve">Abstract (EN): </w:t>
      </w:r>
      <w:r>
        <w:t>A thermomechanical programming strategy activates dynamic urethane bond exchange to reorganize polymer topology, enabling intrinsically enhanced enthalpy of solid-solid phase change materials. This approach offers a scalable, recyclable platform for advanced thermal management, significantly mitigating heat accumulation in commercial batteries during high-rate discharge.</w:t>
      </w:r>
    </w:p>
    <w:p>
      <w:pPr>
        <w:spacing w:before="120" w:after="120"/>
      </w:pPr>
      <w:r>
        <w:rPr>
          <w:sz w:val="18"/>
        </w:rPr>
        <w:t>——————————————————————————————————————————————————————————————————————</w:t>
      </w:r>
    </w:p>
    <w:p>
      <w:pPr>
        <w:spacing w:before="160" w:after="40" w:line="240" w:lineRule="auto"/>
      </w:pPr>
      <w:r>
        <w:rPr>
          <w:b/>
        </w:rPr>
        <w:t xml:space="preserve">[102] </w:t>
      </w:r>
      <w:hyperlink r:id="rId385">
        <w:r>
          <w:rPr>
            <w:color w:val="1155CC"/>
            <w:u w:val="single"/>
          </w:rPr>
          <w:t>具有可调三相界面的分级超润湿电极用于高效氨合成</w:t>
        </w:r>
      </w:hyperlink>
    </w:p>
    <w:p>
      <w:pPr>
        <w:spacing w:before="0" w:after="80"/>
      </w:pPr>
      <w:r>
        <w:rPr>
          <w:i/>
          <w:sz w:val="20"/>
        </w:rPr>
        <w:t>EN: Hierarchical superwetting electrodes with tunable triphase interface for efficient ammonia synthesis</w:t>
      </w:r>
    </w:p>
    <w:p>
      <w:pPr>
        <w:spacing w:before="0" w:after="120"/>
      </w:pPr>
      <w:r>
        <w:rPr>
          <w:b/>
        </w:rPr>
        <w:t xml:space="preserve">Source: </w:t>
      </w:r>
      <w:r>
        <w:t>Matter</w:t>
      </w:r>
      <w:r>
        <w:t xml:space="preserve">    </w:t>
      </w:r>
      <w:r>
        <w:rPr>
          <w:b/>
        </w:rPr>
        <w:t xml:space="preserve">Pub date: </w:t>
      </w:r>
      <w:r>
        <w:t>2026-03-30 00:00:00+00:00</w:t>
      </w:r>
      <w:r>
        <w:t xml:space="preserve">    </w:t>
      </w:r>
      <w:r>
        <w:rPr>
          <w:b/>
        </w:rPr>
        <w:t xml:space="preserve">DOI: </w:t>
      </w:r>
      <w:hyperlink r:id="rId386">
        <w:r>
          <w:rPr>
            <w:color w:val="1155CC"/>
            <w:u w:val="single"/>
          </w:rPr>
          <w:t>10.1016/j.matt.2026.102753</w:t>
        </w:r>
      </w:hyperlink>
    </w:p>
    <w:p>
      <w:pPr>
        <w:spacing w:before="0" w:after="120"/>
      </w:pPr>
      <w:r>
        <w:rPr>
          <w:b/>
        </w:rPr>
        <w:t xml:space="preserve">Notes: </w:t>
      </w:r>
      <w:r>
        <w:t>abstract_source=rss_cell</w:t>
      </w:r>
    </w:p>
    <w:p>
      <w:pPr>
        <w:spacing w:before="0" w:after="80" w:lineRule="auto" w:line="276"/>
      </w:pPr>
      <w:r>
        <w:rPr>
          <w:b/>
        </w:rPr>
        <w:t xml:space="preserve">摘要（ZH）: </w:t>
      </w:r>
      <w:r>
        <w:t>电催化氮还原受到界面气体传输限制和竞争性析氢反应（HER）的严重阻碍。在此，构建了一种超润湿微腔电极，以克服这些限制并通过润湿状态调节抑制HER，从而建立有利的三相界面微环境并增强氨合成性能。这些发现强调了界面工程在电极设计中的关键作用。</w:t>
      </w:r>
    </w:p>
    <w:p>
      <w:pPr>
        <w:spacing w:before="0" w:after="200" w:lineRule="auto" w:line="276"/>
      </w:pPr>
      <w:r>
        <w:rPr>
          <w:b/>
        </w:rPr>
        <w:t xml:space="preserve">Abstract (EN): </w:t>
      </w:r>
      <w:r>
        <w:t>Electrocatalytic nitrogen reduction is severely hindered by interfacial gas-transport limitations and the competing hydrogen evolution reaction (HER). Herein, a superwetting micro-cavity electrode was constructed for overcoming these limitations and suppressing HER via wetting-state modulation, thereby establishing a favorable triphase interfacial microenvironment and enhancing ammonia synthesis performance. These findings underscore the critical role of interfacial engineering in electrode design.</w:t>
      </w:r>
    </w:p>
    <w:p>
      <w:pPr>
        <w:spacing w:before="120" w:after="120"/>
      </w:pPr>
      <w:r>
        <w:rPr>
          <w:sz w:val="18"/>
        </w:rPr>
        <w:t>——————————————————————————————————————————————————————————————————————</w:t>
      </w:r>
    </w:p>
    <w:p>
      <w:pPr>
        <w:spacing w:before="160" w:after="40" w:line="240" w:lineRule="auto"/>
      </w:pPr>
      <w:r>
        <w:rPr>
          <w:b/>
        </w:rPr>
        <w:t xml:space="preserve">[103] </w:t>
      </w:r>
      <w:hyperlink r:id="rId387">
        <w:r>
          <w:rPr>
            <w:color w:val="1155CC"/>
            <w:u w:val="single"/>
          </w:rPr>
          <w:t>以最小的能源和材料需求实现福祉的住房</w:t>
        </w:r>
      </w:hyperlink>
    </w:p>
    <w:p>
      <w:pPr>
        <w:spacing w:before="0" w:after="80"/>
      </w:pPr>
      <w:r>
        <w:rPr>
          <w:i/>
          <w:sz w:val="20"/>
        </w:rPr>
        <w:t>EN: Housing for well-being with minimal energy and material demand</w:t>
      </w:r>
    </w:p>
    <w:p>
      <w:pPr>
        <w:spacing w:before="0" w:after="120"/>
      </w:pPr>
      <w:r>
        <w:rPr>
          <w:b/>
        </w:rPr>
        <w:t xml:space="preserve">Source: </w:t>
      </w:r>
      <w:r>
        <w:t>Nature Reviews Clean Technology</w:t>
      </w:r>
      <w:r>
        <w:t xml:space="preserve">    </w:t>
      </w:r>
      <w:r>
        <w:rPr>
          <w:b/>
        </w:rPr>
        <w:t xml:space="preserve">Pub date: </w:t>
      </w:r>
      <w:r>
        <w:t>2026-03-30 00:00:00+00:00</w:t>
      </w:r>
      <w:r>
        <w:t xml:space="preserve">    </w:t>
      </w:r>
      <w:r>
        <w:rPr>
          <w:b/>
        </w:rPr>
        <w:t xml:space="preserve">DOI: </w:t>
      </w:r>
      <w:hyperlink r:id="rId388">
        <w:r>
          <w:rPr>
            <w:color w:val="1155CC"/>
            <w:u w:val="single"/>
          </w:rPr>
          <w:t>10.1038/s44359-026-00159-0</w:t>
        </w:r>
      </w:hyperlink>
    </w:p>
    <w:p>
      <w:pPr>
        <w:spacing w:before="0" w:after="120"/>
      </w:pPr>
      <w:r>
        <w:rPr>
          <w:b/>
        </w:rPr>
        <w:t xml:space="preserve">Notes: </w:t>
      </w:r>
      <w:r>
        <w:t>abstract_source=nature_html</w:t>
      </w:r>
    </w:p>
    <w:p>
      <w:pPr>
        <w:spacing w:before="0" w:after="80" w:lineRule="auto" w:line="276"/>
      </w:pPr>
      <w:r>
        <w:rPr>
          <w:b/>
        </w:rPr>
        <w:t xml:space="preserve">摘要（ZH）: </w:t>
      </w:r>
      <w:r>
        <w:t>住房建设和运营的能源消耗对气候变化有贡献，但住房对福祉至关重要。在这篇综述中，我们讨论了高福祉低需求（HwL）住房，旨在减少能源和材料消耗，同时保持或增强个人和社区的福祉。我们不单单依赖技术来提高建筑性能，而是考虑服务提供，识别数据、最佳实践和评估模型的视角。与热舒适、照明和电器相关的各种技术和方法可以实施，以减少运营能源使用，同时仍提供高福祉。同样，通过缩小规模、延长使用寿命等措施可以减少隐含能源需求。</w:t>
      </w:r>
    </w:p>
    <w:p>
      <w:pPr>
        <w:spacing w:before="0" w:after="200" w:lineRule="auto" w:line="276"/>
      </w:pPr>
      <w:r>
        <w:rPr>
          <w:b/>
        </w:rPr>
        <w:t xml:space="preserve">Abstract (EN): </w:t>
      </w:r>
      <w:r>
        <w:t>Energy consumption from the construction and operation of housing contributes to climate change, but housing is fundamental to well-being. In this Review, we discuss high well-being with low demand (HwL) housing, aiming to reduce energy and material consumption while maintaining — or enhancing — individual and community well-being. Instead of relying on technology alone to improve building performance, we consider service provision, identifying data, best practices and perspectives for assessment models. Various technologies and approaches related to thermal comfort, lighting and appliances, for example, can be implemented to reduce operational energy use while still providing high well-being. Similarly, embodied energy demand can be reduced through measures such as downsizing, lifetime extension, lightweighting, design and construction efficiency, and recycling and reuse, while still meeting decent living standards. There are well-being impacts to adopting such measures, for example, in terms of health and resilience, that often outweigh the marginal financial gains from direct energy cost savings. However, willingness to adopt demand reduction measures varies across technologies or approaches, region and costs, ranging from low willingness to reduce floor space or adopt co-housing arrangements to higher willingness to adopt energy-saving behaviours. There is a critical need to improve methods for assessing well-being impacts, to evaluate trade-offs between low demand and well-being, and to address economic and socio-cultural barriers to HwL housing. We urge the research community to prioritize well-being when assessing future mitigation pathways and policy impacts.</w:t>
      </w:r>
    </w:p>
    <w:p>
      <w:pPr>
        <w:spacing w:before="120" w:after="120"/>
      </w:pPr>
      <w:r>
        <w:rPr>
          <w:sz w:val="18"/>
        </w:rPr>
        <w:t>——————————————————————————————————————————————————————————————————————</w:t>
      </w:r>
    </w:p>
    <w:p>
      <w:pPr>
        <w:spacing w:before="160" w:after="40" w:line="240" w:lineRule="auto"/>
      </w:pPr>
      <w:r>
        <w:rPr>
          <w:b/>
        </w:rPr>
        <w:t xml:space="preserve">[104] </w:t>
      </w:r>
      <w:hyperlink r:id="rId389">
        <w:r>
          <w:rPr>
            <w:color w:val="1155CC"/>
            <w:u w:val="single"/>
          </w:rPr>
          <w:t>基于可靠性驱动的移动储能在耦合交通-电力分配网络中的最优部署</w:t>
        </w:r>
      </w:hyperlink>
    </w:p>
    <w:p>
      <w:pPr>
        <w:spacing w:before="0" w:after="80"/>
      </w:pPr>
      <w:r>
        <w:rPr>
          <w:i/>
          <w:sz w:val="20"/>
        </w:rPr>
        <w:t>EN: Reliability-driven optimal deployment of mobile energy storage for coupled transportation-power distribution network</w:t>
      </w:r>
    </w:p>
    <w:p>
      <w:pPr>
        <w:spacing w:before="0" w:after="120"/>
      </w:pPr>
      <w:r>
        <w:rPr>
          <w:b/>
        </w:rPr>
        <w:t xml:space="preserve">Source: </w:t>
      </w:r>
      <w:r>
        <w:t>ScienceDirect Publication: Applied Energy</w:t>
      </w:r>
      <w:r>
        <w:t xml:space="preserve">    </w:t>
      </w:r>
      <w:r>
        <w:rPr>
          <w:b/>
        </w:rPr>
        <w:t xml:space="preserve">Pub date: </w:t>
      </w:r>
      <w:r>
        <w:t>2026-03-30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[105] </w:t>
      </w:r>
      <w:hyperlink r:id="rId390">
        <w:r>
          <w:rPr>
            <w:color w:val="1155CC"/>
            <w:u w:val="single"/>
          </w:rPr>
          <w:t>基于Stackelberg博弈的低碳综合能源系统中电动汽车和氢燃料电池汽车的最优定价激励策略</w:t>
        </w:r>
      </w:hyperlink>
    </w:p>
    <w:p>
      <w:pPr>
        <w:spacing w:before="0" w:after="80"/>
      </w:pPr>
      <w:r>
        <w:rPr>
          <w:i/>
          <w:sz w:val="20"/>
        </w:rPr>
        <w:t>EN: Optimal pricing incentive strategy based on Stackelberg game for EVs and HFCVs in low-carbon integrated energy system</w:t>
      </w:r>
    </w:p>
    <w:p>
      <w:pPr>
        <w:spacing w:before="0" w:after="120"/>
      </w:pPr>
      <w:r>
        <w:rPr>
          <w:b/>
        </w:rPr>
        <w:t xml:space="preserve">Source: </w:t>
      </w:r>
      <w:r>
        <w:t>ScienceDirect Publication: Applied Energy</w:t>
      </w:r>
      <w:r>
        <w:t xml:space="preserve">    </w:t>
      </w:r>
      <w:r>
        <w:rPr>
          <w:b/>
        </w:rPr>
        <w:t xml:space="preserve">Pub date: </w:t>
      </w:r>
      <w:r>
        <w:t>2026-03-30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[106] </w:t>
      </w:r>
      <w:hyperlink r:id="rId391">
        <w:r>
          <w:rPr>
            <w:color w:val="1155CC"/>
            <w:u w:val="single"/>
          </w:rPr>
          <w:t>二维光子晶体微激光器中的全发射控制</w:t>
        </w:r>
      </w:hyperlink>
    </w:p>
    <w:p>
      <w:pPr>
        <w:spacing w:before="0" w:after="80"/>
      </w:pPr>
      <w:r>
        <w:rPr>
          <w:i/>
          <w:sz w:val="20"/>
        </w:rPr>
        <w:t>EN: All-emission control in 2D-photonic crystal microlasers</w:t>
      </w:r>
    </w:p>
    <w:p>
      <w:pPr>
        <w:spacing w:before="0" w:after="120"/>
      </w:pPr>
      <w:r>
        <w:rPr>
          <w:b/>
        </w:rPr>
        <w:t xml:space="preserve">Source: </w:t>
      </w:r>
      <w:r>
        <w:t>Matter</w:t>
      </w:r>
      <w:r>
        <w:t xml:space="preserve">    </w:t>
      </w:r>
      <w:r>
        <w:rPr>
          <w:b/>
        </w:rPr>
        <w:t xml:space="preserve">Pub date: </w:t>
      </w:r>
      <w:r>
        <w:t>2026-03-30 00:00:00+00:00</w:t>
      </w:r>
      <w:r>
        <w:t xml:space="preserve">    </w:t>
      </w:r>
      <w:r>
        <w:rPr>
          <w:b/>
        </w:rPr>
        <w:t xml:space="preserve">DOI: </w:t>
      </w:r>
      <w:hyperlink r:id="rId392">
        <w:r>
          <w:rPr>
            <w:color w:val="1155CC"/>
            <w:u w:val="single"/>
          </w:rPr>
          <w:t>10.1016/j.matt.2026.102713</w:t>
        </w:r>
      </w:hyperlink>
    </w:p>
    <w:p>
      <w:pPr>
        <w:spacing w:before="0" w:after="120"/>
      </w:pPr>
      <w:r>
        <w:rPr>
          <w:b/>
        </w:rPr>
        <w:t xml:space="preserve">Notes: </w:t>
      </w:r>
      <w:r>
        <w:t>abstract_source=rss_cell</w:t>
      </w:r>
    </w:p>
    <w:p>
      <w:pPr>
        <w:spacing w:before="0" w:after="80" w:lineRule="auto" w:line="276"/>
      </w:pPr>
      <w:r>
        <w:rPr>
          <w:b/>
        </w:rPr>
        <w:t xml:space="preserve">摘要（ZH）: </w:t>
      </w:r>
      <w:r>
        <w:t>二维光子晶体微激光器正在成为片上光源，其发射可以在波长、模式、光束形状、功率和时间上进行“编程”。本综述将多种进展统一起来——从BIC纳米激光器和拓扑/涡旋微激光器到瓦级PCSELs和波前合成金属激光器——形成一个单一的设计空间，将六个物理旋钮映射到五个输出类别。它强调了关键的权衡，并概述了在超快时间控制、电泵浦可见/有机平台和稳健可制造集成方面的未来机会。</w:t>
      </w:r>
    </w:p>
    <w:p>
      <w:pPr>
        <w:spacing w:before="0" w:after="200" w:lineRule="auto" w:line="276"/>
      </w:pPr>
      <w:r>
        <w:rPr>
          <w:b/>
        </w:rPr>
        <w:t xml:space="preserve">Abstract (EN): </w:t>
      </w:r>
      <w:r>
        <w:t>Two-dimensional photonic crystal microlasers are emerging as on-chip light sources whose emission can be “programmed” in wavelength, mode, beam shape, power, and time. This review unifies diverse advances—from BIC nanolasers and topological/vortex microlasers to watt-class PCSELs and wavefront-synthesizing metalasers—into a single design space that maps six physical knobs onto five output classes. It highlights key trade-offs and outlines future opportunities in ultrafast temporal control, electrically pumped visible/organic platforms, and robust manufacturable integration.</w:t>
      </w:r>
    </w:p>
    <w:p>
      <w:pPr>
        <w:spacing w:before="120" w:after="120"/>
      </w:pPr>
      <w:r>
        <w:rPr>
          <w:sz w:val="18"/>
        </w:rPr>
        <w:t>——————————————————————————————————————————————————————————————————————</w:t>
      </w:r>
    </w:p>
    <w:p>
      <w:pPr>
        <w:spacing w:before="160" w:after="40" w:line="240" w:lineRule="auto"/>
      </w:pPr>
      <w:r>
        <w:rPr>
          <w:b/>
        </w:rPr>
        <w:t xml:space="preserve">[107] </w:t>
      </w:r>
      <w:hyperlink r:id="rId393">
        <w:r>
          <w:rPr>
            <w:color w:val="1155CC"/>
            <w:u w:val="single"/>
          </w:rPr>
          <w:t>标准化框架在全球范围内实现市政能源获取和能源贫困行动</w:t>
        </w:r>
      </w:hyperlink>
    </w:p>
    <w:p>
      <w:pPr>
        <w:spacing w:before="0" w:after="80"/>
      </w:pPr>
      <w:r>
        <w:rPr>
          <w:i/>
          <w:sz w:val="20"/>
        </w:rPr>
        <w:t>EN: Standardized framework enables municipal energy access and energy poverty action globally</w:t>
      </w:r>
    </w:p>
    <w:p>
      <w:pPr>
        <w:spacing w:before="0" w:after="120"/>
      </w:pPr>
      <w:r>
        <w:rPr>
          <w:b/>
        </w:rPr>
        <w:t xml:space="preserve">Source: </w:t>
      </w:r>
      <w:r>
        <w:t>Nature Energy</w:t>
      </w:r>
      <w:r>
        <w:t xml:space="preserve">    </w:t>
      </w:r>
      <w:r>
        <w:rPr>
          <w:b/>
        </w:rPr>
        <w:t xml:space="preserve">Pub date: </w:t>
      </w:r>
      <w:r>
        <w:t>2026-03-30 00:00:00+00:00</w:t>
      </w:r>
      <w:r>
        <w:t xml:space="preserve">    </w:t>
      </w:r>
      <w:r>
        <w:rPr>
          <w:b/>
        </w:rPr>
        <w:t xml:space="preserve">DOI: </w:t>
      </w:r>
      <w:hyperlink r:id="rId394">
        <w:r>
          <w:rPr>
            <w:color w:val="1155CC"/>
            <w:u w:val="single"/>
          </w:rPr>
          <w:t>10.1038/s41560-026-02008-7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[108] </w:t>
      </w:r>
      <w:hyperlink r:id="rId395">
        <w:r>
          <w:rPr>
            <w:color w:val="1155CC"/>
            <w:u w:val="single"/>
          </w:rPr>
          <w:t>建筑和城市如何与生命保持一致</w:t>
        </w:r>
      </w:hyperlink>
    </w:p>
    <w:p>
      <w:pPr>
        <w:spacing w:before="0" w:after="80"/>
      </w:pPr>
      <w:r>
        <w:rPr>
          <w:i/>
          <w:sz w:val="20"/>
        </w:rPr>
        <w:t>EN: How buildings and cities can be aligned with life</w:t>
      </w:r>
    </w:p>
    <w:p>
      <w:pPr>
        <w:spacing w:before="0" w:after="120"/>
      </w:pPr>
      <w:r>
        <w:rPr>
          <w:b/>
        </w:rPr>
        <w:t xml:space="preserve">Source: </w:t>
      </w:r>
      <w:r>
        <w:t>Nature</w:t>
      </w:r>
      <w:r>
        <w:t xml:space="preserve">    </w:t>
      </w:r>
      <w:r>
        <w:rPr>
          <w:b/>
        </w:rPr>
        <w:t xml:space="preserve">Pub date: </w:t>
      </w:r>
      <w:r>
        <w:t>2026-03-30 00:00:00+00:00</w:t>
      </w:r>
      <w:r>
        <w:t xml:space="preserve">    </w:t>
      </w:r>
      <w:r>
        <w:rPr>
          <w:b/>
        </w:rPr>
        <w:t xml:space="preserve">DOI: </w:t>
      </w:r>
      <w:hyperlink r:id="rId396">
        <w:r>
          <w:rPr>
            <w:color w:val="1155CC"/>
            <w:u w:val="single"/>
          </w:rPr>
          <w:t>10.1038/d41586-026-00971-5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[109] </w:t>
      </w:r>
      <w:hyperlink r:id="rId397">
        <w:r>
          <w:rPr>
            <w:color w:val="1155CC"/>
            <w:u w:val="single"/>
          </w:rPr>
          <w:t>超扩散和超渗透共聚物介导在水合和脂质基底上的强水下粘附</w:t>
        </w:r>
      </w:hyperlink>
    </w:p>
    <w:p>
      <w:pPr>
        <w:spacing w:before="0" w:after="80"/>
      </w:pPr>
      <w:r>
        <w:rPr>
          <w:i/>
          <w:sz w:val="20"/>
        </w:rPr>
        <w:t>EN: Superspreading and ultra-infiltrative coacervate mediates strong underwater adhesion on hydrated and lipidic substrates</w:t>
      </w:r>
    </w:p>
    <w:p>
      <w:pPr>
        <w:spacing w:before="0" w:after="120"/>
      </w:pPr>
      <w:r>
        <w:rPr>
          <w:b/>
        </w:rPr>
        <w:t xml:space="preserve">Source: </w:t>
      </w:r>
      <w:r>
        <w:t>Nature Chemistry</w:t>
      </w:r>
      <w:r>
        <w:t xml:space="preserve">    </w:t>
      </w:r>
      <w:r>
        <w:rPr>
          <w:b/>
        </w:rPr>
        <w:t xml:space="preserve">Pub date: </w:t>
      </w:r>
      <w:r>
        <w:t>2026-03-30 00:00:00+00:00</w:t>
      </w:r>
      <w:r>
        <w:t xml:space="preserve">    </w:t>
      </w:r>
      <w:r>
        <w:rPr>
          <w:b/>
        </w:rPr>
        <w:t xml:space="preserve">DOI: </w:t>
      </w:r>
      <w:hyperlink r:id="rId398">
        <w:r>
          <w:rPr>
            <w:color w:val="1155CC"/>
            <w:u w:val="single"/>
          </w:rPr>
          <w:t>10.1038/s41557-026-02087-9</w:t>
        </w:r>
      </w:hyperlink>
    </w:p>
    <w:p>
      <w:pPr>
        <w:spacing w:before="0" w:after="120"/>
      </w:pPr>
      <w:r>
        <w:rPr>
          <w:b/>
        </w:rPr>
        <w:t xml:space="preserve">Notes: </w:t>
      </w:r>
      <w:r>
        <w:t>abstract_source=nature_html</w:t>
      </w:r>
    </w:p>
    <w:p>
      <w:pPr>
        <w:spacing w:before="0" w:after="80" w:lineRule="auto" w:line="276"/>
      </w:pPr>
      <w:r>
        <w:rPr>
          <w:b/>
        </w:rPr>
        <w:t xml:space="preserve">摘要（ZH）: </w:t>
      </w:r>
      <w:r>
        <w:t>开发对多种基材，特别是高度水合和脂质基材具有强大水下粘附力的粘合剂仍然是一个重大挑战。受海洋生物上藤壶强粘附力的启发，我们在此报告了一种稀释耐受和超扩展的共聚物，通过实现界面渗透和交织来介导强大的水下粘附。将末端丁基基团与聚（丙二醇）（PPG）结合，触发水溶液的液-液相分离，并通过氢键和疏水相互作用形成PPG共聚物。简单的共聚物显示出独特的超扩展特性，以促进界面润湿、渗透和在水合和脂质基材上形成交织界面。</w:t>
      </w:r>
    </w:p>
    <w:p>
      <w:pPr>
        <w:spacing w:before="0" w:after="200" w:lineRule="auto" w:line="276"/>
      </w:pPr>
      <w:r>
        <w:rPr>
          <w:b/>
        </w:rPr>
        <w:t xml:space="preserve">Abstract (EN): </w:t>
      </w:r>
      <w:r>
        <w:t>Developing adhesives with robust underwater adhesion to diverse substrates, particularly highly hydrated and lipidic substrates, remains a major challenge. Inspired by the tough adhesion of barnacles on marine creatures, here we report a dilution-resistant and superspreading coacervate to mediate robust underwater adhesion by enabling interfacial infiltration and intertwining. Conjugation of terminal butyl groups to poly(propylene glycol) (PPG) triggers liquid–liquid phase separation of the aqueous solution and formation of PPG coacervate driven by the hydrogen bonding and hydrophobic interactions. The simple coacervate shows distinctive superspreading properties to facilitate interfacial wetting, infiltration and formation of intertwined interfaces on both the hydrated and lipidic substrates and concentrates the loaded hydrophilic curing agents to form a robust underwater adhesive by rapid in situ photocuring. The coacervate-based adhesive demonstrates strong underwater adhesion to diverse substrates, including highly hydrated and lipidic substrates with multiscale porosity and in complex aqueous environments. Potential applications of this adhesive are validated by robust adhesion-mediated hydrogel and/or organogel assemblies and effective sealing of underwater leakages and tissue perforations.</w:t>
      </w:r>
    </w:p>
    <w:p>
      <w:pPr>
        <w:spacing w:before="120" w:after="120"/>
      </w:pPr>
      <w:r>
        <w:rPr>
          <w:sz w:val="18"/>
        </w:rPr>
        <w:t>——————————————————————————————————————————————————————————————————————</w:t>
      </w:r>
    </w:p>
    <w:p>
      <w:pPr>
        <w:spacing w:before="160" w:after="40" w:line="240" w:lineRule="auto"/>
      </w:pPr>
      <w:r>
        <w:rPr>
          <w:b/>
        </w:rPr>
        <w:t xml:space="preserve">[110] </w:t>
      </w:r>
      <w:hyperlink r:id="rId399">
        <w:r>
          <w:rPr>
            <w:color w:val="1155CC"/>
            <w:u w:val="single"/>
          </w:rPr>
          <w:t>交替冠醚和金属-卤化物配合物的分子线的超分子组装</w:t>
        </w:r>
      </w:hyperlink>
    </w:p>
    <w:p>
      <w:pPr>
        <w:spacing w:before="0" w:after="80"/>
      </w:pPr>
      <w:r>
        <w:rPr>
          <w:i/>
          <w:sz w:val="20"/>
        </w:rPr>
        <w:t>EN: Supramolecular assembly of molecular wires alternating crown ethers and metal–halide complexes</w:t>
      </w:r>
    </w:p>
    <w:p>
      <w:pPr>
        <w:spacing w:before="0" w:after="120"/>
      </w:pPr>
      <w:r>
        <w:rPr>
          <w:b/>
        </w:rPr>
        <w:t xml:space="preserve">Source: </w:t>
      </w:r>
      <w:r>
        <w:t>Nature Chemistry</w:t>
      </w:r>
      <w:r>
        <w:t xml:space="preserve">    </w:t>
      </w:r>
      <w:r>
        <w:rPr>
          <w:b/>
        </w:rPr>
        <w:t xml:space="preserve">Pub date: </w:t>
      </w:r>
      <w:r>
        <w:t>2026-03-30 00:00:00+00:00</w:t>
      </w:r>
      <w:r>
        <w:t xml:space="preserve">    </w:t>
      </w:r>
      <w:r>
        <w:rPr>
          <w:b/>
        </w:rPr>
        <w:t xml:space="preserve">DOI: </w:t>
      </w:r>
      <w:hyperlink r:id="rId400">
        <w:r>
          <w:rPr>
            <w:color w:val="1155CC"/>
            <w:u w:val="single"/>
          </w:rPr>
          <w:t>10.1038/s41557-026-02101-0</w:t>
        </w:r>
      </w:hyperlink>
    </w:p>
    <w:p>
      <w:pPr>
        <w:spacing w:before="0" w:after="120"/>
      </w:pPr>
      <w:r>
        <w:rPr>
          <w:b/>
        </w:rPr>
        <w:t xml:space="preserve">Notes: </w:t>
      </w:r>
      <w:r>
        <w:t>abstract_source=nature_html</w:t>
      </w:r>
    </w:p>
    <w:p>
      <w:pPr>
        <w:spacing w:before="0" w:after="80" w:lineRule="auto" w:line="276"/>
      </w:pPr>
      <w:r>
        <w:rPr>
          <w:b/>
        </w:rPr>
        <w:t xml:space="preserve">摘要（ZH）: </w:t>
      </w:r>
      <w:r>
        <w:t>金属-卤化物配合物在卤化物钙钛矿中作为关键的发光中心；然而，通过自下而上的组装精确控制其空间组织具有挑战性。在此，我们展示了一种冠醚辅助的超分子组装策略，可以交替连接金属-卤化物配合物和（冠醚@A）2+（其中“A”是碱土金属阳离子）配合物，形成一维分子线，然后可以打包成六方晶体结构。此过程产生了具有绿色发光的（18C6@Ba）MnBr4单晶，实现了超过80%的光致发光量子产率和窄的半峰全宽。此外，非中心对称晶体结构引发了强烈的非线性光学响应，包括二次谐波产生。</w:t>
      </w:r>
    </w:p>
    <w:p>
      <w:pPr>
        <w:spacing w:before="0" w:after="200" w:lineRule="auto" w:line="276"/>
      </w:pPr>
      <w:r>
        <w:rPr>
          <w:b/>
        </w:rPr>
        <w:t xml:space="preserve">Abstract (EN): </w:t>
      </w:r>
      <w:r>
        <w:t>Metal–halide complexes serve as key emissive centres in halide perovskites; however, precise control over their spatial organization through bottom-up assembly is challenging. Here we show that a crown-ether-assisted supramolecular assembly strategy can alternatingly connect metal–halide complexes and (crown ether@A)2+ (where ‘A’ is an alkaline earth metal cation) complexes into a one-dimensional molecular wire, which can then be packed into a hexagonal crystal structure. This process resulted in the creation of an (18C6@Ba)MnBr4 single crystal with green emission, achieving over 80% photoluminescence quantum yield and a narrow full width at half maximum. In addition, the non-centrosymmetric crystal structure gave rise to strong nonlinear optical responses, including second-harmonic generation. This versatile supramolecular assembly approach could be generalized to create various [M(I)X2]−, [M(I)X3]2−, [M(II)X4]2− and [M(III)X5]2− molecular wires, broadening the potential for diverse emission colours and distinct optical properties. This strategy provides a general design principle for constructing supramolecular metal–halide building blocks with diverse optical functionalities.</w:t>
      </w:r>
    </w:p>
    <w:p>
      <w:pPr>
        <w:spacing w:before="120" w:after="120"/>
      </w:pPr>
      <w:r>
        <w:rPr>
          <w:sz w:val="18"/>
        </w:rPr>
        <w:t>——————————————————————————————————————————————————————————————————————</w:t>
      </w:r>
    </w:p>
    <w:p>
      <w:pPr>
        <w:spacing w:before="160" w:after="40" w:line="240" w:lineRule="auto"/>
      </w:pPr>
      <w:r>
        <w:rPr>
          <w:b/>
        </w:rPr>
        <w:t xml:space="preserve">[111] </w:t>
      </w:r>
      <w:hyperlink r:id="rId401">
        <w:r>
          <w:rPr>
            <w:color w:val="1155CC"/>
            <w:u w:val="single"/>
          </w:rPr>
          <w:t>由双锚定自组装单分子层实现的高效碘化铜簇基发光二极管</w:t>
        </w:r>
      </w:hyperlink>
    </w:p>
    <w:p>
      <w:pPr>
        <w:spacing w:before="0" w:after="80"/>
      </w:pPr>
      <w:r>
        <w:rPr>
          <w:i/>
          <w:sz w:val="20"/>
        </w:rPr>
        <w:t>EN: Efficient Copper Iodide Cluster‐Based Light‐Emitting Diodes Enabled by Dual‐Anchoring Self‐Assembled Monolayers</w:t>
      </w:r>
    </w:p>
    <w:p>
      <w:pPr>
        <w:spacing w:before="0" w:after="120"/>
      </w:pPr>
      <w:r>
        <w:rPr>
          <w:b/>
        </w:rPr>
        <w:t xml:space="preserve">Source: </w:t>
      </w:r>
      <w:r>
        <w:t>Wiley: Advanced Materials: Table of Contents</w:t>
      </w:r>
      <w:r>
        <w:t xml:space="preserve">    </w:t>
      </w:r>
      <w:r>
        <w:rPr>
          <w:b/>
        </w:rPr>
        <w:t xml:space="preserve">Pub date: </w:t>
      </w:r>
      <w:r>
        <w:t>2026-03-30 06:23:15+00:00</w:t>
      </w:r>
      <w:r>
        <w:t xml:space="preserve">    </w:t>
      </w:r>
      <w:r>
        <w:rPr>
          <w:b/>
        </w:rPr>
        <w:t xml:space="preserve">DOI: </w:t>
      </w:r>
      <w:hyperlink r:id="rId402">
        <w:r>
          <w:rPr>
            <w:color w:val="1155CC"/>
            <w:u w:val="single"/>
          </w:rPr>
          <w:t>10.1002/adma.202522698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基于无毒铜碘化物纳米簇（Cu NCs）的蒸汽沉积发光二极管（LEDs）在可扩展的固态照明和显示领域具有巨大潜力。然而，界面缺陷引起的器件性能退化仍然是有机-无机纳米簇的一个关键挑战。在此，我们提出了一种界面配位键钝化策略，采用吡啶功能化的自组装单分子层（SAM）材料，具有定制的吡啶锚定基团。设计的吡啶功能化SAM材料同时钝化Cu NCs发光层（EML）并优化电荷注入。因此，我们展示了基于Cu NCs的LEDs实现了22.5%的峰值外部量子效率（EQE），最大</w:t>
      </w:r>
    </w:p>
    <w:p>
      <w:pPr>
        <w:spacing w:before="0" w:after="200" w:lineRule="auto" w:line="276"/>
      </w:pPr>
      <w:r>
        <w:rPr>
          <w:b/>
        </w:rPr>
        <w:t xml:space="preserve">Abstract (EN): </w:t>
      </w:r>
      <w:r>
        <w:t>Vapor‐deposited light‐emitting diodes (LEDs) based on non‐toxic copper‐iodide nanoclusters (Cu NCs) hold immense potential for scalable solid‐state lighting and displays. However, interface defects‐induced device performance degradation remains a critical challenge for organic–inorganic nanoclusters. Here, we present an interfacial coordinate‐bond passivation strategy employing a pyridine‐functionalized self‐assembled monolayer (SAM) material featuring tailored pyridine anchoring groups. The designed pyridine‐functionalized SAM materials simultaneously passivate the Cu NCs emissive layer (EML) and optimize charge injections. Consequently, we demonstrate Cu NCs‐based LEDs achieving a peak external quantum efficiency (EQE) of 22.5%, a maximum luminance of 41 432 cd∙m</w:t>
      </w:r>
      <w:r>
        <w:t xml:space="preserve"> </w:t>
      </w:r>
      <w:r>
        <w:t>−2</w:t>
      </w:r>
      <w:r>
        <w:t xml:space="preserve"> </w:t>
      </w:r>
      <w:r>
        <w:t>, and an improved operating half‐lifetime of 119 h at 1000 cd∙m</w:t>
      </w:r>
      <w:r>
        <w:t xml:space="preserve"> </w:t>
      </w:r>
      <w:r>
        <w:t>−2</w:t>
      </w:r>
      <w:r>
        <w:t xml:space="preserve"> </w:t>
      </w:r>
      <w:r>
        <w:t>, which is among the best of reported vapor‐deposited clusters‐based LEDs. Moreover, we demonstrate active‐matrix displays by integrating Cu NCs‐based LEDs onto drive circuits. This work highlights the critical role of molecularly engineered SAMs in unlocking the high‐performance cluster‐based LEDs.</w:t>
      </w:r>
    </w:p>
    <w:p>
      <w:pPr>
        <w:spacing w:before="120" w:after="120"/>
      </w:pPr>
      <w:r>
        <w:rPr>
          <w:sz w:val="18"/>
        </w:rPr>
        <w:t>——————————————————————————————————————————————————————————————————————</w:t>
      </w:r>
    </w:p>
    <w:p>
      <w:pPr>
        <w:spacing w:before="160" w:after="40" w:line="240" w:lineRule="auto"/>
      </w:pPr>
      <w:r>
        <w:rPr>
          <w:b/>
        </w:rPr>
        <w:t xml:space="preserve">[112] </w:t>
      </w:r>
      <w:hyperlink r:id="rId403">
        <w:r>
          <w:rPr>
            <w:color w:val="1155CC"/>
            <w:u w:val="single"/>
          </w:rPr>
          <w:t>通过溶剂介导的反应性控制路易斯配对掺杂剂作为有机半导体可调和稳定掺杂的多功能策略</w:t>
        </w:r>
      </w:hyperlink>
    </w:p>
    <w:p>
      <w:pPr>
        <w:spacing w:before="0" w:after="80"/>
      </w:pPr>
      <w:r>
        <w:rPr>
          <w:i/>
          <w:sz w:val="20"/>
        </w:rPr>
        <w:t>EN: Solvent‐Mediated Reactivity Control of Lewis‐Paired Dopants as a Versatile Strategy for Tunable and Stable Doping of Organic Semiconductors</w:t>
      </w:r>
    </w:p>
    <w:p>
      <w:pPr>
        <w:spacing w:before="0" w:after="120"/>
      </w:pPr>
      <w:r>
        <w:rPr>
          <w:b/>
        </w:rPr>
        <w:t xml:space="preserve">Source: </w:t>
      </w:r>
      <w:r>
        <w:t>Wiley: Advanced Materials: Table of Contents</w:t>
      </w:r>
      <w:r>
        <w:t xml:space="preserve">    </w:t>
      </w:r>
      <w:r>
        <w:rPr>
          <w:b/>
        </w:rPr>
        <w:t xml:space="preserve">Pub date: </w:t>
      </w:r>
      <w:r>
        <w:t>2026-03-30 06:24:30+00:00</w:t>
      </w:r>
      <w:r>
        <w:t xml:space="preserve">    </w:t>
      </w:r>
      <w:r>
        <w:rPr>
          <w:b/>
        </w:rPr>
        <w:t xml:space="preserve">DOI: </w:t>
      </w:r>
      <w:hyperlink r:id="rId404">
        <w:r>
          <w:rPr>
            <w:color w:val="1155CC"/>
            <w:u w:val="single"/>
          </w:rPr>
          <w:t>10.1002/adma.202522233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现有掺杂分子之间的路易斯配对提供了开发具有卓越掺杂强度和稳定性的新型有机掺杂剂的巨大潜力。然而，路易斯配对掺杂剂的高反应性使得掺杂水平控制变得复杂，而使用非正交溶剂可能会损害有机半导体（OSC）薄膜，阻碍器件应用。在此，通过调节配对掺杂剂和溶剂分子之间的结合-解离动力学来控制掺杂剂的反应性，这受到溶剂极性的强烈影响。在高极性溶剂中，路易斯酸-溶剂加合物主要形成，抑制了路易斯配对掺杂剂的生成。随着溶剂极性的降低，路易斯酸-溶剂的解离速率</w:t>
      </w:r>
    </w:p>
    <w:p>
      <w:pPr>
        <w:spacing w:before="0" w:after="200" w:lineRule="auto" w:line="276"/>
      </w:pPr>
      <w:r>
        <w:rPr>
          <w:b/>
        </w:rPr>
        <w:t xml:space="preserve">Abstract (EN): </w:t>
      </w:r>
      <w:r>
        <w:t>The Lewis pairing between existing dopant molecules offers great potential for developing new organic dopants with exceptional doping strength and stability. However, the high reactivity of Lewis‐paired dopants complicates doping‐level control, while the use of non‐orthogonal solvents can damage organic semiconductor (OSC) films, hindering device applications. Here, the dopant reactivity is controlled by regulating the association–dissociation kinetics among pairing dopants and solvent molecules, which are strongly influenced by solvent polarity. In highly polar solvents, Lewis acid–solvent adducts predominantly form, suppressing the generation of Lewis‐paired dopants. As solvent polarity decreases, the dissociation rate of the Lewis acid–solvent adduct increases, establishing a dynamic equilibrium between the Lewis acid and the solvent and thereby optimizing reactivity. Consequently, the optimally processed Lewis‐paired dopant enables efficient doping of various OSCs with finely tunable doping levels, simultaneously achieving a high thermoelectric power factor (170 µW m</w:t>
      </w:r>
      <w:r>
        <w:t xml:space="preserve"> </w:t>
      </w:r>
      <w:r>
        <w:t>−1</w:t>
      </w:r>
      <w:r>
        <w:t xml:space="preserve"> </w:t>
      </w:r>
      <w:r>
        <w:t>K</w:t>
      </w:r>
      <w:r>
        <w:t xml:space="preserve"> </w:t>
      </w:r>
      <w:r>
        <w:t>−2</w:t>
      </w:r>
      <w:r>
        <w:t xml:space="preserve"> </w:t>
      </w:r>
      <w:r>
        <w:t>) and Seebeck coefficient (227 µV K</w:t>
      </w:r>
      <w:r>
        <w:t xml:space="preserve"> </w:t>
      </w:r>
      <w:r>
        <w:t>−1</w:t>
      </w:r>
      <w:r>
        <w:t xml:space="preserve"> </w:t>
      </w:r>
      <w:r>
        <w:t>). These performances surpass those of the conventional salt‐type FeCl</w:t>
      </w:r>
      <w:r>
        <w:rPr>
          <w:vertAlign w:val="subscript"/>
        </w:rPr>
        <w:t>3</w:t>
      </w:r>
      <w:r>
        <w:t>dopant and exhibit markedly improved doping stability under ambient and elevated‐temperature conditions. This study provides a practical strategy for utilizing Lewis‐paired dopants by elucidating their doping mechanisms, paving the way to overcome long‐standing limitations in OSC doping.</w:t>
      </w:r>
    </w:p>
    <w:p>
      <w:pPr>
        <w:spacing w:before="120" w:after="120"/>
      </w:pPr>
      <w:r>
        <w:rPr>
          <w:sz w:val="18"/>
        </w:rPr>
        <w:t>——————————————————————————————————————————————————————————————————————</w:t>
      </w:r>
    </w:p>
    <w:p>
      <w:pPr>
        <w:spacing w:before="160" w:after="40" w:line="240" w:lineRule="auto"/>
      </w:pPr>
      <w:r>
        <w:rPr>
          <w:b/>
        </w:rPr>
        <w:t xml:space="preserve">[113] </w:t>
      </w:r>
      <w:hyperlink r:id="rId405">
        <w:r>
          <w:rPr>
            <w:color w:val="1155CC"/>
            <w:u w:val="single"/>
          </w:rPr>
          <w:t>定制的气相沉积解锁了2D磁性CrCl3的大晶粒、晶圆级外延生长</w:t>
        </w:r>
      </w:hyperlink>
    </w:p>
    <w:p>
      <w:pPr>
        <w:spacing w:before="0" w:after="80"/>
      </w:pPr>
      <w:r>
        <w:rPr>
          <w:i/>
          <w:sz w:val="20"/>
        </w:rPr>
        <w:t>EN: Tailored Vapor Deposition Unlocks Large‐Grain, Wafer‐Scale Epitaxial Growth of 2D Magnetic CrCl3</w:t>
      </w:r>
    </w:p>
    <w:p>
      <w:pPr>
        <w:spacing w:before="0" w:after="120"/>
      </w:pPr>
      <w:r>
        <w:rPr>
          <w:b/>
        </w:rPr>
        <w:t xml:space="preserve">Source: </w:t>
      </w:r>
      <w:r>
        <w:t>Wiley: Advanced Materials: Table of Contents</w:t>
      </w:r>
      <w:r>
        <w:t xml:space="preserve">    </w:t>
      </w:r>
      <w:r>
        <w:rPr>
          <w:b/>
        </w:rPr>
        <w:t xml:space="preserve">Pub date: </w:t>
      </w:r>
      <w:r>
        <w:t>2026-03-30 06:27:23+00:00</w:t>
      </w:r>
      <w:r>
        <w:t xml:space="preserve">    </w:t>
      </w:r>
      <w:r>
        <w:rPr>
          <w:b/>
        </w:rPr>
        <w:t xml:space="preserve">DOI: </w:t>
      </w:r>
      <w:hyperlink r:id="rId406">
        <w:r>
          <w:rPr>
            <w:color w:val="1155CC"/>
            <w:u w:val="single"/>
          </w:rPr>
          <w:t>10.1002/adma.202514405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磁性材料（2D-MM）是基础研究以及自旋电子学和量子传感的一个令人兴奋的研究领域。然而，使用可扩展的气相沉积方法进行大晶粒、晶圆级合成仍然是一个未解决的挑战。在此，开发了一种定制的物理气相传输沉积（PVTD）方法，使得半导体2D-MM CrCl</w:t>
      </w:r>
      <w:r>
        <w:rPr>
          <w:vertAlign w:val="subscript"/>
        </w:rPr>
        <w:t>3</w:t>
      </w:r>
      <w:r>
        <w:t>在500°C（在云母基底上）实现厘米级外延生长。通过四项工艺创新实现的受控合成协议，（i）低发射率的二次加热源，（ii）非常高的载气流量，（iii）动态前体通量控制，以及（iv）氧气/湿气去除，抑制了氧化还原蚀刻并驱动生长</w:t>
      </w:r>
    </w:p>
    <w:p>
      <w:pPr>
        <w:spacing w:before="0" w:after="200" w:lineRule="auto" w:line="276"/>
      </w:pPr>
      <w:r>
        <w:rPr>
          <w:b/>
        </w:rPr>
        <w:t xml:space="preserve">Abstract (EN): </w:t>
      </w:r>
      <w:r>
        <w:t>Two‐dimensional magnetic materials (2D‐MM) are an exciting playground for fundamental research, and for spintronics and quantum sensing. However, their large‐grain, wafer‐scale synthesis using scalable vapor deposition methods is still an unsolved challenge. Here, a tailored physical vapor transport deposition (PVTD) method is developed, which enables centimeter‐scale, epitaxial growth of semiconducting 2D‐MM CrCl</w:t>
      </w:r>
      <w:r>
        <w:rPr>
          <w:vertAlign w:val="subscript"/>
        </w:rPr>
        <w:t>3</w:t>
      </w:r>
      <w:r>
        <w:t>at 500°C (on mica substrate). A controlled synthesis protocol, enabled via four process innovations, (i) low emissivity secondary heating source, (ii) very‐high carrier‐gas flow, (iii) dynamic precursor flux control, and (iv) oxygen/moisture removal, suppresses redox etching and drives growth beyond the diffusion limit for wafer‐scale growth. Optical, stoichiometric, structural, and magnetic characterization confirm single‐crystalline, phase‐pure 2D‐MM CrCl</w:t>
      </w:r>
      <w:r>
        <w:rPr>
          <w:vertAlign w:val="subscript"/>
        </w:rPr>
        <w:t>3</w:t>
      </w:r>
      <w:r>
        <w:t>. Substrate temperature tunes thickness of films from few‐layers to tens of nanometers, while flow rate controls nucleation density and coverage. Further, we demonstrate selective‐area growth and large‐area transfer, validating potential wafer‐level device integration. Substrate‐dependent growth features are explained using density functional theory and state‐of‐the‐art machine learning interatomic potential‐based atomic‐scale simulations. This scalable, flexible vapor deposition approach offers a general route for synthesizing several (volatile and reactive) 2D‐MM and bridges the scalability gap from conventional wafer‐scale materials. The low‐temperature growth will enable the creation of hybrid functional heterostructures.</w:t>
      </w:r>
    </w:p>
    <w:p>
      <w:pPr>
        <w:spacing w:before="120" w:after="120"/>
      </w:pPr>
      <w:r>
        <w:rPr>
          <w:sz w:val="18"/>
        </w:rPr>
        <w:t>——————————————————————————————————————————————————————————————————————</w:t>
      </w:r>
    </w:p>
    <w:p>
      <w:pPr>
        <w:spacing w:before="160" w:after="40" w:line="240" w:lineRule="auto"/>
      </w:pPr>
      <w:r>
        <w:rPr>
          <w:b/>
        </w:rPr>
        <w:t xml:space="preserve">[114] </w:t>
      </w:r>
      <w:hyperlink r:id="rId407">
        <w:r>
          <w:rPr>
            <w:color w:val="1155CC"/>
            <w:u w:val="single"/>
          </w:rPr>
          <w:t>基于固态[2+2]环加成反应的光跃迁晶体设计光致驱动器</w:t>
        </w:r>
      </w:hyperlink>
    </w:p>
    <w:p>
      <w:pPr>
        <w:spacing w:before="0" w:after="80"/>
      </w:pPr>
      <w:r>
        <w:rPr>
          <w:i/>
          <w:sz w:val="20"/>
        </w:rPr>
        <w:t>EN: Design of a Photoactuator Based on a Photosalient Crystal Driven by Solid‐State [2+2] Cycloaddition</w:t>
      </w:r>
    </w:p>
    <w:p>
      <w:pPr>
        <w:spacing w:before="0" w:after="120"/>
      </w:pPr>
      <w:r>
        <w:rPr>
          <w:b/>
        </w:rPr>
        <w:t xml:space="preserve">Source: </w:t>
      </w:r>
      <w:r>
        <w:t>Wiley: Angewandte Chemie International Edition: Table of Contents</w:t>
      </w:r>
      <w:r>
        <w:t xml:space="preserve">    </w:t>
      </w:r>
      <w:r>
        <w:rPr>
          <w:b/>
        </w:rPr>
        <w:t xml:space="preserve">Pub date: </w:t>
      </w:r>
      <w:r>
        <w:t>2026-03-30 06:27:36+00:00</w:t>
      </w:r>
      <w:r>
        <w:t xml:space="preserve">    </w:t>
      </w:r>
      <w:r>
        <w:rPr>
          <w:b/>
        </w:rPr>
        <w:t xml:space="preserve">DOI: </w:t>
      </w:r>
      <w:hyperlink r:id="rId408">
        <w:r>
          <w:rPr>
            <w:color w:val="1155CC"/>
            <w:u w:val="single"/>
          </w:rPr>
          <w:t>10.1002/anie.7436035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软体微型机器人由于其在难以接近、紧凑、封闭和微小空间中执行关键任务的能力，已成为材料科学的新兴分支。本文重点介绍了一种软体光致动器的制造，该致动器通过利用两种同构光跃迁CdI</w:t>
      </w:r>
      <w:r>
        <w:rPr>
          <w:vertAlign w:val="subscript"/>
        </w:rPr>
        <w:t>2</w:t>
      </w:r>
      <w:r>
        <w:t>基金属络合物之一的分子运动，结合到聚乙烯醇（PVA）基质中，以实现灵活、可控的宏观形状依赖光机械运动。该致动器成功地执行了光控机械工作，包括模拟生物响应、硅球位移。我们对其运动进行了时间和位移的定量分析。致动器的</w:t>
      </w:r>
    </w:p>
    <w:p>
      <w:pPr>
        <w:spacing w:before="0" w:after="200" w:lineRule="auto" w:line="276"/>
      </w:pPr>
      <w:r>
        <w:rPr>
          <w:b/>
        </w:rPr>
        <w:t xml:space="preserve">Abstract (EN): </w:t>
      </w:r>
      <w:r>
        <w:t>Soft microrobots have become an emerging branch of materials science owing to their capability to perform critical tasks in inaccessible, compact, confined, and tiny spaces. This work highlights the fabrication of a soft photo‐actuator by utilizing molecular motions of one of the two isostructural photosalient CdI</w:t>
      </w:r>
      <w:r>
        <w:rPr>
          <w:vertAlign w:val="subscript"/>
        </w:rPr>
        <w:t>2</w:t>
      </w:r>
      <w:r>
        <w:t>based metal complex, incorporated into a polyvinyl alcohol (PVA) matrix to achieve flexible, controlled macroscopic shape‐dependent photomechanical motions. The actuator successfully performs light‐controlled mechanical work, including mimicking bio‐responses, silica‐ball displacement. We performed the quantitative analysis of its motion as a function of time and displacement. The actuator's performance is strongly dependent on strength, thickness, and applied load. As the rate and magnitude of actuation depend on UV exposure, a theoretical model is developed to identify crucial parameters for optimized performance. The model quantitatively evaluates time‐dependent light‐induced deflection and the resulting photo‐actuation force under no(with) load conditions, capturing an initial fast response followed by a slower regime governed by above parameters. The rapid conversion of photochemical energy into mechanical work is further demonstrated through a prototype photo‐switch. Overall, this study advances the understanding of light‐controlled actuation in composite films and contributes to the development of next‐generation smart soft microrobots from both experimental and theoretical perspectives.</w:t>
      </w:r>
    </w:p>
    <w:p>
      <w:pPr>
        <w:spacing w:before="120" w:after="120"/>
      </w:pPr>
      <w:r>
        <w:rPr>
          <w:sz w:val="18"/>
        </w:rPr>
        <w:t>——————————————————————————————————————————————————————————————————————</w:t>
      </w:r>
    </w:p>
    <w:p>
      <w:pPr>
        <w:spacing w:before="160" w:after="40" w:line="240" w:lineRule="auto"/>
      </w:pPr>
      <w:r>
        <w:rPr>
          <w:b/>
        </w:rPr>
        <w:t xml:space="preserve">[115] </w:t>
      </w:r>
      <w:hyperlink r:id="rId409">
        <w:r>
          <w:rPr>
            <w:color w:val="1155CC"/>
            <w:u w:val="single"/>
          </w:rPr>
          <w:t>双面锚定策略实现了高效宽带隙钙钛矿太阳能电池/模块用于自供电光电催化抗菌系统</w:t>
        </w:r>
      </w:hyperlink>
    </w:p>
    <w:p>
      <w:pPr>
        <w:spacing w:before="0" w:after="80"/>
      </w:pPr>
      <w:r>
        <w:rPr>
          <w:i/>
          <w:sz w:val="20"/>
        </w:rPr>
        <w:t>EN: Bilateral Anchoring Strategy Enables Highly Efficient Wide‐Bandgap Perovskite Solar Cells/Modules for Self‐Powered Photo‐Electrocatalytic Antibacterial System</w:t>
      </w:r>
    </w:p>
    <w:p>
      <w:pPr>
        <w:spacing w:before="0" w:after="120"/>
      </w:pPr>
      <w:r>
        <w:rPr>
          <w:b/>
        </w:rPr>
        <w:t xml:space="preserve">Source: </w:t>
      </w:r>
      <w:r>
        <w:t>Wiley: Advanced Energy Materials: Table of Contents</w:t>
      </w:r>
      <w:r>
        <w:t xml:space="preserve">    </w:t>
      </w:r>
      <w:r>
        <w:rPr>
          <w:b/>
        </w:rPr>
        <w:t xml:space="preserve">Pub date: </w:t>
      </w:r>
      <w:r>
        <w:t>2026-03-30 06:28:42+00:00</w:t>
      </w:r>
      <w:r>
        <w:t xml:space="preserve">    </w:t>
      </w:r>
      <w:r>
        <w:rPr>
          <w:b/>
        </w:rPr>
        <w:t xml:space="preserve">DOI: </w:t>
      </w:r>
      <w:hyperlink r:id="rId410">
        <w:r>
          <w:rPr>
            <w:color w:val="1155CC"/>
            <w:u w:val="single"/>
          </w:rPr>
          <w:t>10.1002/aenm.70897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太阳能驱动的光伏（PVs）与光电催化（PEC）抗菌系统集成，提供了一种完全依赖可再生能源的可持续高效技术。在此，我们报告了一种高性能、自供电的PV-PEC系统，该系统由宽带隙（WBG）钙钛矿太阳能电池/模块（PSCs/PSMs）实现。具体而言，3-氟-L-苯丙氨酸（3-FLPA）被引入作为n-i-p基钙钛矿器件中的分子桥。3-FLPA中的羧基（–COOH）锚定在SnO</w:t>
      </w:r>
      <w:r>
        <w:rPr>
          <w:vertAlign w:val="subscript"/>
        </w:rPr>
        <w:t>2</w:t>
      </w:r>
      <w:r>
        <w:t>表面的氧空位上，而突出的胺（─NH</w:t>
      </w:r>
      <w:r>
        <w:rPr>
          <w:vertAlign w:val="subscript"/>
        </w:rPr>
        <w:t>2</w:t>
      </w:r>
      <w:r>
        <w:t>）和氟（─F）取代基延伸到钙钛矿晶格中，有效钝化缺陷</w:t>
      </w:r>
    </w:p>
    <w:p>
      <w:pPr>
        <w:spacing w:before="0" w:after="200" w:lineRule="auto" w:line="276"/>
      </w:pPr>
      <w:r>
        <w:rPr>
          <w:b/>
        </w:rPr>
        <w:t xml:space="preserve">Abstract (EN): </w:t>
      </w:r>
      <w:r>
        <w:t>Integrating solar‐driven photovoltaics (PVs) with photo‐electrocatalytic (PEC) antibacterial systems presents a sustainable and efficient technology that operates entirely on renewable energy. Herein, we report a high‐performance, self‐powered PV‐PEC system enabled by wide‐bandgap (WBG) perovskite solar cells/modules (PSCs/PSMs). Specifically, 3‐Fluoro‐L‐Phenylalanine (3‐FLPA) is introduced as a molecular bridge in the n‐i‐p based perovskite devices. The carboxyl groups (–COOH) in 3‐FLPA anchor to oxygen vacancies on the SnO</w:t>
      </w:r>
      <w:r>
        <w:rPr>
          <w:vertAlign w:val="subscript"/>
        </w:rPr>
        <w:t>2</w:t>
      </w:r>
      <w:r>
        <w:t>surface, while the protruding amine (─NH</w:t>
      </w:r>
      <w:r>
        <w:rPr>
          <w:vertAlign w:val="subscript"/>
        </w:rPr>
        <w:t>2</w:t>
      </w:r>
      <w:r>
        <w:t>) and fluorine (─F) substituents extend into the perovskite lattice, effectively passivating defects and suppressing the photo‐induced phase segregation in WBG PSCs. As a result, WBG PSCs and PSMs achieve impressive power conversion efficiencies of 20.43 % and 15.03 % under AM 1.5G irradiation, respectively, which increase to 41.57 % and 29.46 % under indoor lighting (1000 lux). Driven by the PSM, the WSe</w:t>
      </w:r>
      <w:r>
        <w:rPr>
          <w:vertAlign w:val="subscript"/>
        </w:rPr>
        <w:t>2</w:t>
      </w:r>
      <w:r>
        <w:t>@WO</w:t>
      </w:r>
      <w:r>
        <w:rPr>
          <w:vertAlign w:val="subscript"/>
        </w:rPr>
        <w:t>3</w:t>
      </w:r>
      <w:r>
        <w:t>heterojunction photoanode exhibits enhanced charge separation and reactive oxygen species generation, leading to efficient bacterial membrane disruption and enzyme inactivation. The integrated PSM‐PEC system achieves complete inactivation of</w:t>
      </w:r>
      <w:r>
        <w:t xml:space="preserve"> </w:t>
      </w:r>
      <w:r>
        <w:t>E. coli</w:t>
      </w:r>
      <w:r>
        <w:t xml:space="preserve"> </w:t>
      </w:r>
      <w:r>
        <w:t>within 16 min under sunlight and 65 min under indoor lighting. These findings highlight the potential of WBG PSCs/PSMs for all‐weather self‐powered sterilization technologies.</w:t>
      </w:r>
    </w:p>
    <w:p>
      <w:pPr>
        <w:spacing w:before="120" w:after="120"/>
      </w:pPr>
      <w:r>
        <w:rPr>
          <w:sz w:val="18"/>
        </w:rPr>
        <w:t>——————————————————————————————————————————————————————————————————————</w:t>
      </w:r>
    </w:p>
    <w:p>
      <w:pPr>
        <w:spacing w:before="160" w:after="40" w:line="240" w:lineRule="auto"/>
      </w:pPr>
      <w:r>
        <w:rPr>
          <w:b/>
        </w:rPr>
        <w:t xml:space="preserve">[116] </w:t>
      </w:r>
      <w:hyperlink r:id="rId411">
        <w:r>
          <w:rPr>
            <w:color w:val="1155CC"/>
            <w:u w:val="single"/>
          </w:rPr>
          <w:t>基于Lanifibranor负载自愈合生物弹性体的血管外协同鸡尾酒治疗策略用于腹主动脉瘤</w:t>
        </w:r>
      </w:hyperlink>
    </w:p>
    <w:p>
      <w:pPr>
        <w:spacing w:before="0" w:after="80"/>
      </w:pPr>
      <w:r>
        <w:rPr>
          <w:i/>
          <w:sz w:val="20"/>
        </w:rPr>
        <w:t>EN: An Extravascular Synergistic Cocktail Therapeutic Strategy Based on Lanifibranor Loaded Self‐Healing Bioelastomer for Abdominal Aortic Aneurysms</w:t>
      </w:r>
    </w:p>
    <w:p>
      <w:pPr>
        <w:spacing w:before="0" w:after="120"/>
      </w:pPr>
      <w:r>
        <w:rPr>
          <w:b/>
        </w:rPr>
        <w:t xml:space="preserve">Source: </w:t>
      </w:r>
      <w:r>
        <w:t>Wiley: Advanced Materials: Table of Contents</w:t>
      </w:r>
      <w:r>
        <w:t xml:space="preserve">    </w:t>
      </w:r>
      <w:r>
        <w:rPr>
          <w:b/>
        </w:rPr>
        <w:t xml:space="preserve">Pub date: </w:t>
      </w:r>
      <w:r>
        <w:t>2026-03-30 06:33:39+00:00</w:t>
      </w:r>
      <w:r>
        <w:t xml:space="preserve">    </w:t>
      </w:r>
      <w:r>
        <w:rPr>
          <w:b/>
        </w:rPr>
        <w:t xml:space="preserve">DOI: </w:t>
      </w:r>
      <w:hyperlink r:id="rId412">
        <w:r>
          <w:rPr>
            <w:color w:val="1155CC"/>
            <w:u w:val="single"/>
          </w:rPr>
          <w:t>10.1002/adma.202511786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腹主动脉瘤（AAA）是一种致命的心血管疾病，具有隐匿性发病和高破裂死亡风险，是全球主要的公共卫生问题。值得注意的是，主动脉外膜是最早的病变部位，也是破裂的最后屏障，而外膜成纤维细胞（AFs）是主动脉外膜的关键细胞成分。目前的治疗主要集中在手术切除与假体移植和血管内支架移植，但未能有效重建外膜和腹主动脉的自然结构。在本研究中，我们提出了一种血管外协同鸡尾酒（ESC）治疗策略，通过结合机械支撑和血管重塑抑制来治疗AAA，基于自愈</w:t>
      </w:r>
    </w:p>
    <w:p>
      <w:pPr>
        <w:spacing w:before="0" w:after="200" w:lineRule="auto" w:line="276"/>
      </w:pPr>
      <w:r>
        <w:rPr>
          <w:b/>
        </w:rPr>
        <w:t xml:space="preserve">Abstract (EN): </w:t>
      </w:r>
      <w:r>
        <w:t>Abdominal aortic aneurysm (AAA) is a fatal cardiovascular disease with hidden onset and high risk of rupture death, which is a major public health concern worldwide. Notably, aortic adventitia is the earliest lesions and the last barrier to rupture, and adventitial fibroblasts (AFs) are the key cellular components of aortic adventitia. Current treatments mainly focus on surgical resection with prosthetic graft replacement and endovascular stent grafting, yet failed to reconstruct the adventitia and abdominal aorta's natural structure effectively. In this study, we proposed an extravascular synergistic cocktail (ESC) therapeutic strategy to treat AAA by incorporating mechanical supporting and vascular remodeling inhibition based on a self‐healing bioelastomer with antifibrotic drug of lanifibranor. The single‐cell RNA‐sequencing revealed potential myogenic transformation of AFs in AAA with the release of chemokines like</w:t>
      </w:r>
      <w:r>
        <w:t xml:space="preserve"> </w:t>
      </w:r>
      <w:r>
        <w:t>monocyte chemoattractant protein‐1 (MCP‐1)</w:t>
      </w:r>
      <w:r>
        <w:t xml:space="preserve"> </w:t>
      </w:r>
      <w:r>
        <w:t>. The underlying mechanism of lanifibranor in maintaining the phenotype of AFs via promoting lipid metabolism was disclosed. The bioelastomer with multiple reversible dynamic bonds exhibits remarkable arterial‐like mechanical properties and ultra‐fast self‐healing ability under blood condition, and enables rapid in situ AAA wrapping treatment. In both the rat and dog AAA models, it has been fully demonstrated that the ESC therapy can provide effective mechanical support to prevent vascular dilation while continuously releasing lanifibranor to regulate myogenic transformation of AFs to inhibit the development of AAA. Additionally, we investigated the feasibility of minimally invasive laparoscopic implantation in bama pigs, emphasizing its potential for clinical translation and application.</w:t>
      </w:r>
    </w:p>
    <w:p>
      <w:pPr>
        <w:spacing w:before="120" w:after="120"/>
      </w:pPr>
      <w:r>
        <w:rPr>
          <w:sz w:val="18"/>
        </w:rPr>
        <w:t>——————————————————————————————————————————————————————————————————————</w:t>
      </w:r>
    </w:p>
    <w:p>
      <w:pPr>
        <w:spacing w:before="160" w:after="40" w:line="240" w:lineRule="auto"/>
      </w:pPr>
      <w:r>
        <w:rPr>
          <w:b/>
        </w:rPr>
        <w:t xml:space="preserve">[117] </w:t>
      </w:r>
      <w:hyperlink r:id="rId413">
        <w:r>
          <w:rPr>
            <w:color w:val="1155CC"/>
            <w:u w:val="single"/>
          </w:rPr>
          <w:t>构建Bergmann胶质细胞支架：在人类小脑发育过程中早期到达和停留的过程</w:t>
        </w:r>
      </w:hyperlink>
    </w:p>
    <w:p>
      <w:pPr>
        <w:spacing w:before="0" w:after="80"/>
      </w:pPr>
      <w:r>
        <w:rPr>
          <w:i/>
          <w:sz w:val="20"/>
        </w:rPr>
        <w:t>EN: Building the Bergmann glial scaffold: Early arrivals and stops along the way in human cerebellar 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14">
        <w:r>
          <w:rPr>
            <w:color w:val="1155CC"/>
            <w:u w:val="single"/>
          </w:rPr>
          <w:t>10.1073/pnas.2602951123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[118] </w:t>
      </w:r>
      <w:hyperlink r:id="rId415">
        <w:r>
          <w:rPr>
            <w:color w:val="1155CC"/>
            <w:u w:val="single"/>
          </w:rPr>
          <w:t>纳米级红外光谱揭示了小行星Bennu中复杂的有机-矿物组合</w:t>
        </w:r>
      </w:hyperlink>
    </w:p>
    <w:p>
      <w:pPr>
        <w:spacing w:before="0" w:after="80"/>
      </w:pPr>
      <w:r>
        <w:rPr>
          <w:i/>
          <w:sz w:val="20"/>
        </w:rPr>
        <w:t>EN: Nanoscale infrared spectroscopy reveals complex organic–mineral assemblages in asteroid Bennu</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16">
        <w:r>
          <w:rPr>
            <w:color w:val="1155CC"/>
            <w:u w:val="single"/>
          </w:rPr>
          <w:t>10.1073/pnas.2601891123</w:t>
        </w:r>
      </w:hyperlink>
    </w:p>
    <w:p>
      <w:pPr>
        <w:spacing w:before="0" w:after="120"/>
      </w:pPr>
      <w:r>
        <w:rPr>
          <w:b/>
        </w:rPr>
        <w:t xml:space="preserve">Notes: </w:t>
      </w:r>
      <w:r>
        <w:t>abstract_source=crossref</w:t>
      </w:r>
    </w:p>
    <w:p>
      <w:pPr>
        <w:spacing w:before="0" w:after="80" w:lineRule="auto" w:line="276"/>
      </w:pPr>
      <w:r>
        <w:rPr>
          <w:b/>
        </w:rPr>
        <w:t xml:space="preserve">摘要（ZH）: </w:t>
      </w:r>
      <w:r>
        <w:t>小行星Bennu保存了早期太阳系的原始物质，返回的样本允许直接研究有机物和矿物的组装和变化。我们应用纳米级红外光谱和拉曼光谱对Bennu样本OREX-800066-3进行分析，以表征约20 nm尺度的化学变异。纳米傅里叶变换红外光谱分析识别出三种反复出现的成分域：富含脂肪族、富含碳酸盐和含氮有机物丰富的区域。统计评估显示，这些域在纳米尺度上成分和空间上是不同的，脂肪族特征与碳酸盐和含氮有机物之间存在强烈的负相关，而碳酸盐和含氮有机物之间的相关性可以忽略不计</w:t>
      </w:r>
    </w:p>
    <w:p>
      <w:pPr>
        <w:spacing w:before="0" w:after="200" w:lineRule="auto" w:line="276"/>
      </w:pPr>
      <w:r>
        <w:rPr>
          <w:b/>
        </w:rPr>
        <w:t xml:space="preserve">Abstract (EN): </w:t>
      </w:r>
      <w:r>
        <w:t>Asteroid Bennu preserves primitive material from the early solar system, and returned samples allow direct examination of how organics and minerals were assembled and altered. We applied nanoscale infrared spectroscopy together with Raman spectroscopy to the Bennu sample OREX-800066-3 to characterize chemical variability at ~20 nm scales. Analysis of nano-Fourier-transform infrared spectroscopy spectra identifies three recurring compositional domains; aliphatic-rich, carbonate-rich, and nitrogen-bearing organic-rich regions. Statistical evaluation shows that these domains are compositionally and spatially distinct at the nanoscale, with strong negative correlations between aliphatic signatures and both carbonates and N-bearing organics, and negligible correlation between carbonates and N-bearing organics. Organosulfur compounds are spatially restricted to carbonate-rich regions, indicating organic-sulfate interactions during late-stage brine evolution. Raman spectra indicate highly disordered, thermally minimally metamorphosed carbonaceous matter, consistent with preservation of labile functional groups. These results demonstrate that Bennu’s angular lithology (characterized by planar facets and sharp edges) is not chemically uniform and records heterogeneous aqueous alteration rather than pervasive uniform processing. N-bearing organic functional groups are widely preserved despite extensive alteration, and carbonate-rich areas show intimate nanoscale mixing of different carbonate species. The coexistence of distinct organic- and carbonate-rich domains suggests contributions from both primordial compositional diversity and subsequent rock–fluid interaction. Comparison with Ryugu samples highlights shared features but key differences in organic-carbonate associations and carbonate distributions. Overall, Bennu’s nanoscale heterogeneity provides constraints on organic preservation, carbonate formation, organic-sulfate chemistry, and parent-body evolution in volatile-rich early solar system materials.</w:t>
      </w:r>
    </w:p>
    <w:p>
      <w:pPr>
        <w:spacing w:before="120" w:after="120"/>
      </w:pPr>
      <w:r>
        <w:rPr>
          <w:sz w:val="18"/>
        </w:rPr>
        <w:t>——————————————————————————————————————————————————————————————————————</w:t>
      </w:r>
    </w:p>
    <w:p>
      <w:pPr>
        <w:spacing w:before="160" w:after="40" w:line="240" w:lineRule="auto"/>
      </w:pPr>
      <w:r>
        <w:rPr>
          <w:b/>
        </w:rPr>
        <w:t xml:space="preserve">[119] </w:t>
      </w:r>
      <w:hyperlink r:id="rId417">
        <w:r>
          <w:rPr>
            <w:color w:val="1155CC"/>
            <w:u w:val="single"/>
          </w:rPr>
          <w:t>空间模式如何导致生态系统的弹性降低</w:t>
        </w:r>
      </w:hyperlink>
    </w:p>
    <w:p>
      <w:pPr>
        <w:spacing w:before="0" w:after="80"/>
      </w:pPr>
      <w:r>
        <w:rPr>
          <w:i/>
          <w:sz w:val="20"/>
        </w:rPr>
        <w:t>EN: How spatial patterns can lead to less resilient ecosystems</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18">
        <w:r>
          <w:rPr>
            <w:color w:val="1155CC"/>
            <w:u w:val="single"/>
          </w:rPr>
          <w:t>10.1073/pnas.2511994123</w:t>
        </w:r>
      </w:hyperlink>
    </w:p>
    <w:p>
      <w:pPr>
        <w:spacing w:before="0" w:after="120"/>
      </w:pPr>
      <w:r>
        <w:rPr>
          <w:b/>
        </w:rPr>
        <w:t xml:space="preserve">Notes: </w:t>
      </w:r>
      <w:r>
        <w:t>abstract_source=crossref</w:t>
      </w:r>
    </w:p>
    <w:p>
      <w:pPr>
        <w:spacing w:before="0" w:after="80" w:lineRule="auto" w:line="276"/>
      </w:pPr>
      <w:r>
        <w:rPr>
          <w:b/>
        </w:rPr>
        <w:t xml:space="preserve">摘要（ZH）: </w:t>
      </w:r>
      <w:r>
        <w:t>几个理论模型预测空间格局增加生态系统的恢复力。然而，这些预测依赖于简化的假设，例如假设各向同性和无限大的生态系统，直接将空间格局与增强恢复力联系起来的实证证据仍然稀缺。我们引入了一个统一框架，涵盖了现有的水资源紧张生态系统中植被格局形成模型，放宽了这些假设。该框架包括被沙漠包围的有限植被区域，并允许不同程度的各向异性环境条件，导致非互惠的植物相互作用。在这些更现实的条件下，我们识别出一种沙漠化机制，物理学中称为非线性对流不稳定性，但在很大程度上</w:t>
      </w:r>
    </w:p>
    <w:p>
      <w:pPr>
        <w:spacing w:before="0" w:after="200" w:lineRule="auto" w:line="276"/>
      </w:pPr>
      <w:r>
        <w:rPr>
          <w:b/>
        </w:rPr>
        <w:t xml:space="preserve">Abstract (EN): </w:t>
      </w:r>
      <w:r>
        <w:t>Several theoretical models predict that spatial patterning increases ecosystem resilience. However, these predictions rely on simplifying assumptions, such as assuming isotropic and infinitely large ecosystems, and empirical evidence directly linking spatial patterning to enhanced resilience remains scarce. We introduce a unifying framework, encompassing existing models for vegetation pattern formation in water-stressed ecosystems, that relaxes these assumptions. This framework incorporates finite vegetated areas surrounded by desert and allows varying levels of anisotropic environmental conditions that lead to nonreciprocal plant interactions. Under these more realistic conditions, we identify a desertification mechanism, known as nonlinear convective instability in physics but largely overlooked in ecology. These instabilities form when nonreciprocal interactions destabilize the vegetation-desert interface and can trigger desertification fronts even under stress levels where isotropic models predict stability. Importantly, ecosystems exhibiting periodic vegetation patterns are more susceptible to nonlinear convective instabilities than those with homogeneous vegetation, suggesting that spatial patterning may reduce, rather than enhance, resilience. These findings challenge the prevailing view that self-organized patterning enhances ecosystem resilience and provide a framework for investigating how spatial dynamics shape the stability and resilience of ecological systems under changing environmental conditions.</w:t>
      </w:r>
    </w:p>
    <w:p>
      <w:pPr>
        <w:spacing w:before="120" w:after="120"/>
      </w:pPr>
      <w:r>
        <w:rPr>
          <w:sz w:val="18"/>
        </w:rPr>
        <w:t>——————————————————————————————————————————————————————————————————————</w:t>
      </w:r>
    </w:p>
    <w:p>
      <w:pPr>
        <w:spacing w:before="160" w:after="40" w:line="240" w:lineRule="auto"/>
      </w:pPr>
      <w:r>
        <w:rPr>
          <w:b/>
        </w:rPr>
        <w:t xml:space="preserve">[120] </w:t>
      </w:r>
      <w:hyperlink r:id="rId419">
        <w:r>
          <w:rPr>
            <w:color w:val="1155CC"/>
            <w:u w:val="single"/>
          </w:rPr>
          <w:t>骨骼肌中的线粒体重塑是运动诱导的逆转小鼠和人类年龄相关功能衰退的基础</w:t>
        </w:r>
      </w:hyperlink>
    </w:p>
    <w:p>
      <w:pPr>
        <w:spacing w:before="0" w:after="80"/>
      </w:pPr>
      <w:r>
        <w:rPr>
          <w:i/>
          <w:sz w:val="20"/>
        </w:rPr>
        <w:t>EN: Mitochondrial remodeling in skeletal muscle underlies exercise-induced reversal of age-associated functional decline in mice and humans</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20">
        <w:r>
          <w:rPr>
            <w:color w:val="1155CC"/>
            <w:u w:val="single"/>
          </w:rPr>
          <w:t>10.1073/pnas.2508286123</w:t>
        </w:r>
      </w:hyperlink>
    </w:p>
    <w:p>
      <w:pPr>
        <w:spacing w:before="0" w:after="120"/>
      </w:pPr>
      <w:r>
        <w:rPr>
          <w:b/>
        </w:rPr>
        <w:t xml:space="preserve">Notes: </w:t>
      </w:r>
      <w:r>
        <w:t>abstract_source=crossref</w:t>
      </w:r>
    </w:p>
    <w:p>
      <w:pPr>
        <w:spacing w:before="0" w:after="80" w:lineRule="auto" w:line="276"/>
      </w:pPr>
      <w:r>
        <w:rPr>
          <w:b/>
        </w:rPr>
        <w:t xml:space="preserve">摘要（ZH）: </w:t>
      </w:r>
      <w:r>
        <w:t>老年人中骨骼肌质量和力量的丧失是虚弱的常见表现，并与生活质量下降有关。然而，线粒体是否在机制上与虚弱相关，以及体育活动或缺乏体育活动如何参与与年龄相关的功能衰退仍然未知。我们报告说，运动引起的功能能力改善，包括老鼠虚弱的减少，依赖于骨骼肌在结构、酶和功能水平上的线粒体适应。我们的临床前研究包括一个健康老化的小鼠品系，一个强健的转基因模型，以及一个肌肉特异性的线粒体缺陷突变小鼠，使我们能够评估线粒体在衰老过程中的可塑性以及完整线粒体功能的必要性。</w:t>
      </w:r>
    </w:p>
    <w:p>
      <w:pPr>
        <w:spacing w:before="0" w:after="200" w:lineRule="auto" w:line="276"/>
      </w:pPr>
      <w:r>
        <w:rPr>
          <w:b/>
        </w:rPr>
        <w:t xml:space="preserve">Abstract (EN): </w:t>
      </w:r>
      <w:r>
        <w:t>Loss of skeletal muscle mass and strength are common manifestations of frailty in older people and are linked to reduced quality of life. However, whether mitochondria are mechanistically linked to frailty and how physical activity, or lack thereof, is involved in age-related functional decline are still unknown. We report that exercise-induced improvements in functional capacity, including reduced frailty in old mice, are dependent on mitochondrial adaptations in skeletal muscle at structural, enzymatic, and functional levels. Our preclinical study included a healthy aging mouse line, a transgenic model of robustness, and a muscle-specific mitochondrial-deficient mutant mice, allowing us to assess both mitochondrial plasticity with aging and the necessity of intact mitochondrial function for exercise-induced adaptations. These findings were corroborated by a cross-sectional human study examining the relationship between skeletal muscle mitochondrial function, age, and physical capacity. We analyzed biopsies from 30 donors (men and women, aged 17 to 99 y) stratified into young and older adults with varying functional statuses. Our results indicate that mitochondrial dysfunction in skeletal muscle is associated with the decline in locomotor muscle function in the elderly, highlighting the potential role of exercise or habitual physical activity in mitigating this phenotype. Notably, we demonstrate that skeletal muscle mitochondria maintain plasticity during aging in mice and humans, and that this preserved adaptability can be leveraged to improve muscle performance and overall functional capacity.</w:t>
      </w:r>
    </w:p>
    <w:p>
      <w:pPr>
        <w:spacing w:before="120" w:after="120"/>
      </w:pPr>
      <w:r>
        <w:rPr>
          <w:sz w:val="18"/>
        </w:rPr>
        <w:t>——————————————————————————————————————————————————————————————————————</w:t>
      </w:r>
    </w:p>
    <w:p>
      <w:pPr>
        <w:spacing w:before="160" w:after="40" w:line="240" w:lineRule="auto"/>
      </w:pPr>
      <w:r>
        <w:rPr>
          <w:b/>
        </w:rPr>
        <w:t xml:space="preserve">[121] </w:t>
      </w:r>
      <w:hyperlink r:id="rId421">
        <w:r>
          <w:rPr>
            <w:color w:val="1155CC"/>
            <w:u w:val="single"/>
          </w:rPr>
          <w:t>适应性辐射中个体发育饮食转变的分歧</w:t>
        </w:r>
      </w:hyperlink>
    </w:p>
    <w:p>
      <w:pPr>
        <w:spacing w:before="0" w:after="80"/>
      </w:pPr>
      <w:r>
        <w:rPr>
          <w:i/>
          <w:sz w:val="20"/>
        </w:rPr>
        <w:t>EN: Divergence of ontogenetic dietary shifts in adaptive radiation</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22">
        <w:r>
          <w:rPr>
            <w:color w:val="1155CC"/>
            <w:u w:val="single"/>
          </w:rPr>
          <w:t>10.1073/pnas.2513353123</w:t>
        </w:r>
      </w:hyperlink>
    </w:p>
    <w:p>
      <w:pPr>
        <w:spacing w:before="0" w:after="120"/>
      </w:pPr>
      <w:r>
        <w:rPr>
          <w:b/>
        </w:rPr>
        <w:t xml:space="preserve">Notes: </w:t>
      </w:r>
      <w:r>
        <w:t>abstract_source=crossref</w:t>
      </w:r>
    </w:p>
    <w:p>
      <w:pPr>
        <w:spacing w:before="0" w:after="80" w:lineRule="auto" w:line="276"/>
      </w:pPr>
      <w:r>
        <w:rPr>
          <w:b/>
        </w:rPr>
        <w:t xml:space="preserve">摘要（ZH）: </w:t>
      </w:r>
      <w:r>
        <w:t>营养生态位的可用性是生物多样性的关键驱动因素，通过进化过程促进适应性辐射。然而，大多数研究集中于物种如何在成年期适应营养生态位，基本忽略了许多类群经历显著的个体发育饮食转变这一事实。在这里，我们通过研究北极红点鲑（Salvelinus alpinus）新生适应性辐射中的个体饮食转变来填补这一空白，其中不同的食鱼性和食浮游生物的湖泊形态已经分化。使用眼晶状体同位素，我们在个体水平上重建了饮食历史，追踪从母体营养到成年饮食的资源使用。我们的分析揭示了个体发育饮食转变分化的三个关键维度：</w:t>
      </w:r>
    </w:p>
    <w:p>
      <w:pPr>
        <w:spacing w:before="0" w:after="200" w:lineRule="auto" w:line="276"/>
      </w:pPr>
      <w:r>
        <w:rPr>
          <w:b/>
        </w:rPr>
        <w:t xml:space="preserve">Abstract (EN): </w:t>
      </w:r>
      <w:r>
        <w:t>The availability of trophic niches is a key driver of biodiversity, promoting adaptive radiation through evolutionary processes. However, most research has focused on how species adapt to trophic niches as adults, largely overlooking the fact that many taxa undergo significant ontogenetic dietary shifts. Here, we address this gap by investigating individual dietary shifts in an incipient adaptive radiation of Arctic charr (</w:t>
      </w:r>
      <w:r>
        <w:t xml:space="preserve"> </w:t>
      </w:r>
      <w:r>
        <w:t>Salvelinus alpinus</w:t>
      </w:r>
      <w:r>
        <w:t xml:space="preserve"> </w:t>
      </w:r>
      <w:r>
        <w:t>), where distinct piscivorous and planktivorous lacustrine morphs have diverged. Using eye lens isotopes, we reconstructed dietary histories at the individual level, tracing resource use from maternal nutrients to adult diet. Our analyses revealed three key dimensions in which ontogenetic dietary shifts diverge: early-life diets, the stability of dietary transitions, and the degree of plasticity in dietary shifts. These findings suggest that the early phases of adaptive radiation are accompanied by a complete divergence of ontogenetic dietary shifts. We advocate for a more integrated approach to understanding dietary shifts within evolutionary processes and call for further exploration of these patterns across diverse taxa.</w:t>
      </w:r>
    </w:p>
    <w:p>
      <w:pPr>
        <w:spacing w:before="120" w:after="120"/>
      </w:pPr>
      <w:r>
        <w:rPr>
          <w:sz w:val="18"/>
        </w:rPr>
        <w:t>——————————————————————————————————————————————————————————————————————</w:t>
      </w:r>
    </w:p>
    <w:p>
      <w:pPr>
        <w:spacing w:before="160" w:after="40" w:line="240" w:lineRule="auto"/>
      </w:pPr>
      <w:r>
        <w:rPr>
          <w:b/>
        </w:rPr>
        <w:t xml:space="preserve">[122] </w:t>
      </w:r>
      <w:hyperlink r:id="rId423">
        <w:r>
          <w:rPr>
            <w:color w:val="1155CC"/>
            <w:u w:val="single"/>
          </w:rPr>
          <w:t>分子动力学决定CRISPR基础质粒防御中的种群动态</w:t>
        </w:r>
      </w:hyperlink>
    </w:p>
    <w:p>
      <w:pPr>
        <w:spacing w:before="0" w:after="80"/>
      </w:pPr>
      <w:r>
        <w:rPr>
          <w:i/>
          <w:sz w:val="20"/>
        </w:rPr>
        <w:t>EN: Molecular kinetics dictate population dynamics in CRISPR-based plasmid defense</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24">
        <w:r>
          <w:rPr>
            <w:color w:val="1155CC"/>
            <w:u w:val="single"/>
          </w:rPr>
          <w:t>10.1073/pnas.2525424123</w:t>
        </w:r>
      </w:hyperlink>
    </w:p>
    <w:p>
      <w:pPr>
        <w:spacing w:before="0" w:after="120"/>
      </w:pPr>
      <w:r>
        <w:rPr>
          <w:b/>
        </w:rPr>
        <w:t xml:space="preserve">Notes: </w:t>
      </w:r>
      <w:r>
        <w:t>abstract_source=crossref</w:t>
      </w:r>
    </w:p>
    <w:p>
      <w:pPr>
        <w:spacing w:before="0" w:after="80" w:lineRule="auto" w:line="276"/>
      </w:pPr>
      <w:r>
        <w:rPr>
          <w:b/>
        </w:rPr>
        <w:t xml:space="preserve">摘要（ZH）: </w:t>
      </w:r>
      <w:r>
        <w:t>理解和操控移动遗传元件的传播是一个巨大的挑战，在合成生物学、农业和医学领域具有潜在的好处。这个挑战的一个关键部分是涉及多个尺度，从CRISPR-Cas等防御系统的分子动力学，到单细胞免疫水平的变异，再到细菌群体的空间结构。在这项工作中，我们使用基于时间推移成像的方法来表征共轭质粒在分子、单细胞和群体水平上的动态。通过荧光标记共轭质粒RP4和CRISPR-Cascade复合物，我们量化了群体动态，作为间隔靶点数量、Cascade表达水平和质粒成瘾模块存在的函数。使用单细胞</w:t>
      </w:r>
    </w:p>
    <w:p>
      <w:pPr>
        <w:spacing w:before="0" w:after="200" w:lineRule="auto" w:line="276"/>
      </w:pPr>
      <w:r>
        <w:rPr>
          <w:b/>
        </w:rPr>
        <w:t xml:space="preserve">Abstract (EN): </w:t>
      </w:r>
      <w:r>
        <w:t>Understanding and manipulating the spread of mobile genetic elements represents a great challenge with potential benefits across synthetic biology, agriculture, and medicine. A key part of this challenge is the multiple scales in play, from the molecular kinetics of defense systems such as CRISPR-Cas, to single-cell variability in immunity levels, to spatial structure in bacterial populations. In this work, we use a time-lapse, imaging-based approach to characterize conjugative plasmid dynamics at the molecular, single-cell, and population levels. By fluorescently tagging the conjugative plasmid RP4 and CRISPR-Cascade complexes, we quantify population dynamics as a function of spacer target number, Cascade expression level, and the presence of plasmid addiction modules. Using single-cell tracking, we report conjugation rate per neighboring donor cell, estimate the latent period between plasmid uptake and subsequent onward transmission, and quantify the effect of Cascade expression variability on plasmid clearance kinetics. Finally, using a spatially resolved, agent-based model, we show that plasmid population dynamics can be successfully predicted using these single-cell biophysical parameters as inputs. This synthesis of population and single-cell measurements suggests that plasmids are the subject of a dynamic tug-of-war between defense expression, spacer distribution, neighboring cell identity, and plasmid cost–benefit tradeoffs. The imaging and analysis techniques used here will facilitate the disentanglement of how these factors coordinate to realize community-wide plasmid dynamics in diverse contexts.</w:t>
      </w:r>
    </w:p>
    <w:p>
      <w:pPr>
        <w:spacing w:before="120" w:after="120"/>
      </w:pPr>
      <w:r>
        <w:rPr>
          <w:sz w:val="18"/>
        </w:rPr>
        <w:t>——————————————————————————————————————————————————————————————————————</w:t>
      </w:r>
    </w:p>
    <w:p>
      <w:pPr>
        <w:spacing w:before="160" w:after="40" w:line="240" w:lineRule="auto"/>
      </w:pPr>
      <w:r>
        <w:rPr>
          <w:b/>
        </w:rPr>
        <w:t xml:space="preserve">[123] </w:t>
      </w:r>
      <w:hyperlink r:id="rId425">
        <w:r>
          <w:rPr>
            <w:color w:val="1155CC"/>
            <w:u w:val="single"/>
          </w:rPr>
          <w:t>物种分布范围的变化往往超前于其气候生态位模型</w:t>
        </w:r>
      </w:hyperlink>
    </w:p>
    <w:p>
      <w:pPr>
        <w:spacing w:before="0" w:after="80"/>
      </w:pPr>
      <w:r>
        <w:rPr>
          <w:i/>
          <w:sz w:val="20"/>
        </w:rPr>
        <w:t>EN: Species range shifts often speed ahead of their modeled climatic niches</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26">
        <w:r>
          <w:rPr>
            <w:color w:val="1155CC"/>
            <w:u w:val="single"/>
          </w:rPr>
          <w:t>10.1073/pnas.2515903123</w:t>
        </w:r>
      </w:hyperlink>
    </w:p>
    <w:p>
      <w:pPr>
        <w:spacing w:before="0" w:after="120"/>
      </w:pPr>
      <w:r>
        <w:rPr>
          <w:b/>
        </w:rPr>
        <w:t xml:space="preserve">Notes: </w:t>
      </w:r>
      <w:r>
        <w:t>abstract_source=crossref</w:t>
      </w:r>
    </w:p>
    <w:p>
      <w:pPr>
        <w:spacing w:before="0" w:after="80" w:lineRule="auto" w:line="276"/>
      </w:pPr>
      <w:r>
        <w:rPr>
          <w:b/>
        </w:rPr>
        <w:t xml:space="preserve">摘要（ZH）: </w:t>
      </w:r>
      <w:r>
        <w:t>预测物种分布如何随着气候变化而变化是生物多样性保护和管理的关键。通常，通过分析随时间变化的出现或丰度数据来观察物种的范围变化，或者通过建模物种的气候生态位来预测不同气候变化情景下的变化。然而，这些基于气候的预测与监测工作中实证记录的范围变化的吻合程度仍不清楚。在此，我们测试了使用气候生态位模型预测的模型范围变化与从最近几十年收集的实证观察中得出的记录范围变化之间的一致性，涉及超过3,500种海洋和陆地物种的9,500多个范围变化。我们发现记录和模型范围变化趋于</w:t>
      </w:r>
    </w:p>
    <w:p>
      <w:pPr>
        <w:spacing w:before="0" w:after="200" w:lineRule="auto" w:line="276"/>
      </w:pPr>
      <w:r>
        <w:rPr>
          <w:b/>
        </w:rPr>
        <w:t xml:space="preserve">Abstract (EN): </w:t>
      </w:r>
      <w:r>
        <w:t>Anticipating how species distributions will shift with climate change is key for biodiversity conservation and management. Commonly, species’ range shifts are observed by analyzing changes in occurrence or abundance data through time, or predicted across different climate change scenarios by modeling species’ climatic niches. However, it remains unclear how well these climate-based forecasts align with empirically documented range shifts from monitoring efforts. Here, we tested the congruence between modeled range shifts, predicted using climatic niche models, and documented range shifts, derived from empirical observations collected over recent decades, for more than 9,500 range shifts across over 3,500 marine and terrestrial species. We found that documented and modeled range shifts tend to align in latitudinal direction, with greater alignment for marine (76%) than terrestrial (56%) cases. However, even when the directions aligned, documented shifts exceeded modeled shifts in 62% of cases, nearly twice as often as they lagged behind (38%), and their median rates were four times faster than those of the modeled shifts. Our findings suggest that climate-based models can approximate observed range dynamics under specific conditions, particularly over long time periods and restricted spatial areas, when habitats remain well connected and under low climate fluctuations over time. These insights provide valuable guidance for both improving predictions and informing responses to climate-driven biodiversity redistribution.</w:t>
      </w:r>
    </w:p>
    <w:p>
      <w:pPr>
        <w:spacing w:before="120" w:after="120"/>
      </w:pPr>
      <w:r>
        <w:rPr>
          <w:sz w:val="18"/>
        </w:rPr>
        <w:t>——————————————————————————————————————————————————————————————————————</w:t>
      </w:r>
    </w:p>
    <w:p>
      <w:pPr>
        <w:spacing w:before="160" w:after="40" w:line="240" w:lineRule="auto"/>
      </w:pPr>
      <w:r>
        <w:rPr>
          <w:b/>
        </w:rPr>
        <w:t xml:space="preserve">[124] </w:t>
      </w:r>
      <w:hyperlink r:id="rId427">
        <w:r>
          <w:rPr>
            <w:color w:val="1155CC"/>
            <w:u w:val="single"/>
          </w:rPr>
          <w:t>地球的生物多样性：有多少？</w:t>
        </w:r>
      </w:hyperlink>
    </w:p>
    <w:p>
      <w:pPr>
        <w:spacing w:before="0" w:after="80"/>
      </w:pPr>
      <w:r>
        <w:rPr>
          <w:i/>
          <w:sz w:val="20"/>
        </w:rPr>
        <w:t>EN: Earth’s biodiversity: How much is there?</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28">
        <w:r>
          <w:rPr>
            <w:color w:val="1155CC"/>
            <w:u w:val="single"/>
          </w:rPr>
          <w:t>10.1073/pnas.2604886123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[125] </w:t>
      </w:r>
      <w:hyperlink r:id="rId429">
        <w:r>
          <w:rPr>
            <w:color w:val="1155CC"/>
            <w:u w:val="single"/>
          </w:rPr>
          <w:t>自噬对STK38的调控在再生过程中控制YAP1活性</w:t>
        </w:r>
      </w:hyperlink>
    </w:p>
    <w:p>
      <w:pPr>
        <w:spacing w:before="0" w:after="80"/>
      </w:pPr>
      <w:r>
        <w:rPr>
          <w:i/>
          <w:sz w:val="20"/>
        </w:rPr>
        <w:t>EN: Regulation of STK38 by autophagy governs YAP1 activity during paligenosis</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30">
        <w:r>
          <w:rPr>
            <w:color w:val="1155CC"/>
            <w:u w:val="single"/>
          </w:rPr>
          <w:t>10.1073/pnas.2517488123</w:t>
        </w:r>
      </w:hyperlink>
    </w:p>
    <w:p>
      <w:pPr>
        <w:spacing w:before="0" w:after="120"/>
      </w:pPr>
      <w:r>
        <w:rPr>
          <w:b/>
        </w:rPr>
        <w:t xml:space="preserve">Notes: </w:t>
      </w:r>
      <w:r>
        <w:t>abstract_source=crossref</w:t>
      </w:r>
    </w:p>
    <w:p>
      <w:pPr>
        <w:spacing w:before="0" w:after="80" w:lineRule="auto" w:line="276"/>
      </w:pPr>
      <w:r>
        <w:rPr>
          <w:b/>
        </w:rPr>
        <w:t xml:space="preserve">摘要（ZH）: </w:t>
      </w:r>
      <w:r>
        <w:t>再生是一个保守的细胞可塑性程序，允许成熟细胞在组织损伤时重新进入细胞周期。再生通过三个阶段进行：自我降解（伴随自噬和溶酶体的显著增加）、诱导化生或胎儿样基因和细胞周期进入。Hippo信号通路，特别是下游效应器YAP1，调节细胞可塑性，但其在再生中的作用尚未研究。在此，我们研究了小鼠胃中分泌消化酶的主细胞在再生过程中的YAP1动态。我们确定了丝氨酸/苏氨酸激酶38（STK38）作为一种非经典的YAP1激酶，在未受损的主细胞中磷酸化并失活YAP1。在再生过程中，STK38在阶段1中被自噬降解，去磷酸化</w:t>
      </w:r>
    </w:p>
    <w:p>
      <w:pPr>
        <w:spacing w:before="0" w:after="200" w:lineRule="auto" w:line="276"/>
      </w:pPr>
      <w:r>
        <w:rPr>
          <w:b/>
        </w:rPr>
        <w:t xml:space="preserve">Abstract (EN): </w:t>
      </w:r>
      <w:r>
        <w:t>Paligenosis is a conserved cellular plasticity program that allows mature cells to reenter the cell cycle in response to tissue injury. Paligenosis progresses via three stages: autodegradation (with dramatic increase in autophagy and lysosomes), induction of metaplastic or fetal-like genes, and cell cycle entry. Hippo signaling, particularly the downstream effector YAP1, regulates cellular plasticity, but its role in paligenosis has not been studied. Here, we examine YAP1 dynamics during paligenosis in digestive-enzyme-secreting chief cells from the mouse stomach. We identified Serine/Threonine Kinase 38 (STK38) as a noncanonical YAP1 kinase that phosphorylates and deactivates YAP1 in uninjured chief cells. During paligenosis, STK38 was degraded by autophagy in stage 1, dephosphorylating and activating YAP1. YAP1 activation was necessary and sufficient for paligenosis-driven conversion of chief cells into metaplastic, proliferating progenitors. Additionally, we show that STK38, like canonical Hippo kinases, interacts with Neurofibromatosis Type 2 (Merlin), a scaffold that recruits Hippo kinases to phosphorylate YAP1. We also observed the same pattern of YAP1 induction via autophagic destruction of STK38 in other tissues and cell types, suggesting injury-induced activation of autophagy in differentiated cells during tissue damage may be a more general feature by which Hippo effectors induce plasticity for regeneration.</w:t>
      </w:r>
    </w:p>
    <w:p>
      <w:pPr>
        <w:spacing w:before="120" w:after="120"/>
      </w:pPr>
      <w:r>
        <w:rPr>
          <w:sz w:val="18"/>
        </w:rPr>
        <w:t>——————————————————————————————————————————————————————————————————————</w:t>
      </w:r>
    </w:p>
    <w:p>
      <w:pPr>
        <w:spacing w:before="160" w:after="40" w:line="240" w:lineRule="auto"/>
      </w:pPr>
      <w:r>
        <w:rPr>
          <w:b/>
        </w:rPr>
        <w:t xml:space="preserve">[126] </w:t>
      </w:r>
      <w:hyperlink r:id="rId431">
        <w:r>
          <w:rPr>
            <w:color w:val="1155CC"/>
            <w:u w:val="single"/>
          </w:rPr>
          <w:t>秀丽隐杆线虫中脂肪酸对摄食的调节揭示了类似GLP-1的多重激动剂信号系统的潜在祖先起源</w:t>
        </w:r>
      </w:hyperlink>
    </w:p>
    <w:p>
      <w:pPr>
        <w:spacing w:before="0" w:after="80"/>
      </w:pPr>
      <w:r>
        <w:rPr>
          <w:i/>
          <w:sz w:val="20"/>
        </w:rPr>
        <w:t>EN: Fatty acid regulation of feeding in Caenorhabditis elegans reveals the potential ancestral origin of a GLP-1-like multiagonist signaling system</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32">
        <w:r>
          <w:rPr>
            <w:color w:val="1155CC"/>
            <w:u w:val="single"/>
          </w:rPr>
          <w:t>10.1073/pnas.2530979123</w:t>
        </w:r>
      </w:hyperlink>
    </w:p>
    <w:p>
      <w:pPr>
        <w:spacing w:before="0" w:after="120"/>
      </w:pPr>
      <w:r>
        <w:rPr>
          <w:b/>
        </w:rPr>
        <w:t xml:space="preserve">Notes: </w:t>
      </w:r>
      <w:r>
        <w:t>abstract_source=crossref</w:t>
      </w:r>
    </w:p>
    <w:p>
      <w:pPr>
        <w:spacing w:before="0" w:after="80" w:lineRule="auto" w:line="276"/>
      </w:pPr>
      <w:r>
        <w:rPr>
          <w:b/>
        </w:rPr>
        <w:t xml:space="preserve">摘要（ZH）: </w:t>
      </w:r>
      <w:r>
        <w:t>哺乳动物的食物摄入调节是复杂的，由享乐和稳态信号之间的相互作用控制，包括感知脂肪储存并抑制食物摄入的激素如瘦素。</w:t>
      </w:r>
      <w:r>
        <w:t xml:space="preserve"> </w:t>
      </w:r>
      <w:r>
        <w:t>秀丽隐杆线虫</w:t>
      </w:r>
      <w:r>
        <w:t xml:space="preserve"> </w:t>
      </w:r>
      <w:r>
        <w:t>缺乏瘦素和瘦素受体，但仍表现出受控的进食。在此，我们展示了在</w:t>
      </w:r>
      <w:r>
        <w:t xml:space="preserve"> </w:t>
      </w:r>
      <w:r>
        <w:t>秀丽隐杆线虫</w:t>
      </w:r>
      <w:r>
        <w:t xml:space="preserve"> </w:t>
      </w:r>
      <w:r>
        <w:t>中，进食可以通过饱和和单不饱和脂肪酸之间的平衡来调节，这些脂肪酸与调节脂质合成的转录途径、c-AMP反应元件结合蛋白和AMP激酶相互作用。这种效应通过内质网中磷脂的形成和神经系统中IRE-1传感器的激活介导，后者通过</w:t>
      </w:r>
    </w:p>
    <w:p>
      <w:pPr>
        <w:spacing w:before="0" w:after="200" w:lineRule="auto" w:line="276"/>
      </w:pPr>
      <w:r>
        <w:rPr>
          <w:b/>
        </w:rPr>
        <w:t xml:space="preserve">Abstract (EN): </w:t>
      </w:r>
      <w:r>
        <w:t>Regulation of food intake in mammals is complex and controlled by an interplay between hedonic and homeostatic signals, including hormones like leptin, which senses fat storage and suppresses food intake.</w:t>
      </w:r>
      <w:r>
        <w:t xml:space="preserve"> </w:t>
      </w:r>
      <w:r>
        <w:t>Caenorhabditis elegans</w:t>
      </w:r>
      <w:r>
        <w:t xml:space="preserve"> </w:t>
      </w:r>
      <w:r>
        <w:t>lack leptin and leptin receptors but still exhibit controlled eating. Here, we show that in</w:t>
      </w:r>
      <w:r>
        <w:t xml:space="preserve"> </w:t>
      </w:r>
      <w:r>
        <w:t>C. elegans</w:t>
      </w:r>
      <w:r>
        <w:t xml:space="preserve"> </w:t>
      </w:r>
      <w:r>
        <w:t>eating can be regulated by a balance between saturated and monounsaturated fatty acids interacting with transcriptional pathways regulating lipid synthesis, c-AMP response element binding protein and AMP kinase. This effect is mediated at the endoplasmic reticulum through formation of phospholipids and activation of the IRE-1 sensor in the nervous system, which controls behavior through neuronal serotonin and the G-protein-coupled ligand/receptor pair PDF-1/PDFR-1. We show that this peptide/receptor pair may be an ancestral precursor of the whole family of GLP-1/GIP-related peptides and their receptors. Indeed, administration of a 37 amino acid peptide derived from PDF-1 resulted in a reduction in body weight and improved insulin sensitivity in mice. In worms, signaling through this pathway induced food-leaving behavior on concentrated food and roaming behavior on dispersed food, a state we have termed “food-apathy,” paralleling pharmacologic effects of GLP-1/GIP-related peptides in humans. These findings highlight the potential evolutionary origin of this family of hormones and their receptors, and its link to metabolic and neuronal responses in control of feeding behavior.</w:t>
      </w:r>
    </w:p>
    <w:p>
      <w:pPr>
        <w:spacing w:before="120" w:after="120"/>
      </w:pPr>
      <w:r>
        <w:rPr>
          <w:sz w:val="18"/>
        </w:rPr>
        <w:t>——————————————————————————————————————————————————————————————————————</w:t>
      </w:r>
    </w:p>
    <w:p>
      <w:pPr>
        <w:spacing w:before="160" w:after="40" w:line="240" w:lineRule="auto"/>
      </w:pPr>
      <w:r>
        <w:rPr>
          <w:b/>
        </w:rPr>
        <w:t xml:space="preserve">[127] </w:t>
      </w:r>
      <w:hyperlink r:id="rId433">
        <w:r>
          <w:rPr>
            <w:color w:val="1155CC"/>
            <w:u w:val="single"/>
          </w:rPr>
          <w:t>“目标物种复合体”概念：加强对工程基因驱动的环境风险评估</w:t>
        </w:r>
      </w:hyperlink>
    </w:p>
    <w:p>
      <w:pPr>
        <w:spacing w:before="0" w:after="80"/>
      </w:pPr>
      <w:r>
        <w:rPr>
          <w:i/>
          <w:sz w:val="20"/>
        </w:rPr>
        <w:t>EN: “Target species complex” concept: Strengthening environmental risk assessment of engineered gene drives</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34">
        <w:r>
          <w:rPr>
            <w:color w:val="1155CC"/>
            <w:u w:val="single"/>
          </w:rPr>
          <w:t>10.1073/pnas.2535353123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[128] </w:t>
      </w:r>
      <w:hyperlink r:id="rId435">
        <w:r>
          <w:rPr>
            <w:color w:val="1155CC"/>
            <w:u w:val="single"/>
          </w:rPr>
          <w:t>球形血小板在体外系统中的生物力学抗凝</w:t>
        </w:r>
      </w:hyperlink>
    </w:p>
    <w:p>
      <w:pPr>
        <w:spacing w:before="0" w:after="80"/>
      </w:pPr>
      <w:r>
        <w:rPr>
          <w:i/>
          <w:sz w:val="20"/>
        </w:rPr>
        <w:t>EN: Biomechanical anticoagulation by spherical platelets in extracorporeal systems</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36">
        <w:r>
          <w:rPr>
            <w:color w:val="1155CC"/>
            <w:u w:val="single"/>
          </w:rPr>
          <w:t>10.1073/pnas.2535113123</w:t>
        </w:r>
      </w:hyperlink>
    </w:p>
    <w:p>
      <w:pPr>
        <w:spacing w:before="0" w:after="120"/>
      </w:pPr>
      <w:r>
        <w:rPr>
          <w:b/>
        </w:rPr>
        <w:t xml:space="preserve">Notes: </w:t>
      </w:r>
      <w:r>
        <w:t>abstract_source=crossref</w:t>
      </w:r>
    </w:p>
    <w:p>
      <w:pPr>
        <w:spacing w:before="0" w:after="80" w:lineRule="auto" w:line="276"/>
      </w:pPr>
      <w:r>
        <w:rPr>
          <w:b/>
        </w:rPr>
        <w:t xml:space="preserve">摘要（ZH）: </w:t>
      </w:r>
      <w:r>
        <w:t>体外生命支持，如血液透析，常面临血液凝固的风险，因此常规使用肝素进行全身抗凝。然而，这一策略在出血高风险患者中是禁忌的。受到球形血小板滚动运动避免其暴露于切向力的观察启发，提出了一种基于血小板球化的体外系统抗凝策略。实验结果证明，与盘状血小板相比，球形血小板保留了激活途径和能力。机械激活由切向力而非法向力驱动，保持滚动而非滑动有效防止切向力诱导的激活。分子动力学模拟揭示</w:t>
      </w:r>
    </w:p>
    <w:p>
      <w:pPr>
        <w:spacing w:before="0" w:after="200" w:lineRule="auto" w:line="276"/>
      </w:pPr>
      <w:r>
        <w:rPr>
          <w:b/>
        </w:rPr>
        <w:t xml:space="preserve">Abstract (EN): </w:t>
      </w:r>
      <w:r>
        <w:t>Extracorporeal life support, such as hemodialysis, often face the risk of blood coagulation, where systemic anticoagulation with heparin is routinely administered. However, this strategy is contraindicated in patients at high risk of bleeding. Inspired by the observation that rolling motion of spherical platelets avoids their exposure to tangential forces, an anticoagulation strategy is proposed based on platelet spherification for extracorporeal systems. Experimental results prove that spherical platelets retain activation pathways and capacity compared to discoid platelets. Mechanical activation is driven by tangential rather than normal forces, and maintaining rolling instead of sliding effectively prevents tangential force-induced activation. Molecular dynamics simulations reveal that tangential force acting on sliding discoid platelets separates the integrin</w:t>
      </w:r>
      <w:r>
        <w:t xml:space="preserve"> </w:t>
      </w:r>
      <w:r>
        <w:t>α</w:t>
      </w:r>
      <w:r>
        <w:t xml:space="preserve"> </w:t>
      </w:r>
      <w:r>
        <w:t>IIb</w:t>
      </w:r>
      <w:r>
        <w:t xml:space="preserve"> </w:t>
      </w:r>
      <w:r>
        <w:t>β</w:t>
      </w:r>
      <w:r>
        <w:rPr>
          <w:vertAlign w:val="subscript"/>
        </w:rPr>
        <w:t>3</w:t>
      </w:r>
      <w:r>
        <w:t xml:space="preserve"> </w:t>
      </w:r>
      <w:r>
        <w:t>head from the lower leg region to unfold and activate the integrin, while the normal force acting on rolling spherical platelets induces headpiece rotation without triggering unfolding, which effectively reduces integrin</w:t>
      </w:r>
      <w:r>
        <w:t xml:space="preserve"> </w:t>
      </w:r>
      <w:r>
        <w:t>α</w:t>
      </w:r>
      <w:r>
        <w:t xml:space="preserve"> </w:t>
      </w:r>
      <w:r>
        <w:t>IIb</w:t>
      </w:r>
      <w:r>
        <w:t xml:space="preserve"> </w:t>
      </w:r>
      <w:r>
        <w:t>β</w:t>
      </w:r>
      <w:r>
        <w:rPr>
          <w:vertAlign w:val="subscript"/>
        </w:rPr>
        <w:t>3</w:t>
      </w:r>
      <w:r>
        <w:t xml:space="preserve"> </w:t>
      </w:r>
      <w:r>
        <w:t>activation. In in vitro hemodialysis experiments, platelet spherification effectively minimized coagulation, while avoiding bleeding complications.</w:t>
      </w:r>
    </w:p>
    <w:p>
      <w:pPr>
        <w:spacing w:before="120" w:after="120"/>
      </w:pPr>
      <w:r>
        <w:rPr>
          <w:sz w:val="18"/>
        </w:rPr>
        <w:t>——————————————————————————————————————————————————————————————————————</w:t>
      </w:r>
    </w:p>
    <w:p>
      <w:pPr>
        <w:spacing w:before="160" w:after="40" w:line="240" w:lineRule="auto"/>
      </w:pPr>
      <w:r>
        <w:rPr>
          <w:b/>
        </w:rPr>
        <w:t xml:space="preserve">[129] </w:t>
      </w:r>
      <w:hyperlink r:id="rId437">
        <w:r>
          <w:rPr>
            <w:color w:val="1155CC"/>
            <w:u w:val="single"/>
          </w:rPr>
          <w:t>基于细胞抗体亲和力的CRISPR筛选识别JUNB为广泛作用的抗病毒因子</w:t>
        </w:r>
      </w:hyperlink>
    </w:p>
    <w:p>
      <w:pPr>
        <w:spacing w:before="0" w:after="80"/>
      </w:pPr>
      <w:r>
        <w:rPr>
          <w:i/>
          <w:sz w:val="20"/>
        </w:rPr>
        <w:t>EN: Cellular antibody affinity–based CRISPR screening identifies JUNB as a broadly acting antiviral factor</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38">
        <w:r>
          <w:rPr>
            <w:color w:val="1155CC"/>
            <w:u w:val="single"/>
          </w:rPr>
          <w:t>10.1073/pnas.2534154123</w:t>
        </w:r>
      </w:hyperlink>
    </w:p>
    <w:p>
      <w:pPr>
        <w:spacing w:before="0" w:after="120"/>
      </w:pPr>
      <w:r>
        <w:rPr>
          <w:b/>
        </w:rPr>
        <w:t xml:space="preserve">Notes: </w:t>
      </w:r>
      <w:r>
        <w:t>abstract_source=crossref</w:t>
      </w:r>
    </w:p>
    <w:p>
      <w:pPr>
        <w:spacing w:before="0" w:after="80" w:lineRule="auto" w:line="276"/>
      </w:pPr>
      <w:r>
        <w:rPr>
          <w:b/>
        </w:rPr>
        <w:t xml:space="preserve">摘要（ZH）: </w:t>
      </w:r>
      <w:r>
        <w:t>CRISPR筛选是一种强大的方法，用于识别影响病毒感染的基因扰动。然而，大多数以病毒为中心的CRISPR筛选使用的选择策略限制了识别对感染重要基因的能力。在此，我们开发了一种CRISPR筛选流程，基于病毒诱导的细胞抗体亲和力重塑（VIRCAA），识别人巨细胞病毒（HCMV）感染的细胞决定因素，该流程可扩展至大型文库，并能识别在不同生命周期阶段影响HCMV感染的细胞基因。我们利用该流程研究与HCMV UL26蛋白相关的蛋白质组和转录组数据集，该蛋白在感染期间阻断抗病毒信号。我们发现JUNB驱动抗病毒基因表达，诱导pr</w:t>
      </w:r>
    </w:p>
    <w:p>
      <w:pPr>
        <w:spacing w:before="0" w:after="200" w:lineRule="auto" w:line="276"/>
      </w:pPr>
      <w:r>
        <w:rPr>
          <w:b/>
        </w:rPr>
        <w:t xml:space="preserve">Abstract (EN): </w:t>
      </w:r>
      <w:r>
        <w:t>CRISPR screening is a powerful approach to identify genetic perturbations that impact viral infection. However, most virus-focused CRISPR screens utilize selection strategies that limit the ability to identify genes important for infection. Here, we developed a CRISPR screening pipeline to identify cellular determinants of human cytomegalovirus (HCMV) infection based on virally induced remodeling of cellular antibody affinity (VIRCAA), which is scalable for large libraries and can identify cellular genes that impact HCMV infection at different life cycle stages. We utilized this pipeline to interrogate proteomic and transcriptomic datasets associated with the HCMV UL26 protein, which blocks antiviral signaling during infection. We find that JUNB drives antiviral gene expression, induces protein ISGylation, and suppresses diverse viral infections. Further, UL26 interacts with JUNB and suppresses JUNB-mediated condensation of viral DNA replication compartments. These results highlight the VIRCAA pipeline’s utility for identifying important determinants of viral infection.</w:t>
      </w:r>
    </w:p>
    <w:p>
      <w:pPr>
        <w:spacing w:before="120" w:after="120"/>
      </w:pPr>
      <w:r>
        <w:rPr>
          <w:sz w:val="18"/>
        </w:rPr>
        <w:t>——————————————————————————————————————————————————————————————————————</w:t>
      </w:r>
    </w:p>
    <w:p>
      <w:pPr>
        <w:spacing w:before="160" w:after="40" w:line="240" w:lineRule="auto"/>
      </w:pPr>
      <w:r>
        <w:rPr>
          <w:b/>
        </w:rPr>
        <w:t xml:space="preserve">[130] </w:t>
      </w:r>
      <w:hyperlink r:id="rId439">
        <w:r>
          <w:rPr>
            <w:color w:val="1155CC"/>
            <w:u w:val="single"/>
          </w:rPr>
          <w:t>利用细菌脂蛋白途径合成脂化大环肽</w:t>
        </w:r>
      </w:hyperlink>
    </w:p>
    <w:p>
      <w:pPr>
        <w:spacing w:before="0" w:after="80"/>
      </w:pPr>
      <w:r>
        <w:rPr>
          <w:i/>
          <w:sz w:val="20"/>
        </w:rPr>
        <w:t>EN: Co-opting the bacterial lipoprotein pathway for the biosynthesis of lipidated macrocyclic peptides</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40">
        <w:r>
          <w:rPr>
            <w:color w:val="1155CC"/>
            <w:u w:val="single"/>
          </w:rPr>
          <w:t>10.1073/pnas.2532672123</w:t>
        </w:r>
      </w:hyperlink>
    </w:p>
    <w:p>
      <w:pPr>
        <w:spacing w:before="0" w:after="120"/>
      </w:pPr>
      <w:r>
        <w:rPr>
          <w:b/>
        </w:rPr>
        <w:t xml:space="preserve">Notes: </w:t>
      </w:r>
      <w:r>
        <w:t>abstract_source=crossref</w:t>
      </w:r>
    </w:p>
    <w:p>
      <w:pPr>
        <w:spacing w:before="0" w:after="80" w:lineRule="auto" w:line="276"/>
      </w:pPr>
      <w:r>
        <w:rPr>
          <w:b/>
        </w:rPr>
        <w:t xml:space="preserve">摘要（ZH）: </w:t>
      </w:r>
      <w:r>
        <w:t>核糖体合成和翻译后修饰的肽（RiPPs）是结构多样的天然产物，具有多种生物活性，通常作为抗生素、抗真菌剂或金属载体。在RiPP生物合成中，不同的修饰酶在前体肽上安装一系列化学基团。最近描述的一种RiPP修饰酶ChrH，在其前体肽上催化了一种极其复杂的反应，产生了一个大环、杂环和S-甲基基团。通过利用比较基因组学，我们证明了与ChrH相关的酶亚家族的产物显示出意想不到的结构多样性，包括生产未甲基化的大环同系物和C末端修饰的蛋白质</w:t>
      </w:r>
    </w:p>
    <w:p>
      <w:pPr>
        <w:spacing w:before="0" w:after="200" w:lineRule="auto" w:line="276"/>
      </w:pPr>
      <w:r>
        <w:rPr>
          <w:b/>
        </w:rPr>
        <w:t xml:space="preserve">Abstract (EN): </w:t>
      </w:r>
      <w:r>
        <w:t>Ribosomally synthesized and posttranslationally modified peptides (RiPPs) are structurally diverse natural products that possess a range of bioactivities, often acting as antibiotics, antifungals, or metallophores. In RiPP biosynthesis, different modifying enzymes install an array of chemical motifs onto a precursor peptide. A recently described RiPP-modifying enzyme, ChrH, catalyzes a remarkably complex reaction on its precursor peptide that results in a macrocycle, heterocycle, and</w:t>
      </w:r>
      <w:r>
        <w:t xml:space="preserve"> </w:t>
      </w:r>
      <w:r>
        <w:t>S-</w:t>
      </w:r>
      <w:r>
        <w:t>methyl group. By leveraging comparative genomics, we demonstrate that the products from a subfamily of enzymes related to ChrH display unexpected structural diversity, including the production of unmethylated macrocyclic congeners and C-terminally modified proteins over 30 kDa in size. Several of these precursors contain a signal peptide, sending them for downstream maturation by the bacterial lipoprotein biosynthetic pathway. Like bacterial lipoproteins, such peptides are modified by addition of a diacylglycerol (DAG) group to the N-terminal cysteine residue along with acylation of the N-terminal amine. Genome mining reveals that these RiPP–lipoprotein hybrids, which we term DAG-RiPPs, are widespread across bacterial phyla and are likely involved in different biological roles. Together, these results highlight a maturation paradigm for membrane-bound RiPPs and lay the foundation for the future discovery and bioengineering of other RiPP–lipoprotein hybrids.</w:t>
      </w:r>
    </w:p>
    <w:p>
      <w:pPr>
        <w:spacing w:before="120" w:after="120"/>
      </w:pPr>
      <w:r>
        <w:rPr>
          <w:sz w:val="18"/>
        </w:rPr>
        <w:t>——————————————————————————————————————————————————————————————————————</w:t>
      </w:r>
    </w:p>
    <w:p>
      <w:pPr>
        <w:spacing w:before="160" w:after="40" w:line="240" w:lineRule="auto"/>
      </w:pPr>
      <w:r>
        <w:rPr>
          <w:b/>
        </w:rPr>
        <w:t xml:space="preserve">[131] </w:t>
      </w:r>
      <w:hyperlink r:id="rId441">
        <w:r>
          <w:rPr>
            <w:color w:val="1155CC"/>
            <w:u w:val="single"/>
          </w:rPr>
          <w:t>模型证据表明格陵兰尘埃中冰期-间冰期和千年信号的不同起源</w:t>
        </w:r>
      </w:hyperlink>
    </w:p>
    <w:p>
      <w:pPr>
        <w:spacing w:before="0" w:after="80"/>
      </w:pPr>
      <w:r>
        <w:rPr>
          <w:i/>
          <w:sz w:val="20"/>
        </w:rPr>
        <w:t>EN: Model evidence for distinct origins of glacial–interglacial and millennial signals in Greenland dust</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42">
        <w:r>
          <w:rPr>
            <w:color w:val="1155CC"/>
            <w:u w:val="single"/>
          </w:rPr>
          <w:t>10.1073/pnas.2531908123</w:t>
        </w:r>
      </w:hyperlink>
    </w:p>
    <w:p>
      <w:pPr>
        <w:spacing w:before="0" w:after="120"/>
      </w:pPr>
      <w:r>
        <w:rPr>
          <w:b/>
        </w:rPr>
        <w:t xml:space="preserve">Notes: </w:t>
      </w:r>
      <w:r>
        <w:t>abstract_source=crossref</w:t>
      </w:r>
    </w:p>
    <w:p>
      <w:pPr>
        <w:spacing w:before="0" w:after="80" w:lineRule="auto" w:line="276"/>
      </w:pPr>
      <w:r>
        <w:rPr>
          <w:b/>
        </w:rPr>
        <w:t xml:space="preserve">摘要（ZH）: </w:t>
      </w:r>
      <w:r>
        <w:t>格陵兰冰芯记录显示，最后一次冰期最大时的矿物粉尘通量是现在的二十倍，并且在北大西洋的气候突变事件中迅速响应。冰期-间冰期和快速粉尘变化模式都被认为起源于亚洲沙漠的风暴变化。然而，地球化学测量并未排除非洲和欧洲的来源，并且亚洲的源强度快速变化尚未在北太平洋粉尘通量记录中明确识别。通过对最后一个冰期的地球系统模型模拟，我们表明，突变事件特有的纬度雨带移动可能对大西洋地区的粉尘产生重要影响。与冰期-间冰期不同的是，</w:t>
      </w:r>
    </w:p>
    <w:p>
      <w:pPr>
        <w:spacing w:before="0" w:after="200" w:lineRule="auto" w:line="276"/>
      </w:pPr>
      <w:r>
        <w:rPr>
          <w:b/>
        </w:rPr>
        <w:t xml:space="preserve">Abstract (EN): </w:t>
      </w:r>
      <w:r>
        <w:t>Greenland ice-core records show that the mineral dust flux during the last glacial maximum was twenty times greater than present and it responded rapidly during North Atlantic abrupt climate events. Both glacial–interglacial and rapid modes of dust variability have been suggested to originate from changes in storminess over Asian deserts. However, geochemical measurements do not rule out sources in Africa and Europe, and rapid changes in the source strength over Asia are yet to be unambiguously identified in North Pacific dust flux records. With a suite of Earth System model simulations of the last glacial period we show that latitudinal rainbelt shifts characteristic of abrupt events may have had an important impact on dust across the Atlantic region. Unlike for the glacial–interglacial difference, these faster, decadal to centennial scale transitions drive significant dust generation and meridional dust transport which enhances dust delivery over Greenland. These results help reconcile several features of the glacial dust cycle and thereby question the paradigm that Asian desert conditions can explain both modes of variability in Greenland dust records. The model points to a greater sensitivity of the poleward dust transport to climate change and provides a basis for investigating the potential role of dust radiative feedbacks during abrupt climate change.</w:t>
      </w:r>
    </w:p>
    <w:p>
      <w:pPr>
        <w:spacing w:before="120" w:after="120"/>
      </w:pPr>
      <w:r>
        <w:rPr>
          <w:sz w:val="18"/>
        </w:rPr>
        <w:t>——————————————————————————————————————————————————————————————————————</w:t>
      </w:r>
    </w:p>
    <w:p>
      <w:pPr>
        <w:spacing w:before="160" w:after="40" w:line="240" w:lineRule="auto"/>
      </w:pPr>
      <w:r>
        <w:rPr>
          <w:b/>
        </w:rPr>
        <w:t xml:space="preserve">[132] </w:t>
      </w:r>
      <w:hyperlink r:id="rId443">
        <w:r>
          <w:rPr>
            <w:color w:val="1155CC"/>
            <w:u w:val="single"/>
          </w:rPr>
          <w:t>国家认同重构大脑对“他们”到“我们”的反应</w:t>
        </w:r>
      </w:hyperlink>
    </w:p>
    <w:p>
      <w:pPr>
        <w:spacing w:before="0" w:after="80"/>
      </w:pPr>
      <w:r>
        <w:rPr>
          <w:i/>
          <w:sz w:val="20"/>
        </w:rPr>
        <w:t>EN: National identity reconfigures brain responses from “them” to “us”</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44">
        <w:r>
          <w:rPr>
            <w:color w:val="1155CC"/>
            <w:u w:val="single"/>
          </w:rPr>
          <w:t>10.1073/pnas.2531563123</w:t>
        </w:r>
      </w:hyperlink>
    </w:p>
    <w:p>
      <w:pPr>
        <w:spacing w:before="0" w:after="120"/>
      </w:pPr>
      <w:r>
        <w:rPr>
          <w:b/>
        </w:rPr>
        <w:t xml:space="preserve">Notes: </w:t>
      </w:r>
      <w:r>
        <w:t>abstract_source=crossref</w:t>
      </w:r>
    </w:p>
    <w:p>
      <w:pPr>
        <w:spacing w:before="0" w:after="80" w:lineRule="auto" w:line="276"/>
      </w:pPr>
      <w:r>
        <w:rPr>
          <w:b/>
        </w:rPr>
        <w:t xml:space="preserve">摘要（ZH）: </w:t>
      </w:r>
      <w:r>
        <w:t>人类大脑如何通过将外群体（他们）重新分类为内群体（我们）来灵活适应社会感知仍不清楚。利用新加坡多元文化人口的功能性MRI，我们研究了下属（种族）与上级（国家）身份的启动如何重塑种族内群体和外群体面孔的神经处理。我们证明了腹内侧前额叶皮层，一个自我参照处理的枢纽，在种族身份启动下优先激活种族内群体面孔，而在国家身份启动下对种族外群体面孔表现出更高的参与度。表征相似性分析显示，国家启动减少了内群体和外群体面孔之间的神经表征距离，尽管种族差异仍然存在。</w:t>
      </w:r>
    </w:p>
    <w:p>
      <w:pPr>
        <w:spacing w:before="0" w:after="200" w:lineRule="auto" w:line="276"/>
      </w:pPr>
      <w:r>
        <w:rPr>
          <w:b/>
        </w:rPr>
        <w:t xml:space="preserve">Abstract (EN): </w:t>
      </w:r>
      <w:r>
        <w:t>How the human brain flexibly adapts social perception by recategorizing out-group (them) to in-group (us) remains unclear. Using functional MRI in Singapore’s multicultural population, we investigated how priming subordinate (ethnic) versus superordinate (national) identities reshapes neural processing of ethnic in-group and out-group faces. We demonstrate that the ventromedial prefrontal cortex, a hub for self-referential processing, preferentially activates for ethnic in-group faces under ethnic identity priming, while showing increased engagement for ethnic out-group faces under national identity priming. Representational similarity analyses reveal that national priming reduces the neural representational distance between in-group and out-group faces, though ethnic distinctions persisted. These findings provide neural evidence for the Common Ingroup Identity Model, revealing a partial recategorization process in which superordinate identity priming increases self-referential processing of former out-group members while maintaining underlying ethnic category distinctions. These results elucidate the neural mechanisms supporting identity flexibility with implications for improving intergroup relations in diverse societies.</w:t>
      </w:r>
    </w:p>
    <w:p>
      <w:pPr>
        <w:spacing w:before="120" w:after="120"/>
      </w:pPr>
      <w:r>
        <w:rPr>
          <w:sz w:val="18"/>
        </w:rPr>
        <w:t>——————————————————————————————————————————————————————————————————————</w:t>
      </w:r>
    </w:p>
    <w:p>
      <w:pPr>
        <w:spacing w:before="160" w:after="40" w:line="240" w:lineRule="auto"/>
      </w:pPr>
      <w:r>
        <w:rPr>
          <w:b/>
        </w:rPr>
        <w:t xml:space="preserve">[133] </w:t>
      </w:r>
      <w:hyperlink r:id="rId445">
        <w:r>
          <w:rPr>
            <w:color w:val="1155CC"/>
            <w:u w:val="single"/>
          </w:rPr>
          <w:t>细胞毒性T细胞对α-突触核蛋白的识别驱动多系统萎缩中的致病性免疫反应</w:t>
        </w:r>
      </w:hyperlink>
    </w:p>
    <w:p>
      <w:pPr>
        <w:spacing w:before="0" w:after="80"/>
      </w:pPr>
      <w:r>
        <w:rPr>
          <w:i/>
          <w:sz w:val="20"/>
        </w:rPr>
        <w:t>EN: Cytotoxic T cell recognition of α-synuclein drives pathogenic immune responses in multiple system atrophy</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46">
        <w:r>
          <w:rPr>
            <w:color w:val="1155CC"/>
            <w:u w:val="single"/>
          </w:rPr>
          <w:t>10.1073/pnas.2537271123</w:t>
        </w:r>
      </w:hyperlink>
    </w:p>
    <w:p>
      <w:pPr>
        <w:spacing w:before="0" w:after="120"/>
      </w:pPr>
      <w:r>
        <w:rPr>
          <w:b/>
        </w:rPr>
        <w:t xml:space="preserve">Notes: </w:t>
      </w:r>
      <w:r>
        <w:t>abstract_source=crossref</w:t>
      </w:r>
    </w:p>
    <w:p>
      <w:pPr>
        <w:spacing w:before="0" w:after="80" w:lineRule="auto" w:line="276"/>
      </w:pPr>
      <w:r>
        <w:rPr>
          <w:b/>
        </w:rPr>
        <w:t xml:space="preserve">摘要（ZH）: </w:t>
      </w:r>
      <w:r>
        <w:t>多系统萎缩（MSA）是一种进行性神经疾病，属于α-突触核蛋白病。目前尚无有效的疾病修饰疗法。虽然神经炎症是MSA的标志，但适应性免疫机制的贡献仍然知之甚少。在此，我们使用单细胞转录组学、流式细胞术和抗原特异性功能测定，分析了MSA患者的外周和中枢T细胞反应，并与帕金森病（PD）和健康对照组进行比较。我们证明了MSA患者的外周T细胞被激活并倾向于细胞毒性和炎症表型。单细胞转录组学进一步揭示了表达细胞毒性CD8</w:t>
      </w:r>
      <w:r>
        <w:t xml:space="preserve"> </w:t>
      </w:r>
      <w:r>
        <w:t>+</w:t>
      </w:r>
      <w:r>
        <w:t xml:space="preserve"> </w:t>
      </w:r>
      <w:r>
        <w:t>T细胞的克隆扩增。</w:t>
      </w:r>
    </w:p>
    <w:p>
      <w:pPr>
        <w:spacing w:before="0" w:after="200" w:lineRule="auto" w:line="276"/>
      </w:pPr>
      <w:r>
        <w:rPr>
          <w:b/>
        </w:rPr>
        <w:t xml:space="preserve">Abstract (EN): </w:t>
      </w:r>
      <w:r>
        <w:t>Multiple system atrophy (MSA) is a progressive neurologic disease, known as an α-synucleinopathy. There are currently no effective disease-modifying therapies for MSA. While neuroinflammation is a hallmark of MSA, the contribution of adaptive immune mechanisms remains poorly understood. Here, we profiled peripheral and central T cell responses in patients with MSA, in comparison with Parkinson’s disease (PD) and healthy control cohorts, using single-cell transcriptomics, flow cytometry, and antigen-specific functional assays. We demonstrated that peripheral T cells from MSA patients are activated and skewed toward cytotoxic and inflammatory phenotypes. Single-cell transcriptomics further revealed clonal expansion of cytotoxic CD8</w:t>
      </w:r>
      <w:r>
        <w:t xml:space="preserve"> </w:t>
      </w:r>
      <w:r>
        <w:t>+</w:t>
      </w:r>
      <w:r>
        <w:t xml:space="preserve"> </w:t>
      </w:r>
      <w:r>
        <w:t>T cells expressing</w:t>
      </w:r>
      <w:r>
        <w:t xml:space="preserve"> </w:t>
      </w:r>
      <w:r>
        <w:t>GZMB</w:t>
      </w:r>
      <w:r>
        <w:t xml:space="preserve"> </w:t>
      </w:r>
      <w:r>
        <w:t>,</w:t>
      </w:r>
      <w:r>
        <w:t xml:space="preserve"> </w:t>
      </w:r>
      <w:r>
        <w:t>GNLY</w:t>
      </w:r>
      <w:r>
        <w:t xml:space="preserve"> </w:t>
      </w:r>
      <w:r>
        <w:t>, and chemokine and integrin programs associated with brain homing. We also demonstrated that both CD4</w:t>
      </w:r>
      <w:r>
        <w:t xml:space="preserve"> </w:t>
      </w:r>
      <w:r>
        <w:t>+</w:t>
      </w:r>
      <w:r>
        <w:t xml:space="preserve"> </w:t>
      </w:r>
      <w:r>
        <w:t>and CD8</w:t>
      </w:r>
      <w:r>
        <w:t xml:space="preserve"> </w:t>
      </w:r>
      <w:r>
        <w:t>+</w:t>
      </w:r>
      <w:r>
        <w:t xml:space="preserve"> </w:t>
      </w:r>
      <w:r>
        <w:t>T cells from MSA patients recognize α-synuclein monomers and preformed fibrils in an HLA class I/II-dependent manner, driving proliferation, clonal expansion, and acquisition of cytotoxic features. Consistent with these peripheral responses, CD8</w:t>
      </w:r>
      <w:r>
        <w:t xml:space="preserve"> </w:t>
      </w:r>
      <w:r>
        <w:t>+</w:t>
      </w:r>
      <w:r>
        <w:t xml:space="preserve"> </w:t>
      </w:r>
      <w:r>
        <w:t>T cell density was increased in the parietal cortex of postmortem MSA brain tissues, along with cytotoxic (GZMB</w:t>
      </w:r>
      <w:r>
        <w:t xml:space="preserve"> </w:t>
      </w:r>
      <w:r>
        <w:t>+</w:t>
      </w:r>
      <w:r>
        <w:t xml:space="preserve"> </w:t>
      </w:r>
      <w:r>
        <w:t>, GZMK</w:t>
      </w:r>
      <w:r>
        <w:t xml:space="preserve"> </w:t>
      </w:r>
      <w:r>
        <w:t>+</w:t>
      </w:r>
      <w:r>
        <w:t xml:space="preserve"> </w:t>
      </w:r>
      <w:r>
        <w:t>) and proinflammatory (IFNγ</w:t>
      </w:r>
      <w:r>
        <w:t xml:space="preserve"> </w:t>
      </w:r>
      <w:r>
        <w:t>+</w:t>
      </w:r>
      <w:r>
        <w:t xml:space="preserve"> </w:t>
      </w:r>
      <w:r>
        <w:t>) CD8</w:t>
      </w:r>
      <w:r>
        <w:t xml:space="preserve"> </w:t>
      </w:r>
      <w:r>
        <w:t>+</w:t>
      </w:r>
      <w:r>
        <w:t xml:space="preserve"> </w:t>
      </w:r>
      <w:r>
        <w:t>T cells. Together, these findings demonstrate that cytotoxic T cells targeting α-synuclein are engaged in MSA, suggesting that their activity may contribute to neuroinflammation and disease progression, and highlighting this immune axis as a candidate therapeutic target for further investigation.</w:t>
      </w:r>
    </w:p>
    <w:p>
      <w:pPr>
        <w:spacing w:before="120" w:after="120"/>
      </w:pPr>
      <w:r>
        <w:rPr>
          <w:sz w:val="18"/>
        </w:rPr>
        <w:t>——————————————————————————————————————————————————————————————————————</w:t>
      </w:r>
    </w:p>
    <w:p>
      <w:pPr>
        <w:spacing w:before="160" w:after="40" w:line="240" w:lineRule="auto"/>
      </w:pPr>
      <w:r>
        <w:rPr>
          <w:b/>
        </w:rPr>
        <w:t xml:space="preserve">[134] </w:t>
      </w:r>
      <w:hyperlink r:id="rId447">
        <w:r>
          <w:rPr>
            <w:color w:val="1155CC"/>
            <w:u w:val="single"/>
          </w:rPr>
          <w:t>在温室效应变暖下太平洋热带不稳定波活动的预测变化</w:t>
        </w:r>
      </w:hyperlink>
    </w:p>
    <w:p>
      <w:pPr>
        <w:spacing w:before="0" w:after="80"/>
      </w:pPr>
      <w:r>
        <w:rPr>
          <w:i/>
          <w:sz w:val="20"/>
        </w:rPr>
        <w:t>EN: Projected changes in tropical instability wave activity in the Pacific Ocean under greenhouse warming</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48">
        <w:r>
          <w:rPr>
            <w:color w:val="1155CC"/>
            <w:u w:val="single"/>
          </w:rPr>
          <w:t>10.1073/pnas.2530859123</w:t>
        </w:r>
      </w:hyperlink>
    </w:p>
    <w:p>
      <w:pPr>
        <w:spacing w:before="0" w:after="120"/>
      </w:pPr>
      <w:r>
        <w:rPr>
          <w:b/>
        </w:rPr>
        <w:t xml:space="preserve">Notes: </w:t>
      </w:r>
      <w:r>
        <w:t>abstract_source=crossref</w:t>
      </w:r>
    </w:p>
    <w:p>
      <w:pPr>
        <w:spacing w:before="0" w:after="80" w:lineRule="auto" w:line="276"/>
      </w:pPr>
      <w:r>
        <w:rPr>
          <w:b/>
        </w:rPr>
        <w:t xml:space="preserve">摘要（ZH）: </w:t>
      </w:r>
      <w:r>
        <w:t>热带不稳定波（TIWs）主导了热带太平洋的季节内变率，对气候变率和海洋生态系统产生强烈影响。然而，由于大多数现有气候模型无法很好地解析它们，因此它们对温室效应增温的响应仍不确定。通过使用一套能够代表TIWs的高分辨率气候模型模拟，我们识别出两种一致且不同的机制驱动TIWs对CO</w:t>
      </w:r>
      <w:r>
        <w:rPr>
          <w:vertAlign w:val="subscript"/>
        </w:rPr>
        <w:t>2</w:t>
      </w:r>
      <w:r>
        <w:t>增加的响应。在赤道以北，TIW活动在较高的CO</w:t>
      </w:r>
      <w:r>
        <w:rPr>
          <w:vertAlign w:val="subscript"/>
        </w:rPr>
        <w:t>2</w:t>
      </w:r>
      <w:r>
        <w:t>下由于秋季盛行的纬向流的增强而加强。在赤道沿线，TIW活动减弱并略微向西移动，这由减少的mer驱动。</w:t>
      </w:r>
    </w:p>
    <w:p>
      <w:pPr>
        <w:spacing w:before="0" w:after="200" w:lineRule="auto" w:line="276"/>
      </w:pPr>
      <w:r>
        <w:rPr>
          <w:b/>
        </w:rPr>
        <w:t xml:space="preserve">Abstract (EN): </w:t>
      </w:r>
      <w:r>
        <w:t>Tropical Instability Waves (TIWs) dominate intraseasonal variability in the tropical Pacific Ocean, strongly impacting climate variability and marine ecosystems. However, their response to greenhouse warming remains uncertain because most current climate models cannot resolve them well. Using a suite of high-resolution climate model simulations capable of representing TIWs, we identify two consistent and distinct mechanisms driving the response of TIWs to CO</w:t>
      </w:r>
      <w:r>
        <w:rPr>
          <w:vertAlign w:val="subscript"/>
        </w:rPr>
        <w:t>2</w:t>
      </w:r>
      <w:r>
        <w:t>increases. North of the equator, TIW activity intensifies under higher CO</w:t>
      </w:r>
      <w:r>
        <w:rPr>
          <w:vertAlign w:val="subscript"/>
        </w:rPr>
        <w:t>2</w:t>
      </w:r>
      <w:r>
        <w:t>due to enhanced meridional shear of the prevailing zonal currents during boreal fall. Along the equator, TIW activity weakens and shifts slightly westward, driven by a reduced meridional temperature gradient and shoaling of the Equatorial Undercurrent. These changes result in a robust decrease in TIW-driven temperature variability and associated eddy dynamical heating along the equator, underscoring their importance for constraining both the magnitude and spatial pattern of future tropical Pacific warming.</w:t>
      </w:r>
    </w:p>
    <w:p>
      <w:pPr>
        <w:spacing w:before="120" w:after="120"/>
      </w:pPr>
      <w:r>
        <w:rPr>
          <w:sz w:val="18"/>
        </w:rPr>
        <w:t>——————————————————————————————————————————————————————————————————————</w:t>
      </w:r>
    </w:p>
    <w:p>
      <w:pPr>
        <w:spacing w:before="160" w:after="40" w:line="240" w:lineRule="auto"/>
      </w:pPr>
      <w:r>
        <w:rPr>
          <w:b/>
        </w:rPr>
        <w:t xml:space="preserve">[135] </w:t>
      </w:r>
      <w:hyperlink r:id="rId449">
        <w:r>
          <w:rPr>
            <w:color w:val="1155CC"/>
            <w:u w:val="single"/>
          </w:rPr>
          <w:t>皮脂素具有抗病毒活性并对抗流感提供保护</w:t>
        </w:r>
      </w:hyperlink>
    </w:p>
    <w:p>
      <w:pPr>
        <w:spacing w:before="0" w:after="80"/>
      </w:pPr>
      <w:r>
        <w:rPr>
          <w:i/>
          <w:sz w:val="20"/>
        </w:rPr>
        <w:t>EN: Dermcidin has antiviral activity and protects against influenza</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50">
        <w:r>
          <w:rPr>
            <w:color w:val="1155CC"/>
            <w:u w:val="single"/>
          </w:rPr>
          <w:t>10.1073/pnas.2424461123</w:t>
        </w:r>
      </w:hyperlink>
    </w:p>
    <w:p>
      <w:pPr>
        <w:spacing w:before="0" w:after="120"/>
      </w:pPr>
      <w:r>
        <w:rPr>
          <w:b/>
        </w:rPr>
        <w:t xml:space="preserve">Notes: </w:t>
      </w:r>
      <w:r>
        <w:t>abstract_source=crossref</w:t>
      </w:r>
    </w:p>
    <w:p>
      <w:pPr>
        <w:spacing w:before="0" w:after="80" w:lineRule="auto" w:line="276"/>
      </w:pPr>
      <w:r>
        <w:rPr>
          <w:b/>
        </w:rPr>
        <w:t xml:space="preserve">摘要（ZH）: </w:t>
      </w:r>
      <w:r>
        <w:t>尽管流感病毒感染的发生率很高，但五分之一的流感感染者仍然无症状。然而，与这种免疫韧性相关的机制尚不清楚。在这里，我们展示了人类抗菌肽dermcidin通过与血凝素结合对流感病毒具有抗病毒活性，并将其效应扩展到分类上无关的呼吸道病毒，如麻疹病毒和人类冠状病毒OC43。我们展示了dermcidin存在于与呼吸道病毒进入途径相关的所有解剖区域，其水平在病毒呼吸道感染期间增加，并且它保护小鼠免受流感疾病的侵害。值得注意的是，无症状个体的dermcidin水平高于易感同龄人，表明</w:t>
      </w:r>
    </w:p>
    <w:p>
      <w:pPr>
        <w:spacing w:before="0" w:after="200" w:lineRule="auto" w:line="276"/>
      </w:pPr>
      <w:r>
        <w:rPr>
          <w:b/>
        </w:rPr>
        <w:t xml:space="preserve">Abstract (EN): </w:t>
      </w:r>
      <w:r>
        <w:t>Despite the high incidence of influenza virus infections, one-fifth of people infected with influenza remain asymptomatic. The mechanisms associated with this immune resilience are, however, unknown. Here, we show that the human antimicrobial peptide dermcidin has antiviral activity against influenza viruses through binding to hemagglutinin and extends its effect to taxonomically unrelated respiratory viruses such as measles virus and human coronavirus OC43. We show that dermcidin is present in all anatomical regions associated with the entry routes of respiratory viruses, that its levels increase during viral respiratory infections, and that it protects mice against influenza disease. Notably, dermcidin levels were higher in asymptomatic individuals than in susceptible peers, suggesting a role in the onset of disease symptoms. Thus, we show that dermcidin inhibits influenza virus infection in vitro and in vivo, with potential as a human-derived product for the prevention and treatment of respiratory viral infections.</w:t>
      </w:r>
    </w:p>
    <w:p>
      <w:pPr>
        <w:spacing w:before="120" w:after="120"/>
      </w:pPr>
      <w:r>
        <w:rPr>
          <w:sz w:val="18"/>
        </w:rPr>
        <w:t>——————————————————————————————————————————————————————————————————————</w:t>
      </w:r>
    </w:p>
    <w:p>
      <w:pPr>
        <w:spacing w:before="160" w:after="40" w:line="240" w:lineRule="auto"/>
      </w:pPr>
      <w:r>
        <w:rPr>
          <w:b/>
        </w:rPr>
        <w:t xml:space="preserve">[136] </w:t>
      </w:r>
      <w:hyperlink r:id="rId451">
        <w:r>
          <w:rPr>
            <w:color w:val="1155CC"/>
            <w:u w:val="single"/>
          </w:rPr>
          <w:t>时间性神经元分化程序保障神经元多样性</w:t>
        </w:r>
      </w:hyperlink>
    </w:p>
    <w:p>
      <w:pPr>
        <w:spacing w:before="0" w:after="80"/>
      </w:pPr>
      <w:r>
        <w:rPr>
          <w:i/>
          <w:sz w:val="20"/>
        </w:rPr>
        <w:t>EN: Temporal neuronal differentiation programs safeguard neuronal diversity</w:t>
      </w:r>
    </w:p>
    <w:p>
      <w:pPr>
        <w:spacing w:before="0" w:after="120"/>
      </w:pPr>
      <w:r>
        <w:rPr>
          <w:b/>
        </w:rPr>
        <w:t xml:space="preserve">Source: </w:t>
      </w:r>
      <w:r>
        <w:t>Proceedings of the National Academy of Sciences: Keyword search for query</w:t>
      </w:r>
      <w:r>
        <w:t xml:space="preserve">    </w:t>
      </w:r>
      <w:r>
        <w:rPr>
          <w:b/>
        </w:rPr>
        <w:t xml:space="preserve">Pub date: </w:t>
      </w:r>
      <w:r>
        <w:t>2026-03-30 07:00:00+00:00</w:t>
      </w:r>
      <w:r>
        <w:t xml:space="preserve">    </w:t>
      </w:r>
      <w:r>
        <w:rPr>
          <w:b/>
        </w:rPr>
        <w:t xml:space="preserve">DOI: </w:t>
      </w:r>
      <w:hyperlink r:id="rId452">
        <w:r>
          <w:rPr>
            <w:color w:val="1155CC"/>
            <w:u w:val="single"/>
          </w:rPr>
          <w:t>10.1073/pnas.2527895123</w:t>
        </w:r>
      </w:hyperlink>
    </w:p>
    <w:p>
      <w:pPr>
        <w:spacing w:before="0" w:after="120"/>
      </w:pPr>
      <w:r>
        <w:rPr>
          <w:b/>
        </w:rPr>
        <w:t xml:space="preserve">Notes: </w:t>
      </w:r>
      <w:r>
        <w:t>abstract_source=crossref</w:t>
      </w:r>
    </w:p>
    <w:p>
      <w:pPr>
        <w:spacing w:before="0" w:after="80" w:lineRule="auto" w:line="276"/>
      </w:pPr>
      <w:r>
        <w:rPr>
          <w:b/>
        </w:rPr>
        <w:t xml:space="preserve">摘要（ZH）: </w:t>
      </w:r>
      <w:r>
        <w:t>分化程序积极地将神经元锁定在终末分化状态。分化程序如何在不同的神经元谱系中运作仍不清楚。在这里，我们发现先前已被充分表征的</w:t>
      </w:r>
      <w:r>
        <w:t xml:space="preserve"> </w:t>
      </w:r>
      <w:r>
        <w:t>Drosophila</w:t>
      </w:r>
      <w:r>
        <w:t xml:space="preserve"> </w:t>
      </w:r>
      <w:r>
        <w:t>神经元分化因子特异性地在中央大脑晚生神经元中表达，而不是早生神经元，表明存在一个独特的早期分化程序。接下来，我们识别出T细胞因子（TCF）和Odd-paired（Opa）/Zic作为早期分化程序的一部分，特异性地在早生神经元中表达，以防止神经元去分化，部分通过限制Chinmo表达。在分子水平上，TCF通过Wnt-ind促进神经元分化。</w:t>
      </w:r>
    </w:p>
    <w:p>
      <w:pPr>
        <w:spacing w:before="0" w:after="200" w:lineRule="auto" w:line="276"/>
      </w:pPr>
      <w:r>
        <w:rPr>
          <w:b/>
        </w:rPr>
        <w:t xml:space="preserve">Abstract (EN): </w:t>
      </w:r>
      <w:r>
        <w:t>Differentiation programs actively lock neurons into a terminally differentiated state. How differentiation programs operate in distinct neuronal lineages remains obscure. Here, we found that previously well-characterized</w:t>
      </w:r>
      <w:r>
        <w:t xml:space="preserve"> </w:t>
      </w:r>
      <w:r>
        <w:t>Drosophila</w:t>
      </w:r>
      <w:r>
        <w:t xml:space="preserve"> </w:t>
      </w:r>
      <w:r>
        <w:t>neuronal differentiation factors are specifically expressed in the central brain late-born neurons but not early-born neurons, indicating the existence of a distinct, early differentiation program. We next identified T cell factor (TCF) and Odd-paired (Opa)/Zic as part of the early differentiation program that is specifically expressed in the early-born neurons to prevent neuronal dedifferentiation, partly through restricting Chinmo expression. At the molecular level, TCF promotes neuronal differentiation through a Wnt-independent noncanonical mode, via forming a transcriptional complex with Opa. Together, our study unveils that distinct differentiation programs operate in fly central brain early-born versus late-born neurons. Such customized differentiation mechanism whereby temporal differentiation programs safeguard their corresponding temporal identity specification programs is likely to also operate in mammalian brain development.</w:t>
      </w:r>
    </w:p>
    <w:p>
      <w:pPr>
        <w:spacing w:before="120" w:after="120"/>
      </w:pPr>
      <w:r>
        <w:rPr>
          <w:sz w:val="18"/>
        </w:rPr>
        <w:t>——————————————————————————————————————————————————————————————————————</w:t>
      </w:r>
    </w:p>
    <w:p>
      <w:pPr>
        <w:spacing w:before="160" w:after="40" w:line="240" w:lineRule="auto"/>
      </w:pPr>
      <w:r>
        <w:rPr>
          <w:b/>
        </w:rPr>
        <w:t xml:space="preserve">[137] </w:t>
      </w:r>
      <w:hyperlink r:id="rId453">
        <w:r>
          <w:rPr>
            <w:color w:val="1155CC"/>
            <w:u w:val="single"/>
          </w:rPr>
          <w:t>[ASAP] MOR晶格限制的钯位点上甲烷与臭氧的室温转化</w:t>
        </w:r>
      </w:hyperlink>
    </w:p>
    <w:p>
      <w:pPr>
        <w:spacing w:before="0" w:after="80"/>
      </w:pPr>
      <w:r>
        <w:rPr>
          <w:i/>
          <w:sz w:val="20"/>
        </w:rPr>
        <w:t>EN: [ASAP] Room-Temperature Conversion of Methane with Ozone over MOR Lattice-Confined Pd Sites</w:t>
      </w:r>
    </w:p>
    <w:p>
      <w:pPr>
        <w:spacing w:before="0" w:after="120"/>
      </w:pPr>
      <w:r>
        <w:rPr>
          <w:b/>
        </w:rPr>
        <w:t xml:space="preserve">Source: </w:t>
      </w:r>
      <w:r>
        <w:t>Journal of the American Chemical Society: Latest Articles (ACS Publications)</w:t>
      </w:r>
      <w:r>
        <w:t xml:space="preserve">    </w:t>
      </w:r>
      <w:r>
        <w:rPr>
          <w:b/>
        </w:rPr>
        <w:t xml:space="preserve">Pub date: </w:t>
      </w:r>
      <w:r>
        <w:t>2026-03-30 08:41:39+00:00</w:t>
      </w:r>
      <w:r>
        <w:t xml:space="preserve">    </w:t>
      </w:r>
      <w:r>
        <w:rPr>
          <w:b/>
        </w:rPr>
        <w:t xml:space="preserve">DOI: </w:t>
      </w:r>
      <w:hyperlink r:id="rId454">
        <w:r>
          <w:rPr>
            <w:color w:val="1155CC"/>
            <w:u w:val="single"/>
          </w:rPr>
          <w:t>10.1021/jacs.6c00561</w:t>
        </w:r>
      </w:hyperlink>
    </w:p>
    <w:p>
      <w:pPr>
        <w:spacing w:before="0" w:after="120"/>
      </w:pPr>
      <w:r>
        <w:rPr>
          <w:b/>
        </w:rPr>
        <w:t xml:space="preserve">Notes: </w:t>
      </w:r>
      <w:r>
        <w:t>abstract_source=pubmed</w:t>
      </w:r>
    </w:p>
    <w:p>
      <w:pPr>
        <w:spacing w:before="0" w:after="80" w:lineRule="auto" w:line="276"/>
      </w:pPr>
      <w:r>
        <w:rPr>
          <w:b/>
        </w:rPr>
        <w:t xml:space="preserve">摘要（ZH）: </w:t>
      </w:r>
      <w:r>
        <w:t>在温和条件下将甲烷催化氧化为增值C1含氧化合物代表了一种能效高的天然气利用策略，但由于甲烷固有的化学惰性，这一过程仍然具有挑战性。在此，我们报告了一种高效催化剂，其特征是原子分散的Pd位点被限制在沸石（MOR）的晶格中，用臭氧作为氧化剂在室温下进行甲烷氧化。该催化剂在25°C时实现了超过99%的C1含氧化合物选择性，产率高达6.0 mmol gPd-1 h-1。综合的原位实验、显微表征和理论计算表明，具有强氧化电位的臭氧可以在MOR晶格限制的Pd位点上容易地解离为活性氧物种（O*），其中</w:t>
      </w:r>
    </w:p>
    <w:p>
      <w:pPr>
        <w:spacing w:before="0" w:after="200" w:lineRule="auto" w:line="276"/>
      </w:pPr>
      <w:r>
        <w:rPr>
          <w:b/>
        </w:rPr>
        <w:t xml:space="preserve">Abstract (EN): </w:t>
      </w:r>
      <w:r>
        <w:t>The catalytic oxidation of methane to value-added C1 oxygenates under mild conditions represents an energy-efficient strategy for natural gas utilization, yet remains challenging due to the inherent chemical inertness of methane. Herein, we report a highly efficient catalyst featuring atomically dispersed Pd sites confined within the lattice of mordenite (MOR) for room-temperature methane oxidation using ozone as the oxidant. This catalyst achieves over 99% selectivity toward C1 oxygenates with a high yield of 6.0 mmol gPd-1 h-1 at 25 °C. Comprehensive in situ experiments, microscopic characterizations, and theoretical calculations reveal that the ozone with a strong oxidative potential can be facilely dissociated to reactive oxygen species (O*) on the MOR lattice-confined Pd sites, where methane can be efficiently activated and converted to desirable products. We found that dual-Pd sites possess a higher catalytic performance than the single-Pd sites, which is attributed to the optimized trade-off between the activities for ozone dissociation to O* and C-H cleavage, thereby enabling efficient CH4 conversion.</w:t>
      </w:r>
    </w:p>
    <w:p>
      <w:pPr>
        <w:spacing w:before="120" w:after="120"/>
      </w:pPr>
      <w:r>
        <w:rPr>
          <w:sz w:val="18"/>
        </w:rPr>
        <w:t>——————————————————————————————————————————————————————————————————————</w:t>
      </w:r>
    </w:p>
    <w:p>
      <w:pPr>
        <w:spacing w:before="160" w:after="40" w:line="240" w:lineRule="auto"/>
      </w:pPr>
      <w:r>
        <w:rPr>
          <w:b/>
        </w:rPr>
        <w:t xml:space="preserve">[138] </w:t>
      </w:r>
      <w:hyperlink r:id="rId455">
        <w:r>
          <w:rPr>
            <w:color w:val="1155CC"/>
            <w:u w:val="single"/>
          </w:rPr>
          <w:t>[ASAP] 溶液中元素物种的光催化原子化用于原子荧光光谱法</w:t>
        </w:r>
      </w:hyperlink>
    </w:p>
    <w:p>
      <w:pPr>
        <w:spacing w:before="0" w:after="80"/>
      </w:pPr>
      <w:r>
        <w:rPr>
          <w:i/>
          <w:sz w:val="20"/>
        </w:rPr>
        <w:t>EN: [ASAP] Photocatalytic Atomization of the Elemental Species in Solution for Atomic Fluorescence Spectrometry</w:t>
      </w:r>
    </w:p>
    <w:p>
      <w:pPr>
        <w:spacing w:before="0" w:after="120"/>
      </w:pPr>
      <w:r>
        <w:rPr>
          <w:b/>
        </w:rPr>
        <w:t xml:space="preserve">Source: </w:t>
      </w:r>
      <w:r>
        <w:t>Journal of the American Chemical Society: Latest Articles (ACS Publications)</w:t>
      </w:r>
      <w:r>
        <w:t xml:space="preserve">    </w:t>
      </w:r>
      <w:r>
        <w:rPr>
          <w:b/>
        </w:rPr>
        <w:t xml:space="preserve">Pub date: </w:t>
      </w:r>
      <w:r>
        <w:t>2026-03-30 08:51:23+00:00</w:t>
      </w:r>
      <w:r>
        <w:t xml:space="preserve">    </w:t>
      </w:r>
      <w:r>
        <w:rPr>
          <w:b/>
        </w:rPr>
        <w:t xml:space="preserve">DOI: </w:t>
      </w:r>
      <w:hyperlink r:id="rId456">
        <w:r>
          <w:rPr>
            <w:color w:val="1155CC"/>
            <w:u w:val="single"/>
          </w:rPr>
          <w:t>10.1021/jacs.5c20257</w:t>
        </w:r>
      </w:hyperlink>
    </w:p>
    <w:p>
      <w:pPr>
        <w:spacing w:before="0" w:after="120"/>
      </w:pPr>
      <w:r>
        <w:rPr>
          <w:b/>
        </w:rPr>
        <w:t xml:space="preserve">Notes: </w:t>
      </w:r>
      <w:r>
        <w:t>abstract_source=pubmed</w:t>
      </w:r>
    </w:p>
    <w:p>
      <w:pPr>
        <w:spacing w:before="0" w:after="80" w:lineRule="auto" w:line="276"/>
      </w:pPr>
      <w:r>
        <w:rPr>
          <w:b/>
        </w:rPr>
        <w:t xml:space="preserve">摘要（ZH）: </w:t>
      </w:r>
      <w:r>
        <w:t>我们报告了一种在溶液中元素物种原子化的范式转变，使用一种新型Z-方案GaP@N-TiO2纳米复合材料，在可见光照射下（vis-GaP@N-TiO2-HCOOH）和甲酸存在下，取代了目前使用的独立冷扩散火焰原子化器。形成的原子可以通过原子荧光光谱法（isAFS）在溶液中检测到，检测限在pg mL-1水平上至少提高了一个数量级，用于As、Se、Hg、Zn、Cd、Ni、Fe、Pb和Co。在此过程中，由N-TiO2上的价带h+保留的还原性CO2•-从HCOOH中转换而来，与GaP上的导带e-一起发挥协同还原作用。这种原子化的新范式转变有望挑战现有的原子</w:t>
      </w:r>
    </w:p>
    <w:p>
      <w:pPr>
        <w:spacing w:before="0" w:after="200" w:lineRule="auto" w:line="276"/>
      </w:pPr>
      <w:r>
        <w:rPr>
          <w:b/>
        </w:rPr>
        <w:t xml:space="preserve">Abstract (EN): </w:t>
      </w:r>
      <w:r>
        <w:t>We report a paradigm shift in the atomization of the elemental species in solution using a novel Z-scheme GaP@N-TiO2 nanocomposite in the presence of formic acid under visible-light irradiation (vis-GaP@N-TiO2-HCOOH), replacing standalone cool diffusion flame-based atomizers presently in use. The atoms formed can be detected in solution by atomic fluorescence spectrometry (isAFS) with at least 1 order of magnitude improvement in the limits of detection at the pg mL-1 level for As, Se, Hg, Zn, Cd, Ni, Fe, Pb, and Co. During this process, the reductive CO2•- switched from HCOOH by the valence band h+ preserved on N-TiO2 together with the conduction band e- on GaP plays a synergistic reduction role. Such a new paradigm shift in atomization is expected to challenge the existing norms of atomic spectrometry and give rise to the next-generation isAFS and beyond, no longer using the flame atomizer(s), avoiding the use of hazardous chemical(s) and/or harmful UV rays, as well as eliminating the inefficient processes of either sample nebulization and isolation of ultrafine droplets and/or chemical vapor species generated.</w:t>
      </w:r>
    </w:p>
    <w:p>
      <w:pPr>
        <w:spacing w:before="120" w:after="120"/>
      </w:pPr>
      <w:r>
        <w:rPr>
          <w:sz w:val="18"/>
        </w:rPr>
        <w:t>——————————————————————————————————————————————————————————————————————</w:t>
      </w:r>
    </w:p>
    <w:p>
      <w:pPr>
        <w:spacing w:before="160" w:after="40" w:line="240" w:lineRule="auto"/>
      </w:pPr>
      <w:r>
        <w:rPr>
          <w:b/>
        </w:rPr>
        <w:t xml:space="preserve">[139] </w:t>
      </w:r>
      <w:hyperlink r:id="rId457">
        <w:r>
          <w:rPr>
            <w:color w:val="1155CC"/>
            <w:u w:val="single"/>
          </w:rPr>
          <w:t>有机硼环芳烃：硼-碳并环的大环π系统</w:t>
        </w:r>
      </w:hyperlink>
    </w:p>
    <w:p>
      <w:pPr>
        <w:spacing w:before="0" w:after="80"/>
      </w:pPr>
      <w:r>
        <w:rPr>
          <w:i/>
          <w:sz w:val="20"/>
        </w:rPr>
        <w:t>EN: Organoboron Cycloarenes: Boron‐Carbon Annulated Macrocyclic π‐Systems</w:t>
      </w:r>
    </w:p>
    <w:p>
      <w:pPr>
        <w:spacing w:before="0" w:after="120"/>
      </w:pPr>
      <w:r>
        <w:rPr>
          <w:b/>
        </w:rPr>
        <w:t xml:space="preserve">Source: </w:t>
      </w:r>
      <w:r>
        <w:t>Wiley: Angewandte Chemie International Edition: Table of Contents</w:t>
      </w:r>
      <w:r>
        <w:t xml:space="preserve">    </w:t>
      </w:r>
      <w:r>
        <w:rPr>
          <w:b/>
        </w:rPr>
        <w:t xml:space="preserve">Pub date: </w:t>
      </w:r>
      <w:r>
        <w:t>2026-03-30 09:05:34+00:00</w:t>
      </w:r>
      <w:r>
        <w:t xml:space="preserve">    </w:t>
      </w:r>
      <w:r>
        <w:rPr>
          <w:b/>
        </w:rPr>
        <w:t xml:space="preserve">DOI: </w:t>
      </w:r>
      <w:hyperlink r:id="rId458">
        <w:r>
          <w:rPr>
            <w:color w:val="1155CC"/>
            <w:u w:val="single"/>
          </w:rPr>
          <w:t>10.1002/anie.8330393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大环化合物，尤其是环芳烃，对于芳香性理论、合成化学和材料科学非常重要。然而，由于硼原子导致的低稳定性和低效的环化反应，有机硼大环化合物极具挑战性。在本研究中，我们揭示了基于硼-碳的并环大环π-系统。我们的合成策略是在掺硼的构建块上实施大环化反应。两种有机硼环芳烃，分别具有C</w:t>
      </w:r>
      <w:r>
        <w:rPr>
          <w:vertAlign w:val="subscript"/>
        </w:rPr>
        <w:t>64</w:t>
      </w:r>
      <w:r>
        <w:t>B</w:t>
      </w:r>
      <w:r>
        <w:rPr>
          <w:vertAlign w:val="subscript"/>
        </w:rPr>
        <w:t>4</w:t>
      </w:r>
      <w:r>
        <w:t>和C</w:t>
      </w:r>
      <w:r>
        <w:rPr>
          <w:vertAlign w:val="subscript"/>
        </w:rPr>
        <w:t>96</w:t>
      </w:r>
      <w:r>
        <w:t>B</w:t>
      </w:r>
      <w:r>
        <w:rPr>
          <w:vertAlign w:val="subscript"/>
        </w:rPr>
        <w:t>6</w:t>
      </w:r>
      <w:r>
        <w:t>π-骨架，是从氯化二硼桥联的二苯合成的。</w:t>
      </w:r>
    </w:p>
    <w:p>
      <w:pPr>
        <w:spacing w:before="0" w:after="200" w:lineRule="auto" w:line="276"/>
      </w:pPr>
      <w:r>
        <w:rPr>
          <w:b/>
        </w:rPr>
        <w:t xml:space="preserve">Abstract (EN): </w:t>
      </w:r>
      <w:r>
        <w:t>Organic macrocycles, especially cycloarenes, are important for aromaticity theory, synthetic chemistry, and material science. However, organoboron macrocycles are highly challenging, due to low stability and inefficient cyclization reactions caused by the boron atom. In this study, we disclose boron‐carbon‐based annulated macrocyclic π‐systems. Our synthetic strategy is to implement macrocyclization reactions on a boron‐doped building block. Two organoboron cycloarenes, featuring the C</w:t>
      </w:r>
      <w:r>
        <w:rPr>
          <w:vertAlign w:val="subscript"/>
        </w:rPr>
        <w:t>64</w:t>
      </w:r>
      <w:r>
        <w:t>B</w:t>
      </w:r>
      <w:r>
        <w:rPr>
          <w:vertAlign w:val="subscript"/>
        </w:rPr>
        <w:t>4</w:t>
      </w:r>
      <w:r>
        <w:t>and C</w:t>
      </w:r>
      <w:r>
        <w:rPr>
          <w:vertAlign w:val="subscript"/>
        </w:rPr>
        <w:t>96</w:t>
      </w:r>
      <w:r>
        <w:t>B</w:t>
      </w:r>
      <w:r>
        <w:rPr>
          <w:vertAlign w:val="subscript"/>
        </w:rPr>
        <w:t>6</w:t>
      </w:r>
      <w:r>
        <w:t>π‐skeletons, respectively, were synthesized from chlorinated diboron‐bridged diphenylnaphthalene via the Suzuki‐Miyaura coupling and Bi(OTf)</w:t>
      </w:r>
      <w:r>
        <w:rPr>
          <w:vertAlign w:val="subscript"/>
        </w:rPr>
        <w:t>3</w:t>
      </w:r>
      <w:r>
        <w:t>‐catalyzed cyclization reactions. The unique p–π* conjugation of the boron atoms endows them with broad absorption, red fluorescence, and electron deficiency, which are rarely observed in expanded cycloarenes. Moreover, the dianionic species of the C</w:t>
      </w:r>
      <w:r>
        <w:rPr>
          <w:vertAlign w:val="subscript"/>
        </w:rPr>
        <w:t>64</w:t>
      </w:r>
      <w:r>
        <w:t>B</w:t>
      </w:r>
      <w:r>
        <w:rPr>
          <w:vertAlign w:val="subscript"/>
        </w:rPr>
        <w:t>4</w:t>
      </w:r>
      <w:r>
        <w:t>molecule displays a largely open‐shell singlet diradical nature with minimal spin‐spin correlation, demonstrating that long‐range reduction reactions are favorable for such organoboron cycloarene systems. Thus, this study will open a new direction of boron‐containing macrocycle chemistry and materials.</w:t>
      </w:r>
    </w:p>
    <w:p>
      <w:pPr>
        <w:spacing w:before="120" w:after="120"/>
      </w:pPr>
      <w:r>
        <w:rPr>
          <w:sz w:val="18"/>
        </w:rPr>
        <w:t>——————————————————————————————————————————————————————————————————————</w:t>
      </w:r>
    </w:p>
    <w:p>
      <w:pPr>
        <w:spacing w:before="160" w:after="40" w:line="240" w:lineRule="auto"/>
      </w:pPr>
      <w:r>
        <w:rPr>
          <w:b/>
        </w:rPr>
        <w:t xml:space="preserve">[140] </w:t>
      </w:r>
      <w:hyperlink r:id="rId459">
        <w:r>
          <w:rPr>
            <w:color w:val="1155CC"/>
            <w:u w:val="single"/>
          </w:rPr>
          <w:t>[ASAP] 聚二环戊二烯氧化的机制起源</w:t>
        </w:r>
      </w:hyperlink>
    </w:p>
    <w:p>
      <w:pPr>
        <w:spacing w:before="0" w:after="80"/>
      </w:pPr>
      <w:r>
        <w:rPr>
          <w:i/>
          <w:sz w:val="20"/>
        </w:rPr>
        <w:t>EN: [ASAP] Mechanistic Origins of Polydicyclopentadiene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2026-03-30 09:12:11+00:00</w:t>
      </w:r>
      <w:r>
        <w:t xml:space="preserve">    </w:t>
      </w:r>
      <w:r>
        <w:rPr>
          <w:b/>
        </w:rPr>
        <w:t xml:space="preserve">DOI: </w:t>
      </w:r>
      <w:hyperlink r:id="rId460">
        <w:r>
          <w:rPr>
            <w:color w:val="1155CC"/>
            <w:u w:val="single"/>
          </w:rPr>
          <w:t>10.1021/jacs.6c00140</w:t>
        </w:r>
      </w:hyperlink>
    </w:p>
    <w:p>
      <w:pPr>
        <w:spacing w:before="0" w:after="120"/>
      </w:pPr>
      <w:r>
        <w:rPr>
          <w:b/>
        </w:rPr>
        <w:t xml:space="preserve">Notes: </w:t>
      </w:r>
      <w:r>
        <w:t>abstract_source=pubmed</w:t>
      </w:r>
    </w:p>
    <w:p>
      <w:pPr>
        <w:spacing w:before="0" w:after="80" w:lineRule="auto" w:line="276"/>
      </w:pPr>
      <w:r>
        <w:rPr>
          <w:b/>
        </w:rPr>
        <w:t xml:space="preserve">摘要（ZH）: </w:t>
      </w:r>
      <w:r>
        <w:t>聚二环戊二烯（pDCPD）是一种高性能热固性材料，其不寻常的氧化敏感性早已被认识到，但其机制尚不清楚。在此，我们确定单线态氧（1O2）为主要氧化剂，而侧链的环戊烯环为主要反应位点，两者共同驱动pDCPD的内在氧化降解。受控的1O2生成、模型化合物研究和风化实验揭示了一种化学选择性的氧-烯途径，该途径选择性地将环戊烯单元转化为环戊-2-烯-1-酮，并启动烯丙基-过氧化氢驱动的交联。相比之下，主链烯烃模型和pH2DCPD的研究─其中环戊烯单元被饱和以抑制氧-烯反应性─显示主链烯烃遵循较慢的β-断裂。</w:t>
      </w:r>
    </w:p>
    <w:p>
      <w:pPr>
        <w:spacing w:before="0" w:after="200" w:lineRule="auto" w:line="276"/>
      </w:pPr>
      <w:r>
        <w:rPr>
          <w:b/>
        </w:rPr>
        <w:t xml:space="preserve">Abstract (EN): </w:t>
      </w:r>
      <w:r>
        <w:t>Polydicyclopentadiene (pDCPD) is a high-performance thermoset whose unusual oxidative sensitivity has long been recognized but is not mechanistically understood. Here we identify singlet oxygen (1O2) as the primary oxidant and the pendant cyclopentene ring as the primary site of reactivity that together drive the intrinsic oxidative degradation of pDCPD. Controlled 1O2 generation, model compound studies, and weathering experiments reveal a chemoselective oxy-ene pathway that selectively converts cyclopentene units into cyclopent-2-en-1-ones and initiates allylic-hydroperoxide-driven cross-linking. In contrast, main-chain alkene models and studies on pH2DCPD─in which the cyclopentene unit is saturated to suppress oxy-ene reactivity─show that the main-chain alkene follows a slower β-scission pathway. These mechanistic distinctions explain the long-observed oxidative instability of pDCPD and clarify why polymers lacking the pendant cyclopentene, such as pH2DCPD, offer improved resistance to oxidative aging. Guided by this insight, oligo-DCPD fragments are transformed into polar, benzyl-acrylate-miscible, polyfunctional additives whose enone groups enable tunable cross-linking during radical acrylate polymerization. Together, these results connect the molecular origin of pDCPD oxidation to both monomer design principles and selective macromolecular editing strategies.</w:t>
      </w:r>
    </w:p>
    <w:p>
      <w:pPr>
        <w:spacing w:before="120" w:after="120"/>
      </w:pPr>
      <w:r>
        <w:rPr>
          <w:sz w:val="18"/>
        </w:rPr>
        <w:t>——————————————————————————————————————————————————————————————————————</w:t>
      </w:r>
    </w:p>
    <w:p>
      <w:pPr>
        <w:spacing w:before="160" w:after="40" w:line="240" w:lineRule="auto"/>
      </w:pPr>
      <w:r>
        <w:rPr>
          <w:b/>
        </w:rPr>
        <w:t xml:space="preserve">[141] </w:t>
      </w:r>
      <w:hyperlink r:id="rId461">
        <w:r>
          <w:rPr>
            <w:color w:val="1155CC"/>
            <w:u w:val="single"/>
          </w:rPr>
          <w:t>[ASAP] 酰胺的选择性脱氧电还原</w:t>
        </w:r>
      </w:hyperlink>
    </w:p>
    <w:p>
      <w:pPr>
        <w:spacing w:before="0" w:after="80"/>
      </w:pPr>
      <w:r>
        <w:rPr>
          <w:i/>
          <w:sz w:val="20"/>
        </w:rPr>
        <w:t>EN: [ASAP] Selective Deoxygenative Electroreduction of Amides</w:t>
      </w:r>
    </w:p>
    <w:p>
      <w:pPr>
        <w:spacing w:before="0" w:after="120"/>
      </w:pPr>
      <w:r>
        <w:rPr>
          <w:b/>
        </w:rPr>
        <w:t xml:space="preserve">Source: </w:t>
      </w:r>
      <w:r>
        <w:t>Journal of the American Chemical Society: Latest Articles (ACS Publications)</w:t>
      </w:r>
      <w:r>
        <w:t xml:space="preserve">    </w:t>
      </w:r>
      <w:r>
        <w:rPr>
          <w:b/>
        </w:rPr>
        <w:t xml:space="preserve">Pub date: </w:t>
      </w:r>
      <w:r>
        <w:t>2026-03-30 09:15:17+00:00</w:t>
      </w:r>
      <w:r>
        <w:t xml:space="preserve">    </w:t>
      </w:r>
      <w:r>
        <w:rPr>
          <w:b/>
        </w:rPr>
        <w:t xml:space="preserve">DOI: </w:t>
      </w:r>
      <w:hyperlink r:id="rId462">
        <w:r>
          <w:rPr>
            <w:color w:val="1155CC"/>
            <w:u w:val="single"/>
          </w:rPr>
          <w:t>10.1021/jacs.6c03357</w:t>
        </w:r>
      </w:hyperlink>
    </w:p>
    <w:p>
      <w:pPr>
        <w:spacing w:before="0" w:after="120"/>
      </w:pPr>
      <w:r>
        <w:rPr>
          <w:b/>
        </w:rPr>
        <w:t xml:space="preserve">Notes: </w:t>
      </w:r>
      <w:r>
        <w:t>abstract_source=pubmed</w:t>
      </w:r>
    </w:p>
    <w:p>
      <w:pPr>
        <w:spacing w:before="0" w:after="80" w:lineRule="auto" w:line="276"/>
      </w:pPr>
      <w:r>
        <w:rPr>
          <w:b/>
        </w:rPr>
        <w:t xml:space="preserve">摘要（ZH）: </w:t>
      </w:r>
      <w:r>
        <w:t>酰胺的选择性还原在学术界和工业界生成多功能构建块方面具有重要意义。然而，与酮和羧酸酯相比，酰胺通常被认为是羰基家族中反应性较低的成员，因为其电亲和性低和热力学稳定性高。在此，我们描述了一种使用质子作为氢源的酰胺高效电还原为胺的方法。结合易得的锆催化剂（Cp2ZrCl2）和化学计量的卤硅烷，实现了选择性脱氧电还原过程。初步的机制研究支持一种非常规的α-氨基卡宾物种作为关键中间体的参与，该物种是通过酰胺的电还原C═O键断裂生成的。</w:t>
      </w:r>
    </w:p>
    <w:p>
      <w:pPr>
        <w:spacing w:before="0" w:after="200" w:lineRule="auto" w:line="276"/>
      </w:pPr>
      <w:r>
        <w:rPr>
          <w:b/>
        </w:rPr>
        <w:t xml:space="preserve">Abstract (EN): </w:t>
      </w:r>
      <w:r>
        <w:t>Selective reduction of amides is of great importance for generating versatile building blocks in both academia and industry. However, in contrast to ketones and carboxylic esters, amides are generally considered highly unreactive members of the carbonyl family owing to their low electrophilicity and thermodynamic stability. Herein, we describe an efficient electroreduction of amides to amines using protons as the hydrogen source. A combination of readily available zirconium catalyst (Cp2ZrCl2) with a stoichiometric halosilane enables the selective deoxygenative electroreduction process. Preliminary mechanistic investigations support the involvement of an unconventional α-aminocarbene species as the key intermediate, which is generated from the electroreductive C═O bond scission of an amide. Without the necessity of flammable H2 gas or sensitive hydrides, this electrochemical protocol is showcased by highly selective and straightforward synthesis of various functionalized and structurally diverse amines under mild conditions. Furthermore, the application of this protocol is demonstrated through valuable and practical access to N-α-deuterated amines using cost-effective and abundant deuterium sources.</w:t>
      </w:r>
    </w:p>
    <w:p>
      <w:pPr>
        <w:spacing w:before="120" w:after="120"/>
      </w:pPr>
      <w:r>
        <w:rPr>
          <w:sz w:val="18"/>
        </w:rPr>
        <w:t>——————————————————————————————————————————————————————————————————————</w:t>
      </w:r>
    </w:p>
    <w:p>
      <w:pPr>
        <w:spacing w:before="160" w:after="40" w:line="240" w:lineRule="auto"/>
      </w:pPr>
      <w:r>
        <w:rPr>
          <w:b/>
        </w:rPr>
        <w:t xml:space="preserve">[142] </w:t>
      </w:r>
      <w:hyperlink r:id="rId463">
        <w:r>
          <w:rPr>
            <w:color w:val="1155CC"/>
            <w:u w:val="single"/>
          </w:rPr>
          <w:t>铁电极化与氧空位迁移的耦合实现电控热记忆</w:t>
        </w:r>
      </w:hyperlink>
    </w:p>
    <w:p>
      <w:pPr>
        <w:spacing w:before="0" w:after="80"/>
      </w:pPr>
      <w:r>
        <w:rPr>
          <w:i/>
          <w:sz w:val="20"/>
        </w:rPr>
        <w:t>EN: The Coupling of Ferroelectric Polarization and Oxygen Vacancy Migration Enables Electrically Controlled Thermal Memories</w:t>
      </w:r>
    </w:p>
    <w:p>
      <w:pPr>
        <w:spacing w:before="0" w:after="120"/>
      </w:pPr>
      <w:r>
        <w:rPr>
          <w:b/>
        </w:rPr>
        <w:t xml:space="preserve">Source: </w:t>
      </w:r>
      <w:r>
        <w:t>Wiley: Advanced Materials: Table of Contents</w:t>
      </w:r>
      <w:r>
        <w:t xml:space="preserve">    </w:t>
      </w:r>
      <w:r>
        <w:rPr>
          <w:b/>
        </w:rPr>
        <w:t xml:space="preserve">Pub date: </w:t>
      </w:r>
      <w:r>
        <w:t>2026-03-30 09:16:10+00:00</w:t>
      </w:r>
      <w:r>
        <w:t xml:space="preserve">    </w:t>
      </w:r>
      <w:r>
        <w:rPr>
          <w:b/>
        </w:rPr>
        <w:t xml:space="preserve">DOI: </w:t>
      </w:r>
      <w:hyperlink r:id="rId464">
        <w:r>
          <w:rPr>
            <w:color w:val="1155CC"/>
            <w:u w:val="single"/>
          </w:rPr>
          <w:t>10.1002/adma.202519670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我们在此研究外延 Hf0.5Zr0.5O2 铁电薄膜，作为非易失性电场调制热存储器的潜在候选材料。金属/Hf0.5Zr0.5O2/Y2O3:ZrO2 器件的热导率对电场的依赖性表现出滞后性，类似于极化与电场的滞后回线，达到最大（最小）值。</w:t>
      </w:r>
    </w:p>
    <w:p>
      <w:pPr>
        <w:spacing w:before="0" w:after="200" w:lineRule="auto" w:line="276"/>
      </w:pPr>
      <w:r>
        <w:rPr>
          <w:b/>
        </w:rPr>
        <w:t xml:space="preserve">Abstract (EN): </w:t>
      </w:r>
      <w:r>
        <w:t>Here we investigate epitaxial Hf</w:t>
      </w:r>
      <w:r>
        <w:t xml:space="preserve"> </w:t>
      </w:r>
      <w:r>
        <w:t>0.5</w:t>
      </w:r>
      <w:r>
        <w:t xml:space="preserve"> </w:t>
      </w:r>
      <w:r>
        <w:t>Zr</w:t>
      </w:r>
      <w:r>
        <w:t xml:space="preserve"> </w:t>
      </w:r>
      <w:r>
        <w:t>0.5</w:t>
      </w:r>
      <w:r>
        <w:t xml:space="preserve"> </w:t>
      </w:r>
      <w:r>
        <w:t>O</w:t>
      </w:r>
      <w:r>
        <w:rPr>
          <w:vertAlign w:val="subscript"/>
        </w:rPr>
        <w:t>2</w:t>
      </w:r>
      <w:r>
        <w:t>ferroelectric thin films as potential candidates to be used as non‐volatile electric‐field‐modulated thermal memories. The electric‐field dependence of the thermal conductivity of metal/Hf</w:t>
      </w:r>
      <w:r>
        <w:t xml:space="preserve"> </w:t>
      </w:r>
      <w:r>
        <w:t>0.5</w:t>
      </w:r>
      <w:r>
        <w:t xml:space="preserve"> </w:t>
      </w:r>
      <w:r>
        <w:t>Zr</w:t>
      </w:r>
      <w:r>
        <w:t xml:space="preserve"> </w:t>
      </w:r>
      <w:r>
        <w:t>0.5</w:t>
      </w:r>
      <w:r>
        <w:t xml:space="preserve"> </w:t>
      </w:r>
      <w:r>
        <w:t>O</w:t>
      </w:r>
      <w:r>
        <w:rPr>
          <w:vertAlign w:val="subscript"/>
        </w:rPr>
        <w:t>2</w:t>
      </w:r>
      <w:r>
        <w:t>/Y</w:t>
      </w:r>
      <w:r>
        <w:rPr>
          <w:vertAlign w:val="subscript"/>
        </w:rPr>
        <w:t>2</w:t>
      </w:r>
      <w:r>
        <w:t>O</w:t>
      </w:r>
      <w:r>
        <w:rPr>
          <w:vertAlign w:val="subscript"/>
        </w:rPr>
        <w:t>3</w:t>
      </w:r>
      <w:r>
        <w:t>:ZrO</w:t>
      </w:r>
      <w:r>
        <w:rPr>
          <w:vertAlign w:val="subscript"/>
        </w:rPr>
        <w:t>2</w:t>
      </w:r>
      <w:r>
        <w:t>devices is found to be hysteretic—resembling a polarization vs. electric field hysteresis loop—, reaching a maximum (minimum) at large applied positive (negative) electric fields from the top metallic electrode. This dynamic thermal response is compatible with the effects of the coupling between the ferroelectric polarization and oxygen ion migration in the Hf</w:t>
      </w:r>
      <w:r>
        <w:t xml:space="preserve"> </w:t>
      </w:r>
      <w:r>
        <w:t>0.5</w:t>
      </w:r>
      <w:r>
        <w:t xml:space="preserve"> </w:t>
      </w:r>
      <w:r>
        <w:t>Zr</w:t>
      </w:r>
      <w:r>
        <w:t xml:space="preserve"> </w:t>
      </w:r>
      <w:r>
        <w:t>0.5</w:t>
      </w:r>
      <w:r>
        <w:t xml:space="preserve"> </w:t>
      </w:r>
      <w:r>
        <w:t>O</w:t>
      </w:r>
      <w:r>
        <w:rPr>
          <w:vertAlign w:val="subscript"/>
        </w:rPr>
        <w:t>2</w:t>
      </w:r>
      <w:r>
        <w:t>layer, in which the oxygen vacancies are the main phonon scattering centers and the polarization acts as an electrically active ion migration barrier that creates the hysteresis. This new mechanism enables two non‐volatile states: high (ON) and low (OFF) thermal conductivity states when the electric field is removed, with an ON/OFF ratio of 1.6, which can be switched with applied voltages lower than ‐5 and +5 V, respectively. Both the ON and OFF states exhibit high stability over time, though the switching speed is limited by ion mobility in the Y</w:t>
      </w:r>
      <w:r>
        <w:rPr>
          <w:vertAlign w:val="subscript"/>
        </w:rPr>
        <w:t>2</w:t>
      </w:r>
      <w:r>
        <w:t>O</w:t>
      </w:r>
      <w:r>
        <w:rPr>
          <w:vertAlign w:val="subscript"/>
        </w:rPr>
        <w:t>3</w:t>
      </w:r>
      <w:r>
        <w:t>:ZrO</w:t>
      </w:r>
      <w:r>
        <w:rPr>
          <w:vertAlign w:val="subscript"/>
        </w:rPr>
        <w:t>2</w:t>
      </w:r>
      <w:r>
        <w:t>electrode.</w:t>
      </w:r>
    </w:p>
    <w:p>
      <w:pPr>
        <w:spacing w:before="120" w:after="120"/>
      </w:pPr>
      <w:r>
        <w:rPr>
          <w:sz w:val="18"/>
        </w:rPr>
        <w:t>——————————————————————————————————————————————————————————————————————</w:t>
      </w:r>
    </w:p>
    <w:p>
      <w:pPr>
        <w:spacing w:before="160" w:after="40" w:line="240" w:lineRule="auto"/>
      </w:pPr>
      <w:r>
        <w:rPr>
          <w:b/>
        </w:rPr>
        <w:t xml:space="preserve">[143] </w:t>
      </w:r>
      <w:hyperlink r:id="rId465">
        <w:r>
          <w:rPr>
            <w:color w:val="1155CC"/>
            <w:u w:val="single"/>
          </w:rPr>
          <w:t>氮杂环丁烯亚胺作为多模式合成平台：配位化学和环加成触发的转化</w:t>
        </w:r>
      </w:hyperlink>
    </w:p>
    <w:p>
      <w:pPr>
        <w:spacing w:before="0" w:after="80"/>
      </w:pPr>
      <w:r>
        <w:rPr>
          <w:i/>
          <w:sz w:val="20"/>
        </w:rPr>
        <w:t>EN: Azetidinylideneketenimines as a Multimodal Synthetic Platform: Coordination Chemistry and Cycloaddition‐Triggered Transformations</w:t>
      </w:r>
    </w:p>
    <w:p>
      <w:pPr>
        <w:spacing w:before="0" w:after="120"/>
      </w:pPr>
      <w:r>
        <w:rPr>
          <w:b/>
        </w:rPr>
        <w:t xml:space="preserve">Source: </w:t>
      </w:r>
      <w:r>
        <w:t>Wiley: Angewandte Chemie International Edition: Table of Contents</w:t>
      </w:r>
      <w:r>
        <w:t xml:space="preserve">    </w:t>
      </w:r>
      <w:r>
        <w:rPr>
          <w:b/>
        </w:rPr>
        <w:t xml:space="preserve">Pub date: </w:t>
      </w:r>
      <w:r>
        <w:t>2026-03-30 09:18:58+00:00</w:t>
      </w:r>
      <w:r>
        <w:t xml:space="preserve">    </w:t>
      </w:r>
      <w:r>
        <w:rPr>
          <w:b/>
        </w:rPr>
        <w:t xml:space="preserve">DOI: </w:t>
      </w:r>
      <w:hyperlink r:id="rId466">
        <w:r>
          <w:rPr>
            <w:color w:val="1155CC"/>
            <w:u w:val="single"/>
          </w:rPr>
          <w:t>10.1002/anie.1569919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由于亚甲基烯亚胺具有高度不饱和和 CN 累积性质，代表了一类罕见的杂累积烯，具有作为制药和分子电子学构建模块的潜力。然而，其系统化学研究有限。在此，我们报告了一种简洁的 C═C═N 同系化反应，由三元环卡宾的应变释放驱动，双（二异丙基氨基）环丙烯基卡宾（BAC），这解锁了一系列可分离的亚甲基烯亚胺的快速和可扩展的获取，包括第一个双（亚甲基烯亚胺）的例子，具有末端氮杂环丁烷基团（氮杂环丁烯亚胺）。机理研究得到了对照实验和计算的支持。</w:t>
      </w:r>
    </w:p>
    <w:p>
      <w:pPr>
        <w:spacing w:before="0" w:after="200" w:lineRule="auto" w:line="276"/>
      </w:pPr>
      <w:r>
        <w:rPr>
          <w:b/>
        </w:rPr>
        <w:t xml:space="preserve">Abstract (EN): </w:t>
      </w:r>
      <w:r>
        <w:t>Methyleneketenimines, due to their highly unsaturated and CN‐cumulenic nature, represent a rare class of heterocumulenes with potential as building blocks for pharmaceuticals and molecular electronics. However, their systematic chemistry has been limited. Herein, we report a concise C═C═N homologation reaction, driven by the strain release of the three‐membered‐ring carbene, bis(diisopropylamino)cyclopropenylidene (</w:t>
      </w:r>
      <w:r>
        <w:t xml:space="preserve"> </w:t>
      </w:r>
      <w:r>
        <w:t>BAC</w:t>
      </w:r>
      <w:r>
        <w:t xml:space="preserve"> </w:t>
      </w:r>
      <w:r>
        <w:t>), which unlocks rapid and scalable access to a series of isolable methyleneketenimines, including the first example of a bis(methyleneketenimine), featuring terminal azetidine moieties (azetidinylideneketenimines). Mechanistic studies, supported by control experiments and computational analysis, elucidate the important role of a methyleneketeniminyl carbene intermediate in forming the target heterocumulene. Spectroscopic and electrochemical investigations show that the visible‐light absorption and redox potentials correlate with the degree of</w:t>
      </w:r>
      <w:r>
        <w:t xml:space="preserve"> </w:t>
      </w:r>
      <w:r>
        <w:t>N</w:t>
      </w:r>
      <w:r>
        <w:t xml:space="preserve"> </w:t>
      </w:r>
      <w:r>
        <w:t>‐substituent π‐conjugation. Most importantly, the highly polarized nature of the C═C═C═N framework enables a multimodal reactivity platform, spanning from unprecedented coordination to transition metals (Au(I), Rh(I)), CO</w:t>
      </w:r>
      <w:r>
        <w:rPr>
          <w:vertAlign w:val="subscript"/>
        </w:rPr>
        <w:t>2</w:t>
      </w:r>
      <w:r>
        <w:t>splitting, alkyne C≡C bond insertion, to divergent skeletal rearrangements via (2 + 2) or (3 + 2) cycloaddition. This work establishes methyleneketenimines as a versatile toolkit for accessing complex heterocycles and novel organometallic complexes.</w:t>
      </w:r>
    </w:p>
    <w:p>
      <w:pPr>
        <w:spacing w:before="120" w:after="120"/>
      </w:pPr>
      <w:r>
        <w:rPr>
          <w:sz w:val="18"/>
        </w:rPr>
        <w:t>——————————————————————————————————————————————————————————————————————</w:t>
      </w:r>
    </w:p>
    <w:p>
      <w:pPr>
        <w:spacing w:before="160" w:after="40" w:line="240" w:lineRule="auto"/>
      </w:pPr>
      <w:r>
        <w:rPr>
          <w:b/>
        </w:rPr>
        <w:t xml:space="preserve">[144] </w:t>
      </w:r>
      <w:hyperlink r:id="rId467">
        <w:r>
          <w:rPr>
            <w:color w:val="1155CC"/>
            <w:u w:val="single"/>
          </w:rPr>
          <w:t>利用热力学驱动的重构实现超稳定催化剂</w:t>
        </w:r>
      </w:hyperlink>
    </w:p>
    <w:p>
      <w:pPr>
        <w:spacing w:before="0" w:after="80"/>
      </w:pPr>
      <w:r>
        <w:rPr>
          <w:i/>
          <w:sz w:val="20"/>
        </w:rPr>
        <w:t>EN: Harnessing Thermodynamically Driven Restructuring for Ultra‐Stable Catalysts</w:t>
      </w:r>
    </w:p>
    <w:p>
      <w:pPr>
        <w:spacing w:before="0" w:after="120"/>
      </w:pPr>
      <w:r>
        <w:rPr>
          <w:b/>
        </w:rPr>
        <w:t xml:space="preserve">Source: </w:t>
      </w:r>
      <w:r>
        <w:t>Wiley: Angewandte Chemie International Edition: Table of Contents</w:t>
      </w:r>
      <w:r>
        <w:t xml:space="preserve">    </w:t>
      </w:r>
      <w:r>
        <w:rPr>
          <w:b/>
        </w:rPr>
        <w:t xml:space="preserve">Pub date: </w:t>
      </w:r>
      <w:r>
        <w:t>2026-03-30 09:20:58+00:00</w:t>
      </w:r>
      <w:r>
        <w:t xml:space="preserve">    </w:t>
      </w:r>
      <w:r>
        <w:rPr>
          <w:b/>
        </w:rPr>
        <w:t xml:space="preserve">DOI: </w:t>
      </w:r>
      <w:hyperlink r:id="rId468">
        <w:r>
          <w:rPr>
            <w:color w:val="1155CC"/>
            <w:u w:val="single"/>
          </w:rPr>
          <w:t>10.1002/anie.5210057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异质催化剂在高温下通常由于热力学重组为更稳定的相而失活。在此，我们将这一通常有害的过程转变为超稳定催化剂的建设性设计原则。这是通过战略性地构建同系异价界面实现的，例如通过在 Ce 基氧化物的高温重组过程中受控整合形成的两种固相，形成 Ce4+/Ce3+ 异质界面。在这些界面内，放大的应变直接促进了单氧原子空位（SOVs）的形成，这有效地激活了 NH3 中的 N─H 键。</w:t>
      </w:r>
    </w:p>
    <w:p>
      <w:pPr>
        <w:spacing w:before="0" w:after="200" w:lineRule="auto" w:line="276"/>
      </w:pPr>
      <w:r>
        <w:rPr>
          <w:b/>
        </w:rPr>
        <w:t xml:space="preserve">Abstract (EN): </w:t>
      </w:r>
      <w:r>
        <w:t>Heterogeneous catalysts often deactivate at high temperatures due to thermodynamic restructuring into more stable phases. Herein, we transform this typically detrimental process into a constructive design principle for ultra‐stable catalysts. This is achieved by strategically constructing homologous‐heterovalent interfaces, such as Ce</w:t>
      </w:r>
      <w:r>
        <w:t xml:space="preserve"> </w:t>
      </w:r>
      <w:r>
        <w:t>4+</w:t>
      </w:r>
      <w:r>
        <w:t xml:space="preserve"> </w:t>
      </w:r>
      <w:r>
        <w:t>/Ce</w:t>
      </w:r>
      <w:r>
        <w:t xml:space="preserve"> </w:t>
      </w:r>
      <w:r>
        <w:t>3+</w:t>
      </w:r>
      <w:r>
        <w:t xml:space="preserve"> </w:t>
      </w:r>
      <w:r>
        <w:t>heterointerfaces, through the controlled integration of two solid phases formed during high‐temperature restructuring of Ce‐based oxides. Within these interfaces, the amplified strain directly promotes the formation of single oxygen‐atom vacancies (SOVs), which efficiently activate the N─H bond in NH</w:t>
      </w:r>
      <w:r>
        <w:rPr>
          <w:vertAlign w:val="subscript"/>
        </w:rPr>
        <w:t>3</w:t>
      </w:r>
      <w:r>
        <w:t>. Consequently, the resulting cerium‐tantalum oxide catalysts exhibit outstanding activity for NO</w:t>
      </w:r>
      <w:r>
        <w:t xml:space="preserve"> </w:t>
      </w:r>
      <w:r>
        <w:t>x</w:t>
      </w:r>
      <w:r>
        <w:t xml:space="preserve"> </w:t>
      </w:r>
      <w:r>
        <w:t>reduction by NH</w:t>
      </w:r>
      <w:r>
        <w:rPr>
          <w:vertAlign w:val="subscript"/>
        </w:rPr>
        <w:t>3</w:t>
      </w:r>
      <w:r>
        <w:t>, even after severe hydrothermal aging at 1,100°C—a condition that deactivates conventional catalysts. The generality of this approach is demonstrated by extending it to lanthanum‐nickel oxide catalysts with tailored Ni</w:t>
      </w:r>
      <w:r>
        <w:t xml:space="preserve"> </w:t>
      </w:r>
      <w:r>
        <w:t>3+</w:t>
      </w:r>
      <w:r>
        <w:t xml:space="preserve"> </w:t>
      </w:r>
      <w:r>
        <w:t>/Ni</w:t>
      </w:r>
      <w:r>
        <w:t xml:space="preserve"> </w:t>
      </w:r>
      <w:r>
        <w:t>2+</w:t>
      </w:r>
      <w:r>
        <w:t xml:space="preserve"> </w:t>
      </w:r>
      <w:r>
        <w:t>heterointerfaces for CO oxidation, achieving sustained stability up to 1,100°C. These findings establish a general design concept to overcome the persistent activity‐stability trade‐off in heterogeneous catalysis.</w:t>
      </w:r>
    </w:p>
    <w:p>
      <w:pPr>
        <w:spacing w:before="120" w:after="120"/>
      </w:pPr>
      <w:r>
        <w:rPr>
          <w:sz w:val="18"/>
        </w:rPr>
        <w:t>——————————————————————————————————————————————————————————————————————</w:t>
      </w:r>
    </w:p>
    <w:p>
      <w:pPr>
        <w:spacing w:before="160" w:after="40" w:line="240" w:lineRule="auto"/>
      </w:pPr>
      <w:r>
        <w:rPr>
          <w:b/>
        </w:rPr>
        <w:t xml:space="preserve">[145] </w:t>
      </w:r>
      <w:hyperlink r:id="rId469">
        <w:r>
          <w:rPr>
            <w:color w:val="1155CC"/>
            <w:u w:val="single"/>
          </w:rPr>
          <w:t>通过直接注入质谱进行单次注射多组学分析</w:t>
        </w:r>
      </w:hyperlink>
    </w:p>
    <w:p>
      <w:pPr>
        <w:spacing w:before="0" w:after="80"/>
      </w:pPr>
      <w:r>
        <w:rPr>
          <w:i/>
          <w:sz w:val="20"/>
        </w:rPr>
        <w:t>EN: Single‐Injection Multi‐Omics Analysis by Direct Infusion Mass Spectrometry</w:t>
      </w:r>
    </w:p>
    <w:p>
      <w:pPr>
        <w:spacing w:before="0" w:after="120"/>
      </w:pPr>
      <w:r>
        <w:rPr>
          <w:b/>
        </w:rPr>
        <w:t xml:space="preserve">Source: </w:t>
      </w:r>
      <w:r>
        <w:t>Wiley: Angewandte Chemie International Edition: Table of Contents</w:t>
      </w:r>
      <w:r>
        <w:t xml:space="preserve">    </w:t>
      </w:r>
      <w:r>
        <w:rPr>
          <w:b/>
        </w:rPr>
        <w:t xml:space="preserve">Pub date: </w:t>
      </w:r>
      <w:r>
        <w:t>2026-03-30 09:25:02+00:00</w:t>
      </w:r>
      <w:r>
        <w:t xml:space="preserve">    </w:t>
      </w:r>
      <w:r>
        <w:rPr>
          <w:b/>
        </w:rPr>
        <w:t xml:space="preserve">DOI: </w:t>
      </w:r>
      <w:hyperlink r:id="rId470">
        <w:r>
          <w:rPr>
            <w:color w:val="1155CC"/>
            <w:u w:val="single"/>
          </w:rPr>
          <w:t>10.1002/anie.202519836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合蛋白质组学、代谢组学和脂质组学分析需要长时间的液相色谱-质谱（LC-MS）运行时间，限制了通量并增加了大规模研究的成本。在此，我们提出了通过直接注入（SMAD）进行单次注射多组学分析的集成平台，该平台利用离子迁移质谱和自开发的软件工具，实现无需液相色谱的单次注射多组学分析。SMAD可以定量分析超过9000种代谢物m/z特征和超过1300种蛋白质</w:t>
      </w:r>
    </w:p>
    <w:p>
      <w:pPr>
        <w:spacing w:before="0" w:after="200" w:lineRule="auto" w:line="276"/>
      </w:pPr>
      <w:r>
        <w:rPr>
          <w:b/>
        </w:rPr>
        <w:t xml:space="preserve">Abstract (EN): </w:t>
      </w:r>
      <w:r>
        <w:t>Combined proteomics, metabolomics, and lipidomics analyses require long liquid chromatography–mass spectrometry (LC–MS) run times, limiting throughput and increasing costs for large‐scale studies. Here, we present</w:t>
      </w:r>
      <w:r>
        <w:t xml:space="preserve"> </w:t>
      </w:r>
      <w:r>
        <w:t>s</w:t>
      </w:r>
      <w:r>
        <w:t xml:space="preserve"> </w:t>
      </w:r>
      <w:r>
        <w:t>ingle‐injection</w:t>
      </w:r>
      <w:r>
        <w:t xml:space="preserve"> </w:t>
      </w:r>
      <w:r>
        <w:t>m</w:t>
      </w:r>
      <w:r>
        <w:t xml:space="preserve"> </w:t>
      </w:r>
      <w:r>
        <w:t>ulti‐omics</w:t>
      </w:r>
      <w:r>
        <w:t xml:space="preserve"> </w:t>
      </w:r>
      <w:r>
        <w:t>a</w:t>
      </w:r>
      <w:r>
        <w:t xml:space="preserve"> </w:t>
      </w:r>
      <w:r>
        <w:t>nalysis by</w:t>
      </w:r>
      <w:r>
        <w:t xml:space="preserve"> </w:t>
      </w:r>
      <w:r>
        <w:t>d</w:t>
      </w:r>
      <w:r>
        <w:t xml:space="preserve"> </w:t>
      </w:r>
      <w:r>
        <w:t>irect infusion (SMAD), an integrated platform leveraging ion mobility mass spectrometry and self‐developed software tools to enable single injection multi‐omics analysis without liquid chromatography. SMAD allows quantification of over 9000 metabolite</w:t>
      </w:r>
      <w:r>
        <w:t xml:space="preserve"> </w:t>
      </w:r>
      <w:r>
        <w:t>m/z</w:t>
      </w:r>
      <w:r>
        <w:t xml:space="preserve"> </w:t>
      </w:r>
      <w:r>
        <w:t>features and over 1300 proteins from the same sample in less than 5 min. We validated the efficiency and reliability of SMAD with three case studies: (1) mouse macrophages after M1/M2 polarization and senescence, (2) a pilot drug screen in human cells, and (3) large‐scale high‐throughput drug screening of mammalian cells in 96‐well plates. Finally, relationships between proteomic and metabolomic data are discovered by machine learning and validated.</w:t>
      </w:r>
    </w:p>
    <w:p>
      <w:pPr>
        <w:spacing w:before="120" w:after="120"/>
      </w:pPr>
      <w:r>
        <w:rPr>
          <w:sz w:val="18"/>
        </w:rPr>
        <w:t>——————————————————————————————————————————————————————————————————————</w:t>
      </w:r>
    </w:p>
    <w:p>
      <w:pPr>
        <w:spacing w:before="160" w:after="40" w:line="240" w:lineRule="auto"/>
      </w:pPr>
      <w:r>
        <w:rPr>
          <w:b/>
        </w:rPr>
        <w:t xml:space="preserve">[146] </w:t>
      </w:r>
      <w:hyperlink r:id="rId471">
        <w:r>
          <w:rPr>
            <w:color w:val="1155CC"/>
            <w:u w:val="single"/>
          </w:rPr>
          <w:t>硼笼迁移用于选择性nido‐Carboranes的B–H官能化</w:t>
        </w:r>
      </w:hyperlink>
    </w:p>
    <w:p>
      <w:pPr>
        <w:spacing w:before="0" w:after="80"/>
      </w:pPr>
      <w:r>
        <w:rPr>
          <w:i/>
          <w:sz w:val="20"/>
        </w:rPr>
        <w:t>EN: Migration at Boron Cage for Selective B–H Functionalization of nido‐Carboranes</w:t>
      </w:r>
    </w:p>
    <w:p>
      <w:pPr>
        <w:spacing w:before="0" w:after="120"/>
      </w:pPr>
      <w:r>
        <w:rPr>
          <w:b/>
        </w:rPr>
        <w:t xml:space="preserve">Source: </w:t>
      </w:r>
      <w:r>
        <w:t>Wiley: Angewandte Chemie International Edition: Table of Contents</w:t>
      </w:r>
      <w:r>
        <w:t xml:space="preserve">    </w:t>
      </w:r>
      <w:r>
        <w:rPr>
          <w:b/>
        </w:rPr>
        <w:t xml:space="preserve">Pub date: </w:t>
      </w:r>
      <w:r>
        <w:t>2026-03-30 09:26:28+00:00</w:t>
      </w:r>
      <w:r>
        <w:t xml:space="preserve">    </w:t>
      </w:r>
      <w:r>
        <w:rPr>
          <w:b/>
        </w:rPr>
        <w:t xml:space="preserve">DOI: </w:t>
      </w:r>
      <w:hyperlink r:id="rId472">
        <w:r>
          <w:rPr>
            <w:color w:val="1155CC"/>
            <w:u w:val="single"/>
          </w:rPr>
          <w:t>10.1002/anie.8959071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重排提供了一条通向结构独特且合成上难以获得的分子的强大途径。然而，迄今为止，这种转化在硼簇中仍未得到充分发展。在此，我们披露了一种通过硼笼内前所未有的迁移选择性功能化B-H键的策略。该过程通过与多种亲核试剂（包括N-杂环和硫醚）的反应，协调了B-O取代的nido-碳硼烷的重排，从而在传统方法无法达到的位置实现B-H功能化。其合成实用性通过简便的后m</w:t>
      </w:r>
    </w:p>
    <w:p>
      <w:pPr>
        <w:spacing w:before="0" w:after="200" w:lineRule="auto" w:line="276"/>
      </w:pPr>
      <w:r>
        <w:rPr>
          <w:b/>
        </w:rPr>
        <w:t xml:space="preserve">Abstract (EN): </w:t>
      </w:r>
      <w:r>
        <w:t>Molecular rearrangement provides a powerful pathway to structurally unique and synthetically inaccessible molecules. To date, however, such transformations remain underdeveloped for boron clusters. Herein, we disclose a strategy for the selective functionalization of B–H bonds in</w:t>
      </w:r>
      <w:r>
        <w:t xml:space="preserve"> </w:t>
      </w:r>
      <w:r>
        <w:t>nido</w:t>
      </w:r>
      <w:r>
        <w:t xml:space="preserve"> </w:t>
      </w:r>
      <w:r>
        <w:t>‐carboranes via an unprecedented migration at the boron cage. This process orchestrates a rearrangement of B–O substituted</w:t>
      </w:r>
      <w:r>
        <w:t xml:space="preserve"> </w:t>
      </w:r>
      <w:r>
        <w:t>nido</w:t>
      </w:r>
      <w:r>
        <w:t xml:space="preserve"> </w:t>
      </w:r>
      <w:r>
        <w:t>‐carboranes upon reaction with diverse nucleophiles, including N‐heterocycles and thioethers, thus enabling the B–H functionalization at a position that is inaccessible through conventional methods. Its synthetic utility is demonstrated through facile post‐modification of drug molecules, synthesis of new boron delivery agents with</w:t>
      </w:r>
      <w:r>
        <w:rPr>
          <w:vertAlign w:val="subscript"/>
        </w:rPr>
        <w:t>13</w:t>
      </w:r>
      <w:r>
        <w:t>C labeling for boron neutron capture therapy (BNCT), and construction of carborane‐based luminogens that exhibit aggregation‐induced emission (AIE) and efficient reactive oxygen species (ROS) generation. Mechanistic investigations support a pathway involving nucleophile‐induced migration at the boron cage, facilitated by a high‐valent iodine reagent. This work establishes a paradigm for the B–H bond functionalization of boron clusters via migration at the boron cage, thereby expanding the synthetic toolbox for constructing functional molecules based on boron clusters.</w:t>
      </w:r>
    </w:p>
    <w:p>
      <w:pPr>
        <w:spacing w:before="120" w:after="120"/>
      </w:pPr>
      <w:r>
        <w:rPr>
          <w:sz w:val="18"/>
        </w:rPr>
        <w:t>——————————————————————————————————————————————————————————————————————</w:t>
      </w:r>
    </w:p>
    <w:p>
      <w:pPr>
        <w:spacing w:before="160" w:after="40" w:line="240" w:lineRule="auto"/>
      </w:pPr>
      <w:r>
        <w:rPr>
          <w:b/>
        </w:rPr>
        <w:t xml:space="preserve">[147] </w:t>
      </w:r>
      <w:hyperlink r:id="rId473">
        <w:r>
          <w:rPr>
            <w:color w:val="1155CC"/>
            <w:u w:val="single"/>
          </w:rPr>
          <w:t>多重极化效应的协同作用以提升电磁能量吸收</w:t>
        </w:r>
      </w:hyperlink>
    </w:p>
    <w:p>
      <w:pPr>
        <w:spacing w:before="0" w:after="80"/>
      </w:pPr>
      <w:r>
        <w:rPr>
          <w:i/>
          <w:sz w:val="20"/>
        </w:rPr>
        <w:t>EN: The Synergy of Multiple Polarization Effect to Boost Electromagnetic Energy Absorption</w:t>
      </w:r>
    </w:p>
    <w:p>
      <w:pPr>
        <w:spacing w:before="0" w:after="120"/>
      </w:pPr>
      <w:r>
        <w:rPr>
          <w:b/>
        </w:rPr>
        <w:t xml:space="preserve">Source: </w:t>
      </w:r>
      <w:r>
        <w:t>Wiley: Advanced Energy Materials: Table of Contents</w:t>
      </w:r>
      <w:r>
        <w:t xml:space="preserve">    </w:t>
      </w:r>
      <w:r>
        <w:rPr>
          <w:b/>
        </w:rPr>
        <w:t xml:space="preserve">Pub date: </w:t>
      </w:r>
      <w:r>
        <w:t>2026-03-30 09:29:01+00:00</w:t>
      </w:r>
      <w:r>
        <w:t xml:space="preserve">    </w:t>
      </w:r>
      <w:r>
        <w:rPr>
          <w:b/>
        </w:rPr>
        <w:t xml:space="preserve">DOI: </w:t>
      </w:r>
      <w:hyperlink r:id="rId474">
        <w:r>
          <w:rPr>
            <w:color w:val="1155CC"/>
            <w:u w:val="single"/>
          </w:rPr>
          <w:t>10.1002/aenm.70892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极化弛豫被认为是通过增强电磁波（EMW）吸收体的介电损耗将电磁能量转化为热能的有效方法。然而，如何有效构建多个极化中心以实现宽带吸收仍然具有挑战性。在此，我们设计了一种新型自堆叠结构，该结构通过堆叠nCo@NC（约15 nm的钴纳米颗粒在非多孔碳上）和pCo@NC（约150 nm的钴纳米颗粒在多孔碳上）构建。在这样的微米级异质界面模型中，nCo@NC和pCo@NC之间的不对称电荷密度和不同的界面距离诱导了丰富的极化中心，以在中频吸收EMW。此外，约15和约150</w:t>
      </w:r>
    </w:p>
    <w:p>
      <w:pPr>
        <w:spacing w:before="0" w:after="200" w:lineRule="auto" w:line="276"/>
      </w:pPr>
      <w:r>
        <w:rPr>
          <w:b/>
        </w:rPr>
        <w:t xml:space="preserve">Abstract (EN): </w:t>
      </w:r>
      <w:r>
        <w:t>Polarization relaxation has been regarded as an effective approach to convert electromagnetic energy into thermal energy by enhancing the dielectric loss of electromagnetic wave (EMW) absorbers. However, it is still challengeable to effectively construct multiple polarization centers to achieve broadband absorption. Herein, we design a novel self‐stacked structure that is constructed via stacking of nCo@NC (∼15 nm Co nanoparticles on the nonporous carbon) and pCo@NC (∼150 nm Co nanoparticles on the porous carbon). In such a micrometer‐scale heterogeneous interface model, the asymmetric charge densities and different interfacial distances between nCo@NC and pCo@NC induce abundant polarization centers to absorb the EMW at middle‐frequency. Furthermore, ∼15 and ∼150 nm Co nanoparticles form novel large dipoles by means of NC connection sites, which yield novel resonance around 10.0 GHz. And these Co particles, Co single atoms, and pore defects can facilitate strong absorption at high frequencies. As a result, the self‐stacked absorber exhibits an excellent reflection loss value of −125.8 dB with an effective absorption bandwidth of 11.0 GHz at 2.5 mm. Based on this model, the relationship between diploe moments and EMW responding frequency has been clarified, which provides an important reference to understand the multiple polarization mechanisms and design ultra‐broadband EMW systems.</w:t>
      </w:r>
    </w:p>
    <w:p>
      <w:pPr>
        <w:spacing w:before="120" w:after="120"/>
      </w:pPr>
      <w:r>
        <w:rPr>
          <w:sz w:val="18"/>
        </w:rPr>
        <w:t>——————————————————————————————————————————————————————————————————————</w:t>
      </w:r>
    </w:p>
    <w:p>
      <w:pPr>
        <w:spacing w:before="160" w:after="40" w:line="240" w:lineRule="auto"/>
      </w:pPr>
      <w:r>
        <w:rPr>
          <w:b/>
        </w:rPr>
        <w:t xml:space="preserve">[148] </w:t>
      </w:r>
      <w:hyperlink r:id="rId475">
        <w:r>
          <w:rPr>
            <w:color w:val="1155CC"/>
            <w:u w:val="single"/>
          </w:rPr>
          <w:t>[ASAP] 通过Cross-β淀粉样微相的辅酶介导的对映选择性碳连接</w:t>
        </w:r>
      </w:hyperlink>
    </w:p>
    <w:p>
      <w:pPr>
        <w:spacing w:before="0" w:after="80"/>
      </w:pPr>
      <w:r>
        <w:rPr>
          <w:i/>
          <w:sz w:val="20"/>
        </w:rPr>
        <w:t>EN: [ASAP] Coenzyme-Mediated Enantioselective Carboligation via Cross-β Amyloid Microphases</w:t>
      </w:r>
    </w:p>
    <w:p>
      <w:pPr>
        <w:spacing w:before="0" w:after="120"/>
      </w:pPr>
      <w:r>
        <w:rPr>
          <w:b/>
        </w:rPr>
        <w:t xml:space="preserve">Source: </w:t>
      </w:r>
      <w:r>
        <w:t>Journal of the American Chemical Society: Latest Articles (ACS Publications)</w:t>
      </w:r>
      <w:r>
        <w:t xml:space="preserve">    </w:t>
      </w:r>
      <w:r>
        <w:rPr>
          <w:b/>
        </w:rPr>
        <w:t xml:space="preserve">Pub date: </w:t>
      </w:r>
      <w:r>
        <w:t>2026-03-30 09:34:34+00:00</w:t>
      </w:r>
      <w:r>
        <w:t xml:space="preserve">    </w:t>
      </w:r>
      <w:r>
        <w:rPr>
          <w:b/>
        </w:rPr>
        <w:t xml:space="preserve">DOI: </w:t>
      </w:r>
      <w:hyperlink r:id="rId476">
        <w:r>
          <w:rPr>
            <w:color w:val="1155CC"/>
            <w:u w:val="single"/>
          </w:rPr>
          <w:t>10.1021/jacs.6c01473</w:t>
        </w:r>
      </w:hyperlink>
    </w:p>
    <w:p>
      <w:pPr>
        <w:spacing w:before="0" w:after="120"/>
      </w:pPr>
      <w:r>
        <w:rPr>
          <w:b/>
        </w:rPr>
        <w:t xml:space="preserve">Notes: </w:t>
      </w:r>
      <w:r>
        <w:t>abstract_source=pubmed</w:t>
      </w:r>
    </w:p>
    <w:p>
      <w:pPr>
        <w:spacing w:before="0" w:after="80" w:lineRule="auto" w:line="276"/>
      </w:pPr>
      <w:r>
        <w:rPr>
          <w:b/>
        </w:rPr>
        <w:t xml:space="preserve">摘要（ZH）: </w:t>
      </w:r>
      <w:r>
        <w:t>立体选择性碳-碳 (C-C) 键形成是代谢中的基本转化，能够生成对生命化学复杂性至关重要的手性分子。虽然现代酶通过大肽链折叠实现的辅因子结合活性位点来实现这种转化，但原始肽折叠如何在水环境中实现对映选择性 C-C 键操控仍不清楚。在此，我们报告了一种基于七肽的淀粉样组装体，它在水中使用受维生素 B1 启发的噻唑类辅酶催化苯偶姻型缩合。富含亮氨酸的疏水纳米管表面使辅酶和底物共定位，而溶剂暴露的咪唑和精氨酸残基促进辅酶结合和中间体稳定。</w:t>
      </w:r>
    </w:p>
    <w:p>
      <w:pPr>
        <w:spacing w:before="0" w:after="200" w:lineRule="auto" w:line="276"/>
      </w:pPr>
      <w:r>
        <w:rPr>
          <w:b/>
        </w:rPr>
        <w:t xml:space="preserve">Abstract (EN): </w:t>
      </w:r>
      <w:r>
        <w:t>Stereoselective carbon-carbon (C-C) bond formation is a fundamental transformation in metabolism, enabling the generation of chiral molecules essential for life's chemical complexity. While modern enzymes achieve such transformations with the help of cofactor-bound active sites realized via folding of large peptide chains, how primitive peptide folds might have enabled enantioselective C-C bond manipulation in aqueous milieu remains unclear. Here, we report a heptapeptide-based amyloid assembly that catalyzes benzoin-type condensation in water using a thiazolium-based coenzyme inspired by vitamin B1. The leucine-rich hydrophobic nanotubular surface colocalizes coenzyme and substrates, while solvent-exposed imidazole and arginine residues facilitate coenzyme binding and intermediate stabilization. This synergy yields both high reactivity and significant stereocontrol, achieving up to 70 ± 8.8% enantiomeric excess. Mutations of the surface-exposed residues not only modulate but also can reverse the enantioselectivity, highlighting the role of the asymmetric supramolecular microenvironment in influencing chiral outcomes.</w:t>
      </w:r>
    </w:p>
    <w:p>
      <w:pPr>
        <w:spacing w:before="120" w:after="120"/>
      </w:pPr>
      <w:r>
        <w:rPr>
          <w:sz w:val="18"/>
        </w:rPr>
        <w:t>——————————————————————————————————————————————————————————————————————</w:t>
      </w:r>
    </w:p>
    <w:p>
      <w:pPr>
        <w:spacing w:before="160" w:after="40" w:line="240" w:lineRule="auto"/>
      </w:pPr>
      <w:r>
        <w:rPr>
          <w:b/>
        </w:rPr>
        <w:t xml:space="preserve">[149] </w:t>
      </w:r>
      <w:hyperlink r:id="rId477">
        <w:r>
          <w:rPr>
            <w:color w:val="1155CC"/>
            <w:u w:val="single"/>
          </w:rPr>
          <w:t>[ASAP] 钴催化的非活化烷基氯化物的羰基化转化</w:t>
        </w:r>
      </w:hyperlink>
    </w:p>
    <w:p>
      <w:pPr>
        <w:spacing w:before="0" w:after="80"/>
      </w:pPr>
      <w:r>
        <w:rPr>
          <w:i/>
          <w:sz w:val="20"/>
        </w:rPr>
        <w:t>EN: [ASAP] Cobalt-Catalyzed Carbonylative Conversion of Unactivated Alkyl Chlorides</w:t>
      </w:r>
    </w:p>
    <w:p>
      <w:pPr>
        <w:spacing w:before="0" w:after="120"/>
      </w:pPr>
      <w:r>
        <w:rPr>
          <w:b/>
        </w:rPr>
        <w:t xml:space="preserve">Source: </w:t>
      </w:r>
      <w:r>
        <w:t>Journal of the American Chemical Society: Latest Articles (ACS Publications)</w:t>
      </w:r>
      <w:r>
        <w:t xml:space="preserve">    </w:t>
      </w:r>
      <w:r>
        <w:rPr>
          <w:b/>
        </w:rPr>
        <w:t xml:space="preserve">Pub date: </w:t>
      </w:r>
      <w:r>
        <w:t>2026-03-30 09:38:47+00:00</w:t>
      </w:r>
      <w:r>
        <w:t xml:space="preserve">    </w:t>
      </w:r>
      <w:r>
        <w:rPr>
          <w:b/>
        </w:rPr>
        <w:t xml:space="preserve">DOI: </w:t>
      </w:r>
      <w:hyperlink r:id="rId478">
        <w:r>
          <w:rPr>
            <w:color w:val="1155CC"/>
            <w:u w:val="single"/>
          </w:rPr>
          <w:t>10.1021/jacs.6c03507</w:t>
        </w:r>
      </w:hyperlink>
    </w:p>
    <w:p>
      <w:pPr>
        <w:spacing w:before="0" w:after="120"/>
      </w:pPr>
      <w:r>
        <w:rPr>
          <w:b/>
        </w:rPr>
        <w:t xml:space="preserve">Notes: </w:t>
      </w:r>
      <w:r>
        <w:t>abstract_source=pubmed</w:t>
      </w:r>
    </w:p>
    <w:p>
      <w:pPr>
        <w:spacing w:before="0" w:after="80" w:lineRule="auto" w:line="276"/>
      </w:pPr>
      <w:r>
        <w:rPr>
          <w:b/>
        </w:rPr>
        <w:t xml:space="preserve">摘要（ZH）: </w:t>
      </w:r>
      <w:r>
        <w:t>未活化的烷基氯化物是羰基化中的理想但未充分利用的构建块，因为 C-Cl 键的强度高以及现有过渡金属催化的局限性。在此，我们描述了一种由 Salen-钴催化的未活化烷基氯化物的羰基化转化，在温和条件下进行，由超亲核性 Co(I) 中心实现，该中心有效促进 SN2 型 C-Cl 活化。该系统可容纳空间位阻大的亲核试剂，并通过一个有力支持的自由基参与的有机钴催化循环进行，为挑战性烷基氯化物的羰基化提供了一个通用平台。</w:t>
      </w:r>
    </w:p>
    <w:p>
      <w:pPr>
        <w:spacing w:before="0" w:after="200" w:lineRule="auto" w:line="276"/>
      </w:pPr>
      <w:r>
        <w:rPr>
          <w:b/>
        </w:rPr>
        <w:t xml:space="preserve">Abstract (EN): </w:t>
      </w:r>
      <w:r>
        <w:t>Unactivated alkyl chlorides are ideal but underutilized building blocks in carbonylation due to the high strength of C-Cl bonds and the limitations of existing transition-metal catalysis. Herein, we describe a Salen-cobalt-catalyzed carbonylative transformation of unactivated alkyl chlorides under mild conditions, enabled by the supernucleophilic Co(I) center that efficiently promotes SN2-type C-Cl activation. This system accommodates sterically hindered nucleophiles and proceeds through a well-supported radical-involved organocobalt catalytic cycle, providing a general platform for carbonylation of challenging alkyl chlorides.</w:t>
      </w:r>
    </w:p>
    <w:p>
      <w:pPr>
        <w:spacing w:before="120" w:after="120"/>
      </w:pPr>
      <w:r>
        <w:rPr>
          <w:sz w:val="18"/>
        </w:rPr>
        <w:t>——————————————————————————————————————————————————————————————————————</w:t>
      </w:r>
    </w:p>
    <w:p>
      <w:pPr>
        <w:spacing w:before="160" w:after="40" w:line="240" w:lineRule="auto"/>
      </w:pPr>
      <w:r>
        <w:rPr>
          <w:b/>
        </w:rPr>
        <w:t xml:space="preserve">[150] </w:t>
      </w:r>
      <w:hyperlink r:id="rId479">
        <w:r>
          <w:rPr>
            <w:color w:val="1155CC"/>
            <w:u w:val="single"/>
          </w:rPr>
          <w:t>碳点作为余辉闪烁体用于超长余辉和低剂量X射线成像</w:t>
        </w:r>
      </w:hyperlink>
    </w:p>
    <w:p>
      <w:pPr>
        <w:spacing w:before="0" w:after="80"/>
      </w:pPr>
      <w:r>
        <w:rPr>
          <w:i/>
          <w:sz w:val="20"/>
        </w:rPr>
        <w:t>EN: Carbon Dots as Afterglow Scintillators for Ultralong Afterglow and Low‐Dose X‐Ray Imaging</w:t>
      </w:r>
    </w:p>
    <w:p>
      <w:pPr>
        <w:spacing w:before="0" w:after="120"/>
      </w:pPr>
      <w:r>
        <w:rPr>
          <w:b/>
        </w:rPr>
        <w:t xml:space="preserve">Source: </w:t>
      </w:r>
      <w:r>
        <w:t>Wiley: Angewandte Chemie International Edition: Table of Contents</w:t>
      </w:r>
      <w:r>
        <w:t xml:space="preserve">    </w:t>
      </w:r>
      <w:r>
        <w:rPr>
          <w:b/>
        </w:rPr>
        <w:t xml:space="preserve">Pub date: </w:t>
      </w:r>
      <w:r>
        <w:t>2026-03-30 10:40:09+00:00</w:t>
      </w:r>
      <w:r>
        <w:t xml:space="preserve">    </w:t>
      </w:r>
      <w:r>
        <w:rPr>
          <w:b/>
        </w:rPr>
        <w:t xml:space="preserve">DOI: </w:t>
      </w:r>
      <w:hyperlink r:id="rId480">
        <w:r>
          <w:rPr>
            <w:color w:val="1155CC"/>
            <w:u w:val="single"/>
          </w:rPr>
          <w:t>10.1002/anie.6508049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余辉闪烁体因其高效的三重态激子利用和辐射发光性能而受到广泛关注。然而，在基于低原子序数元素的碳点（CDs）中实现高辐射发光效率仍然具有挑战性。在本研究中，B-N陷阱态被引入到CDs余辉复合材料的设计中，实现了超长余辉发射和优异的闪烁性能。B-N陷阱赋予TpB-CDs@Urea复合材料在室温下长达10.72秒的超长余辉寿命，显著超过了已报道的磷光材料。此外，TpB-CDs@Urea闪烁体在X射线激发下表现出高辐射稳定性和e</w:t>
      </w:r>
    </w:p>
    <w:p>
      <w:pPr>
        <w:spacing w:before="0" w:after="200" w:lineRule="auto" w:line="276"/>
      </w:pPr>
      <w:r>
        <w:rPr>
          <w:b/>
        </w:rPr>
        <w:t xml:space="preserve">Abstract (EN): </w:t>
      </w:r>
      <w:r>
        <w:t>Afterglow scintillators have attracted significant attention because of their efficient triplet exciton utilization and radiative luminescence performance. However, achieving a high radioluminescence efficiency in carbon dots (CDs) based on low atomic number elements remains challenging. In this study, B‐N trap states were introduced into the design of CDs afterglow composites, realizing ultralong afterglow emission and excellent scintillation properties. The B‐N trap endowed the TpB‐CDs@Urea composites with an ultralong afterglow lifetime of up to 10.72 s at room temperature, significantly exceeding those reported for phosphorescent materials. Moreover, TpB‐CDs@Urea scintillators demonstrated high radio stability under x‐ray excitation and exhibited a low radiation detection limit of 1.67 µGy s</w:t>
      </w:r>
      <w:r>
        <w:t xml:space="preserve"> </w:t>
      </w:r>
      <w:r>
        <w:t>−1</w:t>
      </w:r>
      <w:r>
        <w:t xml:space="preserve"> </w:t>
      </w:r>
      <w:r>
        <w:t>, which allows efficient radiography imaging with a spatial resolution of 10.7 line pairs (lp) mm</w:t>
      </w:r>
      <w:r>
        <w:t xml:space="preserve"> </w:t>
      </w:r>
      <w:r>
        <w:t>−1</w:t>
      </w:r>
      <w:r>
        <w:t xml:space="preserve"> </w:t>
      </w:r>
      <w:r>
        <w:t>. Based on these x‐ray excitation radiation luminescence characteristics of TpB‐CDs@Urea composites, their potential applications in x‐ray photography technology were also demonstrated. Ultimately, the findings of this study provide a feasible principle for designing high‐performance afterglow scintillator materials while expanding their application in fields such as detection and x‐ray radiography.</w:t>
      </w:r>
    </w:p>
    <w:p>
      <w:pPr>
        <w:spacing w:before="120" w:after="120"/>
      </w:pPr>
      <w:r>
        <w:rPr>
          <w:sz w:val="18"/>
        </w:rPr>
        <w:t>——————————————————————————————————————————————————————————————————————</w:t>
      </w:r>
    </w:p>
    <w:p>
      <w:pPr>
        <w:spacing w:before="160" w:after="40" w:line="240" w:lineRule="auto"/>
      </w:pPr>
      <w:r>
        <w:rPr>
          <w:b/>
        </w:rPr>
        <w:t xml:space="preserve">[151] </w:t>
      </w:r>
      <w:hyperlink r:id="rId481">
        <w:r>
          <w:rPr>
            <w:color w:val="1155CC"/>
            <w:u w:val="single"/>
          </w:rPr>
          <w:t>具有近红外发射和可调芳香性的供体-受体并五苯类似物</w:t>
        </w:r>
      </w:hyperlink>
    </w:p>
    <w:p>
      <w:pPr>
        <w:spacing w:before="0" w:after="80"/>
      </w:pPr>
      <w:r>
        <w:rPr>
          <w:i/>
          <w:sz w:val="20"/>
        </w:rPr>
        <w:t>EN: Donor–Acceptor Pentacene Analogues With Near‐Infrared Emission and Tunable Aromaticity</w:t>
      </w:r>
    </w:p>
    <w:p>
      <w:pPr>
        <w:spacing w:before="0" w:after="120"/>
      </w:pPr>
      <w:r>
        <w:rPr>
          <w:b/>
        </w:rPr>
        <w:t xml:space="preserve">Source: </w:t>
      </w:r>
      <w:r>
        <w:t>Wiley: Angewandte Chemie International Edition: Table of Contents</w:t>
      </w:r>
      <w:r>
        <w:t xml:space="preserve">    </w:t>
      </w:r>
      <w:r>
        <w:rPr>
          <w:b/>
        </w:rPr>
        <w:t xml:space="preserve">Pub date: </w:t>
      </w:r>
      <w:r>
        <w:t>2026-03-30 10:42:21+00:00</w:t>
      </w:r>
      <w:r>
        <w:t xml:space="preserve">    </w:t>
      </w:r>
      <w:r>
        <w:rPr>
          <w:b/>
        </w:rPr>
        <w:t xml:space="preserve">DOI: </w:t>
      </w:r>
      <w:hyperlink r:id="rId482">
        <w:r>
          <w:rPr>
            <w:color w:val="1155CC"/>
            <w:u w:val="single"/>
          </w:rPr>
          <w:t>10.1002/anie.202523436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在五苯并的5和12位进行战略性取代，引入电子供体氮和电子受体氧化膦、砜和羰基，得到具有大于10 D偶极矩的高度极化对-醌二甲烷（pQDM）衍生物。这些推拉系统具有窄的HOMO-LUMO间隙（1.0–1.7 eV）、可逆的氧化还原性质以及在800至1100 nm之间的近红外（NIR）吸收和发射。值得注意的是，极化诱导了芳香性转换：与其非芳香性双供体和双受体对应物不同，供体-受体类似物在中心醌环中发展出弱芳香性，这在po中进一步增强</w:t>
      </w:r>
    </w:p>
    <w:p>
      <w:pPr>
        <w:spacing w:before="0" w:after="200" w:lineRule="auto" w:line="276"/>
      </w:pPr>
      <w:r>
        <w:rPr>
          <w:b/>
        </w:rPr>
        <w:t xml:space="preserve">Abstract (EN): </w:t>
      </w:r>
      <w:r>
        <w:t>Strategic substitution of the 5 and 12 positions in pentacene with an electron‐donating nitrogen and electron‐accepting phosphine oxide, sulfone and carbonyl groups results in highly polarized</w:t>
      </w:r>
      <w:r>
        <w:t xml:space="preserve"> </w:t>
      </w:r>
      <w:r>
        <w:t>para</w:t>
      </w:r>
      <w:r>
        <w:t xml:space="preserve"> </w:t>
      </w:r>
      <w:r>
        <w:t>‐quinodimethane (pQDM) derivatives with large dipole moments exceeding 10 D. These push‐pull systems feature narrow HOMO‐LUMO gaps (1.0–1.7 eV), reversible redox properties and near‐infrared (NIR) absorption and emission with maxima between 800 and 1100 nm. Remarkably, the polarization induces aromaticity switching: unlike their non‐aromatic double–donor and double–acceptor counterparts, the donor–acceptor analogues develop weak aromatic character in the central quinoidal ring, which is further enhanced in polar solvents, as confirmed by theoretical calculations, NMR spectroscopy and X‐ray crystallography. These findings demonstrate how molecular polarization can modulate aromaticity and electronic structure, providing a design platform for functional quinoidal π‐systems with tunable optical and redox properties.</w:t>
      </w:r>
    </w:p>
    <w:p>
      <w:pPr>
        <w:spacing w:before="120" w:after="120"/>
      </w:pPr>
      <w:r>
        <w:rPr>
          <w:sz w:val="18"/>
        </w:rPr>
        <w:t>——————————————————————————————————————————————————————————————————————</w:t>
      </w:r>
    </w:p>
    <w:p>
      <w:pPr>
        <w:spacing w:before="160" w:after="40" w:line="240" w:lineRule="auto"/>
      </w:pPr>
      <w:r>
        <w:rPr>
          <w:b/>
        </w:rPr>
        <w:t xml:space="preserve">[152] </w:t>
      </w:r>
      <w:hyperlink r:id="rId483">
        <w:r>
          <w:rPr>
            <w:color w:val="1155CC"/>
            <w:u w:val="single"/>
          </w:rPr>
          <w:t>[ASAP] 非孔金属有机材料单晶对水的光捕获</w:t>
        </w:r>
      </w:hyperlink>
    </w:p>
    <w:p>
      <w:pPr>
        <w:spacing w:before="0" w:after="80"/>
      </w:pPr>
      <w:r>
        <w:rPr>
          <w:i/>
          <w:sz w:val="20"/>
        </w:rPr>
        <w:t>EN: [ASAP] Photo Capture of Water by Single Crystals of a Nonporous Metal–Organic Material</w:t>
      </w:r>
    </w:p>
    <w:p>
      <w:pPr>
        <w:spacing w:before="0" w:after="120"/>
      </w:pPr>
      <w:r>
        <w:rPr>
          <w:b/>
        </w:rPr>
        <w:t xml:space="preserve">Source: </w:t>
      </w:r>
      <w:r>
        <w:t>Journal of the American Chemical Society: Latest Articles (ACS Publications)</w:t>
      </w:r>
      <w:r>
        <w:t xml:space="preserve">    </w:t>
      </w:r>
      <w:r>
        <w:rPr>
          <w:b/>
        </w:rPr>
        <w:t xml:space="preserve">Pub date: </w:t>
      </w:r>
      <w:r>
        <w:t>2026-03-30 10:57:19+00:00</w:t>
      </w:r>
      <w:r>
        <w:t xml:space="preserve">    </w:t>
      </w:r>
      <w:r>
        <w:rPr>
          <w:b/>
        </w:rPr>
        <w:t xml:space="preserve">DOI: </w:t>
      </w:r>
      <w:hyperlink r:id="rId484">
        <w:r>
          <w:rPr>
            <w:color w:val="1155CC"/>
            <w:u w:val="single"/>
          </w:rPr>
          <w:t>10.1021/jacs.6c01019</w:t>
        </w:r>
      </w:hyperlink>
    </w:p>
    <w:p>
      <w:pPr>
        <w:spacing w:before="0" w:after="120"/>
      </w:pPr>
      <w:r>
        <w:rPr>
          <w:b/>
        </w:rPr>
        <w:t xml:space="preserve">Notes: </w:t>
      </w:r>
      <w:r>
        <w:t>abstract_source=pubmed</w:t>
      </w:r>
    </w:p>
    <w:p>
      <w:pPr>
        <w:spacing w:before="0" w:after="80" w:lineRule="auto" w:line="276"/>
      </w:pPr>
      <w:r>
        <w:rPr>
          <w:b/>
        </w:rPr>
        <w:t xml:space="preserve">摘要（ZH）: </w:t>
      </w:r>
      <w:r>
        <w:t>一种非多孔金属有机材料（MOM）在光照下于环境条件下从大气中捕获水。通过单晶到单晶[2 + 2]光环加成实现水的捕获。MOM采用了一种不寻常的原始立方（pcu）拓扑的凝缩版本。光照在晶格内生成孤立的空腔，捕获水的同时整体保留了pcu拓扑结构。该工作强调了如何推进MOMs用于可控水捕获，对可持续水资源开发具有重要意义，展示了如何开发非多孔晶体材料在光的存在下从大气中捕获小分子。</w:t>
      </w:r>
    </w:p>
    <w:p>
      <w:pPr>
        <w:spacing w:before="0" w:after="200" w:lineRule="auto" w:line="276"/>
      </w:pPr>
      <w:r>
        <w:rPr>
          <w:b/>
        </w:rPr>
        <w:t xml:space="preserve">Abstract (EN): </w:t>
      </w:r>
      <w:r>
        <w:t>A nonporous metal-organic material (MOM) captures water from the atmosphere under ambient conditions upon exposure to light. The water capture is achieved via a single-crystal-to-single-crystal [2 + 2] photocycloaddition. The MOM adopts an unusual condensed version of the primitive cubic (pcu) topology. The light generates isolated cavities within the crystal lattice that capture the water with overall retention of the pcu topology. The work underscores how MOMs can be advanced for controlled water capture with implications for sustainable water resource development, exemplifying how nonporous crystalline materials can be developed to capture small molecules from the atmosphere in the presence of light.</w:t>
      </w:r>
    </w:p>
    <w:p>
      <w:pPr>
        <w:spacing w:before="120" w:after="120"/>
      </w:pPr>
      <w:r>
        <w:rPr>
          <w:sz w:val="18"/>
        </w:rPr>
        <w:t>——————————————————————————————————————————————————————————————————————</w:t>
      </w:r>
    </w:p>
    <w:p>
      <w:pPr>
        <w:spacing w:before="160" w:after="40" w:line="240" w:lineRule="auto"/>
      </w:pPr>
      <w:r>
        <w:rPr>
          <w:b/>
        </w:rPr>
        <w:t xml:space="preserve">[153] </w:t>
      </w:r>
      <w:hyperlink r:id="rId485">
        <w:r>
          <w:rPr>
            <w:color w:val="1155CC"/>
            <w:u w:val="single"/>
          </w:rPr>
          <w:t>铒纳米调谐器选择性诱导癌细胞焦亡以增强强效抗癌免疫</w:t>
        </w:r>
      </w:hyperlink>
    </w:p>
    <w:p>
      <w:pPr>
        <w:spacing w:before="0" w:after="80"/>
      </w:pPr>
      <w:r>
        <w:rPr>
          <w:i/>
          <w:sz w:val="20"/>
        </w:rPr>
        <w:t>EN: Selective Induction of Cancer Cell Pyroptosis by Erbium Nanotuner Enhances Potent Anti‐Cancer Immunity</w:t>
      </w:r>
    </w:p>
    <w:p>
      <w:pPr>
        <w:spacing w:before="0" w:after="120"/>
      </w:pPr>
      <w:r>
        <w:rPr>
          <w:b/>
        </w:rPr>
        <w:t xml:space="preserve">Source: </w:t>
      </w:r>
      <w:r>
        <w:t>Wiley: Advanced Materials: Table of Contents</w:t>
      </w:r>
      <w:r>
        <w:t xml:space="preserve">    </w:t>
      </w:r>
      <w:r>
        <w:rPr>
          <w:b/>
        </w:rPr>
        <w:t xml:space="preserve">Pub date: </w:t>
      </w:r>
      <w:r>
        <w:t>2026-03-30 11:26:19+00:00</w:t>
      </w:r>
      <w:r>
        <w:t xml:space="preserve">    </w:t>
      </w:r>
      <w:r>
        <w:rPr>
          <w:b/>
        </w:rPr>
        <w:t xml:space="preserve">DOI: </w:t>
      </w:r>
      <w:hyperlink r:id="rId486">
        <w:r>
          <w:rPr>
            <w:color w:val="1155CC"/>
            <w:u w:val="single"/>
          </w:rPr>
          <w:t>10.1002/adma.202522094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焦亡是一种免疫原性程序性细胞死亡，是激活抗癌免疫的强大方式。然而，选择性地在癌细胞中诱导焦亡而不影响正常细胞是非常具有挑战性的。在此，从整个镧系元素中筛选出一种含有Er3+的纳米颗粒，通过选择性诱导癌细胞焦亡来增强胰腺癌免疫治疗。为了引发肿瘤特异性炎症性细胞死亡，设计了一种称为铒-RSL3炎症小体激活系统（ERIS）的肿瘤靶向纳米平台，借用“希腊不和女神”的概念在肿瘤内引发不和。ERIS已被证明通过溶酶体破裂诱导焦亡，这一过程由s</w:t>
      </w:r>
    </w:p>
    <w:p>
      <w:pPr>
        <w:spacing w:before="0" w:after="200" w:lineRule="auto" w:line="276"/>
      </w:pPr>
      <w:r>
        <w:rPr>
          <w:b/>
        </w:rPr>
        <w:t xml:space="preserve">Abstract (EN): </w:t>
      </w:r>
      <w:r>
        <w:t>Pyroptosis, an immunogenic programmed cell death, is a robust way to activate anti‐cancer immunity. However, it is very challenging to induce pyroptosis in cancer cells while sparing normal cells selectively. Herein, an Er</w:t>
      </w:r>
      <w:r>
        <w:t xml:space="preserve"> </w:t>
      </w:r>
      <w:r>
        <w:t>3+</w:t>
      </w:r>
      <w:r>
        <w:t xml:space="preserve"> </w:t>
      </w:r>
      <w:r>
        <w:t>‐containing nanoparticle is screened from the whole series of lanthanides for boosting pancreatic cancer immunotherapy by selectively inducing cancer cell pyroptosis. To elicit tumor‐specific inflammatory cell death, a tumor‐targeting nanoplatform, termed the Erbium−RSL3 Inflammasome‐Activating System (ERIS), was designed, invoking the “Greek goddess of discord” to unleash discord within tumors. ERIS has been proven to induce pyroptosis through lysosomal rupture, facilitated by a strong interaction between Er</w:t>
      </w:r>
      <w:r>
        <w:t xml:space="preserve"> </w:t>
      </w:r>
      <w:r>
        <w:t>3+</w:t>
      </w:r>
      <w:r>
        <w:t xml:space="preserve"> </w:t>
      </w:r>
      <w:r>
        <w:t>and lysosomal phospholipid membranes, as evidenced by a 3.2‐fold increase in GSDMD‐N cleavage and a 12.2‐fold increase in lactate dehydrogenase (LDH) release compared with controls. This localized inflammatory assault subverts tumor growth and promotes anti‐cancer immune responses. Therefore, ERIS demonstrates remarkable tumor suppression with minimal systemic side effects across different pancreatic cancer models, achieved through pyroptosis‐induced immune activation and remodeling of the immunosuppressive tumor microenvironments. This study identifies Er</w:t>
      </w:r>
      <w:r>
        <w:t xml:space="preserve"> </w:t>
      </w:r>
      <w:r>
        <w:t>3+</w:t>
      </w:r>
      <w:r>
        <w:t xml:space="preserve"> </w:t>
      </w:r>
      <w:r>
        <w:t>‐based nanomedicine as a new class of cell‐selective pyroptosis nanotuner, offering a unique opportunity to enhance the efficacy of cancer immunotherapies.</w:t>
      </w:r>
    </w:p>
    <w:p>
      <w:pPr>
        <w:spacing w:before="120" w:after="120"/>
      </w:pPr>
      <w:r>
        <w:rPr>
          <w:sz w:val="18"/>
        </w:rPr>
        <w:t>——————————————————————————————————————————————————————————————————————</w:t>
      </w:r>
    </w:p>
    <w:p>
      <w:pPr>
        <w:spacing w:before="160" w:after="40" w:line="240" w:lineRule="auto"/>
      </w:pPr>
      <w:r>
        <w:rPr>
          <w:b/>
        </w:rPr>
        <w:t xml:space="preserve">[154] </w:t>
      </w:r>
      <w:hyperlink r:id="rId487">
        <w:r>
          <w:rPr>
            <w:color w:val="1155CC"/>
            <w:u w:val="single"/>
          </w:rPr>
          <w:t>超越周期性晶格的外延：由缺陷态二维材料启用的界面调制</w:t>
        </w:r>
      </w:hyperlink>
    </w:p>
    <w:p>
      <w:pPr>
        <w:spacing w:before="0" w:after="80"/>
      </w:pPr>
      <w:r>
        <w:rPr>
          <w:i/>
          <w:sz w:val="20"/>
        </w:rPr>
        <w:t>EN: Epitaxy Beyond Periodic Lattices: Interfacial Modulation Enabled by Defect State 2D Materials</w:t>
      </w:r>
    </w:p>
    <w:p>
      <w:pPr>
        <w:spacing w:before="0" w:after="120"/>
      </w:pPr>
      <w:r>
        <w:rPr>
          <w:b/>
        </w:rPr>
        <w:t xml:space="preserve">Source: </w:t>
      </w:r>
      <w:r>
        <w:t>Wiley: Advanced Materials: Table of Contents</w:t>
      </w:r>
      <w:r>
        <w:t xml:space="preserve">    </w:t>
      </w:r>
      <w:r>
        <w:rPr>
          <w:b/>
        </w:rPr>
        <w:t xml:space="preserve">Pub date: </w:t>
      </w:r>
      <w:r>
        <w:t>2026-03-30 11:31:47+00:00</w:t>
      </w:r>
      <w:r>
        <w:t xml:space="preserve">    </w:t>
      </w:r>
      <w:r>
        <w:rPr>
          <w:b/>
        </w:rPr>
        <w:t xml:space="preserve">DOI: </w:t>
      </w:r>
      <w:hyperlink r:id="rId488">
        <w:r>
          <w:rPr>
            <w:color w:val="1155CC"/>
            <w:u w:val="single"/>
          </w:rPr>
          <w:t>10.1002/adma.202517794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远程外延（RE）利用基板极性引导单晶薄膜在二维材料（2DMs）如石墨烯上的生长，为材料和器件的异质集成提供了一种有前途的策略。然而，2DMs的结构特征对RE的影响尚未被探索。在此，报道了2DMs中缺陷对RE的关键影响。实验和理论上证明，RE可以在有缺陷的h-BN（DBN）上实现，但在原始h-BN上则不能。我们发现了DBN中的缺陷诱导电荷转移增强（DCTE）效应，这显著增强了电子离域化，从而增加了界面电荷转移。这种由二维晶格缺陷促进的增强耦合提供了相互作用</w:t>
      </w:r>
    </w:p>
    <w:p>
      <w:pPr>
        <w:spacing w:before="0" w:after="200" w:lineRule="auto" w:line="276"/>
      </w:pPr>
      <w:r>
        <w:rPr>
          <w:b/>
        </w:rPr>
        <w:t xml:space="preserve">Abstract (EN): </w:t>
      </w:r>
      <w:r>
        <w:t>Remote epitaxy (RE) utilizes substrate polarity to guide the growth of single‐crystal films across 2D materials (2DMs) such as graphene, offering a promising strategy for the heterogeneous integration of materials and devices. However, the effect of structural characteristics in 2DMs on RE remains unexplored. Here, the critical impact of defects in 2DMs on RE is reported. It is demonstrated experimentally and theoretically that RE can be realized on defective h‐BN (DBN), but not on pristine h‐BN. We identified a defect‐induced charge transfer enhancement (DCTE) effect in DBN, which significantly enhances electron delocalization and consequently increases interfacial charge transfer. This enhanced coupling, facilitated by 2D lattice defects, provides the interaction necessary for remote epitaxial alignment beyond conventional lattice‐matching considerations. This phenomenon is further confirmed in other materials with remote epitaxial structures, expanding the understanding of the interface coupling mechanism in RE. Moreover, the DCTE effect improves the detection sensitivity of SDBN/GaN template heterojunction detectors. These findings break through the conventional epitaxy paradigm and highlight a new mechanism for remote epitaxial growth, paving the way for novel multi‐dimensional material integration approaches.</w:t>
      </w:r>
    </w:p>
    <w:p>
      <w:pPr>
        <w:spacing w:before="120" w:after="120"/>
      </w:pPr>
      <w:r>
        <w:rPr>
          <w:sz w:val="18"/>
        </w:rPr>
        <w:t>——————————————————————————————————————————————————————————————————————</w:t>
      </w:r>
    </w:p>
    <w:p>
      <w:pPr>
        <w:spacing w:before="160" w:after="40" w:line="240" w:lineRule="auto"/>
      </w:pPr>
      <w:r>
        <w:rPr>
          <w:b/>
        </w:rPr>
        <w:t xml:space="preserve">[155] </w:t>
      </w:r>
      <w:hyperlink r:id="rId489">
        <w:r>
          <w:rPr>
            <w:color w:val="1155CC"/>
            <w:u w:val="single"/>
          </w:rPr>
          <w:t>[ASAP] 铜催化的对映收敛性亲核氟化反应用于生成α-氟酰胺</w:t>
        </w:r>
      </w:hyperlink>
    </w:p>
    <w:p>
      <w:pPr>
        <w:spacing w:before="0" w:after="80"/>
      </w:pPr>
      <w:r>
        <w:rPr>
          <w:i/>
          <w:sz w:val="20"/>
        </w:rPr>
        <w:t>EN: [ASAP] Copper-Catalyzed Enantioconvergent Nucleophilic Fluorination of Alkyl Electrophiles to Generate α-Fluoroamides</w:t>
      </w:r>
    </w:p>
    <w:p>
      <w:pPr>
        <w:spacing w:before="0" w:after="120"/>
      </w:pPr>
      <w:r>
        <w:rPr>
          <w:b/>
        </w:rPr>
        <w:t xml:space="preserve">Source: </w:t>
      </w:r>
      <w:r>
        <w:t>Journal of the American Chemical Society: Latest Articles (ACS Publications)</w:t>
      </w:r>
      <w:r>
        <w:t xml:space="preserve">    </w:t>
      </w:r>
      <w:r>
        <w:rPr>
          <w:b/>
        </w:rPr>
        <w:t xml:space="preserve">Pub date: </w:t>
      </w:r>
      <w:r>
        <w:t>2026-03-30 12:43:26+00:00</w:t>
      </w:r>
      <w:r>
        <w:t xml:space="preserve">    </w:t>
      </w:r>
      <w:r>
        <w:rPr>
          <w:b/>
        </w:rPr>
        <w:t xml:space="preserve">DOI: </w:t>
      </w:r>
      <w:hyperlink r:id="rId490">
        <w:r>
          <w:rPr>
            <w:color w:val="1155CC"/>
            <w:u w:val="single"/>
          </w:rPr>
          <w:t>10.1021/jacs.6c03178</w:t>
        </w:r>
      </w:hyperlink>
    </w:p>
    <w:p>
      <w:pPr>
        <w:spacing w:before="0" w:after="120"/>
      </w:pPr>
      <w:r>
        <w:rPr>
          <w:b/>
        </w:rPr>
        <w:t xml:space="preserve">Notes: </w:t>
      </w:r>
      <w:r>
        <w:t>abstract_source=pubmed</w:t>
      </w:r>
    </w:p>
    <w:p>
      <w:pPr>
        <w:spacing w:before="0" w:after="80" w:lineRule="auto" w:line="276"/>
      </w:pPr>
      <w:r>
        <w:rPr>
          <w:b/>
        </w:rPr>
        <w:t xml:space="preserve">摘要（ZH）: </w:t>
      </w:r>
      <w:r>
        <w:t>尽管含有立体异构氟原子的烷基氟化物在药物学上具有重要意义，但其合成的催化不对称方法的发展进展有限；此外，迄今为止所描述的方法主要采用亲电氟化试剂（例如，NFSI和Selectfluor），而不是更经济的亲核氟化试剂（例如，CsF和KF）。在此，我们描述了一种通过铜催化的外消旋烷基卤化物的对映收敛取代反应来催化不对称合成烷基氟化物的方法，具体而言，是通过CsF对α-卤酰胺进行氟化反应，在简单和温和的条件下实现碳-氟键的形成，具有良好的对映选择性和良好的产率。我们已经应用了这一新方法</w:t>
      </w:r>
    </w:p>
    <w:p>
      <w:pPr>
        <w:spacing w:before="0" w:after="200" w:lineRule="auto" w:line="276"/>
      </w:pPr>
      <w:r>
        <w:rPr>
          <w:b/>
        </w:rPr>
        <w:t xml:space="preserve">Abstract (EN): </w:t>
      </w:r>
      <w:r>
        <w:t>Despite the pharmaceutical significance of alkyl fluorides wherein a fluorine-bearing carbon is stereogenic, progress in the development of catalytic asymmetric methods for their synthesis has been limited; furthermore, the approaches that have been described to date predominantly employ electrophilic fluorinating agents (e.g., NFSI and Selectfluor) rather than more economical nucleophilic fluorinating agents (e.g., CsF and KF). Herein, we describe a method for the catalytic asymmetric synthesis of alkyl fluorides through copper-catalyzed enantioconvergent substitutions of racemic alkyl halides, specifically, fluorinations of α-haloamides by CsF, enabling carbon-fluorine bond formation with good enantioselectivity and in good yield under simple and mild conditions. We have applied this new process to a streamlined, catalytic asymmetric synthesis of a bioactive α-fluoroamide and to the synthesis of other classes of enantioenriched fluorinated compounds.</w:t>
      </w:r>
    </w:p>
    <w:p>
      <w:pPr>
        <w:spacing w:before="120" w:after="120"/>
      </w:pPr>
      <w:r>
        <w:rPr>
          <w:sz w:val="18"/>
        </w:rPr>
        <w:t>——————————————————————————————————————————————————————————————————————</w:t>
      </w:r>
    </w:p>
    <w:p>
      <w:pPr>
        <w:spacing w:before="160" w:after="40" w:line="240" w:lineRule="auto"/>
      </w:pPr>
      <w:r>
        <w:rPr>
          <w:b/>
        </w:rPr>
        <w:t xml:space="preserve">[156] </w:t>
      </w:r>
      <w:hyperlink r:id="rId491">
        <w:r>
          <w:rPr>
            <w:color w:val="1155CC"/>
            <w:u w:val="single"/>
          </w:rPr>
          <w:t>[ASAP] 氧异阿朴啡生物碱钢琴凳芳烃钌(II)衍生物：一种通过cGAS-STING介导的化学免疫治疗诱导剂，作为拓扑异构酶I/II的双催化抑制剂</w:t>
        </w:r>
      </w:hyperlink>
    </w:p>
    <w:p>
      <w:pPr>
        <w:spacing w:before="0" w:after="80"/>
      </w:pPr>
      <w:r>
        <w:rPr>
          <w:i/>
          <w:sz w:val="20"/>
        </w:rPr>
        <w:t>EN: [ASAP] Oxoisoaporphine Alkaloid Piano-Stool Arene Ruthenium(II) Derivative: A cGAS-STING-Mediated Chemoimmunotherapy Inducer that Acts as a Dual Catalytic Inhibitor of Topoisomerase I/II</w:t>
      </w:r>
    </w:p>
    <w:p>
      <w:pPr>
        <w:spacing w:before="0" w:after="120"/>
      </w:pPr>
      <w:r>
        <w:rPr>
          <w:b/>
        </w:rPr>
        <w:t xml:space="preserve">Source: </w:t>
      </w:r>
      <w:r>
        <w:t>Journal of the American Chemical Society: Latest Articles (ACS Publications)</w:t>
      </w:r>
      <w:r>
        <w:t xml:space="preserve">    </w:t>
      </w:r>
      <w:r>
        <w:rPr>
          <w:b/>
        </w:rPr>
        <w:t xml:space="preserve">Pub date: </w:t>
      </w:r>
      <w:r>
        <w:t>2026-03-30 12:53:59+00:00</w:t>
      </w:r>
      <w:r>
        <w:t xml:space="preserve">    </w:t>
      </w:r>
      <w:r>
        <w:rPr>
          <w:b/>
        </w:rPr>
        <w:t xml:space="preserve">DOI: </w:t>
      </w:r>
      <w:hyperlink r:id="rId492">
        <w:r>
          <w:rPr>
            <w:color w:val="1155CC"/>
            <w:u w:val="single"/>
          </w:rPr>
          <w:t>10.1021/jacs.6c01872</w:t>
        </w:r>
      </w:hyperlink>
    </w:p>
    <w:p>
      <w:pPr>
        <w:spacing w:before="0" w:after="120"/>
      </w:pPr>
      <w:r>
        <w:rPr>
          <w:b/>
        </w:rPr>
        <w:t xml:space="preserve">Notes: </w:t>
      </w:r>
      <w:r>
        <w:t>abstract_source=pubmed</w:t>
      </w:r>
    </w:p>
    <w:p>
      <w:pPr>
        <w:spacing w:before="0" w:after="80" w:lineRule="auto" w:line="276"/>
      </w:pPr>
      <w:r>
        <w:rPr>
          <w:b/>
        </w:rPr>
        <w:t xml:space="preserve">摘要（ZH）: </w:t>
      </w:r>
      <w:r>
        <w:t>化学免疫治疗，特别是诱导免疫原性细胞死亡的策略，已成为改善癌症治疗的有前途的方法。然而，只有少数药物能够在体内成功刺激抗肿瘤免疫反应。最近的研究强调了金属基抗癌剂在化学免疫治疗中的潜力。在此，我们报告了一种新型钢琴凳芳烃钌(II)配合物，Ru-4，它作为拓扑异构酶I和II的双催化抑制剂。该抑制作用引起DNA损伤并激活cGAS-STING信号通路，导致I型干扰素和趋化因子CCL5和CXCL10的产生。Ru-4在体外表现出强大的细胞毒性，并在体内引发强烈的抗肿瘤免疫反应。此外，Ru-4表现出协同作用</w:t>
      </w:r>
    </w:p>
    <w:p>
      <w:pPr>
        <w:spacing w:before="0" w:after="200" w:lineRule="auto" w:line="276"/>
      </w:pPr>
      <w:r>
        <w:rPr>
          <w:b/>
        </w:rPr>
        <w:t xml:space="preserve">Abstract (EN): </w:t>
      </w:r>
      <w:r>
        <w:t>Chemoimmunotherapy, particularly strategies that induce immunogenic cell death, has emerged as a promising approach to improved cancer treatment. Nonetheless, only a limited number of drugs can successfully stimulate an antitumor immune response in vivo. Recent studies have highlighted the potential of metal-based anticancer agents in chemoimmunotherapy. Herein, we report a novel piano-stool arene ruthenium(II) complex, Ru-4, which acts as a dual catalytic inhibitor of topoisomerase I and II. This inhibition induces DNA damage and activates the cGAS-STING signaling pathway, leading to the production of type I interferon and chemokines CCL5 and CXCL10. Ru-4 demonstrates potent cytotoxicity in vitro and elicits a robust antitumor immune response in vivo. Furthermore, Ru-4 exhibits a synergistic antitumor growth effect when combined with a PD-1 inhibitor. To the best of our knowledge, this study is the first to demonstrate how rationally designed ruthenium(II) complexes can promote a chemoimmunotherapeutic response via the activation of the cGAS-STING pathway through the dual catalytic inhibition of topoisomerases. It is thus expected to pave the way for the development of new chemoimmunotherapy strategies.</w:t>
      </w:r>
    </w:p>
    <w:p>
      <w:pPr>
        <w:spacing w:before="120" w:after="120"/>
      </w:pPr>
      <w:r>
        <w:rPr>
          <w:sz w:val="18"/>
        </w:rPr>
        <w:t>——————————————————————————————————————————————————————————————————————</w:t>
      </w:r>
    </w:p>
    <w:p>
      <w:pPr>
        <w:spacing w:before="160" w:after="40" w:line="240" w:lineRule="auto"/>
      </w:pPr>
      <w:r>
        <w:rPr>
          <w:b/>
        </w:rPr>
        <w:t xml:space="preserve">[157] </w:t>
      </w:r>
      <w:hyperlink r:id="rId493">
        <w:r>
          <w:rPr>
            <w:color w:val="1155CC"/>
            <w:u w:val="single"/>
          </w:rPr>
          <w:t>具有双向光学可塑性的光可重写双极有机电化学突触，用于水环境中的自适应视觉</w:t>
        </w:r>
      </w:hyperlink>
    </w:p>
    <w:p>
      <w:pPr>
        <w:spacing w:before="0" w:after="80"/>
      </w:pPr>
      <w:r>
        <w:rPr>
          <w:i/>
          <w:sz w:val="20"/>
        </w:rPr>
        <w:t>EN: Photo‐Rewritable Ambipolar Organic Electrochemical Synapses with Bidirectional Optical Plasticity for Adaptive Vision in Aqueous Environments</w:t>
      </w:r>
    </w:p>
    <w:p>
      <w:pPr>
        <w:spacing w:before="0" w:after="120"/>
      </w:pPr>
      <w:r>
        <w:rPr>
          <w:b/>
        </w:rPr>
        <w:t xml:space="preserve">Source: </w:t>
      </w:r>
      <w:r>
        <w:t>Wiley: Advanced Materials: Table of Contents</w:t>
      </w:r>
      <w:r>
        <w:t xml:space="preserve">    </w:t>
      </w:r>
      <w:r>
        <w:rPr>
          <w:b/>
        </w:rPr>
        <w:t xml:space="preserve">Pub date: </w:t>
      </w:r>
      <w:r>
        <w:t>2026-03-30 13:01:36+00:00</w:t>
      </w:r>
      <w:r>
        <w:t xml:space="preserve">    </w:t>
      </w:r>
      <w:r>
        <w:rPr>
          <w:b/>
        </w:rPr>
        <w:t xml:space="preserve">DOI: </w:t>
      </w:r>
      <w:hyperlink r:id="rId494">
        <w:r>
          <w:rPr>
            <w:color w:val="1155CC"/>
            <w:u w:val="single"/>
          </w:rPr>
          <w:t>10.1002/adma.202516989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模拟生物视觉需要能够在水环境中工作的神经形态设备，以执行光感应和复杂的突触动态。能够通过电化学掺杂将离子信号转换为电子电流的有机电化学晶体管（OECTs）紧密模仿了生物突触信号传递。这一能力使其区别于纯粹依赖电子传输的传统电子突触。然而，先前的OECTs通常需要多个组件来实现双向突触增强和抑制，限制了集成和可扩展性。在此，我们展示了一种双极性全聚合物体异质结垂直OECT，它能够在水电解质中以低</w:t>
      </w:r>
    </w:p>
    <w:p>
      <w:pPr>
        <w:spacing w:before="0" w:after="200" w:lineRule="auto" w:line="276"/>
      </w:pPr>
      <w:r>
        <w:rPr>
          <w:b/>
        </w:rPr>
        <w:t xml:space="preserve">Abstract (EN): </w:t>
      </w:r>
      <w:r>
        <w:t>Emulating biological vision requires aqueous‐compatible neuromorphic devices that perform light sensing and complex synaptic dynamics. Organic electrochemical transistors (OECTs), capable of converting ionic signals into electronic current via electrochemical doping, closely mimic biological synaptic signaling. This capability distinguishes them from traditional electronic synapses, which rely purely on electron transport. However, prior OECTs typically require multiple components for bidirectional synaptic potentiation and depression, limiting integration and scalability. Here, we present an ambipolar all‐polymer bulk heterojunction vertical OECT that enables light‐tunable bidirectional synaptic plasticity while functioning stably in aqueous electrolytes at low operating voltages (≤ 0.4 V). Through photon‐modulated electrochemical doping and ambipolar charge transport, the device integrates light sensing, bidirectional synaptic plasticity, and sustained memory (over 130 min) in a single device, mimicking the dual‐polarity signaling of retinal bipolar cells. This design allows the transistor to read, write, and erase signals without complex external circuitry. We further demonstrate a vertically integrated optoelectronic synaptic array capable of image recording, selective optical erasure, rewriting, and background denoising, highlighting the feasibility of both global and localized reprogramming. This scalable, light‐controlled organic synapse unlocks high‐density, biocompatible circuits for artificial retinas and neuromorphic vision.</w:t>
      </w:r>
    </w:p>
    <w:p>
      <w:pPr>
        <w:spacing w:before="120" w:after="120"/>
      </w:pPr>
      <w:r>
        <w:rPr>
          <w:sz w:val="18"/>
        </w:rPr>
        <w:t>——————————————————————————————————————————————————————————————————————</w:t>
      </w:r>
    </w:p>
    <w:p>
      <w:pPr>
        <w:spacing w:before="160" w:after="40" w:line="240" w:lineRule="auto"/>
      </w:pPr>
      <w:r>
        <w:rPr>
          <w:b/>
        </w:rPr>
        <w:t xml:space="preserve">[158] </w:t>
      </w:r>
      <w:hyperlink r:id="rId495">
        <w:r>
          <w:rPr>
            <w:color w:val="1155CC"/>
            <w:u w:val="single"/>
          </w:rPr>
          <w:t>AI引导的4D打印食肉植物启发的微针用于加速伤口愈合</w:t>
        </w:r>
      </w:hyperlink>
    </w:p>
    <w:p>
      <w:pPr>
        <w:spacing w:before="0" w:after="80"/>
      </w:pPr>
      <w:r>
        <w:rPr>
          <w:i/>
          <w:sz w:val="20"/>
        </w:rPr>
        <w:t>EN: AI–Guided 4D Printing of Carnivorous Plants–Inspired Microneedles for Accelerated Wound Healing</w:t>
      </w:r>
    </w:p>
    <w:p>
      <w:pPr>
        <w:spacing w:before="0" w:after="120"/>
      </w:pPr>
      <w:r>
        <w:rPr>
          <w:b/>
        </w:rPr>
        <w:t xml:space="preserve">Source: </w:t>
      </w:r>
      <w:r>
        <w:t>Wiley: Advanced Materials: Table of Contents</w:t>
      </w:r>
      <w:r>
        <w:t xml:space="preserve">    </w:t>
      </w:r>
      <w:r>
        <w:rPr>
          <w:b/>
        </w:rPr>
        <w:t xml:space="preserve">Pub date: </w:t>
      </w:r>
      <w:r>
        <w:t>2026-03-30 13:04:31+00:00</w:t>
      </w:r>
      <w:r>
        <w:t xml:space="preserve">    </w:t>
      </w:r>
      <w:r>
        <w:rPr>
          <w:b/>
        </w:rPr>
        <w:t xml:space="preserve">DOI: </w:t>
      </w:r>
      <w:hyperlink r:id="rId496">
        <w:r>
          <w:rPr>
            <w:color w:val="1155CC"/>
            <w:u w:val="single"/>
          </w:rPr>
          <w:t>10.1002/adma.202523665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人工智能（AI）与仿生设计相结合，使得材料能够适应并动态响应生物信号的发展成为可能。在本研究中，开发了一种受</w:t>
      </w:r>
      <w:r>
        <w:t xml:space="preserve"> </w:t>
      </w:r>
      <w:r>
        <w:t>Drosera capensis</w:t>
      </w:r>
      <w:r>
        <w:t xml:space="preserve"> </w:t>
      </w:r>
      <w:r>
        <w:t>启发的热响应微针（MN）平台，通过AI指导的4D打印集成了运动、表面和功能模仿。由叔丁基丙烯酸酯（tBA）和1,6-己二醇二丙烯酸酯（HDDA）组成的形状记忆聚合物（SMPs）被设计为在热刺激下表现出可逆的形状恢复。复杂的形状记忆行为通过多种机器学习（ML）算法进行定量建模，包括支持向量回归（SVR）、极端梯度提升（XGB）和</w:t>
      </w:r>
    </w:p>
    <w:p>
      <w:pPr>
        <w:spacing w:before="0" w:after="200" w:lineRule="auto" w:line="276"/>
      </w:pPr>
      <w:r>
        <w:rPr>
          <w:b/>
        </w:rPr>
        <w:t xml:space="preserve">Abstract (EN): </w:t>
      </w:r>
      <w:r>
        <w:t>Artificial intelligence (AI) integrated with bioinspired design enables the development of materials that adapt and dynamically respond to biological cues. In this study, a</w:t>
      </w:r>
      <w:r>
        <w:t xml:space="preserve"> </w:t>
      </w:r>
      <w:r>
        <w:t>Drosera capensis</w:t>
      </w:r>
      <w:r>
        <w:t xml:space="preserve"> </w:t>
      </w:r>
      <w:r>
        <w:t>–inspired thermo‐responsive microneedle (MN) platform was developed, integrating motion, surface, and functional mimicry through AI‐guided 4D printing. Shape memory polymers (SMPs) composed of tert‐butyl acrylate (tBA) and 1,6‐hexanediol diacrylate (HDDA) were designed to exhibit reversible shape recovery upon thermal stimulation. The complex shape‐memory behavior was quantitatively modeled using multiple machine learning (ML) algorithms, including support vector regression (SVR), extreme gradient boosting (XGB), and Gaussian process regression (GPR). Among them, GPR demonstrated superior predictive accuracy (</w:t>
      </w:r>
      <w:r>
        <w:t xml:space="preserve"> </w:t>
      </w:r>
      <w:r>
        <w:t>R</w:t>
      </w:r>
      <w:r>
        <w:rPr>
          <w:vertAlign w:val="subscript"/>
        </w:rPr>
        <w:t>2</w:t>
      </w:r>
      <w:r>
        <w:t>&amp;gt; 0.99) and provided predictive means and 95% confidence intervals, highlighting its reliability in modeling nonlinear thermal recovery behavior and its potential for guiding process parameter optimization. The resulting MNs exhibited</w:t>
      </w:r>
      <w:r>
        <w:t xml:space="preserve"> </w:t>
      </w:r>
      <w:r>
        <w:t>Drosera capensis</w:t>
      </w:r>
      <w:r>
        <w:t xml:space="preserve"> </w:t>
      </w:r>
      <w:r>
        <w:t>‐like coiling and grasping motions, enabling self‐actuating wound closure. Furthermore, the MNs were functionalized with adhesive DNA (aDNA) and Zn nanolayers via sputtering‐based plasma immersion ion implantation (S‐PIII). The Zn nanolayers facilitated sustained DNA release and endowed the MNs with intrinsic antibacterial activity. In diabetic wound models, the AI‐optimized biomimetic MN (BMMN) system significantly enhanced epithelial regeneration, collagen remodeling, and neovascularization, demonstrating adaptive and intelligent wound healing materials.</w:t>
      </w:r>
    </w:p>
    <w:p>
      <w:pPr>
        <w:spacing w:before="120" w:after="120"/>
      </w:pPr>
      <w:r>
        <w:rPr>
          <w:sz w:val="18"/>
        </w:rPr>
        <w:t>——————————————————————————————————————————————————————————————————————</w:t>
      </w:r>
    </w:p>
    <w:p>
      <w:pPr>
        <w:spacing w:before="160" w:after="40" w:line="240" w:lineRule="auto"/>
      </w:pPr>
      <w:r>
        <w:rPr>
          <w:b/>
        </w:rPr>
        <w:t xml:space="preserve">[159] </w:t>
      </w:r>
      <w:hyperlink r:id="rId497">
        <w:r>
          <w:rPr>
            <w:color w:val="1155CC"/>
            <w:u w:val="single"/>
          </w:rPr>
          <w:t>MXene薄片的取向工程</w:t>
        </w:r>
      </w:hyperlink>
    </w:p>
    <w:p>
      <w:pPr>
        <w:spacing w:before="0" w:after="80"/>
      </w:pPr>
      <w:r>
        <w:rPr>
          <w:i/>
          <w:sz w:val="20"/>
        </w:rPr>
        <w:t>EN: Orientation Engineering of MXene Flakes</w:t>
      </w:r>
    </w:p>
    <w:p>
      <w:pPr>
        <w:spacing w:before="0" w:after="120"/>
      </w:pPr>
      <w:r>
        <w:rPr>
          <w:b/>
        </w:rPr>
        <w:t xml:space="preserve">Source: </w:t>
      </w:r>
      <w:r>
        <w:t>Wiley: Advanced Materials: Table of Contents</w:t>
      </w:r>
      <w:r>
        <w:t xml:space="preserve">    </w:t>
      </w:r>
      <w:r>
        <w:rPr>
          <w:b/>
        </w:rPr>
        <w:t xml:space="preserve">Pub date: </w:t>
      </w:r>
      <w:r>
        <w:t>2026-03-30 13:15:37+00:00</w:t>
      </w:r>
      <w:r>
        <w:t xml:space="preserve">    </w:t>
      </w:r>
      <w:r>
        <w:rPr>
          <w:b/>
        </w:rPr>
        <w:t xml:space="preserve">DOI: </w:t>
      </w:r>
      <w:hyperlink r:id="rId498">
        <w:r>
          <w:rPr>
            <w:color w:val="1155CC"/>
            <w:u w:val="single"/>
          </w:rPr>
          <w:t>10.1002/adma.72793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MXene是一类二维过渡金属碳化物、氮化物或碳氮化物，独特地结合了金属导电性、表面可调性和成分多样性，使其在能源、电子、传感器和环境系统中得到广泛应用。除了传统的优化（如成分、终止、缺陷）之外，最近出现了一个新的研究前沿，专注于工程化MXene薄片的取向，即在MXene基结构（如纤维、薄膜、膜和凝胶）中有意控制薄片的对齐。工程化取向将本质上无序的MXene组装体转变为高度各向异性的结构，具有方向性优化的电子、离子和应力传输路径。与</w:t>
      </w:r>
    </w:p>
    <w:p>
      <w:pPr>
        <w:spacing w:before="0" w:after="200" w:lineRule="auto" w:line="276"/>
      </w:pPr>
      <w:r>
        <w:rPr>
          <w:b/>
        </w:rPr>
        <w:t xml:space="preserve">Abstract (EN): </w:t>
      </w:r>
      <w:r>
        <w:t>MXene, a family of 2D transition‐metal carbides, nitrides, or carbonitrides, uniquely integrates metallic conductivity, surface tunability, and compositional versatility, enabling their widespread applications across energy, electronics, sensors, and environmental systems. Beyond conventional optimization (e.g., composition, termination, defects), a new research frontier has recently emerged that focuses on engineering the orientation of MXene flakes, i.e., the deliberate control of flake alignment within MXene‐based structures such as fibers, films, membranes, and gels. Engineered orientation transforms inherently disordered MXene assemblies into highly anisotropic structures with directionally optimized electron, ion, and stress transport pathways. Compared with their randomly stacked counterparts, these oriented MXene structures exhibit remarkably enhanced electrical, ionic, and mechanical properties, unlocking new routes to tailor the macroscopic performance of MXene‐based devices. This review aims to provide a comprehensive and systematic summary of the orientation engineering of MXene flakes, covering the fundamental properties governed by MXene flake orientation, characterization techniques for revealing MXene orientation information, fabrication methodologies for achieving engineered MXene orientation, representative advances of oriented MXene structures in diverse functional systems, and forward‐looking design opportunities for MXene orientation engineering. This article offers both a concise knowledge framework and forward‐looking insights for inspiring the rational design of next‐generation MXene‐based materials and devices.</w:t>
      </w:r>
    </w:p>
    <w:p>
      <w:pPr>
        <w:spacing w:before="120" w:after="120"/>
      </w:pPr>
      <w:r>
        <w:rPr>
          <w:sz w:val="18"/>
        </w:rPr>
        <w:t>——————————————————————————————————————————————————————————————————————</w:t>
      </w:r>
    </w:p>
    <w:p>
      <w:pPr>
        <w:spacing w:before="160" w:after="40" w:line="240" w:lineRule="auto"/>
      </w:pPr>
      <w:r>
        <w:rPr>
          <w:b/>
        </w:rPr>
        <w:t xml:space="preserve">[160] </w:t>
      </w:r>
      <w:hyperlink r:id="rId499">
        <w:r>
          <w:rPr>
            <w:color w:val="1155CC"/>
            <w:u w:val="single"/>
          </w:rPr>
          <w:t>[ASAP] 环丙酮：制备、旋转光谱和半实验平衡(reSE)结构</w:t>
        </w:r>
      </w:hyperlink>
    </w:p>
    <w:p>
      <w:pPr>
        <w:spacing w:before="0" w:after="80"/>
      </w:pPr>
      <w:r>
        <w:rPr>
          <w:i/>
          <w:sz w:val="20"/>
        </w:rPr>
        <w:t>EN: [ASAP] Cyclopropanone: Preparation, Rotational Spectroscopy, and Semi-Experimental Equilibrium (reSE) Structure</w:t>
      </w:r>
    </w:p>
    <w:p>
      <w:pPr>
        <w:spacing w:before="0" w:after="120"/>
      </w:pPr>
      <w:r>
        <w:rPr>
          <w:b/>
        </w:rPr>
        <w:t xml:space="preserve">Source: </w:t>
      </w:r>
      <w:r>
        <w:t>Journal of the American Chemical Society: Latest Articles (ACS Publications)</w:t>
      </w:r>
      <w:r>
        <w:t xml:space="preserve">    </w:t>
      </w:r>
      <w:r>
        <w:rPr>
          <w:b/>
        </w:rPr>
        <w:t xml:space="preserve">Pub date: </w:t>
      </w:r>
      <w:r>
        <w:t>2026-03-30 15:23:05+00:00</w:t>
      </w:r>
      <w:r>
        <w:t xml:space="preserve">    </w:t>
      </w:r>
      <w:r>
        <w:rPr>
          <w:b/>
        </w:rPr>
        <w:t xml:space="preserve">DOI: </w:t>
      </w:r>
      <w:hyperlink r:id="rId500">
        <w:r>
          <w:rPr>
            <w:color w:val="1155CC"/>
            <w:u w:val="single"/>
          </w:rPr>
          <w:t>10.1021/jacs.5c23052</w:t>
        </w:r>
      </w:hyperlink>
    </w:p>
    <w:p>
      <w:pPr>
        <w:spacing w:before="0" w:after="120"/>
      </w:pPr>
      <w:r>
        <w:rPr>
          <w:b/>
        </w:rPr>
        <w:t xml:space="preserve">Notes: </w:t>
      </w:r>
      <w:r>
        <w:t>abstract_source=openalex</w:t>
      </w:r>
    </w:p>
    <w:p>
      <w:pPr>
        <w:spacing w:before="0" w:after="80" w:lineRule="auto" w:line="276"/>
      </w:pPr>
      <w:r>
        <w:rPr>
          <w:b/>
        </w:rPr>
        <w:t xml:space="preserve">摘要（ZH）: </w:t>
      </w:r>
      <w:r>
        <w:t>我们测量并分析了环丙酮的正常同位素体及另外九种同位素体的微波（11-35 GHz）和毫米波（85-750 GHz）旋转光谱。进行实验测量的能力依赖于环丙酮稳定寡聚物（或聚合物）的合成，这些寡聚物在真空下释放单体形式，从而能够通过气相旋转光谱学研究环丙酮。本研究提供的光谱数据为环丙酮的射电天文搜索奠定了基础。特别是，新的低频微波观测提供了超精细分辨的旋转跃迁，这对于在许多冷星际分子云特征的低温下进行射电天文观测是必要的。</w:t>
      </w:r>
    </w:p>
    <w:p>
      <w:pPr>
        <w:spacing w:before="0" w:after="200" w:lineRule="auto" w:line="276"/>
      </w:pPr>
      <w:r>
        <w:rPr>
          <w:b/>
        </w:rPr>
        <w:t xml:space="preserve">Abstract (EN): </w:t>
      </w:r>
      <w:r>
        <w:t>We measured and analyzed the microwave (11-35 GHz) and millimeter-wave (85-750 GHz) rotational spectra of the normal isotopologue of cyclopropanone and nine additional isotopologues. The ability to perform experimental measurements is predicated on the synthesis of stable oligomers (or polymers) of cyclopropanone that release the monomeric form under vacuum to enable the investigation of cyclopropanone by gas-phase rotational spectroscopy. The spectral data provided in this work establish the foundation for radioastronomical searches for cyclopropanone. In particular, the new low-frequency microwave observations provide hyperfine-resolved rotational transitions that are necessary for radioastronomical observations at the low temperatures that characterize many cold interstellar molecular clouds. The extensive isotopic data set allows the first complete semiexperimental equilibrium (&lt;i&gt;r&lt;/i&gt;&lt;sub&gt;&lt;i&gt;e&lt;/i&gt;&lt;/sub&gt;&lt;sup&gt;SE&lt;/sup&gt;) structure of cyclopropanone. The 10 isotopologues used in this structure determination provide 30 moments of inertia. As a result, the values of all six independent structural parameters are highly converged, establishing a new experimental benchmark for the structure of this archetypal organic molecule. The highly precise and accurate &lt;i&gt;r&lt;/i&gt;&lt;sub&gt;&lt;i&gt;e&lt;/i&gt;&lt;/sub&gt;&lt;sup&gt;SE&lt;/sup&gt; structure was compared to a computed equilibrium (&lt;i&gt;r&lt;/i&gt;&lt;sub&gt;&lt;i&gt;e&lt;/i&gt;&lt;/sub&gt;) structure at the CCSD(T)/cc-pCV6Z level with additional corrections addressing finite basis set, higher-level electron correlation, and relativistic effects, as well as the diagonal Born-Oppenheimer correction. The computed &lt;i&gt;r&lt;/i&gt;&lt;sub&gt;&lt;i&gt;e&lt;/i&gt;&lt;/sub&gt; structure systematically deviates from the &lt;i&gt;r&lt;/i&gt;&lt;sub&gt;&lt;i&gt;e&lt;/i&gt;&lt;/sub&gt;&lt;sup&gt;SE&lt;/sup&gt; structure, despite the high-level methodology utilized. This finding is interpreted as revealing a subtle, but real, challenge for theoretical chemistry in predicting molecular structure at the level of accuracy that is now attainable experimentally.</w:t>
      </w:r>
    </w:p>
    <w:p>
      <w:pPr>
        <w:spacing w:before="120" w:after="120"/>
      </w:pPr>
      <w:r>
        <w:rPr>
          <w:sz w:val="18"/>
        </w:rPr>
        <w:t>——————————————————————————————————————————————————————————————————————</w:t>
      </w:r>
    </w:p>
    <w:p>
      <w:pPr>
        <w:spacing w:before="160" w:after="40" w:line="240" w:lineRule="auto"/>
      </w:pPr>
      <w:r>
        <w:rPr>
          <w:b/>
        </w:rPr>
        <w:t xml:space="preserve">[161] </w:t>
      </w:r>
      <w:hyperlink r:id="rId501">
        <w:r>
          <w:rPr>
            <w:color w:val="1155CC"/>
            <w:u w:val="single"/>
          </w:rPr>
          <w:t>[ASAP] 含吡咯的多孔网络聚合物通过卤素键辅助的自由基固相聚合合成，用于从模型海水反渗透(SWRO)浓盐水中高效选择性吸附锂离子</w:t>
        </w:r>
      </w:hyperlink>
    </w:p>
    <w:p>
      <w:pPr>
        <w:spacing w:before="0" w:after="80"/>
      </w:pPr>
      <w:r>
        <w:rPr>
          <w:i/>
          <w:sz w:val="20"/>
        </w:rPr>
        <w:t>EN: [ASAP] Pyrrole-Bearing Porous Network Polymers Synthesized via Halogen-Bond-Assisted Radical Solid-Phase Polymerization for Highly Efficient and Selective Adsorption of Lithium Ions from Model Seawater Reverse Osmosis (SWRO) Brine</w:t>
      </w:r>
    </w:p>
    <w:p>
      <w:pPr>
        <w:spacing w:before="0" w:after="120"/>
      </w:pPr>
      <w:r>
        <w:rPr>
          <w:b/>
        </w:rPr>
        <w:t xml:space="preserve">Source: </w:t>
      </w:r>
      <w:r>
        <w:t>Journal of the American Chemical Society: Latest Articles (ACS Publications)</w:t>
      </w:r>
      <w:r>
        <w:t xml:space="preserve">    </w:t>
      </w:r>
      <w:r>
        <w:rPr>
          <w:b/>
        </w:rPr>
        <w:t xml:space="preserve">Pub date: </w:t>
      </w:r>
      <w:r>
        <w:t>2026-03-30 15:32:25+00:00</w:t>
      </w:r>
      <w:r>
        <w:t xml:space="preserve">    </w:t>
      </w:r>
      <w:r>
        <w:rPr>
          <w:b/>
        </w:rPr>
        <w:t xml:space="preserve">DOI: </w:t>
      </w:r>
      <w:hyperlink r:id="rId502">
        <w:r>
          <w:rPr>
            <w:color w:val="1155CC"/>
            <w:u w:val="single"/>
          </w:rPr>
          <w:t>10.1021/jacs.5c22531</w:t>
        </w:r>
      </w:hyperlink>
    </w:p>
    <w:p>
      <w:pPr>
        <w:spacing w:before="0" w:after="120"/>
      </w:pPr>
      <w:r>
        <w:rPr>
          <w:b/>
        </w:rPr>
        <w:t xml:space="preserve">Notes: </w:t>
      </w:r>
      <w:r>
        <w:t>abstract_source=pubmed</w:t>
      </w:r>
    </w:p>
    <w:p>
      <w:pPr>
        <w:spacing w:before="0" w:after="80" w:lineRule="auto" w:line="276"/>
      </w:pPr>
      <w:r>
        <w:rPr>
          <w:b/>
        </w:rPr>
        <w:t xml:space="preserve">摘要（ZH）: </w:t>
      </w:r>
      <w:r>
        <w:t>合成了具有多个乙烯基团的亚甲基吡咯寡聚物（MPOs）和具有多个乙烯基团的杯[4]吡咯（CP）大环，并将其用作卤键（XB）辅助的固相自由基聚合（SPP）中的单体以生成网络聚合物。单体与额外的XB连接分子共晶化，获得的共晶体在固相中聚合。由于单体在共晶体中的排列，相邻的乙烯基团足够接近以有效地进行自由基聚合，从而形成在液相（溶液）聚合中难以获得的高度交联的网络聚合物。去除连接剂后，获得的多孔聚合物作为高效且选择性的吸附剂。</w:t>
      </w:r>
    </w:p>
    <w:p>
      <w:pPr>
        <w:spacing w:before="0" w:after="200" w:lineRule="auto" w:line="276"/>
      </w:pPr>
      <w:r>
        <w:rPr>
          <w:b/>
        </w:rPr>
        <w:t xml:space="preserve">Abstract (EN): </w:t>
      </w:r>
      <w:r>
        <w:t>Methylene pyrrole oligomers (MPOs) with multiple vinyl groups and a calix[4]pyrrole (CP) macrocycle with multiple vinyl groups were synthesized and used as monomers in halogen-bond (XB)-assisted radical solid-phase polymerization (SPP) to generate network polymers. The monomers were cocrystallized with additional XB linker molecules, and the obtained cocrystals were polymerized in the solid phase. Because of the alignment of the monomers in the cocrystals, the adjacent vinyl groups were close enough to undergo radical polymerization effectively, enabling the formation of highly cross-linked network polymers that are hardly obtainable in liquid (solution) phase polymerization. After removal of the linker, the obtained porous polymers served as highly efficient and selective adsorbents of lithium ion (Li+) from model seawater reverse osmosis (SWRO) brine at a low Li concentration (0.34 mg L-1), adsorbing up to 21 mg of Li+ (2.1 wt %) per 1 g of adsorbent, which is the highest record Li+ adsorption capacity in the field of Li+ adsorption from SWRO brine.</w:t>
      </w:r>
    </w:p>
    <w:p>
      <w:pPr>
        <w:spacing w:before="120" w:after="120"/>
      </w:pPr>
      <w:r>
        <w:rPr>
          <w:sz w:val="18"/>
        </w:rPr>
        <w:t>——————————————————————————————————————————————————————————————————————</w:t>
      </w:r>
    </w:p>
    <w:p>
      <w:pPr>
        <w:spacing w:before="160" w:after="40" w:line="240" w:lineRule="auto"/>
      </w:pPr>
      <w:r>
        <w:rPr>
          <w:b/>
        </w:rPr>
        <w:t xml:space="preserve">[162] </w:t>
      </w:r>
      <w:hyperlink r:id="rId503">
        <w:r>
          <w:rPr>
            <w:color w:val="1155CC"/>
            <w:u w:val="single"/>
          </w:rPr>
          <w:t>[ASAP] 单原子Pt稳定的超氧物种用于直接电催化乙烯环氧化</w:t>
        </w:r>
      </w:hyperlink>
    </w:p>
    <w:p>
      <w:pPr>
        <w:spacing w:before="0" w:after="80"/>
      </w:pPr>
      <w:r>
        <w:rPr>
          <w:i/>
          <w:sz w:val="20"/>
        </w:rPr>
        <w:t>EN: [ASAP] Single Atom Pt-Stabilized Superoxo Species for Direct Electrocatalytic Ethylene Epoxidation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2026-03-30 16:43:32+00:00</w:t>
      </w:r>
      <w:r>
        <w:t xml:space="preserve">    </w:t>
      </w:r>
      <w:r>
        <w:rPr>
          <w:b/>
        </w:rPr>
        <w:t xml:space="preserve">DOI: </w:t>
      </w:r>
      <w:hyperlink r:id="rId504">
        <w:r>
          <w:rPr>
            <w:color w:val="1155CC"/>
            <w:u w:val="single"/>
          </w:rPr>
          <w:t>10.1021/jacs.6c01386</w:t>
        </w:r>
      </w:hyperlink>
    </w:p>
    <w:p>
      <w:pPr>
        <w:spacing w:before="0" w:after="120"/>
      </w:pPr>
      <w:r>
        <w:rPr>
          <w:b/>
        </w:rPr>
        <w:t xml:space="preserve">Notes: </w:t>
      </w:r>
      <w:r>
        <w:t>abstract_source=pubmed</w:t>
      </w:r>
    </w:p>
    <w:p>
      <w:pPr>
        <w:spacing w:before="0" w:after="80" w:lineRule="auto" w:line="276"/>
      </w:pPr>
      <w:r>
        <w:rPr>
          <w:b/>
        </w:rPr>
        <w:t xml:space="preserve">摘要（ZH）: </w:t>
      </w:r>
      <w:r>
        <w:t>从乙烯中通过可再生能源驱动的电合成环氧乙烷（EO）是非常理想的，因为它是当前工业生产过程的低碳替代方案。直接电催化乙烯环氧化反应以水作为绿色氧化剂是有前景的，但由于无法控制的过氧化反应，它在活性-选择性之间存在权衡。在此，我们构建了PdO支持的Pt单原子以生成超氧物种作为活性氧物种（ROS），并加速乙烯的选择性氧化。这种催化剂设计使得在零间隙膜电极组件电解槽中实现高效的EO生产，在低电池电压2.6 V下的部分电流密度为71 mA cm-2。此外，使用100 cm2电解槽的放大演示实现了显著的EO生产</w:t>
      </w:r>
    </w:p>
    <w:p>
      <w:pPr>
        <w:spacing w:before="0" w:after="200" w:lineRule="auto" w:line="276"/>
      </w:pPr>
      <w:r>
        <w:rPr>
          <w:b/>
        </w:rPr>
        <w:t xml:space="preserve">Abstract (EN): </w:t>
      </w:r>
      <w:r>
        <w:t>Renewable energy-driven electrosynthesis of ethylene oxide (EO) from ethylene is highly desired, as it is a low-carbon alternative to current industrial production process. The direct electrocatalytic ethylene epoxidation with water as a green oxidant is promising, yet it suffers from the activity-selectivity trade-off due to uncontrolled overoxidation. Here we construct PdO supported Pt single atoms to generate superoxo species as reactive oxygen species (ROS) and accelerate selective oxidation of ethylene. This catalyst design enables efficient EO production in a zero-gap membrane electrode assembly electrolyzer, with a partial current density of 71 mA cm-2 at a low cell voltage of 2.6 V. Furthermore, a scale-up demonstration using a 100 cm2 electrolyzer achieves a remarkable EO production rate of 6.4 g h-1 at a total current of 15 A. Thorough in situ spectroscopic characterizations and theoretical calculations indicate that the Pt single atoms, in synergy with ClO4- anions present in electrolyte, enable facile generation of abundant superoxo species and accelerated epoxidation of ethylene that is activated by the PdO support. This work highlights the importance of generating and stabilizing specific ROS for selective oxidation of organic molecules.</w:t>
      </w:r>
    </w:p>
    <w:p>
      <w:pPr>
        <w:spacing w:before="120" w:after="120"/>
      </w:pPr>
      <w:r>
        <w:rPr>
          <w:sz w:val="18"/>
        </w:rPr>
        <w:t>——————————————————————————————————————————————————————————————————————</w:t>
      </w:r>
    </w:p>
    <w:p>
      <w:pPr>
        <w:spacing w:before="160" w:after="40" w:line="240" w:lineRule="auto"/>
      </w:pPr>
      <w:r>
        <w:rPr>
          <w:b/>
        </w:rPr>
        <w:t xml:space="preserve">[163] </w:t>
      </w:r>
      <w:hyperlink r:id="rId505">
        <w:r>
          <w:rPr>
            <w:color w:val="1155CC"/>
            <w:u w:val="single"/>
          </w:rPr>
          <w:t>[ASAP] 揭示{FeNO}6中间体：单核铁(II)配合物中亚硝酸盐还原的顺序机制研究</w:t>
        </w:r>
      </w:hyperlink>
    </w:p>
    <w:p>
      <w:pPr>
        <w:spacing w:before="0" w:after="80"/>
      </w:pPr>
      <w:r>
        <w:rPr>
          <w:i/>
          <w:sz w:val="20"/>
        </w:rPr>
        <w:t>EN: [ASAP] Unveiling an {FeNO}6 Intermediate: A Sequential Mechanistic Investigation of Nitrite Reduction in a Mononuclear Iron(II) Complex</w:t>
      </w:r>
    </w:p>
    <w:p>
      <w:pPr>
        <w:spacing w:before="0" w:after="120"/>
      </w:pPr>
      <w:r>
        <w:rPr>
          <w:b/>
        </w:rPr>
        <w:t xml:space="preserve">Source: </w:t>
      </w:r>
      <w:r>
        <w:t>Journal of the American Chemical Society: Latest Articles (ACS Publications)</w:t>
      </w:r>
      <w:r>
        <w:t xml:space="preserve">    </w:t>
      </w:r>
      <w:r>
        <w:rPr>
          <w:b/>
        </w:rPr>
        <w:t xml:space="preserve">Pub date: </w:t>
      </w:r>
      <w:r>
        <w:t>2026-03-30 17:00:09+00:00</w:t>
      </w:r>
      <w:r>
        <w:t xml:space="preserve">    </w:t>
      </w:r>
      <w:r>
        <w:rPr>
          <w:b/>
        </w:rPr>
        <w:t xml:space="preserve">DOI: </w:t>
      </w:r>
      <w:hyperlink r:id="rId506">
        <w:r>
          <w:rPr>
            <w:color w:val="1155CC"/>
            <w:u w:val="single"/>
          </w:rPr>
          <w:t>10.1021/jacs.6c03292</w:t>
        </w:r>
      </w:hyperlink>
    </w:p>
    <w:p>
      <w:pPr>
        <w:spacing w:before="0" w:after="120"/>
      </w:pPr>
      <w:r>
        <w:rPr>
          <w:b/>
        </w:rPr>
        <w:t xml:space="preserve">Notes: </w:t>
      </w:r>
      <w:r>
        <w:t>abstract_source=pubmed</w:t>
      </w:r>
    </w:p>
    <w:p>
      <w:pPr>
        <w:spacing w:before="0" w:after="80" w:lineRule="auto" w:line="276"/>
      </w:pPr>
      <w:r>
        <w:rPr>
          <w:b/>
        </w:rPr>
        <w:t xml:space="preserve">摘要（ZH）: </w:t>
      </w:r>
      <w:r>
        <w:t>亚硝酸盐（NO2-）还原为一氧化氮（NO•）是全球氮循环和酶信号通路中的基本转化。尽管进行了广泛研究，但由于固有的不稳定性，涉及2H+/1e-还原途径的难以捉摸的{FeNO}6中间体很少被观察到或分离。在此，我们对单核铁(II)-亚硝酸盐配合物[FeII(TBDAP)(NO2)(CH3CN)]+ (1)（TBDAP = N,N'-二叔丁基-2,11-二氮杂[3.3](2,6)-吡啶烷）进行亚硝酸盐还原的全面机制研究。用2.5当量的三氟甲磺酸（HOTf）处理1得到{FeNO}6 (2)中间体，通过各种物理化学技术和DFT计算进行表征。使用Na15NO2的同位素标记确认了</w:t>
      </w:r>
    </w:p>
    <w:p>
      <w:pPr>
        <w:spacing w:before="0" w:after="200" w:lineRule="auto" w:line="276"/>
      </w:pPr>
      <w:r>
        <w:rPr>
          <w:b/>
        </w:rPr>
        <w:t xml:space="preserve">Abstract (EN): </w:t>
      </w:r>
      <w:r>
        <w:t>The reduction of nitrite (NO2-) to nitric oxide (NO•) is a fundamental transformation within both the global nitrogen cycle and enzymatic signaling pathways. Although extensively investigated, the elusive {FeNO}6 intermediate implicated in the 2H+/1e- reduction pathway has rarely been observed or isolated due to the inherent instability. Here, we present a comprehensive mechanistic investigation of nitrite reduction by a mononuclear iron(II)-nitrite complex, [FeII(TBDAP)(NO2)(CH3CN)]+ (1) (TBDAP = N,N'-di-tert-butyl-2,11-diaza[3.3](2,6)-pyridinophane). Treatment of 1 with 2.5 equiv of triflic acid (HOTf) affords the {FeNO}6 (2) intermediate, which was characterized using a combination of various physicochemical techniques and DFT calculations. Isotopic labeling using Na15NO2 confirmed the formation of 2 via heterolytic N-O bond cleavage. Kinetic studies revealed a HOTf-independent rate constant and a markedly negative value of activation entropy for the formation of 2, suggesting that the rate-determining step involves an associative reaction between Fe(II) and NO+. Electrochemical analysis showed a reversible redox couple for 2, and subsequent one-electron reduction by ferrocene released NO•. The generation of NO• was confirmed through trapping experiments using [Co(TPP)], resulting in the formation of [Co(TPP)(NO)]. The experimental findings establish {FeNO}6 as an isolable and reactive intermediate, offering new insight into the mechanistic landscape of nitrite reduction.</w:t>
      </w:r>
    </w:p>
    <w:p>
      <w:pPr>
        <w:spacing w:before="120" w:after="120"/>
      </w:pPr>
      <w:r>
        <w:rPr>
          <w:sz w:val="18"/>
        </w:rPr>
        <w:t>——————————————————————————————————————————————————————————————————————</w:t>
      </w:r>
    </w:p>
    <w:p>
      <w:pPr>
        <w:spacing w:before="160" w:after="40" w:line="240" w:lineRule="auto"/>
      </w:pPr>
      <w:r>
        <w:rPr>
          <w:b/>
        </w:rPr>
        <w:t xml:space="preserve">[164] </w:t>
      </w:r>
      <w:hyperlink r:id="rId507">
        <w:r>
          <w:rPr>
            <w:color w:val="1155CC"/>
            <w:u w:val="single"/>
          </w:rPr>
          <w:t>[ASAP] 疏水阳离子薄膜重塑金属/水界面的电双层</w:t>
        </w:r>
      </w:hyperlink>
    </w:p>
    <w:p>
      <w:pPr>
        <w:spacing w:before="0" w:after="80"/>
      </w:pPr>
      <w:r>
        <w:rPr>
          <w:i/>
          <w:sz w:val="20"/>
        </w:rPr>
        <w:t>EN: [ASAP] A Film of Hydrophobic Cations Reshapes the Electric Double Layer at the Metal/Water Interface</w:t>
      </w:r>
    </w:p>
    <w:p>
      <w:pPr>
        <w:spacing w:before="0" w:after="120"/>
      </w:pPr>
      <w:r>
        <w:rPr>
          <w:b/>
        </w:rPr>
        <w:t xml:space="preserve">Source: </w:t>
      </w:r>
      <w:r>
        <w:t>Journal of the American Chemical Society: Latest Articles (ACS Publications)</w:t>
      </w:r>
      <w:r>
        <w:t xml:space="preserve">    </w:t>
      </w:r>
      <w:r>
        <w:rPr>
          <w:b/>
        </w:rPr>
        <w:t xml:space="preserve">Pub date: </w:t>
      </w:r>
      <w:r>
        <w:t>2026-03-30 17:15:08+00:00</w:t>
      </w:r>
      <w:r>
        <w:t xml:space="preserve">    </w:t>
      </w:r>
      <w:r>
        <w:rPr>
          <w:b/>
        </w:rPr>
        <w:t xml:space="preserve">DOI: </w:t>
      </w:r>
      <w:hyperlink r:id="rId508">
        <w:r>
          <w:rPr>
            <w:color w:val="1155CC"/>
            <w:u w:val="single"/>
          </w:rPr>
          <w:t>10.1021/jacs.5c11586</w:t>
        </w:r>
      </w:hyperlink>
    </w:p>
    <w:p>
      <w:pPr>
        <w:spacing w:before="0" w:after="120"/>
      </w:pPr>
      <w:r>
        <w:rPr>
          <w:b/>
        </w:rPr>
        <w:t xml:space="preserve">Notes: </w:t>
      </w:r>
      <w:r>
        <w:t>abstract_source=pubmed</w:t>
      </w:r>
    </w:p>
    <w:p>
      <w:pPr>
        <w:spacing w:before="0" w:after="80" w:lineRule="auto" w:line="276"/>
      </w:pPr>
      <w:r>
        <w:rPr>
          <w:b/>
        </w:rPr>
        <w:t xml:space="preserve">摘要（ZH）: </w:t>
      </w:r>
      <w:r>
        <w:t>在最近的研究中，观察到将大疏水阳离子如四丁基铵（TBA+）加入水性电解质中可以提高氢气析出反应的速率。这为通过调节电解质组成优化电化学反应开辟了一个有前景的视角。我们构建了一个THz ATR光谱电化学池，能够揭示金/水界面处界面层的分子细节。我们发现了TBA+富集膜形成的光谱证据。伴随的分子动力学模拟量化了决定TBA+膜形成的静电和疏水溶剂化驱动力的平衡。模拟证实，膜的组成强烈依赖于电压</w:t>
      </w:r>
    </w:p>
    <w:p>
      <w:pPr>
        <w:spacing w:before="0" w:after="200" w:lineRule="auto" w:line="276"/>
      </w:pPr>
      <w:r>
        <w:rPr>
          <w:b/>
        </w:rPr>
        <w:t xml:space="preserve">Abstract (EN): </w:t>
      </w:r>
      <w:r>
        <w:t>In recent studies, it was observed that the addition of large hydrophobic cations, such as tetrabutylammonium (TBA+), into aqueous electrolytes enhances the rate of the hydrogen evolution reaction. This opens a promising perspective for optimizing electrochemical reactions via tuning of the electrolyte composition. We have constructed a THz ATR spectroelectrochemical cell that is able to unravel the underlying molecular details in the interfacial layer at the gold/water interface. We find spectroscopic evidence for the formation of a TBA+ rich film. Accompanying molecular dynamics simulations quantify the balance of electrostatics and hydrophobic solvation driving forces that dictates the TBA+ film formation. The composition of the film is strongly voltage-dependent, as confirmed by simulations. At positive potentials above 0.6 V versus Ag/AgCl, TBA+ only partially desorbs, causing the formation of a coadsorbed TBA+ and Cl- layer and the partial rehydration of the surface. By our joint experimental-theoretical study, we disclose that a film of hydrophobic TBA+ cations has a major impact on the structure of the hydrogen bond network at the electrode-water interface. This allows rationalizing at the molecular level the ion-induced structural changes at the interface that tune the catalytic performances.</w:t>
      </w:r>
    </w:p>
    <w:p>
      <w:pPr>
        <w:spacing w:before="120" w:after="120"/>
      </w:pPr>
      <w:r>
        <w:rPr>
          <w:sz w:val="18"/>
        </w:rPr>
        <w:t>——————————————————————————————————————————————————————————————————————</w:t>
      </w:r>
    </w:p>
    <w:p>
      <w:pPr>
        <w:spacing w:before="160" w:after="40" w:line="240" w:lineRule="auto"/>
      </w:pPr>
      <w:r>
        <w:rPr>
          <w:b/>
        </w:rPr>
        <w:t xml:space="preserve">[165] </w:t>
      </w:r>
      <w:hyperlink r:id="rId509">
        <w:r>
          <w:rPr>
            <w:color w:val="1155CC"/>
            <w:u w:val="single"/>
          </w:rPr>
          <w:t>[ASAP] 具有增强电荷转移的纳米建筑半导体-生物混合系统用于过氧化氢生产</w:t>
        </w:r>
      </w:hyperlink>
    </w:p>
    <w:p>
      <w:pPr>
        <w:spacing w:before="0" w:after="80"/>
      </w:pPr>
      <w:r>
        <w:rPr>
          <w:i/>
          <w:sz w:val="20"/>
        </w:rPr>
        <w:t>EN: [ASAP] Nanoarchitectonic Semiconductor–Bio Hybrid Systems with Enhanced Charge Transfer for Hydrogen Peroxide Production</w:t>
      </w:r>
    </w:p>
    <w:p>
      <w:pPr>
        <w:spacing w:before="0" w:after="120"/>
      </w:pPr>
      <w:r>
        <w:rPr>
          <w:b/>
        </w:rPr>
        <w:t xml:space="preserve">Source: </w:t>
      </w:r>
      <w:r>
        <w:t>Journal of the American Chemical Society: Latest Articles (ACS Publications)</w:t>
      </w:r>
      <w:r>
        <w:t xml:space="preserve">    </w:t>
      </w:r>
      <w:r>
        <w:rPr>
          <w:b/>
        </w:rPr>
        <w:t xml:space="preserve">Pub date: </w:t>
      </w:r>
      <w:r>
        <w:t>2026-03-30 17:38:40+00:00</w:t>
      </w:r>
      <w:r>
        <w:t xml:space="preserve">    </w:t>
      </w:r>
      <w:r>
        <w:rPr>
          <w:b/>
        </w:rPr>
        <w:t xml:space="preserve">DOI: </w:t>
      </w:r>
      <w:hyperlink r:id="rId510">
        <w:r>
          <w:rPr>
            <w:color w:val="1155CC"/>
            <w:u w:val="single"/>
          </w:rPr>
          <w:t>10.1021/jacs.6c02561</w:t>
        </w:r>
      </w:hyperlink>
    </w:p>
    <w:p>
      <w:pPr>
        <w:spacing w:before="0" w:after="120"/>
      </w:pPr>
      <w:r>
        <w:rPr>
          <w:b/>
        </w:rPr>
        <w:t xml:space="preserve">Notes: </w:t>
      </w:r>
      <w:r>
        <w:t>abstract_source=pubmed</w:t>
      </w:r>
    </w:p>
    <w:p>
      <w:pPr>
        <w:spacing w:before="0" w:after="80" w:lineRule="auto" w:line="276"/>
      </w:pPr>
      <w:r>
        <w:rPr>
          <w:b/>
        </w:rPr>
        <w:t xml:space="preserve">摘要（ZH）: </w:t>
      </w:r>
      <w:r>
        <w:t>纳米构筑学提供了一种通过整合不同多尺度组件（如半导体晶格和生物物质）来创建人工框架的系统方法。然而，大多数纳米构筑学非生物-生物混合系统在将非平衡生物特征引入纳米尺度的半导体晶格方面存在固有局限性。在此，我们报告了一种新的纳米构筑学系统，将氧氯化铋（BiOCl）纳米片与紫膜（PM）片段整合。PM是一种古菌亚细胞部分，能够在纳米尺度上单向传递光生电荷载体到其周围环境中，独立于古菌代谢，并在从活体古菌中分离后保持这种动态功能。显微镜、光谱学、电化学</w:t>
      </w:r>
    </w:p>
    <w:p>
      <w:pPr>
        <w:spacing w:before="0" w:after="200" w:lineRule="auto" w:line="276"/>
      </w:pPr>
      <w:r>
        <w:rPr>
          <w:b/>
        </w:rPr>
        <w:t xml:space="preserve">Abstract (EN): </w:t>
      </w:r>
      <w:r>
        <w:t>Nanoarchitectonics offers a systematic approach to creating an artificial framework by integrating different multiscale components such as semiconductor lattices and biological substances. However, most nanoarchitectonic abiotic-biotic hybrid systems have intrinsic limitations in imparting nonequilibrium biological features into semiconductor lattices at the nanoscale. Here, we report a new nanoarchitectonic system integrating bismuth oxychloride (BiOCl) nanosheets with purple membrane (PM) patches. PM is an archaeal subcellular fraction capable of unidirectionally transferring photogenerated charge carriers to its surroundings at the nanoscale independent of archaeal metabolism and retaining this dynamic functionality after isolation from living archaea. Microscopy, spectroscopy, electrochemical, and synchrotron X-ray scattering analyses verify that the nanoarchitectonic hybridization between BiOCl and PM generates a vertical heterostructure, thereby enhancing photogenerated charge-carrier dynamics and enabling the associated photocatalytic capacity. The resulting PM-BiOCl hybrid nanosheets efficiently convert dioxygen into hydrogen peroxide through a two-electron and two-proton transfer process under ambient conditions while simultaneously converting ethylene glycol into value-added chemicals. This study presents a nanoarchitectonic approach that leverages the photogenerated charge-carrier dynamics of the archaeal subcellular fractions to modulate the optoelectronic and catalytic capacity limitations of semiconductors.</w:t>
      </w:r>
    </w:p>
    <w:p>
      <w:pPr>
        <w:spacing w:before="120" w:after="120"/>
      </w:pPr>
      <w:r>
        <w:rPr>
          <w:sz w:val="18"/>
        </w:rPr>
        <w:t>——————————————————————————————————————————————————————————————————————</w:t>
      </w:r>
    </w:p>
    <w:p>
      <w:pPr>
        <w:spacing w:before="160" w:after="40" w:line="240" w:lineRule="auto"/>
      </w:pPr>
      <w:r>
        <w:rPr>
          <w:b/>
        </w:rPr>
        <w:t xml:space="preserve">[166] </w:t>
      </w:r>
      <w:hyperlink r:id="rId511">
        <w:r>
          <w:rPr>
            <w:color w:val="1155CC"/>
            <w:u w:val="single"/>
          </w:rPr>
          <w:t>[ASAP] 钴合金化单原子钯催化剂上的氢化物介导氢活化用于高效H2O2合成</w:t>
        </w:r>
      </w:hyperlink>
    </w:p>
    <w:p>
      <w:pPr>
        <w:spacing w:before="0" w:after="80"/>
      </w:pPr>
      <w:r>
        <w:rPr>
          <w:i/>
          <w:sz w:val="20"/>
        </w:rPr>
        <w:t>EN: [ASAP] Hydride-Mediated Hydrogen Activation on Cobalt-Alloyed Single-Atom Palladium Catalysts for Efficient H2O2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2026-03-30 18:30:39+00:00</w:t>
      </w:r>
      <w:r>
        <w:t xml:space="preserve">    </w:t>
      </w:r>
      <w:r>
        <w:rPr>
          <w:b/>
        </w:rPr>
        <w:t xml:space="preserve">DOI: </w:t>
      </w:r>
      <w:hyperlink r:id="rId512">
        <w:r>
          <w:rPr>
            <w:color w:val="1155CC"/>
            <w:u w:val="single"/>
          </w:rPr>
          <w:t>10.1021/jacs.5c23128</w:t>
        </w:r>
      </w:hyperlink>
    </w:p>
    <w:p>
      <w:pPr>
        <w:spacing w:before="0" w:after="120"/>
      </w:pPr>
      <w:r>
        <w:rPr>
          <w:b/>
        </w:rPr>
        <w:t xml:space="preserve">Notes: </w:t>
      </w:r>
      <w:r>
        <w:t>abstract_source=pubmed</w:t>
      </w:r>
    </w:p>
    <w:p>
      <w:pPr>
        <w:spacing w:before="0" w:after="80" w:lineRule="auto" w:line="276"/>
      </w:pPr>
      <w:r>
        <w:rPr>
          <w:b/>
        </w:rPr>
        <w:t xml:space="preserve">摘要（ZH）: </w:t>
      </w:r>
      <w:r>
        <w:t>单原子催化剂（SACs）在多种加氢反应中表现出优异的性能。然而，对H2解离后形成的氢中间体的机制理解，特别是其在SAC表面的反应性，仍然有限。在本研究中，我们展示了与钴合金化的单原子钯（Pd1Co SACs）高效催化蒽醌的加氢反应，表现出高稳定性和可回收性。相比之下，钴氧化物支持的Pd单原子催化剂（Pd1-Co3O4）仅表现出有限的活性。实验结果表明，氢解离是蒽醌加氢过程中的速率决定步骤。密度泛函理论计算揭示，Pd1Co SACs能够以低活化能实现均裂H2解离</w:t>
      </w:r>
    </w:p>
    <w:p>
      <w:pPr>
        <w:spacing w:before="0" w:after="200" w:lineRule="auto" w:line="276"/>
      </w:pPr>
      <w:r>
        <w:rPr>
          <w:b/>
        </w:rPr>
        <w:t xml:space="preserve">Abstract (EN): </w:t>
      </w:r>
      <w:r>
        <w:t>Single-atom catalysts (SACs) exhibit excellent performance in a range of hydrogenation reactions. However, the mechanistic understanding of hydrogen intermediates formed following H2 dissociation, particularly their reactivity on SAC surfaces, remains limited. In this study, we show that single-atom palladium alloyed with cobalt (Pd1Co SACs) efficiently catalyzes the hydrogenation of anthraquinone, exhibiting high stability and recyclability. In contrast, a cobalt oxide-supported Pd single-atom catalyst (Pd1-Co3O4) displays only limited activity. Experimental results indicate hydrogen dissociation as the rate-determining step in the anthraquinone hydrogenation process. Density functional theory calculations reveal that Pd1Co SACs enable homolytic H2 dissociation with a low activation energy and facilitate electron transfer from the support to the hydrogen intermediates, resulting in the formation of highly reactive hydride-like species. The combination of high atomic efficiency and low energy barrier enables Pd1Co SACs to achieve a remarkable H2O2 production rate of up to 210 mol gPd-1 h-1, which is 240 times greater than that of commercial Pd/Al2O3.</w:t>
      </w:r>
    </w:p>
    <w:p>
      <w:pPr>
        <w:spacing w:before="120" w:after="120"/>
      </w:pPr>
      <w:r>
        <w:rPr>
          <w:sz w:val="18"/>
        </w:rPr>
        <w:t>——————————————————————————————————————————————————————————————————————</w:t>
      </w:r>
    </w:p>
    <w:p>
      <w:pPr>
        <w:spacing w:before="160" w:after="40" w:line="240" w:lineRule="auto"/>
      </w:pPr>
      <w:r>
        <w:rPr>
          <w:b/>
        </w:rPr>
        <w:t xml:space="preserve">[167] </w:t>
      </w:r>
      <w:hyperlink r:id="rId513">
        <w:r>
          <w:rPr>
            <w:color w:val="1155CC"/>
            <w:u w:val="single"/>
          </w:rPr>
          <w:t>[ASAP] 发光正铬酸盐微晶：Yb3+掺杂YCrO3和YbCrO3中的合成、磁交换分裂和同时对激发</w:t>
        </w:r>
      </w:hyperlink>
    </w:p>
    <w:p>
      <w:pPr>
        <w:spacing w:before="0" w:after="80"/>
      </w:pPr>
      <w:r>
        <w:rPr>
          <w:i/>
          <w:sz w:val="20"/>
        </w:rPr>
        <w:t>EN: [ASAP] Luminescent Orthochromite Microcrystals: Synthesis, Magnetic-Exchange Splittings, and Simultaneous Pair Excitation in Yb3+-Doped YCrO3 and YbCrO3</w:t>
      </w:r>
    </w:p>
    <w:p>
      <w:pPr>
        <w:spacing w:before="0" w:after="120"/>
      </w:pPr>
      <w:r>
        <w:rPr>
          <w:b/>
        </w:rPr>
        <w:t xml:space="preserve">Source: </w:t>
      </w:r>
      <w:r>
        <w:t>Journal of the American Chemical Society: Latest Articles (ACS Publications)</w:t>
      </w:r>
      <w:r>
        <w:t xml:space="preserve">    </w:t>
      </w:r>
      <w:r>
        <w:rPr>
          <w:b/>
        </w:rPr>
        <w:t xml:space="preserve">Pub date: </w:t>
      </w:r>
      <w:r>
        <w:t>2026-03-30 18:31:25+00:00</w:t>
      </w:r>
      <w:r>
        <w:t xml:space="preserve">    </w:t>
      </w:r>
      <w:r>
        <w:rPr>
          <w:b/>
        </w:rPr>
        <w:t xml:space="preserve">DOI: </w:t>
      </w:r>
      <w:hyperlink r:id="rId514">
        <w:r>
          <w:rPr>
            <w:color w:val="1155CC"/>
            <w:u w:val="single"/>
          </w:rPr>
          <w:t>10.1021/jacs.6c00754</w:t>
        </w:r>
      </w:hyperlink>
    </w:p>
    <w:p>
      <w:pPr>
        <w:spacing w:before="0" w:after="120"/>
      </w:pPr>
      <w:r>
        <w:rPr>
          <w:b/>
        </w:rPr>
        <w:t xml:space="preserve">Notes: </w:t>
      </w:r>
      <w:r>
        <w:t>abstract_source=pubmed</w:t>
      </w:r>
    </w:p>
    <w:p>
      <w:pPr>
        <w:spacing w:before="0" w:after="80" w:lineRule="auto" w:line="276"/>
      </w:pPr>
      <w:r>
        <w:rPr>
          <w:b/>
        </w:rPr>
        <w:t xml:space="preserve">摘要（ZH）: </w:t>
      </w:r>
      <w:r>
        <w:t>稀土正铬酸盐（RCrO3）的丰富磁性已被研究了几十年，但其稀土离子的发光尚未被报道。我们报告了通过熔盐合成制备的G型反铁磁正铬酸盐YCrO3、Yb3+掺杂的YCrO3和YbCrO3（即Y1-xYbxCrO3，0 ≤ x ≤ 1）刻面微晶的光致发光（PL）。含Yb3+样品的4 K PL主要由Yb3+的窄多线f-f发射主导，大部分强度集中在与2F5/2(0') → 2F7/2(0)晶场跃迁相关的两个显著线中，这些线在4 K时被分裂约13 cm-1。这种分裂归因于Cr3+-Yb3+磁交换耦合，在Cr3+自旋亚晶格有序时自发地解除Yb3+的Kramers简并。</w:t>
      </w:r>
    </w:p>
    <w:p>
      <w:pPr>
        <w:spacing w:before="0" w:after="200" w:lineRule="auto" w:line="276"/>
      </w:pPr>
      <w:r>
        <w:rPr>
          <w:b/>
        </w:rPr>
        <w:t xml:space="preserve">Abstract (EN): </w:t>
      </w:r>
      <w:r>
        <w:t>The rich magnetic properties of rare-earth orthochromites (RCrO3) have been studied for decades, but luminescence from their rare-earth ions has not been reported. We report the photoluminescence (PL) of faceted microcrystals of the G-type antiferromagnetic orthochromites YCrO3, Yb3+-doped YCrO3, and YbCrO3 (i.e., Y1-xYbxCrO3, 0 ≤ x ≤ 1), prepared via a molten-salt synthesis. The 4 K PL of the Yb3+-containing samples is dominated by narrow multiline f-f emission from Yb3+, with most intensity concentrated into two pronounced lines associated with the 2F5/2(0') → 2F7/2(0) crystal-field transition that are split by ∼13 cm-1 at 4 K. This splitting is attributed to Cr3+-Yb3+ magnetic exchange coupling, which spontaneously lifts Yb3+ Kramers degeneracies upon ordering of the Cr3+ spin sublattice. The splitting energy decreases with increasing temperature, and the two peaks eventually coalesce at the orthochromite's magnetic-ordering temperature of TN = 118 - 140 K (depending on composition). All compositions show pronounced Cr3+-Yb3+ simultaneous pair excitation (SPE) bands at 407 nm in their Yb3+ PL excitation (PLE) spectra, with this SPE feature dominating the PLE spectra at room temperature. Variable-temperature PL and PLE measurements reveal that Yb3+ PL sensitization via Cr3+ d-d excitation is ineffective due to efficient nonradiative deactivation of the 2Eg state, whereas simultaneous pair excitation circumvents the need for intervening energy-transfer steps. The ability to monitor lattice spin correlation using Yb3+ PL up to relatively high temperatures suggests exploration of such microstructures as local spin probes, microscale spin-photonic transducers, or magnetically tunable emitters.</w:t>
      </w:r>
    </w:p>
    <w:p>
      <w:pPr>
        <w:spacing w:before="120" w:after="120"/>
      </w:pPr>
      <w:r>
        <w:rPr>
          <w:sz w:val="18"/>
        </w:rPr>
        <w:t>——————————————————————————————————————————————————————————————————————</w:t>
      </w:r>
    </w:p>
    <w:p>
      <w:pPr>
        <w:spacing w:before="160" w:after="40" w:line="240" w:lineRule="auto"/>
      </w:pPr>
      <w:r>
        <w:rPr>
          <w:b/>
        </w:rPr>
        <w:t xml:space="preserve">[168] </w:t>
      </w:r>
      <w:hyperlink r:id="rId515">
        <w:r>
          <w:rPr>
            <w:color w:val="1155CC"/>
            <w:u w:val="single"/>
          </w:rPr>
          <w:t>[ASAP] 表面活性剂介导合成具有手性连续体的扭曲Cu2–xS纳米领结用于对映选择性催化</w:t>
        </w:r>
      </w:hyperlink>
    </w:p>
    <w:p>
      <w:pPr>
        <w:spacing w:before="0" w:after="80"/>
      </w:pPr>
      <w:r>
        <w:rPr>
          <w:i/>
          <w:sz w:val="20"/>
        </w:rPr>
        <w:t>EN: [ASAP] Surfactant-Mediated Synthesis of Twisted Cu2–xS Nanobowties with Chirality Continuum toward Enantioselective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2026-03-30 19:18:06+00:00</w:t>
      </w:r>
      <w:r>
        <w:t xml:space="preserve">    </w:t>
      </w:r>
      <w:r>
        <w:rPr>
          <w:b/>
        </w:rPr>
        <w:t xml:space="preserve">DOI: </w:t>
      </w:r>
      <w:hyperlink r:id="rId516">
        <w:r>
          <w:rPr>
            <w:color w:val="1155CC"/>
            <w:u w:val="single"/>
          </w:rPr>
          <w:t>10.1021/jacs.5c22869</w:t>
        </w:r>
      </w:hyperlink>
    </w:p>
    <w:p>
      <w:pPr>
        <w:spacing w:before="0" w:after="120"/>
      </w:pPr>
      <w:r>
        <w:rPr>
          <w:b/>
        </w:rPr>
        <w:t xml:space="preserve">Notes: </w:t>
      </w:r>
      <w:r>
        <w:t>abstract_source=pubmed</w:t>
      </w:r>
    </w:p>
    <w:p>
      <w:pPr>
        <w:spacing w:before="0" w:after="80" w:lineRule="auto" w:line="276"/>
      </w:pPr>
      <w:r>
        <w:rPr>
          <w:b/>
        </w:rPr>
        <w:t xml:space="preserve">摘要（ZH）: </w:t>
      </w:r>
      <w:r>
        <w:t>在通过化学溶液法合成手性纳米结构过程中，非手性表面活性剂对界面成核、组装取向和形态演变的协同手性效应的影响在很大程度上被忽视和未充分探索。在此，我们报告了一种表面活性剂介导的手性Cu2-xS（0 &lt; x &lt; 1）从层状纳米片到扭曲纳米领结（TNBs）的连续演变，并揭示了一种由配位纳米片倾斜堆叠驱动的多尺度手性放大机制。表面活性剂的特性，包括头基和烷基链长度，控制了Cu2+-半胱氨酸配位单元形成的界面层的电势、吸附强度和密度，以及尾部堆积，从而指导其组装路径。特别是在十二烷基硫酸钠中。</w:t>
      </w:r>
    </w:p>
    <w:p>
      <w:pPr>
        <w:spacing w:before="0" w:after="200" w:lineRule="auto" w:line="276"/>
      </w:pPr>
      <w:r>
        <w:rPr>
          <w:b/>
        </w:rPr>
        <w:t xml:space="preserve">Abstract (EN): </w:t>
      </w:r>
      <w:r>
        <w:t>The influence of achiral surfactants on synergistically chiral effect of interfacial nucleation, assembly orientation, and morphological evolution in chiral nanostructural synthesis via a chemical solution method is largely ignored and underexplored. Herein, we report a surfactant-mediated continuous evolution of chiral Cu2-xS (0 &lt; x &lt; 1) from layered nanosheets to twisted nanobowties (TNBs) and uncovered a multiscale chirality amplification mechanism driven by tilted stacking of coordination nanosheets. Surfactant identity, including headgroup and alkyl chain length, controls the potential, adsorption strength, and density, as well as tail packing of interfacial layers formed by Cu2+-cysteine coordination units, thereby directing their assembly pathway. In particular, in sodium dodecyl sulfate, the anionic headgroups electrostatically anchor coordination-derived nanoparticles, while the hydrophobic tails form a dense interfacial soft-template that directs nucleation and anisotropic growth of coordination nanosheets. Under the stereochemical control of chiral cysteine, these nanosheets undergo progressive intersheet tilting and hierarchical stacking, ultimately evolving into micrometer-scale TNBs. Catalytic oxidation of 3,4-dihydroxy-l/d-phenylalanine reveals that higher structural dimensionality and increased chiroptical response of Cu2-xS improve catalytic activity and enantioselectivity. This work demonstrates a surfactant-mediated interfacial soft-template strategy for the rational design of chiral inorganic materials and the translation of molecular asymmetry into continuously tunable micrometer-scale architectures for enantioselective catalysis.</w:t>
      </w:r>
    </w:p>
    <w:p>
      <w:pPr>
        <w:spacing w:before="120" w:after="120"/>
      </w:pPr>
      <w:r>
        <w:rPr>
          <w:sz w:val="18"/>
        </w:rPr>
        <w:t>——————————————————————————————————————————————————————————————————————</w:t>
      </w:r>
    </w:p>
    <w:p>
      <w:pPr>
        <w:spacing w:before="160" w:after="40" w:line="240" w:lineRule="auto"/>
      </w:pPr>
      <w:r>
        <w:rPr>
          <w:b/>
        </w:rPr>
        <w:t xml:space="preserve">[169] </w:t>
      </w:r>
      <w:hyperlink r:id="rId517">
        <w:r>
          <w:rPr>
            <w:color w:val="1155CC"/>
            <w:u w:val="single"/>
          </w:rPr>
          <w:t>[ASAP] 金属有机框架中的连接器扭转角工程实现增强的O2光活化用于有机合成</w:t>
        </w:r>
      </w:hyperlink>
    </w:p>
    <w:p>
      <w:pPr>
        <w:spacing w:before="0" w:after="80"/>
      </w:pPr>
      <w:r>
        <w:rPr>
          <w:i/>
          <w:sz w:val="20"/>
        </w:rPr>
        <w:t>EN: [ASAP] Linker Torsional Angle Engineering in Metal–Organic Frameworks Enables Boosted O2 Photoactivation for Organic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2026-03-30 19:23:03+00:00</w:t>
      </w:r>
      <w:r>
        <w:t xml:space="preserve">    </w:t>
      </w:r>
      <w:r>
        <w:rPr>
          <w:b/>
        </w:rPr>
        <w:t xml:space="preserve">DOI: </w:t>
      </w:r>
      <w:hyperlink r:id="rId518">
        <w:r>
          <w:rPr>
            <w:color w:val="1155CC"/>
            <w:u w:val="single"/>
          </w:rPr>
          <w:t>10.1021/jacs.6c00875</w:t>
        </w:r>
      </w:hyperlink>
    </w:p>
    <w:p>
      <w:pPr>
        <w:spacing w:before="0" w:after="120"/>
      </w:pPr>
      <w:r>
        <w:rPr>
          <w:b/>
        </w:rPr>
        <w:t xml:space="preserve">Notes: </w:t>
      </w:r>
      <w:r>
        <w:t>abstract_source=pubmed</w:t>
      </w:r>
    </w:p>
    <w:p>
      <w:pPr>
        <w:spacing w:before="0" w:after="80" w:lineRule="auto" w:line="276"/>
      </w:pPr>
      <w:r>
        <w:rPr>
          <w:b/>
        </w:rPr>
        <w:t xml:space="preserve">摘要（ZH）: </w:t>
      </w:r>
      <w:r>
        <w:t>调控O2光活化以增强具有适度氧化强度的活性氧物种（ROSs）的生成对于精细有机合成至关重要，但仍然是一个巨大的挑战。在此，通过构建一对具有异构连接体的金属有机框架（MOFs），即Ni-TTPz-α和Ni-TTPz-β，我们展示了首次在MOFs中调节发色团连接体扭转角度以精确调控ROSs生成的成就。Ni-TTPz-α配备了共面共轭的α-噻吩连接体，而Ni-TTPz-β由于β-连接体的锯齿形构型导致二噻吩和吡唑部分错位。因此，Ni-TTPz-α在空气中可见光下显著增强了超氧自由基（O2•-）的产生，而Ni-TTPz-β</w:t>
      </w:r>
    </w:p>
    <w:p>
      <w:pPr>
        <w:spacing w:before="0" w:after="200" w:lineRule="auto" w:line="276"/>
      </w:pPr>
      <w:r>
        <w:rPr>
          <w:b/>
        </w:rPr>
        <w:t xml:space="preserve">Abstract (EN): </w:t>
      </w:r>
      <w:r>
        <w:t>Steering the O2 photoactivation for boosting the generation of reactive oxygen species (ROSs) with moderate oxidant strength is crucial for fine organic synthesis, while it remains a huge challenge. Herein, by constructing a pair of metal-organic frameworks (MOFs) with isomeric linkers, i.e., Ni-TTPz-α and Ni-TTPz-β, we demonstrate the first achievement in modulating the chromophore linker torsional angle in MOFs for the precise regulation of ROSs generation. Ni-TTPz-α is equipped with a coplanar conjugated α-thiophene linker, while Ni-TTPz-β features misalignment between the bithiophene and pyrazole moieties due to the zigzag configuration of the β-linker. As a result, Ni-TTPz-α significantly boosts the production of superoxide radicals (O2•-) under visible light in air, whereas Ni-TTPz-β exclusively generates singlet oxygen (1O2) with much lower performance. The boosted generation of O2•- empowers Ni-TTPz-α to efficiently drive the oxidative coupling of benzylamine to imine, achieving a 99% yield within 12 h, which is significantly boosted than that of Ni-TTPz-β (48%). Experiments and theoretical calculations jointly confirm that planar α-thiophene features an angle-induced restricted twist effect that facilitates efficient electron transfer from the thiophene sulfur to the pyrazole unit and, ultimately, to the metal center, thereby driving single-electron oxygen reduction to produce O2•-.</w:t>
      </w:r>
    </w:p>
    <w:p>
      <w:pPr>
        <w:spacing w:before="120" w:after="120"/>
      </w:pPr>
      <w:r>
        <w:rPr>
          <w:sz w:val="18"/>
        </w:rPr>
        <w:t>——————————————————————————————————————————————————————————————————————</w:t>
      </w:r>
    </w:p>
    <w:p>
      <w:pPr>
        <w:spacing w:before="160" w:after="40" w:line="240" w:lineRule="auto"/>
      </w:pPr>
      <w:r>
        <w:rPr>
          <w:b/>
        </w:rPr>
        <w:t xml:space="preserve">[170] </w:t>
      </w:r>
      <w:hyperlink r:id="rId519">
        <w:r>
          <w:rPr>
            <w:color w:val="1155CC"/>
            <w:u w:val="single"/>
          </w:rPr>
          <w:t>基于3D成像的电极工程用于水分解</w:t>
        </w:r>
      </w:hyperlink>
    </w:p>
    <w:p>
      <w:pPr>
        <w:spacing w:before="0" w:after="80"/>
      </w:pPr>
      <w:r>
        <w:rPr>
          <w:i/>
          <w:sz w:val="20"/>
        </w:rPr>
        <w:t>EN: 3D imaging-informed electrode engineering for water splitting</w:t>
      </w:r>
    </w:p>
    <w:p>
      <w:pPr>
        <w:spacing w:before="0" w:after="120"/>
      </w:pPr>
      <w:r>
        <w:rPr>
          <w:b/>
        </w:rPr>
        <w:t xml:space="preserve">Source: </w:t>
      </w:r>
      <w:r>
        <w:t>RSC - Energy Environ. Sci. latest articles</w:t>
      </w:r>
      <w:r>
        <w:t xml:space="preserve">    </w:t>
      </w:r>
      <w:r>
        <w:rPr>
          <w:b/>
        </w:rPr>
        <w:t xml:space="preserve">Pub date: </w:t>
      </w:r>
      <w:r>
        <w:t>2026-03-30 23:00:00+00:00</w:t>
      </w:r>
    </w:p>
    <w:p>
      <w:pPr>
        <w:spacing w:before="0" w:after="120"/>
      </w:pPr>
      <w:r>
        <w:rPr>
          <w:b/>
        </w:rPr>
        <w:t xml:space="preserve">Notes: </w:t>
      </w:r>
      <w:r>
        <w:t>abstract_source=rsc_html</w:t>
      </w:r>
    </w:p>
    <w:p>
      <w:pPr>
        <w:spacing w:before="0" w:after="80" w:lineRule="auto" w:line="276"/>
      </w:pPr>
      <w:r>
        <w:rPr>
          <w:b/>
        </w:rPr>
        <w:t xml:space="preserve">摘要（ZH）: </w:t>
      </w:r>
      <w:r>
        <w:t>气泡积累限制了在高电流密度下碱性水电解过程中多孔电极的传质。在此，基于同步辐射的原位微CT和微结构解析的格子Boltzmann方法模拟被用于揭示孔隙率和几何结构如何控制氢气泡脱附和两相传输。在碱性水电解中，发现具有合理设计的有序孔结构的多孔电极通过最小化气体滞留和促进连续电解质更新实现了高效的传质。相比之下，尽管商业镍泡沫具有较大的表面积，但由于其低孔隙率，表现出严重的气体积累和较差的电极利用率。在这些见解的指导下，我们3D打印了一个高度有序的方形-</w:t>
      </w:r>
    </w:p>
    <w:p>
      <w:pPr>
        <w:spacing w:before="0" w:after="200" w:lineRule="auto" w:line="276"/>
      </w:pPr>
      <w:r>
        <w:rPr>
          <w:b/>
        </w:rPr>
        <w:t xml:space="preserve">Abstract (EN): </w:t>
      </w:r>
      <w:r>
        <w:t>Gas bubble accumulation limits mass transport in porous electrodes during alkaline water electrolysis at high current densities. Herein, synchrotron-based operando micro-CT and microstructure-resolved lattice Boltzmann method simulations are employed to unveil how porosity and geometric structure govern hydrogen bubble detachment and two-phase transport in alkaline water electrolysis. It is found that porous electrodes with a rationally designed ordered pore architecture enable efficient mass transport by minimizing gas trapping and promoting continuous electrolyte renewal. By contrast, commercial nickel foams with low porosity, despite their larger surface area, exhibit severe gas accumulation and poor electrode utilization. Guided by these insights, we 3D-printed a highly ordered square-grid electrode and, following catalyst deposition, achieved high-efficiency overall water splitting at 2 A cm−2 with a cell voltage of 2.13 V. This methodology, integrating operando micro-CT and lattice Boltzmann method simulations, delivers much-needed design rules for gas evolving porous electrodes and demonstrates that tuning a 3D pore architecture is critical for advanced alkaline water electrolysis.</w:t>
      </w:r>
    </w:p>
    <w:p>
      <w:pPr>
        <w:spacing w:before="120" w:after="120"/>
      </w:pPr>
      <w:r>
        <w:rPr>
          <w:sz w:val="18"/>
        </w:rPr>
        <w:t>——————————————————————————————————————————————————————————————————————</w:t>
      </w:r>
    </w:p>
    <w:p>
      <w:pPr>
        <w:spacing w:before="160" w:after="40" w:line="240" w:lineRule="auto"/>
      </w:pPr>
      <w:r>
        <w:rPr>
          <w:b/>
        </w:rPr>
        <w:t xml:space="preserve">[171] </w:t>
      </w:r>
      <w:hyperlink r:id="rId520">
        <w:r>
          <w:rPr>
            <w:color w:val="1155CC"/>
            <w:u w:val="single"/>
          </w:rPr>
          <w:t>工程低晶格失配界面层用于基于可逆金属电沉积的耐用和双稳态动态智能窗</w:t>
        </w:r>
      </w:hyperlink>
    </w:p>
    <w:p>
      <w:pPr>
        <w:spacing w:before="0" w:after="80"/>
      </w:pPr>
      <w:r>
        <w:rPr>
          <w:i/>
          <w:sz w:val="20"/>
        </w:rPr>
        <w:t>EN: Engineering Low Lattice Mismatch Interface Layer for Durable and Bi-stable Dynamic Smart Windows Based on Reversible Metal Electrodeposition</w:t>
      </w:r>
    </w:p>
    <w:p>
      <w:pPr>
        <w:spacing w:before="0" w:after="120"/>
      </w:pPr>
      <w:r>
        <w:rPr>
          <w:b/>
        </w:rPr>
        <w:t xml:space="preserve">Source: </w:t>
      </w:r>
      <w:r>
        <w:t>RSC - Energy Environ. Sci. latest articles</w:t>
      </w:r>
      <w:r>
        <w:t xml:space="preserve">    </w:t>
      </w:r>
      <w:r>
        <w:rPr>
          <w:b/>
        </w:rPr>
        <w:t xml:space="preserve">Pub date: </w:t>
      </w:r>
      <w:r>
        <w:t>2026-03-30 23:00:00+00:00</w:t>
      </w:r>
    </w:p>
    <w:p>
      <w:pPr>
        <w:spacing w:before="0" w:after="120"/>
      </w:pPr>
      <w:r>
        <w:rPr>
          <w:b/>
        </w:rPr>
        <w:t xml:space="preserve">Notes: </w:t>
      </w:r>
      <w:r>
        <w:t>abstract_source=rsc_html</w:t>
      </w:r>
    </w:p>
    <w:p>
      <w:pPr>
        <w:spacing w:before="0" w:after="80" w:lineRule="auto" w:line="276"/>
      </w:pPr>
      <w:r>
        <w:rPr>
          <w:b/>
        </w:rPr>
        <w:t xml:space="preserve">摘要（ZH）: </w:t>
      </w:r>
      <w:r>
        <w:t>基于可逆金属电沉积的电致变色器件（RMEDs）具有大光学对比度、宽带光学调制、简单的器件配置和颜色中性，已成为提高建筑能效的有前途的动态窗平台。然而，由于电极/电解质界面结构不受控制，实现长期耐久性和双稳态仍然具有挑战性。在此，我们筛选并嫁接了一层低晶格失配（δ）的NiO@C层到掺氟氧化锡（FTO）玻璃上，提供均匀的界面电场/离子浓度/电流密度分布和更高的界面Zn（002）形成能量（Ef = -0.449 eV•atom -1），以指导均匀的Zn-Cu共沉积。低δ NiO@C-FTO展示了更低的金属镀层/剥离</w:t>
      </w:r>
    </w:p>
    <w:p>
      <w:pPr>
        <w:spacing w:before="0" w:after="200" w:lineRule="auto" w:line="276"/>
      </w:pPr>
      <w:r>
        <w:rPr>
          <w:b/>
        </w:rPr>
        <w:t xml:space="preserve">Abstract (EN): </w:t>
      </w:r>
      <w:r>
        <w:t>Reversible metal electrodeposition-based electrochromic devices (RMEDs) featuring large optical contrast, broadband optical modulation, simple device configuration and color neutrality have emerged as promising dynamic window platforms for advancing building energy efficiency. However, achieving long-term durability and bi-stability remains challenging due to the uncontrolled electrode/electrolyte interface structure. Herein, we screen and graft a low lattice mismatch (δ) NiO@C layer onto fluorine-doped tin oxide (FTO) glass, offering homogeneous interfacial electric field/ ion concentration/ current density distributions and higher interface Zn (002) formation energy (Ef = -0.449 eV•atom -1 ) to guide uniform Zn-Cu codeposition. The low δ NiO@C-FTO demonstrates lower metal plating/stripping activation energy (7.32 KJ•mol -1 ), large optical modulation (ΔT = 65.1%), fast switching (tc = 10.2 s, tb = 7.2 s), high coloration efficiency (16.77 cm 2 •C -1 ), color neutrality (Chroma C* = 3.585), and outstanding stability (&gt; 3100 cycles). The as-assembled NiO@C-RMED demonstrates exceptional bi-stability (T%</w:t>
      </w:r>
    </w:p>
    <w:p>
      <w:pPr>
        <w:spacing w:before="120" w:after="120"/>
      </w:pPr>
      <w:r>
        <w:rPr>
          <w:sz w:val="18"/>
        </w:rPr>
        <w:t>——————————————————————————————————————————————————————————————————————</w:t>
      </w:r>
    </w:p>
    <w:p>
      <w:pPr>
        <w:spacing w:before="160" w:after="40" w:line="240" w:lineRule="auto"/>
      </w:pPr>
      <w:r>
        <w:rPr>
          <w:b/>
        </w:rPr>
        <w:t xml:space="preserve">[172] </w:t>
      </w:r>
      <w:hyperlink r:id="rId521">
        <w:r>
          <w:rPr>
            <w:color w:val="1155CC"/>
            <w:u w:val="single"/>
          </w:rPr>
          <w:t>‘有用’AI的隐藏成本</w:t>
        </w:r>
      </w:hyperlink>
    </w:p>
    <w:p>
      <w:pPr>
        <w:spacing w:before="0" w:after="80"/>
      </w:pPr>
      <w:r>
        <w:rPr>
          <w:i/>
          <w:sz w:val="20"/>
        </w:rPr>
        <w:t>EN: The hidden costs of ‘helpful’ AI</w:t>
      </w:r>
    </w:p>
    <w:p>
      <w:pPr>
        <w:spacing w:before="0" w:after="120"/>
      </w:pPr>
      <w:r>
        <w:rPr>
          <w:b/>
        </w:rPr>
        <w:t xml:space="preserve">Source: </w:t>
      </w:r>
      <w:r>
        <w:t>Nature</w:t>
      </w:r>
      <w:r>
        <w:t xml:space="preserve">    </w:t>
      </w:r>
      <w:r>
        <w:rPr>
          <w:b/>
        </w:rPr>
        <w:t xml:space="preserve">Pub date: </w:t>
      </w:r>
      <w:r>
        <w:t>2026-03-31 00:00:00+00:00</w:t>
      </w:r>
      <w:r>
        <w:t xml:space="preserve">    </w:t>
      </w:r>
      <w:r>
        <w:rPr>
          <w:b/>
        </w:rPr>
        <w:t xml:space="preserve">DOI: </w:t>
      </w:r>
      <w:hyperlink r:id="rId522">
        <w:r>
          <w:rPr>
            <w:color w:val="1155CC"/>
            <w:u w:val="single"/>
          </w:rPr>
          <w:t>10.1038/d41586-026-00966-2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[173] </w:t>
      </w:r>
      <w:hyperlink r:id="rId523">
        <w:r>
          <w:rPr>
            <w:color w:val="1155CC"/>
            <w:u w:val="single"/>
          </w:rPr>
          <w:t>蛋白质降解能力的探索使完全内源性MrTAC降解剂成为可能</w:t>
        </w:r>
      </w:hyperlink>
    </w:p>
    <w:p>
      <w:pPr>
        <w:spacing w:before="0" w:after="80"/>
      </w:pPr>
      <w:r>
        <w:rPr>
          <w:i/>
          <w:sz w:val="20"/>
        </w:rPr>
        <w:t>EN: Exploration of protein degradability enables fully endogenous MrTAC degraders</w:t>
      </w:r>
    </w:p>
    <w:p>
      <w:pPr>
        <w:spacing w:before="0" w:after="120"/>
      </w:pPr>
      <w:r>
        <w:rPr>
          <w:b/>
        </w:rPr>
        <w:t xml:space="preserve">Source: </w:t>
      </w:r>
      <w:r>
        <w:t>Chem</w:t>
      </w:r>
      <w:r>
        <w:t xml:space="preserve">    </w:t>
      </w:r>
      <w:r>
        <w:rPr>
          <w:b/>
        </w:rPr>
        <w:t xml:space="preserve">Pub date: </w:t>
      </w:r>
      <w:r>
        <w:t>2026-03-31 00:00:00+00:00</w:t>
      </w:r>
      <w:r>
        <w:t xml:space="preserve">    </w:t>
      </w:r>
      <w:r>
        <w:rPr>
          <w:b/>
        </w:rPr>
        <w:t xml:space="preserve">DOI: </w:t>
      </w:r>
      <w:hyperlink r:id="rId524">
        <w:r>
          <w:rPr>
            <w:color w:val="1155CC"/>
            <w:u w:val="single"/>
          </w:rPr>
          <w:t>10.1016/j.chempr.2026.102998</w:t>
        </w:r>
      </w:hyperlink>
    </w:p>
    <w:p>
      <w:pPr>
        <w:spacing w:before="0" w:after="120"/>
      </w:pPr>
      <w:r>
        <w:rPr>
          <w:b/>
        </w:rPr>
        <w:t xml:space="preserve">Notes: </w:t>
      </w:r>
      <w:r>
        <w:t>abstract_source=rss_cell</w:t>
      </w:r>
    </w:p>
    <w:p>
      <w:pPr>
        <w:spacing w:before="0" w:after="80" w:lineRule="auto" w:line="276"/>
      </w:pPr>
      <w:r>
        <w:rPr>
          <w:b/>
        </w:rPr>
        <w:t xml:space="preserve">摘要（ZH）: </w:t>
      </w:r>
      <w:r>
        <w:t>靶向蛋白降解通过使用小分子降解剂选择性地消除致病蛋白。在此，我们将基础生物学与小分子结合，研究一种驱动溶酶体的甲基化信号。对甲基精氨酸降解子的深入了解使得开发甲基精氨酸靶向嵌合体（MrTACs）成为可能，这些嵌合体通过招募蛋白精氨酸甲基转移酶（PRMTs）降解致病蛋白。我们评估了现有PRMT抑制剂在MrTAC设计中的实用性，并证明了基团转移化学可以将抑制性配体转化为静默招募者，从而生成首个完全内源性的MrTAC系列。</w:t>
      </w:r>
    </w:p>
    <w:p>
      <w:pPr>
        <w:spacing w:before="0" w:after="200" w:lineRule="auto" w:line="276"/>
      </w:pPr>
      <w:r>
        <w:rPr>
          <w:b/>
        </w:rPr>
        <w:t xml:space="preserve">Abstract (EN): </w:t>
      </w:r>
      <w:r>
        <w:t>Targeted protein degradation selectively eliminates disease-causing proteins by using small-molecule degraders. Here, we integrate fundamental biology with small molecules to study a methylation-driven signal for lysosomes. Insight into methylarginine degrons enables the development of methylarginine-targeting chimeras (MrTACs), which degrade pathogenic proteins by recruiting protein arginine methyltransferases (PRMTs). We assess the utility of existing PRMT inhibitors for MrTAC design and demonstrate that group-transfer chemistry can transform inhibitory ligands into silent recruiters, thereby generating the first series of fully endogenous MrTACs.</w:t>
      </w:r>
    </w:p>
    <w:p>
      <w:pPr>
        <w:spacing w:before="120" w:after="120"/>
      </w:pPr>
      <w:r>
        <w:rPr>
          <w:sz w:val="18"/>
        </w:rPr>
        <w:t>——————————————————————————————————————————————————————————————————————</w:t>
      </w:r>
    </w:p>
    <w:p>
      <w:pPr>
        <w:spacing w:before="160" w:after="40" w:line="240" w:lineRule="auto"/>
      </w:pPr>
      <w:r>
        <w:rPr>
          <w:b/>
        </w:rPr>
        <w:t xml:space="preserve">[174] </w:t>
      </w:r>
      <w:hyperlink r:id="rId525">
        <w:r>
          <w:rPr>
            <w:color w:val="1155CC"/>
            <w:u w:val="single"/>
          </w:rPr>
          <w:t>需要一种负责任的作者文化——这是一种集体责任</w:t>
        </w:r>
      </w:hyperlink>
    </w:p>
    <w:p>
      <w:pPr>
        <w:spacing w:before="0" w:after="80"/>
      </w:pPr>
      <w:r>
        <w:rPr>
          <w:i/>
          <w:sz w:val="20"/>
        </w:rPr>
        <w:t>EN: A responsible authorship culture is needed — it is a collective responsibility</w:t>
      </w:r>
    </w:p>
    <w:p>
      <w:pPr>
        <w:spacing w:before="0" w:after="120"/>
      </w:pPr>
      <w:r>
        <w:rPr>
          <w:b/>
        </w:rPr>
        <w:t xml:space="preserve">Source: </w:t>
      </w:r>
      <w:r>
        <w:t>Nature</w:t>
      </w:r>
      <w:r>
        <w:t xml:space="preserve">    </w:t>
      </w:r>
      <w:r>
        <w:rPr>
          <w:b/>
        </w:rPr>
        <w:t xml:space="preserve">Pub date: </w:t>
      </w:r>
      <w:r>
        <w:t>2026-03-31 00:00:00+00:00</w:t>
      </w:r>
      <w:r>
        <w:t xml:space="preserve">    </w:t>
      </w:r>
      <w:r>
        <w:rPr>
          <w:b/>
        </w:rPr>
        <w:t xml:space="preserve">DOI: </w:t>
      </w:r>
      <w:hyperlink r:id="rId526">
        <w:r>
          <w:rPr>
            <w:color w:val="1155CC"/>
            <w:u w:val="single"/>
          </w:rPr>
          <w:t>10.1038/d41586-026-00997-9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[175] </w:t>
      </w:r>
      <w:hyperlink r:id="rId527">
        <w:r>
          <w:rPr>
            <w:color w:val="1155CC"/>
            <w:u w:val="single"/>
          </w:rPr>
          <w:t>B−H氧化促进了邻位三功能化富硼簇的模块化合成</w:t>
        </w:r>
      </w:hyperlink>
    </w:p>
    <w:p>
      <w:pPr>
        <w:spacing w:before="0" w:after="80"/>
      </w:pPr>
      <w:r>
        <w:rPr>
          <w:i/>
          <w:sz w:val="20"/>
        </w:rPr>
        <w:t>EN: B−H oxidation enables modular synthesis of vicinally trifunctionalized boron-rich clusters</w:t>
      </w:r>
    </w:p>
    <w:p>
      <w:pPr>
        <w:spacing w:before="0" w:after="120"/>
      </w:pPr>
      <w:r>
        <w:rPr>
          <w:b/>
        </w:rPr>
        <w:t xml:space="preserve">Source: </w:t>
      </w:r>
      <w:r>
        <w:t>Chem</w:t>
      </w:r>
      <w:r>
        <w:t xml:space="preserve">    </w:t>
      </w:r>
      <w:r>
        <w:rPr>
          <w:b/>
        </w:rPr>
        <w:t xml:space="preserve">Pub date: </w:t>
      </w:r>
      <w:r>
        <w:t>2026-03-31 00:00:00+00:00</w:t>
      </w:r>
      <w:r>
        <w:t xml:space="preserve">    </w:t>
      </w:r>
      <w:r>
        <w:rPr>
          <w:b/>
        </w:rPr>
        <w:t xml:space="preserve">DOI: </w:t>
      </w:r>
      <w:hyperlink r:id="rId528">
        <w:r>
          <w:rPr>
            <w:color w:val="1155CC"/>
            <w:u w:val="single"/>
          </w:rPr>
          <w:t>10.1016/j.chempr.2026.103008</w:t>
        </w:r>
      </w:hyperlink>
    </w:p>
    <w:p>
      <w:pPr>
        <w:spacing w:before="0" w:after="120"/>
      </w:pPr>
      <w:r>
        <w:rPr>
          <w:b/>
        </w:rPr>
        <w:t xml:space="preserve">Notes: </w:t>
      </w:r>
      <w:r>
        <w:t>abstract_source=rss_cell</w:t>
      </w:r>
    </w:p>
    <w:p>
      <w:pPr>
        <w:spacing w:before="0" w:after="80" w:lineRule="auto" w:line="276"/>
      </w:pPr>
      <w:r>
        <w:rPr>
          <w:b/>
        </w:rPr>
        <w:t xml:space="preserve">摘要（ZH）: </w:t>
      </w:r>
      <w:r>
        <w:t>二十面体碳硼烷是药物发现中独特的三维药效团，但实现选择性多功能化——特别是在硼顶点的邻位三功能化——由于空间和电子限制仍然是一个重大挑战。本文提出了一种区域选择性的B−H羟基化，并利用羟基促进钯催化的二十面体碳硼烷三功能化，结合高度功能化的NH杂环和苯胺。剩余的羟基作为引入生物活性基团的合成手柄，从而显著推进碳硼烷在更广泛生物应用中的发展。</w:t>
      </w:r>
    </w:p>
    <w:p>
      <w:pPr>
        <w:spacing w:before="0" w:after="200" w:lineRule="auto" w:line="276"/>
      </w:pPr>
      <w:r>
        <w:rPr>
          <w:b/>
        </w:rPr>
        <w:t xml:space="preserve">Abstract (EN): </w:t>
      </w:r>
      <w:r>
        <w:t>Icosahedral carboranes are unique 3D pharmacophores in drug discovery, but achieving selective multifunctionalization—particularly vicinal trifunctionalization on the boron vertices—remains a major challenge due to the spatial and electronic constraints. This article presents a regioselective B−H hydroxylation and uses the hydroxyl group to facilitate Pd-catalyzed trifunctionalization of icosahedral carborane, incorporating highly functionalized NH heterocycles and anilines. The remaining hydroxyl group serves as a synthetic handle for introducing bioactive motifs, thereby significantly advancing carboranes for broader biological applications.</w:t>
      </w:r>
    </w:p>
    <w:p>
      <w:pPr>
        <w:spacing w:before="120" w:after="120"/>
      </w:pPr>
      <w:r>
        <w:rPr>
          <w:sz w:val="18"/>
        </w:rPr>
        <w:t>——————————————————————————————————————————————————————————————————————</w:t>
      </w:r>
    </w:p>
    <w:p>
      <w:pPr>
        <w:spacing w:before="160" w:after="40" w:line="240" w:lineRule="auto"/>
      </w:pPr>
      <w:r>
        <w:rPr>
          <w:b/>
        </w:rPr>
        <w:t xml:space="preserve">[176] </w:t>
      </w:r>
      <w:hyperlink r:id="rId529">
        <w:r>
          <w:rPr>
            <w:color w:val="1155CC"/>
            <w:u w:val="single"/>
          </w:rPr>
          <w:t>可编程π电子量子物质：从分子量子比特到相关和拓扑态</w:t>
        </w:r>
      </w:hyperlink>
    </w:p>
    <w:p>
      <w:pPr>
        <w:spacing w:before="0" w:after="80"/>
      </w:pPr>
      <w:r>
        <w:rPr>
          <w:i/>
          <w:sz w:val="20"/>
        </w:rPr>
        <w:t>EN: Programmable π-electron quantum matter: from molecular qubits to correlated and topological states</w:t>
      </w:r>
    </w:p>
    <w:p>
      <w:pPr>
        <w:spacing w:before="0" w:after="120"/>
      </w:pPr>
      <w:r>
        <w:rPr>
          <w:b/>
        </w:rPr>
        <w:t xml:space="preserve">Source: </w:t>
      </w:r>
      <w:r>
        <w:t>National Science Review Advance Access</w:t>
      </w:r>
      <w:r>
        <w:t xml:space="preserve">    </w:t>
      </w:r>
      <w:r>
        <w:rPr>
          <w:b/>
        </w:rPr>
        <w:t xml:space="preserve">Pub date: </w:t>
      </w:r>
      <w:r>
        <w:t>2026-03-31 00:00:00+00:00</w:t>
      </w:r>
      <w:r>
        <w:t xml:space="preserve">    </w:t>
      </w:r>
      <w:r>
        <w:rPr>
          <w:b/>
        </w:rPr>
        <w:t xml:space="preserve">DOI: </w:t>
      </w:r>
      <w:hyperlink r:id="rId530">
        <w:r>
          <w:rPr>
            <w:color w:val="1155CC"/>
            <w:u w:val="single"/>
          </w:rPr>
          <w:t>10.1093/nsr/nwag185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[177] </w:t>
      </w:r>
      <w:hyperlink r:id="rId531">
        <w:r>
          <w:rPr>
            <w:color w:val="1155CC"/>
            <w:u w:val="single"/>
          </w:rPr>
          <w:t>古代基因组证据揭示了牦牛引入历史和青藏高原牛的双重迁徙路线</w:t>
        </w:r>
      </w:hyperlink>
    </w:p>
    <w:p>
      <w:pPr>
        <w:spacing w:before="0" w:after="80"/>
      </w:pPr>
      <w:r>
        <w:rPr>
          <w:i/>
          <w:sz w:val="20"/>
        </w:rPr>
        <w:t>EN: Ancient genomic evidence reveals dual migration routes and yak introgression history of taurine cattle on the Tibetan Plateau</w:t>
      </w:r>
    </w:p>
    <w:p>
      <w:pPr>
        <w:spacing w:before="0" w:after="120"/>
      </w:pPr>
      <w:r>
        <w:rPr>
          <w:b/>
        </w:rPr>
        <w:t xml:space="preserve">Source: </w:t>
      </w:r>
      <w:r>
        <w:t>National Science Review Advance Access</w:t>
      </w:r>
      <w:r>
        <w:t xml:space="preserve">    </w:t>
      </w:r>
      <w:r>
        <w:rPr>
          <w:b/>
        </w:rPr>
        <w:t xml:space="preserve">Pub date: </w:t>
      </w:r>
      <w:r>
        <w:t>2026-03-31 00:00:00+00:00</w:t>
      </w:r>
      <w:r>
        <w:t xml:space="preserve">    </w:t>
      </w:r>
      <w:r>
        <w:rPr>
          <w:b/>
        </w:rPr>
        <w:t xml:space="preserve">DOI: </w:t>
      </w:r>
      <w:hyperlink r:id="rId532">
        <w:r>
          <w:rPr>
            <w:color w:val="1155CC"/>
            <w:u w:val="single"/>
          </w:rPr>
          <w:t>10.1093/nsr/nwag201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[178] </w:t>
      </w:r>
      <w:hyperlink r:id="rId533">
        <w:r>
          <w:rPr>
            <w:color w:val="1155CC"/>
            <w:u w:val="single"/>
          </w:rPr>
          <w:t>人类正在重返月球——为什么更多的科学家没有感到兴奋？</w:t>
        </w:r>
      </w:hyperlink>
    </w:p>
    <w:p>
      <w:pPr>
        <w:spacing w:before="0" w:after="80"/>
      </w:pPr>
      <w:r>
        <w:rPr>
          <w:i/>
          <w:sz w:val="20"/>
        </w:rPr>
        <w:t>EN: Humanity is heading back to the Moon — why aren’t more scientists thrilled?</w:t>
      </w:r>
    </w:p>
    <w:p>
      <w:pPr>
        <w:spacing w:before="0" w:after="120"/>
      </w:pPr>
      <w:r>
        <w:rPr>
          <w:b/>
        </w:rPr>
        <w:t xml:space="preserve">Source: </w:t>
      </w:r>
      <w:r>
        <w:t>Nature</w:t>
      </w:r>
      <w:r>
        <w:t xml:space="preserve">    </w:t>
      </w:r>
      <w:r>
        <w:rPr>
          <w:b/>
        </w:rPr>
        <w:t xml:space="preserve">Pub date: </w:t>
      </w:r>
      <w:r>
        <w:t>2026-03-31 00:00:00+00:00</w:t>
      </w:r>
      <w:r>
        <w:t xml:space="preserve">    </w:t>
      </w:r>
      <w:r>
        <w:rPr>
          <w:b/>
        </w:rPr>
        <w:t xml:space="preserve">DOI: </w:t>
      </w:r>
      <w:hyperlink r:id="rId534">
        <w:r>
          <w:rPr>
            <w:color w:val="1155CC"/>
            <w:u w:val="single"/>
          </w:rPr>
          <w:t>10.1038/d41586-026-00987-x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[179] </w:t>
      </w:r>
      <w:hyperlink r:id="rId535">
        <w:r>
          <w:rPr>
            <w:color w:val="1155CC"/>
            <w:u w:val="single"/>
          </w:rPr>
          <w:t>男孩真的陷入危机了吗？在男性圈时代科学怎么说</w:t>
        </w:r>
      </w:hyperlink>
    </w:p>
    <w:p>
      <w:pPr>
        <w:spacing w:before="0" w:after="80"/>
      </w:pPr>
      <w:r>
        <w:rPr>
          <w:i/>
          <w:sz w:val="20"/>
        </w:rPr>
        <w:t>EN: Are boys really in crisis? What the science says in the age of the manosphere</w:t>
      </w:r>
    </w:p>
    <w:p>
      <w:pPr>
        <w:spacing w:before="0" w:after="120"/>
      </w:pPr>
      <w:r>
        <w:rPr>
          <w:b/>
        </w:rPr>
        <w:t xml:space="preserve">Source: </w:t>
      </w:r>
      <w:r>
        <w:t>Nature</w:t>
      </w:r>
      <w:r>
        <w:t xml:space="preserve">    </w:t>
      </w:r>
      <w:r>
        <w:rPr>
          <w:b/>
        </w:rPr>
        <w:t xml:space="preserve">Pub date: </w:t>
      </w:r>
      <w:r>
        <w:t>2026-03-31 00:00:00+00:00</w:t>
      </w:r>
      <w:r>
        <w:t xml:space="preserve">    </w:t>
      </w:r>
      <w:r>
        <w:rPr>
          <w:b/>
        </w:rPr>
        <w:t xml:space="preserve">DOI: </w:t>
      </w:r>
      <w:hyperlink r:id="rId536">
        <w:r>
          <w:rPr>
            <w:color w:val="1155CC"/>
            <w:u w:val="single"/>
          </w:rPr>
          <w:t>10.1038/d41586-026-00968-0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[180] </w:t>
      </w:r>
      <w:hyperlink r:id="rId537">
        <w:r>
          <w:rPr>
            <w:color w:val="1155CC"/>
            <w:u w:val="single"/>
          </w:rPr>
          <w:t>看看寄生虫和藻类的复杂世界——三月最佳科学图像</w:t>
        </w:r>
      </w:hyperlink>
    </w:p>
    <w:p>
      <w:pPr>
        <w:spacing w:before="0" w:after="80"/>
      </w:pPr>
      <w:r>
        <w:rPr>
          <w:i/>
          <w:sz w:val="20"/>
        </w:rPr>
        <w:t>EN: See the intricate worlds of parasites and algae — March’s best science images</w:t>
      </w:r>
    </w:p>
    <w:p>
      <w:pPr>
        <w:spacing w:before="0" w:after="120"/>
      </w:pPr>
      <w:r>
        <w:rPr>
          <w:b/>
        </w:rPr>
        <w:t xml:space="preserve">Source: </w:t>
      </w:r>
      <w:r>
        <w:t>Nature</w:t>
      </w:r>
      <w:r>
        <w:t xml:space="preserve">    </w:t>
      </w:r>
      <w:r>
        <w:rPr>
          <w:b/>
        </w:rPr>
        <w:t xml:space="preserve">Pub date: </w:t>
      </w:r>
      <w:r>
        <w:t>2026-03-31 00:00:00+00:00</w:t>
      </w:r>
      <w:r>
        <w:t xml:space="preserve">    </w:t>
      </w:r>
      <w:r>
        <w:rPr>
          <w:b/>
        </w:rPr>
        <w:t xml:space="preserve">DOI: </w:t>
      </w:r>
      <w:hyperlink r:id="rId538">
        <w:r>
          <w:rPr>
            <w:color w:val="1155CC"/>
            <w:u w:val="single"/>
          </w:rPr>
          <w:t>10.1038/d41586-026-00901-5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[181] </w:t>
      </w:r>
      <w:hyperlink r:id="rId539">
        <w:r>
          <w:rPr>
            <w:color w:val="1155CC"/>
            <w:u w:val="single"/>
          </w:rPr>
          <w:t>阿尔忒弥斯II号任务即将载人飞往月球——这是他们将进行的科学研究</w:t>
        </w:r>
      </w:hyperlink>
    </w:p>
    <w:p>
      <w:pPr>
        <w:spacing w:before="0" w:after="80"/>
      </w:pPr>
      <w:r>
        <w:rPr>
          <w:i/>
          <w:sz w:val="20"/>
        </w:rPr>
        <w:t>EN: Artemis II mission is about to fly humans to the Moon — here’s the science they’ll do</w:t>
      </w:r>
    </w:p>
    <w:p>
      <w:pPr>
        <w:spacing w:before="0" w:after="120"/>
      </w:pPr>
      <w:r>
        <w:rPr>
          <w:b/>
        </w:rPr>
        <w:t xml:space="preserve">Source: </w:t>
      </w:r>
      <w:r>
        <w:t>Nature</w:t>
      </w:r>
      <w:r>
        <w:t xml:space="preserve">    </w:t>
      </w:r>
      <w:r>
        <w:rPr>
          <w:b/>
        </w:rPr>
        <w:t xml:space="preserve">Pub date: </w:t>
      </w:r>
      <w:r>
        <w:t>2026-03-31 00:00:00+00:00</w:t>
      </w:r>
      <w:r>
        <w:t xml:space="preserve">    </w:t>
      </w:r>
      <w:r>
        <w:rPr>
          <w:b/>
        </w:rPr>
        <w:t xml:space="preserve">DOI: </w:t>
      </w:r>
      <w:hyperlink r:id="rId540">
        <w:r>
          <w:rPr>
            <w:color w:val="1155CC"/>
            <w:u w:val="single"/>
          </w:rPr>
          <w:t>10.1038/d41586-026-00964-4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[182] </w:t>
      </w:r>
      <w:hyperlink r:id="rId541">
        <w:r>
          <w:rPr>
            <w:color w:val="1155CC"/>
            <w:u w:val="single"/>
          </w:rPr>
          <w:t>一种稳定的晶态氮链自由基</w:t>
        </w:r>
      </w:hyperlink>
    </w:p>
    <w:p>
      <w:pPr>
        <w:spacing w:before="0" w:after="80"/>
      </w:pPr>
      <w:r>
        <w:rPr>
          <w:i/>
          <w:sz w:val="20"/>
        </w:rPr>
        <w:t>EN: A stable, crystalline nitrogen chain radical</w:t>
      </w:r>
    </w:p>
    <w:p>
      <w:pPr>
        <w:spacing w:before="0" w:after="120"/>
      </w:pPr>
      <w:r>
        <w:rPr>
          <w:b/>
        </w:rPr>
        <w:t xml:space="preserve">Source: </w:t>
      </w:r>
      <w:r>
        <w:t>Nature Chemistry</w:t>
      </w:r>
      <w:r>
        <w:t xml:space="preserve">    </w:t>
      </w:r>
      <w:r>
        <w:rPr>
          <w:b/>
        </w:rPr>
        <w:t xml:space="preserve">Pub date: </w:t>
      </w:r>
      <w:r>
        <w:t>2026-03-31 00:00:00+00:00</w:t>
      </w:r>
      <w:r>
        <w:t xml:space="preserve">    </w:t>
      </w:r>
      <w:r>
        <w:rPr>
          <w:b/>
        </w:rPr>
        <w:t xml:space="preserve">DOI: </w:t>
      </w:r>
      <w:hyperlink r:id="rId542">
        <w:r>
          <w:rPr>
            <w:color w:val="1155CC"/>
            <w:u w:val="single"/>
          </w:rPr>
          <w:t>10.1038/s41557-026-02108-7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[183] </w:t>
      </w:r>
      <w:hyperlink r:id="rId543">
        <w:r>
          <w:rPr>
            <w:color w:val="1155CC"/>
            <w:u w:val="single"/>
          </w:rPr>
          <w:t>用于战争的AI需要一个强有力的伦理框架</w:t>
        </w:r>
      </w:hyperlink>
    </w:p>
    <w:p>
      <w:pPr>
        <w:spacing w:before="0" w:after="80"/>
      </w:pPr>
      <w:r>
        <w:rPr>
          <w:i/>
          <w:sz w:val="20"/>
        </w:rPr>
        <w:t>EN: AI used in warfare needs a strong ethical framework</w:t>
      </w:r>
    </w:p>
    <w:p>
      <w:pPr>
        <w:spacing w:before="0" w:after="120"/>
      </w:pPr>
      <w:r>
        <w:rPr>
          <w:b/>
        </w:rPr>
        <w:t xml:space="preserve">Source: </w:t>
      </w:r>
      <w:r>
        <w:t>Nature</w:t>
      </w:r>
      <w:r>
        <w:t xml:space="preserve">    </w:t>
      </w:r>
      <w:r>
        <w:rPr>
          <w:b/>
        </w:rPr>
        <w:t xml:space="preserve">Pub date: </w:t>
      </w:r>
      <w:r>
        <w:t>2026-03-31 00:00:00+00:00</w:t>
      </w:r>
      <w:r>
        <w:t xml:space="preserve">    </w:t>
      </w:r>
      <w:r>
        <w:rPr>
          <w:b/>
        </w:rPr>
        <w:t xml:space="preserve">DOI: </w:t>
      </w:r>
      <w:hyperlink r:id="rId544">
        <w:r>
          <w:rPr>
            <w:color w:val="1155CC"/>
            <w:u w:val="single"/>
          </w:rPr>
          <w:t>10.1038/d41586-026-01008-7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[184] </w:t>
      </w:r>
      <w:hyperlink r:id="rId545">
        <w:r>
          <w:rPr>
            <w:color w:val="1155CC"/>
            <w:u w:val="single"/>
          </w:rPr>
          <w:t>由强激子限制驱动的层间激子通量放大</w:t>
        </w:r>
      </w:hyperlink>
    </w:p>
    <w:p>
      <w:pPr>
        <w:spacing w:before="0" w:after="80"/>
      </w:pPr>
      <w:r>
        <w:rPr>
          <w:i/>
          <w:sz w:val="20"/>
        </w:rPr>
        <w:t>EN: Interlayer exciton flux amplification driven by strong exciton confinement</w:t>
      </w:r>
    </w:p>
    <w:p>
      <w:pPr>
        <w:spacing w:before="0" w:after="120"/>
      </w:pPr>
      <w:r>
        <w:rPr>
          <w:b/>
        </w:rPr>
        <w:t xml:space="preserve">Source: </w:t>
      </w:r>
      <w:r>
        <w:t>Nature Materials</w:t>
      </w:r>
      <w:r>
        <w:t xml:space="preserve">    </w:t>
      </w:r>
      <w:r>
        <w:rPr>
          <w:b/>
        </w:rPr>
        <w:t xml:space="preserve">Pub date: </w:t>
      </w:r>
      <w:r>
        <w:t>2026-03-31 00:00:00+00:00</w:t>
      </w:r>
      <w:r>
        <w:t xml:space="preserve">    </w:t>
      </w:r>
      <w:r>
        <w:rPr>
          <w:b/>
        </w:rPr>
        <w:t xml:space="preserve">DOI: </w:t>
      </w:r>
      <w:hyperlink r:id="rId546">
        <w:r>
          <w:rPr>
            <w:color w:val="1155CC"/>
            <w:u w:val="single"/>
          </w:rPr>
          <w:t>10.1038/s41563-026-02569-8</w:t>
        </w:r>
      </w:hyperlink>
    </w:p>
    <w:p>
      <w:pPr>
        <w:spacing w:before="0" w:after="120"/>
      </w:pPr>
      <w:r>
        <w:rPr>
          <w:b/>
        </w:rPr>
        <w:t xml:space="preserve">Notes: </w:t>
      </w:r>
      <w:r>
        <w:t>abstract_source=nature_html</w:t>
      </w:r>
    </w:p>
    <w:p>
      <w:pPr>
        <w:spacing w:before="0" w:after="80" w:lineRule="auto" w:line="276"/>
      </w:pPr>
      <w:r>
        <w:rPr>
          <w:b/>
        </w:rPr>
        <w:t xml:space="preserve">摘要（ZH）: </w:t>
      </w:r>
      <w:r>
        <w:t>范德华异质结构中层间激子（IXs）的复杂但非凡的传输特性推动了先进激子电路的发展，但其在纳米尺度上的传输机制仍然很大程度上未知。在此，我们展示了一种异常的IX传输机制，该机制源于范德华异质结构中的纳米尺度带隙修改。为了操控并同时探测这种IX行为，我们使用具有亚纳米级位置精度的可控电等离子体纳米腔。纳米尺度带隙梯度将IXs限制在一个狭窄的势阱中，形成一个高度局部化的密度分布，其向外扩散电流超过了电场引起的漂移。我们量化了扩散电流相较于实现的约8,300%的放大。</w:t>
      </w:r>
    </w:p>
    <w:p>
      <w:pPr>
        <w:spacing w:before="0" w:after="200" w:lineRule="auto" w:line="276"/>
      </w:pPr>
      <w:r>
        <w:rPr>
          <w:b/>
        </w:rPr>
        <w:t xml:space="preserve">Abstract (EN): </w:t>
      </w:r>
      <w:r>
        <w:t>The complex but extraordinary transport properties of interlayer excitons (IXs) in van der Waals heterostructures drive the development of advanced excitonic circuits, yet their transport mechanisms at the nanoscale remain largely unknown. Here we demonstrate an anomalous IX transport regime arising from nanoscale bandgap modifications in van der Waals heterostructures. To manipulate and simultaneously probe such IX behaviour, we use a controllable electro-plasmonic nanocavity with subnanometre positional precision. The nanoscale bandgap gradient confines IXs to a narrow potential well, creating a highly localized density profile whose outward diffusion current exceeds the electric-field-induced drift. We quantify an ~8,300% amplification of the diffusion current compared with that achieved using conventional microscale gating. Moreover, this anomalous regime is not governed by the total IX population, but by the nanoscale IX density gradient. Our work reveals a decoupling of IX transport efficiency from density constraints, establishing nanocavity confinement for reconfigurable exciton flux in van der Waals devices.</w:t>
      </w:r>
    </w:p>
    <w:p>
      <w:pPr>
        <w:spacing w:before="120" w:after="120"/>
      </w:pPr>
      <w:r>
        <w:rPr>
          <w:sz w:val="18"/>
        </w:rPr>
        <w:t>——————————————————————————————————————————————————————————————————————</w:t>
      </w:r>
    </w:p>
    <w:p>
      <w:pPr>
        <w:spacing w:before="160" w:after="40" w:line="240" w:lineRule="auto"/>
      </w:pPr>
      <w:r>
        <w:rPr>
          <w:b/>
        </w:rPr>
        <w:t xml:space="preserve">[185] </w:t>
      </w:r>
      <w:hyperlink r:id="rId547">
        <w:r>
          <w:rPr>
            <w:color w:val="1155CC"/>
            <w:u w:val="single"/>
          </w:rPr>
          <w:t>巨型钙钛矿纳米晶体中合作发射机制的转变</w:t>
        </w:r>
      </w:hyperlink>
    </w:p>
    <w:p>
      <w:pPr>
        <w:spacing w:before="0" w:after="80"/>
      </w:pPr>
      <w:r>
        <w:rPr>
          <w:i/>
          <w:sz w:val="20"/>
        </w:rPr>
        <w:t>EN: Transition between cooperative emission regimes in giant perovskite nanocrystals</w:t>
      </w:r>
    </w:p>
    <w:p>
      <w:pPr>
        <w:spacing w:before="0" w:after="120"/>
      </w:pPr>
      <w:r>
        <w:rPr>
          <w:b/>
        </w:rPr>
        <w:t xml:space="preserve">Source: </w:t>
      </w:r>
      <w:r>
        <w:t>Nature Materials</w:t>
      </w:r>
      <w:r>
        <w:t xml:space="preserve">    </w:t>
      </w:r>
      <w:r>
        <w:rPr>
          <w:b/>
        </w:rPr>
        <w:t xml:space="preserve">Pub date: </w:t>
      </w:r>
      <w:r>
        <w:t>2026-03-31 00:00:00+00:00</w:t>
      </w:r>
      <w:r>
        <w:t xml:space="preserve">    </w:t>
      </w:r>
      <w:r>
        <w:rPr>
          <w:b/>
        </w:rPr>
        <w:t xml:space="preserve">DOI: </w:t>
      </w:r>
      <w:hyperlink r:id="rId548">
        <w:r>
          <w:rPr>
            <w:color w:val="1155CC"/>
            <w:u w:val="single"/>
          </w:rPr>
          <w:t>10.1038/s41563-026-02544-3</w:t>
        </w:r>
      </w:hyperlink>
    </w:p>
    <w:p>
      <w:pPr>
        <w:spacing w:before="0" w:after="120"/>
      </w:pPr>
      <w:r>
        <w:rPr>
          <w:b/>
        </w:rPr>
        <w:t xml:space="preserve">Notes: </w:t>
      </w:r>
      <w:r>
        <w:t>abstract_source=nature_html</w:t>
      </w:r>
    </w:p>
    <w:p>
      <w:pPr>
        <w:spacing w:before="0" w:after="80" w:lineRule="auto" w:line="276"/>
      </w:pPr>
      <w:r>
        <w:rPr>
          <w:b/>
        </w:rPr>
        <w:t xml:space="preserve">摘要（ZH）: </w:t>
      </w:r>
      <w:r>
        <w:t>发射体之间的相互作用可以产生改变光发射的协同效应。在超荧光（SF）中，激发偶极子相干耦合并集体辐射，需要低能量无序和强时间相干性。相反，放大自发发射是由受激放大产生的，不需要时间相干性，但与SF不同，需要足够的传播以获得光学增益。铯铅卤化物钙钛矿纳米晶体在无序薄膜中表现出放大自发发射，而在有序组装中表现出SF；然而，这些机制之间的联系仍不清楚。在此，我们展示了温度和激发密度可以驱动巨型CsPbBr3钙钛矿纳米晶体薄膜中这两种机制之间的转变。在温度下</w:t>
      </w:r>
    </w:p>
    <w:p>
      <w:pPr>
        <w:spacing w:before="0" w:after="200" w:lineRule="auto" w:line="276"/>
      </w:pPr>
      <w:r>
        <w:rPr>
          <w:b/>
        </w:rPr>
        <w:t xml:space="preserve">Abstract (EN): </w:t>
      </w:r>
      <w:r>
        <w:t>Interactions between emitters can create cooperative effects that alter light emission. In superfluorescence (SF), excited dipoles couple coherently and radiate collectively, requiring low energetic disorder and strong temporal coherence. Conversely, amplified spontaneous emission results from stimulated amplification and does not require temporal coherence but, unlike SF, sufficient propagation for optical gain. Caesium lead halide perovskite nanocrystals exhibit both amplified spontaneous emission (in disordered films) and SF (in ordered assemblies); however, the connections between these regimes remain unclear. Here we demonstrate that temperature and excitation density can drive the transition between both regimes in a thin film of giant CsPbBr3 perovskite nanocrystals. At temperatures below 45 K, excitonic SF was observed, whereas above a transition range between 45 K and 100 K, amplified spontaneous emission prevails but requires increased optical excitation and emitter density. Our results work out the different collective effects present in lead halide perovskites, providing fundamental insights into cooperative phenomena and guidance for the development of compact and bright (quantum) light sources.</w:t>
      </w:r>
    </w:p>
    <w:p>
      <w:pPr>
        <w:spacing w:before="120" w:after="120"/>
      </w:pPr>
      <w:r>
        <w:rPr>
          <w:sz w:val="18"/>
        </w:rPr>
        <w:t>——————————————————————————————————————————————————————————————————————</w:t>
      </w:r>
    </w:p>
    <w:p>
      <w:pPr>
        <w:spacing w:before="160" w:after="40" w:line="240" w:lineRule="auto"/>
      </w:pPr>
      <w:r>
        <w:rPr>
          <w:b/>
        </w:rPr>
        <w:t xml:space="preserve">[186] </w:t>
      </w:r>
      <w:hyperlink r:id="rId549">
        <w:r>
          <w:rPr>
            <w:color w:val="1155CC"/>
            <w:u w:val="single"/>
          </w:rPr>
          <w:t>连接合作发射的点滴</w:t>
        </w:r>
      </w:hyperlink>
    </w:p>
    <w:p>
      <w:pPr>
        <w:spacing w:before="0" w:after="80"/>
      </w:pPr>
      <w:r>
        <w:rPr>
          <w:i/>
          <w:sz w:val="20"/>
        </w:rPr>
        <w:t>EN: Connecting the dots for cooperative emission</w:t>
      </w:r>
    </w:p>
    <w:p>
      <w:pPr>
        <w:spacing w:before="0" w:after="120"/>
      </w:pPr>
      <w:r>
        <w:rPr>
          <w:b/>
        </w:rPr>
        <w:t xml:space="preserve">Source: </w:t>
      </w:r>
      <w:r>
        <w:t>Nature Materials</w:t>
      </w:r>
      <w:r>
        <w:t xml:space="preserve">    </w:t>
      </w:r>
      <w:r>
        <w:rPr>
          <w:b/>
        </w:rPr>
        <w:t xml:space="preserve">Pub date: </w:t>
      </w:r>
      <w:r>
        <w:t>2026-03-31 00:00:00+00:00</w:t>
      </w:r>
      <w:r>
        <w:t xml:space="preserve">    </w:t>
      </w:r>
      <w:r>
        <w:rPr>
          <w:b/>
        </w:rPr>
        <w:t xml:space="preserve">DOI: </w:t>
      </w:r>
      <w:hyperlink r:id="rId550">
        <w:r>
          <w:rPr>
            <w:color w:val="1155CC"/>
            <w:u w:val="single"/>
          </w:rPr>
          <w:t>10.1038/s41563-026-02560-3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[187] </w:t>
      </w:r>
      <w:hyperlink r:id="rId551">
        <w:r>
          <w:rPr>
            <w:color w:val="1155CC"/>
            <w:u w:val="single"/>
          </w:rPr>
          <w:t>理解反向偏压效应</w:t>
        </w:r>
      </w:hyperlink>
    </w:p>
    <w:p>
      <w:pPr>
        <w:spacing w:before="0" w:after="80"/>
      </w:pPr>
      <w:r>
        <w:rPr>
          <w:i/>
          <w:sz w:val="20"/>
        </w:rPr>
        <w:t>EN: Understanding reverse bias effects</w:t>
      </w:r>
    </w:p>
    <w:p>
      <w:pPr>
        <w:spacing w:before="0" w:after="120"/>
      </w:pPr>
      <w:r>
        <w:rPr>
          <w:b/>
        </w:rPr>
        <w:t xml:space="preserve">Source: </w:t>
      </w:r>
      <w:r>
        <w:t>Nature Energy</w:t>
      </w:r>
      <w:r>
        <w:t xml:space="preserve">    </w:t>
      </w:r>
      <w:r>
        <w:rPr>
          <w:b/>
        </w:rPr>
        <w:t xml:space="preserve">Pub date: </w:t>
      </w:r>
      <w:r>
        <w:t>2026-03-31 00:00:00+00:00</w:t>
      </w:r>
      <w:r>
        <w:t xml:space="preserve">    </w:t>
      </w:r>
      <w:r>
        <w:rPr>
          <w:b/>
        </w:rPr>
        <w:t xml:space="preserve">DOI: </w:t>
      </w:r>
      <w:hyperlink r:id="rId552">
        <w:r>
          <w:rPr>
            <w:color w:val="1155CC"/>
            <w:u w:val="single"/>
          </w:rPr>
          <w:t>10.1038/s41560-026-02017-6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[188] </w:t>
      </w:r>
      <w:hyperlink r:id="rId553">
        <w:r>
          <w:rPr>
            <w:color w:val="1155CC"/>
            <w:u w:val="single"/>
          </w:rPr>
          <w:t>研究工具箱和材料设计以应对可充电钙金属电池的挑战</w:t>
        </w:r>
      </w:hyperlink>
    </w:p>
    <w:p>
      <w:pPr>
        <w:spacing w:before="0" w:after="80"/>
      </w:pPr>
      <w:r>
        <w:rPr>
          <w:i/>
          <w:sz w:val="20"/>
        </w:rPr>
        <w:t>EN: Research toolbox and material design to meet the challenge of rechargeable Ca metal batteries</w:t>
      </w:r>
    </w:p>
    <w:p>
      <w:pPr>
        <w:spacing w:before="0" w:after="120"/>
      </w:pPr>
      <w:r>
        <w:rPr>
          <w:b/>
        </w:rPr>
        <w:t xml:space="preserve">Source: </w:t>
      </w:r>
      <w:r>
        <w:t>Joule</w:t>
      </w:r>
      <w:r>
        <w:t xml:space="preserve">    </w:t>
      </w:r>
      <w:r>
        <w:rPr>
          <w:b/>
        </w:rPr>
        <w:t xml:space="preserve">Pub date: </w:t>
      </w:r>
      <w:r>
        <w:t>2026-03-31 00:00:00+00:00</w:t>
      </w:r>
      <w:r>
        <w:t xml:space="preserve">    </w:t>
      </w:r>
      <w:r>
        <w:rPr>
          <w:b/>
        </w:rPr>
        <w:t xml:space="preserve">DOI: </w:t>
      </w:r>
      <w:hyperlink r:id="rId554">
        <w:r>
          <w:rPr>
            <w:color w:val="1155CC"/>
            <w:u w:val="single"/>
          </w:rPr>
          <w:t>10.1016/j.joule.2026.102401</w:t>
        </w:r>
      </w:hyperlink>
    </w:p>
    <w:p>
      <w:pPr>
        <w:spacing w:before="0" w:after="120"/>
      </w:pPr>
      <w:r>
        <w:rPr>
          <w:b/>
        </w:rPr>
        <w:t xml:space="preserve">Notes: </w:t>
      </w:r>
      <w:r>
        <w:t>abstract_source=rss_cell</w:t>
      </w:r>
    </w:p>
    <w:p>
      <w:pPr>
        <w:spacing w:before="0" w:after="80" w:lineRule="auto" w:line="276"/>
      </w:pPr>
      <w:r>
        <w:rPr>
          <w:b/>
        </w:rPr>
        <w:t xml:space="preserve">摘要（ZH）: </w:t>
      </w:r>
      <w:r>
        <w:t>钙金属负极电池被认为是下一代高能量密度电池的潜在选择。然而，其实际应用需要在钙金属界面设计、电解质稳定性和正极宿主的可逆性方面进行显著改进。然而，目前的文献报道往往基于直接从锂电池研究中引入的不足研究方法，这常常导致错误的结论并严重阻碍材料开发。因此，需要改进的研究工具箱以加速钙金属电池的发展。</w:t>
      </w:r>
    </w:p>
    <w:p>
      <w:pPr>
        <w:spacing w:before="0" w:after="200" w:lineRule="auto" w:line="276"/>
      </w:pPr>
      <w:r>
        <w:rPr>
          <w:b/>
        </w:rPr>
        <w:t xml:space="preserve">Abstract (EN): </w:t>
      </w:r>
      <w:r>
        <w:t>Ca metal anode batteries are considered potential next-generation high-energy-density batteries. However, their practical applications will require significant improvements in the design of the Ca metal interphase, electrolyte stability, and reversibility of cathode hosts. However, current literature reports are often based on insufficient research methodology directly imported from Li battery research, which frequently leads to erroneous conclusions and severely impedes material development. Therefore, an improved research toolbox is needed to accelerate the development of Ca metal batteries.</w:t>
      </w:r>
    </w:p>
    <w:p>
      <w:pPr>
        <w:spacing w:before="120" w:after="120"/>
      </w:pPr>
      <w:r>
        <w:rPr>
          <w:sz w:val="18"/>
        </w:rPr>
        <w:t>——————————————————————————————————————————————————————————————————————</w:t>
      </w:r>
    </w:p>
    <w:p>
      <w:pPr>
        <w:spacing w:before="160" w:after="40" w:line="240" w:lineRule="auto"/>
      </w:pPr>
      <w:r>
        <w:rPr>
          <w:b/>
        </w:rPr>
        <w:t xml:space="preserve">[189] </w:t>
      </w:r>
      <w:hyperlink r:id="rId555">
        <w:r>
          <w:rPr>
            <w:color w:val="1155CC"/>
            <w:u w:val="single"/>
          </w:rPr>
          <w:t>兔子还是虫子？</w:t>
        </w:r>
      </w:hyperlink>
    </w:p>
    <w:p>
      <w:pPr>
        <w:spacing w:before="0" w:after="80"/>
      </w:pPr>
      <w:r>
        <w:rPr>
          <w:i/>
          <w:sz w:val="20"/>
        </w:rPr>
        <w:t>EN: Bunny or bug?</w:t>
      </w:r>
    </w:p>
    <w:p>
      <w:pPr>
        <w:spacing w:before="0" w:after="120"/>
      </w:pPr>
      <w:r>
        <w:rPr>
          <w:b/>
        </w:rPr>
        <w:t xml:space="preserve">Source: </w:t>
      </w:r>
      <w:r>
        <w:t>Nature</w:t>
      </w:r>
      <w:r>
        <w:t xml:space="preserve">    </w:t>
      </w:r>
      <w:r>
        <w:rPr>
          <w:b/>
        </w:rPr>
        <w:t xml:space="preserve">Pub date: </w:t>
      </w:r>
      <w:r>
        <w:t>2026-03-31 00:00:00+00:00</w:t>
      </w:r>
      <w:r>
        <w:t xml:space="preserve">    </w:t>
      </w:r>
      <w:r>
        <w:rPr>
          <w:b/>
        </w:rPr>
        <w:t xml:space="preserve">DOI: </w:t>
      </w:r>
      <w:hyperlink r:id="rId556">
        <w:r>
          <w:rPr>
            <w:color w:val="1155CC"/>
            <w:u w:val="single"/>
          </w:rPr>
          <w:t>10.1038/d41586-026-00912-2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[190] </w:t>
      </w:r>
      <w:hyperlink r:id="rId557">
        <w:r>
          <w:rPr>
            <w:color w:val="1155CC"/>
            <w:u w:val="single"/>
          </w:rPr>
          <w:t>基团转移自由基聚合：将有机合成转化为功能性聚合物</w:t>
        </w:r>
      </w:hyperlink>
    </w:p>
    <w:p>
      <w:pPr>
        <w:spacing w:before="0" w:after="80"/>
      </w:pPr>
      <w:r>
        <w:rPr>
          <w:i/>
          <w:sz w:val="20"/>
        </w:rPr>
        <w:t>EN: Group transfer radical polymerization: Translating organic synthesis to functional polymers</w:t>
      </w:r>
    </w:p>
    <w:p>
      <w:pPr>
        <w:spacing w:before="0" w:after="120"/>
      </w:pPr>
      <w:r>
        <w:rPr>
          <w:b/>
        </w:rPr>
        <w:t xml:space="preserve">Source: </w:t>
      </w:r>
      <w:r>
        <w:t>Chem</w:t>
      </w:r>
      <w:r>
        <w:t xml:space="preserve">    </w:t>
      </w:r>
      <w:r>
        <w:rPr>
          <w:b/>
        </w:rPr>
        <w:t xml:space="preserve">Pub date: </w:t>
      </w:r>
      <w:r>
        <w:t>2026-03-31 00:00:00+00:00</w:t>
      </w:r>
      <w:r>
        <w:t xml:space="preserve">    </w:t>
      </w:r>
      <w:r>
        <w:rPr>
          <w:b/>
        </w:rPr>
        <w:t xml:space="preserve">DOI: </w:t>
      </w:r>
      <w:hyperlink r:id="rId558">
        <w:r>
          <w:rPr>
            <w:color w:val="1155CC"/>
            <w:u w:val="single"/>
          </w:rPr>
          <w:t>10.1016/j.chempr.2026.103003</w:t>
        </w:r>
      </w:hyperlink>
    </w:p>
    <w:p>
      <w:pPr>
        <w:spacing w:before="0" w:after="120"/>
      </w:pPr>
      <w:r>
        <w:rPr>
          <w:b/>
        </w:rPr>
        <w:t xml:space="preserve">Notes: </w:t>
      </w:r>
      <w:r>
        <w:t>abstract_source=rss_cell</w:t>
      </w:r>
    </w:p>
    <w:p>
      <w:pPr>
        <w:spacing w:before="0" w:after="80" w:lineRule="auto" w:line="276"/>
      </w:pPr>
      <w:r>
        <w:rPr>
          <w:b/>
        </w:rPr>
        <w:t xml:space="preserve">摘要（ZH）: </w:t>
      </w:r>
      <w:r>
        <w:t>自由基介导的官能团迁移是有机合成中的一个成熟概念，最近已被引入聚合物科学，催生了基团转移自由基聚合（GTRP）。这一策略有效克服了与α-烯烃自由基聚合相关的长期挑战，并实现了序列定义的极性官能化聚烯烃的合成，为精密聚合物合成提供了一个多功能平台。在这篇展望中，我们调查了GTRP框架内开发的四个关键机制平台，并确定了这一快速发展的领域中的未来机会。</w:t>
      </w:r>
    </w:p>
    <w:p>
      <w:pPr>
        <w:spacing w:before="0" w:after="200" w:lineRule="auto" w:line="276"/>
      </w:pPr>
      <w:r>
        <w:rPr>
          <w:b/>
        </w:rPr>
        <w:t xml:space="preserve">Abstract (EN): </w:t>
      </w:r>
      <w:r>
        <w:t>Radical-mediated functional group migration—a well-established concept in organic synthesis—has recently been translated into polymer science, giving rise to group transfer radical polymerization (GTRP). This strategy effectively overcomes the long-standing challenges associated with the radical polymerization of α-olefins and enables the synthesis of sequence-defined, polar-functionalized polyolefins, offering a versatile platform for precision polymer synthesis. In this perspective, we survey the four key mechanistic platforms developed within the GTRP framework and identify future opportunities in this rapidly evolving field.</w:t>
      </w:r>
    </w:p>
    <w:p>
      <w:pPr>
        <w:spacing w:before="120" w:after="120"/>
      </w:pPr>
      <w:r>
        <w:rPr>
          <w:sz w:val="18"/>
        </w:rPr>
        <w:t>——————————————————————————————————————————————————————————————————————</w:t>
      </w:r>
    </w:p>
    <w:p>
      <w:pPr>
        <w:spacing w:before="160" w:after="40" w:line="240" w:lineRule="auto"/>
      </w:pPr>
      <w:r>
        <w:rPr>
          <w:b/>
        </w:rPr>
        <w:t xml:space="preserve">[191] </w:t>
      </w:r>
      <w:hyperlink r:id="rId559">
        <w:r>
          <w:rPr>
            <w:color w:val="1155CC"/>
            <w:u w:val="single"/>
          </w:rPr>
          <w:t>‘薛定谔的碳’：碳捕集与封存被误分类为标准减缓措施</w:t>
        </w:r>
      </w:hyperlink>
    </w:p>
    <w:p>
      <w:pPr>
        <w:spacing w:before="0" w:after="80"/>
      </w:pPr>
      <w:r>
        <w:rPr>
          <w:i/>
          <w:sz w:val="20"/>
        </w:rPr>
        <w:t>EN: Schrödinger’s carbon’: The misclassification of carbon capture and storage as standard mitigation</w:t>
      </w:r>
    </w:p>
    <w:p>
      <w:pPr>
        <w:spacing w:before="0" w:after="120"/>
      </w:pPr>
      <w:r>
        <w:rPr>
          <w:b/>
        </w:rPr>
        <w:t xml:space="preserve">Source: </w:t>
      </w:r>
      <w:r>
        <w:t>Nature</w:t>
      </w:r>
      <w:r>
        <w:t xml:space="preserve">    </w:t>
      </w:r>
      <w:r>
        <w:rPr>
          <w:b/>
        </w:rPr>
        <w:t xml:space="preserve">Pub date: </w:t>
      </w:r>
      <w:r>
        <w:t>2026-03-31 00:00:00+00:00</w:t>
      </w:r>
      <w:r>
        <w:t xml:space="preserve">    </w:t>
      </w:r>
      <w:r>
        <w:rPr>
          <w:b/>
        </w:rPr>
        <w:t xml:space="preserve">DOI: </w:t>
      </w:r>
      <w:hyperlink r:id="rId560">
        <w:r>
          <w:rPr>
            <w:color w:val="1155CC"/>
            <w:u w:val="single"/>
          </w:rPr>
          <w:t>10.1038/d41586-026-01009-6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[192] </w:t>
      </w:r>
      <w:hyperlink r:id="rId561">
        <w:r>
          <w:rPr>
            <w:color w:val="1155CC"/>
            <w:u w:val="single"/>
          </w:rPr>
          <w:t>一个太阳系诞生了</w:t>
        </w:r>
      </w:hyperlink>
    </w:p>
    <w:p>
      <w:pPr>
        <w:spacing w:before="0" w:after="80"/>
      </w:pPr>
      <w:r>
        <w:rPr>
          <w:i/>
          <w:sz w:val="20"/>
        </w:rPr>
        <w:t>EN: A solar system is born</w:t>
      </w:r>
    </w:p>
    <w:p>
      <w:pPr>
        <w:spacing w:before="0" w:after="120"/>
      </w:pPr>
      <w:r>
        <w:rPr>
          <w:b/>
        </w:rPr>
        <w:t xml:space="preserve">Source: </w:t>
      </w:r>
      <w:r>
        <w:t>Nature</w:t>
      </w:r>
      <w:r>
        <w:t xml:space="preserve">    </w:t>
      </w:r>
      <w:r>
        <w:rPr>
          <w:b/>
        </w:rPr>
        <w:t xml:space="preserve">Pub date: </w:t>
      </w:r>
      <w:r>
        <w:t>2026-03-31 00:00:00+00:00</w:t>
      </w:r>
      <w:r>
        <w:t xml:space="preserve">    </w:t>
      </w:r>
      <w:r>
        <w:rPr>
          <w:b/>
        </w:rPr>
        <w:t xml:space="preserve">DOI: </w:t>
      </w:r>
      <w:hyperlink r:id="rId562">
        <w:r>
          <w:rPr>
            <w:color w:val="1155CC"/>
            <w:u w:val="single"/>
          </w:rPr>
          <w:t>10.1038/d41586-026-01002-z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[193] </w:t>
      </w:r>
      <w:hyperlink r:id="rId563">
        <w:r>
          <w:rPr>
            <w:color w:val="1155CC"/>
            <w:u w:val="single"/>
          </w:rPr>
          <w:t>小鼠细胞质格子的结构</w:t>
        </w:r>
      </w:hyperlink>
    </w:p>
    <w:p>
      <w:pPr>
        <w:spacing w:before="0" w:after="80"/>
      </w:pPr>
      <w:r>
        <w:rPr>
          <w:i/>
          <w:sz w:val="20"/>
        </w:rPr>
        <w:t>EN: Structure of the mouse cytoplasmic lattice</w:t>
      </w:r>
    </w:p>
    <w:p>
      <w:pPr>
        <w:spacing w:before="0" w:after="120"/>
      </w:pPr>
      <w:r>
        <w:rPr>
          <w:b/>
        </w:rPr>
        <w:t xml:space="preserve">Source: </w:t>
      </w:r>
      <w:r>
        <w:t>Nature</w:t>
      </w:r>
      <w:r>
        <w:t xml:space="preserve">    </w:t>
      </w:r>
      <w:r>
        <w:rPr>
          <w:b/>
        </w:rPr>
        <w:t xml:space="preserve">Pub date: </w:t>
      </w:r>
      <w:r>
        <w:t>2026-03-31 00:00:00+00:00</w:t>
      </w:r>
      <w:r>
        <w:t xml:space="preserve">    </w:t>
      </w:r>
      <w:r>
        <w:rPr>
          <w:b/>
        </w:rPr>
        <w:t xml:space="preserve">DOI: </w:t>
      </w:r>
      <w:hyperlink r:id="rId564">
        <w:r>
          <w:rPr>
            <w:color w:val="1155CC"/>
            <w:u w:val="single"/>
          </w:rPr>
          <w:t>10.1038/s41586-026-10442-6</w:t>
        </w:r>
      </w:hyperlink>
    </w:p>
    <w:p>
      <w:pPr>
        <w:spacing w:before="0" w:after="120"/>
      </w:pPr>
      <w:r>
        <w:rPr>
          <w:b/>
        </w:rPr>
        <w:t xml:space="preserve">Notes: </w:t>
      </w:r>
      <w:r>
        <w:t>abstract_source=nature_html</w:t>
      </w:r>
    </w:p>
    <w:p>
      <w:pPr>
        <w:spacing w:before="0" w:after="80" w:lineRule="auto" w:line="276"/>
      </w:pPr>
      <w:r>
        <w:rPr>
          <w:b/>
        </w:rPr>
        <w:t xml:space="preserve">摘要（ZH）: </w:t>
      </w:r>
      <w:r>
        <w:t>受精卵几乎完全依赖卵母细胞中的母体储备以确保发育的成功启动。哺乳动物卵母细胞中的细胞质格子（CPLs）储存母体表达的蛋白质，并在胚胎发生中发挥重要作用。损害多个CPL成员会导致早期胚胎停滞（EEA），从而导致哺乳动物的不育。然而，CPLs的组装和储存机制仍然很大程度上未知。在此，我们报告了一个本地小鼠CPL重复单元（约4 MDa）的冷冻电镜结构，分辨率为3.74 Å。这个重复单元展示了一个三部分结构，包括框架、延伸连接器和CPL核心。外部框架由PADI6十聚体和皮质下母体复合物（SCMC）构成。两个连接器形成</w:t>
      </w:r>
    </w:p>
    <w:p>
      <w:pPr>
        <w:spacing w:before="0" w:after="200" w:lineRule="auto" w:line="276"/>
      </w:pPr>
      <w:r>
        <w:rPr>
          <w:b/>
        </w:rPr>
        <w:t xml:space="preserve">Abstract (EN): </w:t>
      </w:r>
      <w:r>
        <w:t>The fertilized egg relies almost entirely on maternal stores in the oocyte to ensure the successful initiation of development1. The cytoplasmic lattices (CPLs) in mammalian oocytes store maternal-expressed proteins and play an essential role in embryogenesis2,3. Impairing multiple CPL members leads to early embryonic arrest (EEA), resulting in infertility in mammals. However, the mechanism underlying the assembly and storage of CPLs remains largely unknown. Here, we report the cryo-EM structure of a native mouse CPL repeating unit (~ 4 MDa) at 3.74 Å resolution. This repeating unit exhibits a tripartite architecture comprising a framework, extended linkers, and a CPL core. The external framework is built from PADI6 decamers and the subcortical maternal complexes (SCMC). Two linkers formed by NLRP4F polymerize the frameworks into an extended filament. In CPL core, the epigenetic regulator UHRF1 is trapped by PADI6, UBE2D, and NLRP14 in a compact, autoinhibited conformation that prevents nuclear entry and ubiquitin ligase activity. Moreover, the CPL core stores GTP-bound α/β-tubulin heterodimers and inactive SCF E3-ubiquitin ligase components (FBXW-SKP1 complex) in a poised but restrained state. These features establish CPLs as a dynamic regulatory pool that enables rapid microtubule assembly and tightly controlled ubiquitination during the oocyte-to-embryo transition. Together, this semi-in-situ structure illuminates CPL assembly and storage-module organization, and establishes CPLs as specialized proteostasis organelles for maternal regulation in oocytes and early embryonic development.</w:t>
      </w:r>
    </w:p>
    <w:p>
      <w:pPr>
        <w:spacing w:before="120" w:after="120"/>
      </w:pPr>
      <w:r>
        <w:rPr>
          <w:sz w:val="18"/>
        </w:rPr>
        <w:t>——————————————————————————————————————————————————————————————————————</w:t>
      </w:r>
    </w:p>
    <w:p>
      <w:pPr>
        <w:spacing w:before="160" w:after="40" w:line="240" w:lineRule="auto"/>
      </w:pPr>
      <w:r>
        <w:rPr>
          <w:b/>
        </w:rPr>
        <w:t xml:space="preserve">[194] </w:t>
      </w:r>
      <w:hyperlink r:id="rId565">
        <w:r>
          <w:rPr>
            <w:color w:val="1155CC"/>
            <w:u w:val="single"/>
          </w:rPr>
          <w:t>作者更正：对470,727个UK Biobank基因组中的拷贝数变异进行表型范围分析</w:t>
        </w:r>
      </w:hyperlink>
    </w:p>
    <w:p>
      <w:pPr>
        <w:spacing w:before="0" w:after="80"/>
      </w:pPr>
      <w:r>
        <w:rPr>
          <w:i/>
          <w:sz w:val="20"/>
        </w:rPr>
        <w:t>EN: Author Correction: Phenome-wide analysis of copy number variants in 470,727 UK Biobank genomes</w:t>
      </w:r>
    </w:p>
    <w:p>
      <w:pPr>
        <w:spacing w:before="0" w:after="120"/>
      </w:pPr>
      <w:r>
        <w:rPr>
          <w:b/>
        </w:rPr>
        <w:t xml:space="preserve">Source: </w:t>
      </w:r>
      <w:r>
        <w:t>Nature</w:t>
      </w:r>
      <w:r>
        <w:t xml:space="preserve">    </w:t>
      </w:r>
      <w:r>
        <w:rPr>
          <w:b/>
        </w:rPr>
        <w:t xml:space="preserve">Pub date: </w:t>
      </w:r>
      <w:r>
        <w:t>2026-03-31 00:00:00+00:00</w:t>
      </w:r>
      <w:r>
        <w:t xml:space="preserve">    </w:t>
      </w:r>
      <w:r>
        <w:rPr>
          <w:b/>
        </w:rPr>
        <w:t xml:space="preserve">DOI: </w:t>
      </w:r>
      <w:hyperlink r:id="rId566">
        <w:r>
          <w:rPr>
            <w:color w:val="1155CC"/>
            <w:u w:val="single"/>
          </w:rPr>
          <w:t>10.1038/s41586-026-10389-8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[195] </w:t>
      </w:r>
      <w:hyperlink r:id="rId567">
        <w:r>
          <w:rPr>
            <w:color w:val="1155CC"/>
            <w:u w:val="single"/>
          </w:rPr>
          <w:t>通过双系统误差建模框架进行无显式参数识别的物理信息化SOC估计</w:t>
        </w:r>
      </w:hyperlink>
    </w:p>
    <w:p>
      <w:pPr>
        <w:spacing w:before="0" w:after="80"/>
      </w:pPr>
      <w:r>
        <w:rPr>
          <w:i/>
          <w:sz w:val="20"/>
        </w:rPr>
        <w:t>EN: Physics-informed SOC estimation without explicit parameter identification via a dual-system error modeling framework</w:t>
      </w:r>
    </w:p>
    <w:p>
      <w:pPr>
        <w:spacing w:before="0" w:after="120"/>
      </w:pPr>
      <w:r>
        <w:rPr>
          <w:b/>
        </w:rPr>
        <w:t xml:space="preserve">Source: </w:t>
      </w:r>
      <w:r>
        <w:t>ScienceDirect Publication: Applied Energy</w:t>
      </w:r>
      <w:r>
        <w:t xml:space="preserve">    </w:t>
      </w:r>
      <w:r>
        <w:rPr>
          <w:b/>
        </w:rPr>
        <w:t xml:space="preserve">Pub date: </w:t>
      </w:r>
      <w:r>
        <w:t>2026-03-31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[196] </w:t>
      </w:r>
      <w:hyperlink r:id="rId568">
        <w:r>
          <w:rPr>
            <w:color w:val="1155CC"/>
            <w:u w:val="single"/>
          </w:rPr>
          <w:t>通过多任务关键点检测和符号构建进行可解释的锂离子电池退化轨迹预测</w:t>
        </w:r>
      </w:hyperlink>
    </w:p>
    <w:p>
      <w:pPr>
        <w:spacing w:before="0" w:after="80"/>
      </w:pPr>
      <w:r>
        <w:rPr>
          <w:i/>
          <w:sz w:val="20"/>
        </w:rPr>
        <w:t>EN: Interpretable lithium-ion battery degradation trajectory prediction via multi-task critical point detection and symbolic construction</w:t>
      </w:r>
    </w:p>
    <w:p>
      <w:pPr>
        <w:spacing w:before="0" w:after="120"/>
      </w:pPr>
      <w:r>
        <w:rPr>
          <w:b/>
        </w:rPr>
        <w:t xml:space="preserve">Source: </w:t>
      </w:r>
      <w:r>
        <w:t>ScienceDirect Publication: Applied Energy</w:t>
      </w:r>
      <w:r>
        <w:t xml:space="preserve">    </w:t>
      </w:r>
      <w:r>
        <w:rPr>
          <w:b/>
        </w:rPr>
        <w:t xml:space="preserve">Pub date: </w:t>
      </w:r>
      <w:r>
        <w:t>2026-03-31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[197] </w:t>
      </w:r>
      <w:hyperlink r:id="rId569">
        <w:r>
          <w:rPr>
            <w:color w:val="1155CC"/>
            <w:u w:val="single"/>
          </w:rPr>
          <w:t>结合先进LLM和传统色差量化的协作检查：基于红外的缺陷检测案例研究</w:t>
        </w:r>
      </w:hyperlink>
    </w:p>
    <w:p>
      <w:pPr>
        <w:spacing w:before="0" w:after="80"/>
      </w:pPr>
      <w:r>
        <w:rPr>
          <w:i/>
          <w:sz w:val="20"/>
        </w:rPr>
        <w:t>EN: Collaborative inspection integrating both advanced LLM and traditional color difference quantification: A case study in infrared-based defect detection</w:t>
      </w:r>
    </w:p>
    <w:p>
      <w:pPr>
        <w:spacing w:before="0" w:after="120"/>
      </w:pPr>
      <w:r>
        <w:rPr>
          <w:b/>
        </w:rPr>
        <w:t xml:space="preserve">Source: </w:t>
      </w:r>
      <w:r>
        <w:t>ScienceDirect Publication: Applied Energy</w:t>
      </w:r>
      <w:r>
        <w:t xml:space="preserve">    </w:t>
      </w:r>
      <w:r>
        <w:rPr>
          <w:b/>
        </w:rPr>
        <w:t xml:space="preserve">Pub date: </w:t>
      </w:r>
      <w:r>
        <w:t>2026-03-31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[198] </w:t>
      </w:r>
      <w:hyperlink r:id="rId570">
        <w:r>
          <w:rPr>
            <w:color w:val="1155CC"/>
            <w:u w:val="single"/>
          </w:rPr>
          <w:t>内存处理将光谱仪推向边缘</w:t>
        </w:r>
      </w:hyperlink>
    </w:p>
    <w:p>
      <w:pPr>
        <w:spacing w:before="0" w:after="80"/>
      </w:pPr>
      <w:r>
        <w:rPr>
          <w:i/>
          <w:sz w:val="20"/>
        </w:rPr>
        <w:t>EN: In-memory processing takes spectrometers to the edge</w:t>
      </w:r>
    </w:p>
    <w:p>
      <w:pPr>
        <w:spacing w:before="0" w:after="120"/>
      </w:pPr>
      <w:r>
        <w:rPr>
          <w:b/>
        </w:rPr>
        <w:t xml:space="preserve">Source: </w:t>
      </w:r>
      <w:r>
        <w:t>Nature Electronics</w:t>
      </w:r>
      <w:r>
        <w:t xml:space="preserve">    </w:t>
      </w:r>
      <w:r>
        <w:rPr>
          <w:b/>
        </w:rPr>
        <w:t xml:space="preserve">Pub date: </w:t>
      </w:r>
      <w:r>
        <w:t>2026-03-31 00:00:00+00:00</w:t>
      </w:r>
      <w:r>
        <w:t xml:space="preserve">    </w:t>
      </w:r>
      <w:r>
        <w:rPr>
          <w:b/>
        </w:rPr>
        <w:t xml:space="preserve">DOI: </w:t>
      </w:r>
      <w:hyperlink r:id="rId571">
        <w:r>
          <w:rPr>
            <w:color w:val="1155CC"/>
            <w:u w:val="single"/>
          </w:rPr>
          <w:t>10.1038/s41928-026-01595-3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[199] </w:t>
      </w:r>
      <w:hyperlink r:id="rId572">
        <w:r>
          <w:rPr>
            <w:color w:val="1155CC"/>
            <w:u w:val="single"/>
          </w:rPr>
          <w:t>一种三维可拉伸的核壳电缆，用于可图案化、可回收和抗噪声的软性和混合电子产品</w:t>
        </w:r>
      </w:hyperlink>
    </w:p>
    <w:p>
      <w:pPr>
        <w:spacing w:before="0" w:after="80"/>
      </w:pPr>
      <w:r>
        <w:rPr>
          <w:i/>
          <w:sz w:val="20"/>
        </w:rPr>
        <w:t>EN: A three-dimensional stretchable core–shell cable for soft and hybrid electronics that is patternable, recyclable and noise-resistant</w:t>
      </w:r>
    </w:p>
    <w:p>
      <w:pPr>
        <w:spacing w:before="0" w:after="120"/>
      </w:pPr>
      <w:r>
        <w:rPr>
          <w:b/>
        </w:rPr>
        <w:t xml:space="preserve">Source: </w:t>
      </w:r>
      <w:r>
        <w:t>Nature Electronics</w:t>
      </w:r>
      <w:r>
        <w:t xml:space="preserve">    </w:t>
      </w:r>
      <w:r>
        <w:rPr>
          <w:b/>
        </w:rPr>
        <w:t xml:space="preserve">Pub date: </w:t>
      </w:r>
      <w:r>
        <w:t>2026-03-31 00:00:00+00:00</w:t>
      </w:r>
      <w:r>
        <w:t xml:space="preserve">    </w:t>
      </w:r>
      <w:r>
        <w:rPr>
          <w:b/>
        </w:rPr>
        <w:t xml:space="preserve">DOI: </w:t>
      </w:r>
      <w:hyperlink r:id="rId573">
        <w:r>
          <w:rPr>
            <w:color w:val="1155CC"/>
            <w:u w:val="single"/>
          </w:rPr>
          <w:t>10.1038/s41928-026-01596-2</w:t>
        </w:r>
      </w:hyperlink>
    </w:p>
    <w:p>
      <w:pPr>
        <w:spacing w:before="0" w:after="120"/>
      </w:pPr>
      <w:r>
        <w:rPr>
          <w:b/>
        </w:rPr>
        <w:t xml:space="preserve">Notes: </w:t>
      </w:r>
      <w:r>
        <w:t>abstract_source=nature_html</w:t>
      </w:r>
    </w:p>
    <w:p>
      <w:pPr>
        <w:spacing w:before="0" w:after="80" w:lineRule="auto" w:line="276"/>
      </w:pPr>
      <w:r>
        <w:rPr>
          <w:b/>
        </w:rPr>
        <w:t xml:space="preserve">摘要（ZH）: </w:t>
      </w:r>
      <w:r>
        <w:t>能够适应三维物体的软电子学在可穿戴设备的开发中具有用途。然而，设计多尺度且易于图案化的可拉伸电缆以与导电垫接口并与（软、硬和混合）终端电子单元形成可靠的互连仍然具有挑战性。在此，我们报告了一种三维可拉伸的核壳电缆，该电缆可图案化、可回收且抗噪声。可拉伸电缆的制造过程兼容多尺度制造，回收率高达95%。电缆表现出约0.9 MPa的杨氏模量和约800%的最大拉伸性，在拉伸下几乎没有电阻变化。它们可以与各种导电垫形成可靠的接口</w:t>
      </w:r>
    </w:p>
    <w:p>
      <w:pPr>
        <w:spacing w:before="0" w:after="200" w:lineRule="auto" w:line="276"/>
      </w:pPr>
      <w:r>
        <w:rPr>
          <w:b/>
        </w:rPr>
        <w:t xml:space="preserve">Abstract (EN): </w:t>
      </w:r>
      <w:r>
        <w:t>Soft electronics that can conform to three-dimensional objects are of use in the development of wearable devices. However, it remains challenging to design multiscale and easy-to-pattern stretchable cables that can interface with conductive pads and form reliable interconnects with (soft, rigid and hybrid) terminal electronic units. Here we report a three-dimensional stretchable core–shell cable that is patternable, recyclable and noise-resistant. The fabrication process of the stretchable cables is compatible with multiple-scale manufacturing and has a recycling rate of up to 95%. The cables exhibit a Young modulus of around 0.9 MPa and a maximum stretchability of around 800%, with almost no resistance change under stretching. They can form reliable interfaces with various conductive pads through a room-temperature connection process, and we use them to create cable-connected hybrid electronics that maintain electrical performance under stretching. We show that the cables can be used in wearable physiological monitoring electronics and that the resistance of the stretchable cable is insensitive to mechanical interference.</w:t>
      </w:r>
    </w:p>
    <w:p>
      <w:pPr>
        <w:spacing w:before="120" w:after="120"/>
      </w:pPr>
      <w:r>
        <w:rPr>
          <w:sz w:val="18"/>
        </w:rPr>
        <w:t>——————————————————————————————————————————————————————————————————————</w:t>
      </w:r>
    </w:p>
    <w:p>
      <w:pPr>
        <w:spacing w:before="160" w:after="40" w:line="240" w:lineRule="auto"/>
      </w:pPr>
      <w:r>
        <w:rPr>
          <w:b/>
        </w:rPr>
        <w:t xml:space="preserve">[200] </w:t>
      </w:r>
      <w:hyperlink r:id="rId574">
        <w:r>
          <w:rPr>
            <w:color w:val="1155CC"/>
            <w:u w:val="single"/>
          </w:rPr>
          <w:t>通过综合资源评估和优先分区框架揭示深远海上风能潜力：中国邻近海域的案例</w:t>
        </w:r>
      </w:hyperlink>
    </w:p>
    <w:p>
      <w:pPr>
        <w:spacing w:before="0" w:after="80"/>
      </w:pPr>
      <w:r>
        <w:rPr>
          <w:i/>
          <w:sz w:val="20"/>
        </w:rPr>
        <w:t>EN: Revealing deep-far offshore wind potential through an integrated resource assessment and priority zoning framework: A case from China's adjacent seas</w:t>
      </w:r>
    </w:p>
    <w:p>
      <w:pPr>
        <w:spacing w:before="0" w:after="120"/>
      </w:pPr>
      <w:r>
        <w:rPr>
          <w:b/>
        </w:rPr>
        <w:t xml:space="preserve">Source: </w:t>
      </w:r>
      <w:r>
        <w:t>ScienceDirect Publication: Applied Energy</w:t>
      </w:r>
      <w:r>
        <w:t xml:space="preserve">    </w:t>
      </w:r>
      <w:r>
        <w:rPr>
          <w:b/>
        </w:rPr>
        <w:t xml:space="preserve">Pub date: </w:t>
      </w:r>
      <w:r>
        <w:t>2026-03-31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[201] </w:t>
      </w:r>
      <w:hyperlink r:id="rId575">
        <w:r>
          <w:rPr>
            <w:color w:val="1155CC"/>
            <w:u w:val="single"/>
          </w:rPr>
          <w:t>全球土壤盐度25年变化图谱：水热条件驱动区域盐化热点中的广泛脱盐</w:t>
        </w:r>
      </w:hyperlink>
    </w:p>
    <w:p>
      <w:pPr>
        <w:spacing w:before="0" w:after="80"/>
      </w:pPr>
      <w:r>
        <w:rPr>
          <w:i/>
          <w:sz w:val="20"/>
        </w:rPr>
        <w:t>EN: Mapping 25 years of global soil salinity: Hydrothermal conditions drive widespread desalinization amid regional salinization hotspots</w:t>
      </w:r>
    </w:p>
    <w:p>
      <w:pPr>
        <w:spacing w:before="0" w:after="120"/>
      </w:pPr>
      <w:r>
        <w:rPr>
          <w:b/>
        </w:rPr>
        <w:t xml:space="preserve">Source: </w:t>
      </w:r>
      <w:r>
        <w:t>One Earth</w:t>
      </w:r>
      <w:r>
        <w:t xml:space="preserve">    </w:t>
      </w:r>
      <w:r>
        <w:rPr>
          <w:b/>
        </w:rPr>
        <w:t xml:space="preserve">Pub date: </w:t>
      </w:r>
      <w:r>
        <w:t>2026-03-31 00:00:00+00:00</w:t>
      </w:r>
      <w:r>
        <w:t xml:space="preserve">    </w:t>
      </w:r>
      <w:r>
        <w:rPr>
          <w:b/>
        </w:rPr>
        <w:t xml:space="preserve">DOI: </w:t>
      </w:r>
      <w:hyperlink r:id="rId576">
        <w:r>
          <w:rPr>
            <w:color w:val="1155CC"/>
            <w:u w:val="single"/>
          </w:rPr>
          <w:t>10.1016/j.oneear.2026.101658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[202] </w:t>
      </w:r>
      <w:hyperlink r:id="rId577">
        <w:r>
          <w:rPr>
            <w:color w:val="1155CC"/>
            <w:u w:val="single"/>
          </w:rPr>
          <w:t>低温晶圆级生长超薄二硫化钨用于双功能互连屏障和衬垫</w:t>
        </w:r>
      </w:hyperlink>
    </w:p>
    <w:p>
      <w:pPr>
        <w:spacing w:before="0" w:after="80"/>
      </w:pPr>
      <w:r>
        <w:rPr>
          <w:i/>
          <w:sz w:val="20"/>
        </w:rPr>
        <w:t>EN: Low-temperature wafer-scale growth of ultrathin tungsten disulfide for bifunctional interconnect barriers and liners</w:t>
      </w:r>
    </w:p>
    <w:p>
      <w:pPr>
        <w:spacing w:before="0" w:after="120"/>
      </w:pPr>
      <w:r>
        <w:rPr>
          <w:b/>
        </w:rPr>
        <w:t xml:space="preserve">Source: </w:t>
      </w:r>
      <w:r>
        <w:t>Nature Electronics</w:t>
      </w:r>
      <w:r>
        <w:t xml:space="preserve">    </w:t>
      </w:r>
      <w:r>
        <w:rPr>
          <w:b/>
        </w:rPr>
        <w:t xml:space="preserve">Pub date: </w:t>
      </w:r>
      <w:r>
        <w:t>2026-03-31 00:00:00+00:00</w:t>
      </w:r>
      <w:r>
        <w:t xml:space="preserve">    </w:t>
      </w:r>
      <w:r>
        <w:rPr>
          <w:b/>
        </w:rPr>
        <w:t xml:space="preserve">DOI: </w:t>
      </w:r>
      <w:hyperlink r:id="rId578">
        <w:r>
          <w:rPr>
            <w:color w:val="1155CC"/>
            <w:u w:val="single"/>
          </w:rPr>
          <w:t>10.1038/s41928-026-01592-6</w:t>
        </w:r>
      </w:hyperlink>
    </w:p>
    <w:p>
      <w:pPr>
        <w:spacing w:before="0" w:after="120"/>
      </w:pPr>
      <w:r>
        <w:rPr>
          <w:b/>
        </w:rPr>
        <w:t xml:space="preserve">Notes: </w:t>
      </w:r>
      <w:r>
        <w:t>abstract_source=nature_html</w:t>
      </w:r>
    </w:p>
    <w:p>
      <w:pPr>
        <w:spacing w:before="0" w:after="80" w:lineRule="auto" w:line="276"/>
      </w:pPr>
      <w:r>
        <w:rPr>
          <w:b/>
        </w:rPr>
        <w:t xml:space="preserve">摘要（ZH）: </w:t>
      </w:r>
      <w:r>
        <w:t>未来，集成电路的小型化将在后端工艺（BEOL）中需要缩小铜线的尺寸。这反过来又要求缩小防止铜扩散并确保金属与介电材料粘附的屏障和衬里涂层。在此，我们展示了可以在BEOL兼容温度（350°C）下使用热原子层沉积在晶圆尺度上生长的薄（2）层，无需等离子体，并且可以作为互连的屏障和衬里。我们展示了WS2可以通过改善铜的润湿性，将10纳米厚铜膜的电阻率降低超过六个数量级，与参考系统（没有WS2层）相比。单层WS2可以防止铜扩散到二氧化硅（SiO2）中。</w:t>
      </w:r>
    </w:p>
    <w:p>
      <w:pPr>
        <w:spacing w:before="0" w:after="200" w:lineRule="auto" w:line="276"/>
      </w:pPr>
      <w:r>
        <w:rPr>
          <w:b/>
        </w:rPr>
        <w:t xml:space="preserve">Abstract (EN): </w:t>
      </w:r>
      <w:r>
        <w:t>In the future, the miniaturization of integrated circuits will require copper wires to be scaled down in the back-end-of-line (BEOL) process. This will, in turn, require a scaling down of the barrier and liner coatings that prevent copper diffusion and ensure metal adhesion to the dielectric. Here we show that thin (2) layers can be grown on the wafer-scale using thermal atomic layer deposition without plasma at BEOL-compatible temperatures (350 °C) and can function as both barriers and liners for interconnects. We show that the WS2 can reduce the resistivity of 10-nm-thick copper films by more than six orders of magnitude compared with a reference system (without the WS2 layer) due to the improved wettability of copper. Monolayer WS2 can prevent copper diffusion into silicon dioxide (SiO2) under thermal stress, and it is projected to improve wire lifetimes under electrical stress. Density functional theory calculations also highlight the potential of multilayer WS2 films as diffusion barriers due to misaligned grain boundaries.</w:t>
      </w:r>
    </w:p>
    <w:p>
      <w:pPr>
        <w:spacing w:before="120" w:after="120"/>
      </w:pPr>
      <w:r>
        <w:rPr>
          <w:sz w:val="18"/>
        </w:rPr>
        <w:t>——————————————————————————————————————————————————————————————————————</w:t>
      </w:r>
    </w:p>
    <w:p>
      <w:pPr>
        <w:spacing w:before="160" w:after="40" w:line="240" w:lineRule="auto"/>
      </w:pPr>
      <w:r>
        <w:rPr>
          <w:b/>
        </w:rPr>
        <w:t xml:space="preserve">[203] </w:t>
      </w:r>
      <w:hyperlink r:id="rId579">
        <w:r>
          <w:rPr>
            <w:color w:val="1155CC"/>
            <w:u w:val="single"/>
          </w:rPr>
          <w:t>基于最小温度偏差策略的负载转换下SOFC堆可靠性和效率研究</w:t>
        </w:r>
      </w:hyperlink>
    </w:p>
    <w:p>
      <w:pPr>
        <w:spacing w:before="0" w:after="80"/>
      </w:pPr>
      <w:r>
        <w:rPr>
          <w:i/>
          <w:sz w:val="20"/>
        </w:rPr>
        <w:t>EN: SOFC stack reliability and efficiency study under load transitions based on minimum temperature deviation strategy</w:t>
      </w:r>
    </w:p>
    <w:p>
      <w:pPr>
        <w:spacing w:before="0" w:after="120"/>
      </w:pPr>
      <w:r>
        <w:rPr>
          <w:b/>
        </w:rPr>
        <w:t xml:space="preserve">Source: </w:t>
      </w:r>
      <w:r>
        <w:t>ScienceDirect Publication: Applied Energy</w:t>
      </w:r>
      <w:r>
        <w:t xml:space="preserve">    </w:t>
      </w:r>
      <w:r>
        <w:rPr>
          <w:b/>
        </w:rPr>
        <w:t xml:space="preserve">Pub date: </w:t>
      </w:r>
      <w:r>
        <w:t>2026-03-31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[204] </w:t>
      </w:r>
      <w:hyperlink r:id="rId580">
        <w:r>
          <w:rPr>
            <w:color w:val="1155CC"/>
            <w:u w:val="single"/>
          </w:rPr>
          <w:t>大π共轭有机共晶体中的直接π耦合双极性传输用于灵敏的X射线检测</w:t>
        </w:r>
      </w:hyperlink>
    </w:p>
    <w:p>
      <w:pPr>
        <w:spacing w:before="0" w:after="80"/>
      </w:pPr>
      <w:r>
        <w:rPr>
          <w:i/>
          <w:sz w:val="20"/>
        </w:rPr>
        <w:t>EN: Direct π-coupling ambipolar transport in large π-conjugated organic cocrystals for sensitive X-ray detection</w:t>
      </w:r>
    </w:p>
    <w:p>
      <w:pPr>
        <w:spacing w:before="0" w:after="120"/>
      </w:pPr>
      <w:r>
        <w:rPr>
          <w:b/>
        </w:rPr>
        <w:t xml:space="preserve">Source: </w:t>
      </w:r>
      <w:r>
        <w:t>Matter</w:t>
      </w:r>
      <w:r>
        <w:t xml:space="preserve">    </w:t>
      </w:r>
      <w:r>
        <w:rPr>
          <w:b/>
        </w:rPr>
        <w:t xml:space="preserve">Pub date: </w:t>
      </w:r>
      <w:r>
        <w:t>2026-03-31 00:00:00+00:00</w:t>
      </w:r>
      <w:r>
        <w:t xml:space="preserve">    </w:t>
      </w:r>
      <w:r>
        <w:rPr>
          <w:b/>
        </w:rPr>
        <w:t xml:space="preserve">DOI: </w:t>
      </w:r>
      <w:hyperlink r:id="rId581">
        <w:r>
          <w:rPr>
            <w:color w:val="1155CC"/>
            <w:u w:val="single"/>
          </w:rPr>
          <w:t>10.1016/j.matt.2026.102761</w:t>
        </w:r>
      </w:hyperlink>
    </w:p>
    <w:p>
      <w:pPr>
        <w:spacing w:before="0" w:after="120"/>
      </w:pPr>
      <w:r>
        <w:rPr>
          <w:b/>
        </w:rPr>
        <w:t xml:space="preserve">Notes: </w:t>
      </w:r>
      <w:r>
        <w:t>abstract_source=rss_cell</w:t>
      </w:r>
    </w:p>
    <w:p>
      <w:pPr>
        <w:spacing w:before="0" w:after="80" w:lineRule="auto" w:line="276"/>
      </w:pPr>
      <w:r>
        <w:rPr>
          <w:b/>
        </w:rPr>
        <w:t xml:space="preserve">摘要（ZH）: </w:t>
      </w:r>
      <w:r>
        <w:t>Li等人提出了一种π轨道耦合策略，用于高性能双极性有机共晶体，突破了传统系统的电荷转移诱导的双极性传输限制。他们的Cu-PcC共晶体具有面对面π–π堆积，实现了高效的双极性传输，所产生的X射线探测器表现出超高灵敏度3.02 × 106 μC Gy−1 cm−2，并具有明显的偏压对称响应。这项工作重新定义了有机共晶体设计，并推进了下一代多功能光电技术。</w:t>
      </w:r>
    </w:p>
    <w:p>
      <w:pPr>
        <w:spacing w:before="0" w:after="200" w:lineRule="auto" w:line="276"/>
      </w:pPr>
      <w:r>
        <w:rPr>
          <w:b/>
        </w:rPr>
        <w:t xml:space="preserve">Abstract (EN): </w:t>
      </w:r>
      <w:r>
        <w:t>Li et al. present a π-orbital coupling strategy for high-performance ambipolar organic cocrystals, breaking the charge-transfer-induced ambipolar transport limitation of conventional systems. Their Cu-PcC cocrystals with face-to-face π–π stacking enable efficient ambipolar transport, and the resultant X-ray detector exhibits an ultrahigh sensitivity of 3.02 × 106 μC Gy−1 cm−2 with distinct bias-symmetric response. This work redefines organic cocrystal design and advances next-generation multifunctional optoelectronics.</w:t>
      </w:r>
    </w:p>
    <w:p>
      <w:pPr>
        <w:spacing w:before="120" w:after="120"/>
      </w:pPr>
      <w:r>
        <w:rPr>
          <w:sz w:val="18"/>
        </w:rPr>
        <w:t>——————————————————————————————————————————————————————————————————————</w:t>
      </w:r>
    </w:p>
    <w:p>
      <w:pPr>
        <w:spacing w:before="160" w:after="40" w:line="240" w:lineRule="auto"/>
      </w:pPr>
      <w:r>
        <w:rPr>
          <w:b/>
        </w:rPr>
        <w:t xml:space="preserve">[205] </w:t>
      </w:r>
      <w:hyperlink r:id="rId582">
        <w:r>
          <w:rPr>
            <w:color w:val="1155CC"/>
            <w:u w:val="single"/>
          </w:rPr>
          <w:t>通过范德华外延生长单晶锑氧化物</w:t>
        </w:r>
      </w:hyperlink>
    </w:p>
    <w:p>
      <w:pPr>
        <w:spacing w:before="0" w:after="80"/>
      </w:pPr>
      <w:r>
        <w:rPr>
          <w:i/>
          <w:sz w:val="20"/>
        </w:rPr>
        <w:t>EN: Growing single-crystalline antimony oxide with van der Waals epitaxy</w:t>
      </w:r>
    </w:p>
    <w:p>
      <w:pPr>
        <w:spacing w:before="0" w:after="120"/>
      </w:pPr>
      <w:r>
        <w:rPr>
          <w:b/>
        </w:rPr>
        <w:t xml:space="preserve">Source: </w:t>
      </w:r>
      <w:r>
        <w:t>Nature Electronics</w:t>
      </w:r>
      <w:r>
        <w:t xml:space="preserve">    </w:t>
      </w:r>
      <w:r>
        <w:rPr>
          <w:b/>
        </w:rPr>
        <w:t xml:space="preserve">Pub date: </w:t>
      </w:r>
      <w:r>
        <w:t>2026-03-31 00:00:00+00:00</w:t>
      </w:r>
      <w:r>
        <w:t xml:space="preserve">    </w:t>
      </w:r>
      <w:r>
        <w:rPr>
          <w:b/>
        </w:rPr>
        <w:t xml:space="preserve">DOI: </w:t>
      </w:r>
      <w:hyperlink r:id="rId583">
        <w:r>
          <w:rPr>
            <w:color w:val="1155CC"/>
            <w:u w:val="single"/>
          </w:rPr>
          <w:t>10.1038/s41928-026-01589-1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[206] </w:t>
      </w:r>
      <w:hyperlink r:id="rId584">
        <w:r>
          <w:rPr>
            <w:color w:val="1155CC"/>
            <w:u w:val="single"/>
          </w:rPr>
          <w:t>作者更正：薄膜La3Ni2O7中的常压超导性特征</w:t>
        </w:r>
      </w:hyperlink>
    </w:p>
    <w:p>
      <w:pPr>
        <w:spacing w:before="0" w:after="80"/>
      </w:pPr>
      <w:r>
        <w:rPr>
          <w:i/>
          <w:sz w:val="20"/>
        </w:rPr>
        <w:t>EN: Author Correction: Signatures of ambient pressure superconductivity in thin film La3Ni2O7</w:t>
      </w:r>
    </w:p>
    <w:p>
      <w:pPr>
        <w:spacing w:before="0" w:after="120"/>
      </w:pPr>
      <w:r>
        <w:rPr>
          <w:b/>
        </w:rPr>
        <w:t xml:space="preserve">Source: </w:t>
      </w:r>
      <w:r>
        <w:t>Nature</w:t>
      </w:r>
      <w:r>
        <w:t xml:space="preserve">    </w:t>
      </w:r>
      <w:r>
        <w:rPr>
          <w:b/>
        </w:rPr>
        <w:t xml:space="preserve">Pub date: </w:t>
      </w:r>
      <w:r>
        <w:t>2026-03-31 00:00:00+00:00</w:t>
      </w:r>
      <w:r>
        <w:t xml:space="preserve">    </w:t>
      </w:r>
      <w:r>
        <w:rPr>
          <w:b/>
        </w:rPr>
        <w:t xml:space="preserve">DOI: </w:t>
      </w:r>
      <w:hyperlink r:id="rId585">
        <w:r>
          <w:rPr>
            <w:color w:val="1155CC"/>
            <w:u w:val="single"/>
          </w:rPr>
          <w:t>10.1038/s41586-026-10335-8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[207] </w:t>
      </w:r>
      <w:hyperlink r:id="rId586">
        <w:r>
          <w:rPr>
            <w:color w:val="1155CC"/>
            <w:u w:val="single"/>
          </w:rPr>
          <w:t>ThinkFactory 2025：关于协调和加速自驱动实验室的社区讨论</w:t>
        </w:r>
      </w:hyperlink>
    </w:p>
    <w:p>
      <w:pPr>
        <w:spacing w:before="0" w:after="80"/>
      </w:pPr>
      <w:r>
        <w:rPr>
          <w:i/>
          <w:sz w:val="20"/>
        </w:rPr>
        <w:t>EN: ThinkFactory 2025: Community discussion on harmonizing and accelerating self-driving laboratories</w:t>
      </w:r>
    </w:p>
    <w:p>
      <w:pPr>
        <w:spacing w:before="0" w:after="120"/>
      </w:pPr>
      <w:r>
        <w:rPr>
          <w:b/>
        </w:rPr>
        <w:t xml:space="preserve">Source: </w:t>
      </w:r>
      <w:r>
        <w:t>Matter</w:t>
      </w:r>
      <w:r>
        <w:t xml:space="preserve">    </w:t>
      </w:r>
      <w:r>
        <w:rPr>
          <w:b/>
        </w:rPr>
        <w:t xml:space="preserve">Pub date: </w:t>
      </w:r>
      <w:r>
        <w:t>2026-03-31 00:00:00+00:00</w:t>
      </w:r>
      <w:r>
        <w:t xml:space="preserve">    </w:t>
      </w:r>
      <w:r>
        <w:rPr>
          <w:b/>
        </w:rPr>
        <w:t xml:space="preserve">DOI: </w:t>
      </w:r>
      <w:hyperlink r:id="rId587">
        <w:r>
          <w:rPr>
            <w:color w:val="1155CC"/>
            <w:u w:val="single"/>
          </w:rPr>
          <w:t>10.1016/j.matt.2026.102757</w:t>
        </w:r>
      </w:hyperlink>
    </w:p>
    <w:p>
      <w:pPr>
        <w:spacing w:before="0" w:after="120"/>
      </w:pPr>
      <w:r>
        <w:rPr>
          <w:b/>
        </w:rPr>
        <w:t xml:space="preserve">Notes: </w:t>
      </w:r>
      <w:r>
        <w:t>abstract_source=rss_cell</w:t>
      </w:r>
    </w:p>
    <w:p>
      <w:pPr>
        <w:spacing w:before="0" w:after="80" w:lineRule="auto" w:line="276"/>
      </w:pPr>
      <w:r>
        <w:rPr>
          <w:b/>
        </w:rPr>
        <w:t xml:space="preserve">摘要（ZH）: </w:t>
      </w:r>
      <w:r>
        <w:t>自动驾驶实验室通过结合机器人、人工智能和自动化实验承诺更快的科学发现。然而，该领域仍然分散，许多实验科学家难以访问。来自ThinkFactory 2025社区研讨会的见解确定了实际优先事项，包括基准测试、互操作性标准、改进的可用性和结构化的人机协作。这可能有助于将SDL从孤立的演示转变为广泛采用的研究基础设施。</w:t>
      </w:r>
    </w:p>
    <w:p>
      <w:pPr>
        <w:spacing w:before="0" w:after="200" w:lineRule="auto" w:line="276"/>
      </w:pPr>
      <w:r>
        <w:rPr>
          <w:b/>
        </w:rPr>
        <w:t xml:space="preserve">Abstract (EN): </w:t>
      </w:r>
      <w:r>
        <w:t>Self-driving laboratories promise faster scientific discovery by combining robotics, artificial intelligence, and automated experimentation. However, the field remains fragmented and difficult for many experimental scientists to access. Insights from the ThinkFactory 2025 community workshop identify practical priorities including benchmarking, interoperability standards, improved usability, and structured human-AI collaboration. This could help move SDLs from isolated demonstrations to widely adopted research infrastructure.</w:t>
      </w:r>
    </w:p>
    <w:p>
      <w:pPr>
        <w:spacing w:before="120" w:after="120"/>
      </w:pPr>
      <w:r>
        <w:rPr>
          <w:sz w:val="18"/>
        </w:rPr>
        <w:t>——————————————————————————————————————————————————————————————————————</w:t>
      </w:r>
    </w:p>
    <w:p>
      <w:pPr>
        <w:spacing w:before="160" w:after="40" w:line="240" w:lineRule="auto"/>
      </w:pPr>
      <w:r>
        <w:rPr>
          <w:b/>
        </w:rPr>
        <w:t xml:space="preserve">[208] </w:t>
      </w:r>
      <w:hyperlink r:id="rId588">
        <w:r>
          <w:rPr>
            <w:color w:val="1155CC"/>
            <w:u w:val="single"/>
          </w:rPr>
          <w:t>柔性自供电电子：材料设计、结构工程和多功能集成</w:t>
        </w:r>
      </w:hyperlink>
    </w:p>
    <w:p>
      <w:pPr>
        <w:spacing w:before="0" w:after="80"/>
      </w:pPr>
      <w:r>
        <w:rPr>
          <w:i/>
          <w:sz w:val="20"/>
        </w:rPr>
        <w:t>EN: Flexible self-powered electronics: Materials design, structure engineering, and multifunctional integration</w:t>
      </w:r>
    </w:p>
    <w:p>
      <w:pPr>
        <w:spacing w:before="0" w:after="120"/>
      </w:pPr>
      <w:r>
        <w:rPr>
          <w:b/>
        </w:rPr>
        <w:t xml:space="preserve">Source: </w:t>
      </w:r>
      <w:r>
        <w:t>Matter</w:t>
      </w:r>
      <w:r>
        <w:t xml:space="preserve">    </w:t>
      </w:r>
      <w:r>
        <w:rPr>
          <w:b/>
        </w:rPr>
        <w:t xml:space="preserve">Pub date: </w:t>
      </w:r>
      <w:r>
        <w:t>2026-03-31 00:00:00+00:00</w:t>
      </w:r>
      <w:r>
        <w:t xml:space="preserve">    </w:t>
      </w:r>
      <w:r>
        <w:rPr>
          <w:b/>
        </w:rPr>
        <w:t xml:space="preserve">DOI: </w:t>
      </w:r>
      <w:hyperlink r:id="rId589">
        <w:r>
          <w:rPr>
            <w:color w:val="1155CC"/>
            <w:u w:val="single"/>
          </w:rPr>
          <w:t>10.1016/j.matt.2026.102724</w:t>
        </w:r>
      </w:hyperlink>
    </w:p>
    <w:p>
      <w:pPr>
        <w:spacing w:before="0" w:after="120"/>
      </w:pPr>
      <w:r>
        <w:rPr>
          <w:b/>
        </w:rPr>
        <w:t xml:space="preserve">Notes: </w:t>
      </w:r>
      <w:r>
        <w:t>abstract_source=rss_cell</w:t>
      </w:r>
    </w:p>
    <w:p>
      <w:pPr>
        <w:spacing w:before="0" w:after="80" w:lineRule="auto" w:line="276"/>
      </w:pPr>
      <w:r>
        <w:rPr>
          <w:b/>
        </w:rPr>
        <w:t xml:space="preserve">摘要（ZH）: </w:t>
      </w:r>
      <w:r>
        <w:t>柔性自供电电子设备，集成导体、半导体和介电材料，通过包括太阳能电池、TENGs、PENGs、TEGs、BFCs、MIEGs和MEGs在内的多种能量收集器利用环境和生物机械能。通过仿生和人工结构工程，这些设备实现了多功能集成（自愈、自清洁、防火和自粘）并与皮肤紧密接触，为下一代可穿戴电子设备、个性化健康护理和人机交互提供了有前景的解决方案。</w:t>
      </w:r>
    </w:p>
    <w:p>
      <w:pPr>
        <w:spacing w:before="0" w:after="200" w:lineRule="auto" w:line="276"/>
      </w:pPr>
      <w:r>
        <w:rPr>
          <w:b/>
        </w:rPr>
        <w:t xml:space="preserve">Abstract (EN): </w:t>
      </w:r>
      <w:r>
        <w:t>Flexible self-powered electronics, integrating conductor, semiconductor, and dielectric materials, harness ambient and biomechanical energy via diverse energy harvesters including solar cells, TENGs, PENGs, TEGs, BFCs, MIEGs, and MEGs. Enabled by bionic and artificial structural engineering, these devices achieve multifunctional integration (self-healing, self-cleaning, fireproof, and self-adhesive) and conformal contact with skin, offering promising solutions for next-generation wearable electronics, personalized healthcare, and human-machine interaction.</w:t>
      </w:r>
    </w:p>
    <w:p>
      <w:pPr>
        <w:spacing w:before="120" w:after="120"/>
      </w:pPr>
      <w:r>
        <w:rPr>
          <w:sz w:val="18"/>
        </w:rPr>
        <w:t>——————————————————————————————————————————————————————————————————————</w:t>
      </w:r>
    </w:p>
    <w:p>
      <w:pPr>
        <w:spacing w:before="160" w:after="40" w:line="240" w:lineRule="auto"/>
      </w:pPr>
      <w:r>
        <w:rPr>
          <w:b/>
        </w:rPr>
        <w:t xml:space="preserve">[209] </w:t>
      </w:r>
      <w:hyperlink r:id="rId590">
        <w:r>
          <w:rPr>
            <w:color w:val="1155CC"/>
            <w:u w:val="single"/>
          </w:rPr>
          <w:t>肿瘤靶向tRF治疗通过双重抑制System Xc−触发卵巢癌铁死亡</w:t>
        </w:r>
      </w:hyperlink>
    </w:p>
    <w:p>
      <w:pPr>
        <w:spacing w:before="0" w:after="80"/>
      </w:pPr>
      <w:r>
        <w:rPr>
          <w:i/>
          <w:sz w:val="20"/>
        </w:rPr>
        <w:t>EN: A Tumor‐Targeted tRF Therapeutics Triggers Ovarian Cancer Ferroptosis via Dual Inhibition of System Xc−</w:t>
      </w:r>
    </w:p>
    <w:p>
      <w:pPr>
        <w:spacing w:before="0" w:after="120"/>
      </w:pPr>
      <w:r>
        <w:rPr>
          <w:b/>
        </w:rPr>
        <w:t xml:space="preserve">Source: </w:t>
      </w:r>
      <w:r>
        <w:t>Wiley: Advanced Materials: Table of Contents</w:t>
      </w:r>
      <w:r>
        <w:t xml:space="preserve">    </w:t>
      </w:r>
      <w:r>
        <w:rPr>
          <w:b/>
        </w:rPr>
        <w:t xml:space="preserve">Pub date: </w:t>
      </w:r>
      <w:r>
        <w:t>2026-03-31 04:48:27+00:00</w:t>
      </w:r>
      <w:r>
        <w:t xml:space="preserve">    </w:t>
      </w:r>
      <w:r>
        <w:rPr>
          <w:b/>
        </w:rPr>
        <w:t xml:space="preserve">DOI: </w:t>
      </w:r>
      <w:hyperlink r:id="rId591">
        <w:r>
          <w:rPr>
            <w:color w:val="1155CC"/>
            <w:u w:val="single"/>
          </w:rPr>
          <w:t>10.1002/adma.202521078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严重的化疗耐药性导致高复发率，卵巢癌（OVCA）成为临床实践中最致命的妇科恶性肿瘤。铁死亡代表了一种有前景的OVCA治疗方法，可以有效克服肿瘤耐药性。然而，传统的铁死亡诱导剂缺乏特异性和选择性，导致治疗效果不佳。在此，我们鉴定了一种新型tRNA衍生片段，tRF‐21‐XSXMSL73E（tRF‐21），可以作为铁死亡诱导剂，通过双重抑制系统Xc</w:t>
      </w:r>
      <w:r>
        <w:t xml:space="preserve"> </w:t>
      </w:r>
      <w:r>
        <w:t>−</w:t>
      </w:r>
      <w:r>
        <w:t>/谷胱甘肽（GSH）/过氧化物酶4（GPX4）轴，有效抑制OVCA生长而不引起明显的副作用。在机制上，tRF‐21促进SLC3A2的泛素化</w:t>
      </w:r>
    </w:p>
    <w:p>
      <w:pPr>
        <w:spacing w:before="0" w:after="200" w:lineRule="auto" w:line="276"/>
      </w:pPr>
      <w:r>
        <w:rPr>
          <w:b/>
        </w:rPr>
        <w:t xml:space="preserve">Abstract (EN): </w:t>
      </w:r>
      <w:r>
        <w:t>The severe chemoresistance‐caused high recurrence has made ovarian cancer (OVCA) the most lethal gynecological malignancy in clinical practice. Ferroptosis represents a promising therapeutic approach for OVCA, which could effectively overcome tumor resistance. Nevertheless, the traditional ferroptosis inducers lack specificity and selectivity, resulting in poor therapeutic effects. Here, we identified a novel tRNA‐derived fragment, tRF‐21‐XSXMSL73E (tRF‐21), which could serve as a ferroptosis inducer to efficiently suppress OVCA growth through dual inhibition of the system Xc</w:t>
      </w:r>
      <w:r>
        <w:t xml:space="preserve"> </w:t>
      </w:r>
      <w:r>
        <w:t>−</w:t>
      </w:r>
      <w:r>
        <w:t>/glutathione (GSH)/peroxidase 4 (GPX4) axis without causing obvious side effects. Mechanistically, tRF‐21 promotes SLC3A2 ubiquitination via SPOP E3 ligase and destabilizes SLC7A11 mRNA by disrupting NSUN2‐mediated m</w:t>
      </w:r>
      <w:r>
        <w:rPr>
          <w:vertAlign w:val="subscript"/>
        </w:rPr>
        <w:t>5</w:t>
      </w:r>
      <w:r>
        <w:t>C methylation. This dual‐inhibition effect on the system Xc</w:t>
      </w:r>
      <w:r>
        <w:t xml:space="preserve"> </w:t>
      </w:r>
      <w:r>
        <w:t>−</w:t>
      </w:r>
      <w:r>
        <w:t>/GSH/GPX4 axis leads to GSH depletion, reactive oxygen species (ROS) accumulation, and ferroptotic cell death. To enhance therapeutic delivery, we engineered a pH‐responsive nanoplatform (tRF‐21@EPH) with an ellagic acid core, polyetherimide (PEI) intermediate layer, and hyaluronic acid shell, enabling nuclease protection and tumor‐specific uptake. This system markedly improved tRF‐21 efficacy with minimal toxicity, providing a novel RNA‐based strategy for OVCA treatment.</w:t>
      </w:r>
    </w:p>
    <w:p>
      <w:pPr>
        <w:spacing w:before="120" w:after="120"/>
      </w:pPr>
      <w:r>
        <w:rPr>
          <w:sz w:val="18"/>
        </w:rPr>
        <w:t>——————————————————————————————————————————————————————————————————————</w:t>
      </w:r>
    </w:p>
    <w:p>
      <w:pPr>
        <w:spacing w:before="160" w:after="40" w:line="240" w:lineRule="auto"/>
      </w:pPr>
      <w:r>
        <w:rPr>
          <w:b/>
        </w:rPr>
        <w:t xml:space="preserve">[210] </w:t>
      </w:r>
      <w:hyperlink r:id="rId592">
        <w:r>
          <w:rPr>
            <w:color w:val="1155CC"/>
            <w:u w:val="single"/>
          </w:rPr>
          <w:t>通过可注射介孔支架实现安全和局部化的慢病毒基因递送以增强抗肿瘤免疫</w:t>
        </w:r>
      </w:hyperlink>
    </w:p>
    <w:p>
      <w:pPr>
        <w:spacing w:before="0" w:after="80"/>
      </w:pPr>
      <w:r>
        <w:rPr>
          <w:i/>
          <w:sz w:val="20"/>
        </w:rPr>
        <w:t>EN: Safe and Localized Lentiviral Gene Delivery via Injectable Mesoporous Scaffolds for Potent Antitumor Immunity</w:t>
      </w:r>
    </w:p>
    <w:p>
      <w:pPr>
        <w:spacing w:before="0" w:after="120"/>
      </w:pPr>
      <w:r>
        <w:rPr>
          <w:b/>
        </w:rPr>
        <w:t xml:space="preserve">Source: </w:t>
      </w:r>
      <w:r>
        <w:t>Wiley: Advanced Materials: Table of Contents</w:t>
      </w:r>
      <w:r>
        <w:t xml:space="preserve">    </w:t>
      </w:r>
      <w:r>
        <w:rPr>
          <w:b/>
        </w:rPr>
        <w:t xml:space="preserve">Pub date: </w:t>
      </w:r>
      <w:r>
        <w:t>2026-03-31 04:49:03+00:00</w:t>
      </w:r>
      <w:r>
        <w:t xml:space="preserve">    </w:t>
      </w:r>
      <w:r>
        <w:rPr>
          <w:b/>
        </w:rPr>
        <w:t xml:space="preserve">DOI: </w:t>
      </w:r>
      <w:hyperlink r:id="rId593">
        <w:r>
          <w:rPr>
            <w:color w:val="1155CC"/>
            <w:u w:val="single"/>
          </w:rPr>
          <w:t>10.1002/adma.202516661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慢病毒载体提供强大且持久的基因表达，但其体内使用因安全性问题而受到限制，特别是系统性传播和插入突变的风险。为了解决这些限制，我们提出了一种空间限制的慢病毒基因递送方法，通过模块化可注射支架实现树突状细胞（DCs）的安全高效体内靶向转导。通过将编码肿瘤抗原的慢病毒载体附着在预装粒细胞‐巨噬细胞集落刺激因子的介孔硅支架表面，我们创建了一个自组装支架，能够招募DCs并促进其局部转导。该平台最大限度地减少了系统性载体传播并限制了基因</w:t>
      </w:r>
    </w:p>
    <w:p>
      <w:pPr>
        <w:spacing w:before="0" w:after="200" w:lineRule="auto" w:line="276"/>
      </w:pPr>
      <w:r>
        <w:rPr>
          <w:b/>
        </w:rPr>
        <w:t xml:space="preserve">Abstract (EN): </w:t>
      </w:r>
      <w:r>
        <w:t>Lentiviral vectors offer potent and sustained gene expression, but their in vivo use remains limited by safety concerns, particularly the risks of systemic dissemination and insertional mutagenesis. To address these limitations, we present a spatially confined lentiviral gene delivery method that enables safe and efficient in vivo targeted transduction of dendritic cells (DCs) via a modular injectable scaffold. By attaching lentiviral vectors encoding a tumor antigen on the surface of mesoporous silica scaffold preloaded with granulocyte‐macrophage colony‐stimulating factor, we create a self‐assembling scaffold that recruits DCs and promotes their localized transduction. This platform minimizes systemic vector dissemination and restricts genome integration to recruited immune cells, enabling prolonged antigen expression and efficient MHC‐I‐mediated antigen presentation. In melanoma models, this method elicits robust antigen‐specific CD8</w:t>
      </w:r>
      <w:r>
        <w:t xml:space="preserve"> </w:t>
      </w:r>
      <w:r>
        <w:t>+</w:t>
      </w:r>
      <w:r>
        <w:t xml:space="preserve"> </w:t>
      </w:r>
      <w:r>
        <w:t>T‐cell responses, enhances effector memory generation, and improves antitumor immunity. Combination with immune checkpoint blockade further potentiates therapeutic outcomes. This strategy establishes a versatile and safe in vivo lentiviral delivery system with potential applications across cancer, infectious, and autoimmune diseases.</w:t>
      </w:r>
    </w:p>
    <w:p>
      <w:pPr>
        <w:spacing w:before="120" w:after="120"/>
      </w:pPr>
      <w:r>
        <w:rPr>
          <w:sz w:val="18"/>
        </w:rPr>
        <w:t>——————————————————————————————————————————————————————————————————————</w:t>
      </w:r>
    </w:p>
    <w:p>
      <w:pPr>
        <w:spacing w:before="160" w:after="40" w:line="240" w:lineRule="auto"/>
      </w:pPr>
      <w:r>
        <w:rPr>
          <w:b/>
        </w:rPr>
        <w:t xml:space="preserve">[211] </w:t>
      </w:r>
      <w:hyperlink r:id="rId594">
        <w:r>
          <w:rPr>
            <w:color w:val="1155CC"/>
            <w:u w:val="single"/>
          </w:rPr>
          <w:t>“碳量子点辅助病毒追踪：从皮肤到大脑”的更正</w:t>
        </w:r>
      </w:hyperlink>
    </w:p>
    <w:p>
      <w:pPr>
        <w:spacing w:before="0" w:after="80"/>
      </w:pPr>
      <w:r>
        <w:rPr>
          <w:i/>
          <w:sz w:val="20"/>
        </w:rPr>
        <w:t>EN: Correction to “Carbon Quantum Dots Assisted Virus Tracking: From Skin to Brain”</w:t>
      </w:r>
    </w:p>
    <w:p>
      <w:pPr>
        <w:spacing w:before="0" w:after="120"/>
      </w:pPr>
      <w:r>
        <w:rPr>
          <w:b/>
        </w:rPr>
        <w:t xml:space="preserve">Source: </w:t>
      </w:r>
      <w:r>
        <w:t>Wiley: Advanced Materials: Table of Contents</w:t>
      </w:r>
      <w:r>
        <w:t xml:space="preserve">    </w:t>
      </w:r>
      <w:r>
        <w:rPr>
          <w:b/>
        </w:rPr>
        <w:t xml:space="preserve">Pub date: </w:t>
      </w:r>
      <w:r>
        <w:t>2026-03-31 04:50:16+00:00</w:t>
      </w:r>
      <w:r>
        <w:t xml:space="preserve">    </w:t>
      </w:r>
      <w:r>
        <w:rPr>
          <w:b/>
        </w:rPr>
        <w:t xml:space="preserve">DOI: </w:t>
      </w:r>
      <w:hyperlink r:id="rId595">
        <w:r>
          <w:rPr>
            <w:color w:val="1155CC"/>
            <w:u w:val="single"/>
          </w:rPr>
          <w:t>10.1002/adma.72982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[212] </w:t>
      </w:r>
      <w:hyperlink r:id="rId596">
        <w:r>
          <w:rPr>
            <w:color w:val="1155CC"/>
            <w:u w:val="single"/>
          </w:rPr>
          <w:t>通过光介导的细菌‐货物通信实现的自主货物运输生物混合微游动器</w:t>
        </w:r>
      </w:hyperlink>
    </w:p>
    <w:p>
      <w:pPr>
        <w:spacing w:before="0" w:after="80"/>
      </w:pPr>
      <w:r>
        <w:rPr>
          <w:i/>
          <w:sz w:val="20"/>
        </w:rPr>
        <w:t>EN: Autonomous Cargo Transport with Biohybrid Microswimmers Enabled by Light‐Mediated Bacteria‐Cargo Communication</w:t>
      </w:r>
    </w:p>
    <w:p>
      <w:pPr>
        <w:spacing w:before="0" w:after="120"/>
      </w:pPr>
      <w:r>
        <w:rPr>
          <w:b/>
        </w:rPr>
        <w:t xml:space="preserve">Source: </w:t>
      </w:r>
      <w:r>
        <w:t>Wiley: Advanced Materials: Table of Contents</w:t>
      </w:r>
      <w:r>
        <w:t xml:space="preserve">    </w:t>
      </w:r>
      <w:r>
        <w:rPr>
          <w:b/>
        </w:rPr>
        <w:t xml:space="preserve">Pub date: </w:t>
      </w:r>
      <w:r>
        <w:t>2026-03-31 04:52:29+00:00</w:t>
      </w:r>
      <w:r>
        <w:t xml:space="preserve">    </w:t>
      </w:r>
      <w:r>
        <w:rPr>
          <w:b/>
        </w:rPr>
        <w:t xml:space="preserve">DOI: </w:t>
      </w:r>
      <w:hyperlink r:id="rId597">
        <w:r>
          <w:rPr>
            <w:color w:val="1155CC"/>
            <w:u w:val="single"/>
          </w:rPr>
          <w:t>10.1002/adma.72950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混合微游动器结合了活细胞的独特运动性和合成货物的多功能性，为靶向递送提供了激动人心的机会。然而，目前的生物混合体由于缺乏活体和合成成分之间的通信而缺乏自主决策能力。在此，我们报告了能够通过细菌和货物之间的光介导通信实现自我调节货物拾取、运输和释放的生物混合微游动器。基因工程改造的</w:t>
      </w:r>
      <w:r>
        <w:t xml:space="preserve"> </w:t>
      </w:r>
      <w:r>
        <w:t>Escherichia coli</w:t>
      </w:r>
      <w:r>
        <w:t xml:space="preserve"> </w:t>
      </w:r>
      <w:r>
        <w:t>细菌作为发送者，将模型毒素Hg</w:t>
      </w:r>
      <w:r>
        <w:t xml:space="preserve"> </w:t>
      </w:r>
      <w:r>
        <w:t>2+</w:t>
      </w:r>
      <w:r>
        <w:t xml:space="preserve"> </w:t>
      </w:r>
      <w:r>
        <w:t>浓度的动态变化转化为细胞光信号。</w:t>
      </w:r>
    </w:p>
    <w:p>
      <w:pPr>
        <w:spacing w:before="0" w:after="200" w:lineRule="auto" w:line="276"/>
      </w:pPr>
      <w:r>
        <w:rPr>
          <w:b/>
        </w:rPr>
        <w:t xml:space="preserve">Abstract (EN): </w:t>
      </w:r>
      <w:r>
        <w:t>Biohybrid microswimmers, which integrate the unique mobility and taxis of living cells with the versatility of synthetic cargo, offer exciting opportunities for targeted delivery. However, current biohybrids lack autonomous decision‐making capabilities due to the absence of communication between living and synthetic components. Here, we report biohybrid microswimmers capable of self‐regulating cargo pickup, transport, and release through light‐mediated communication between bacteria and cargo. The genetically engineered</w:t>
      </w:r>
      <w:r>
        <w:t xml:space="preserve"> </w:t>
      </w:r>
      <w:r>
        <w:t>Escherichia coli</w:t>
      </w:r>
      <w:r>
        <w:t xml:space="preserve"> </w:t>
      </w:r>
      <w:r>
        <w:t>bacteria act as senders, converting dynamic changes in the concentration of a model toxin, Hg</w:t>
      </w:r>
      <w:r>
        <w:t xml:space="preserve"> </w:t>
      </w:r>
      <w:r>
        <w:t>2+</w:t>
      </w:r>
      <w:r>
        <w:t xml:space="preserve"> </w:t>
      </w:r>
      <w:r>
        <w:t>, into a cellular light signal. The cargo, composed of small unilamellar vesicles (SUVs), is functionalized with a photoswitchable membrane‐binding protein to perceive the light signal. By interfacing the two components, the bacteria can dynamically signal the presence of Hg</w:t>
      </w:r>
      <w:r>
        <w:t xml:space="preserve"> </w:t>
      </w:r>
      <w:r>
        <w:t>2+</w:t>
      </w:r>
      <w:r>
        <w:t xml:space="preserve"> </w:t>
      </w:r>
      <w:r>
        <w:t>to the SUVs, triggering their attachment to bacteria and biohybrid assembly. The inherent negative chemotaxis of bacteria to Hg</w:t>
      </w:r>
      <w:r>
        <w:t xml:space="preserve"> </w:t>
      </w:r>
      <w:r>
        <w:t>2+</w:t>
      </w:r>
      <w:r>
        <w:t xml:space="preserve"> </w:t>
      </w:r>
      <w:r>
        <w:t>directs the transport of cargo toward low Hg</w:t>
      </w:r>
      <w:r>
        <w:t xml:space="preserve"> </w:t>
      </w:r>
      <w:r>
        <w:t>2+</w:t>
      </w:r>
      <w:r>
        <w:t xml:space="preserve"> </w:t>
      </w:r>
      <w:r>
        <w:t>environments, where the cessation of light signaling prompts cargo release. This autonomous cargo transport is governed by an emerging self‐regulatory network, combining light‐mediated communication between cargo and bacteria with bacterial chemotaxis. The modular biohybrid microswimmer design paves the way for advanced microrobotic systems in which synthetic and living components coordinate their actions.</w:t>
      </w:r>
    </w:p>
    <w:p>
      <w:pPr>
        <w:spacing w:before="120" w:after="120"/>
      </w:pPr>
      <w:r>
        <w:rPr>
          <w:sz w:val="18"/>
        </w:rPr>
        <w:t>——————————————————————————————————————————————————————————————————————</w:t>
      </w:r>
    </w:p>
    <w:p>
      <w:pPr>
        <w:spacing w:before="160" w:after="40" w:line="240" w:lineRule="auto"/>
      </w:pPr>
      <w:r>
        <w:rPr>
          <w:b/>
        </w:rPr>
        <w:t xml:space="preserve">[213] </w:t>
      </w:r>
      <w:hyperlink r:id="rId598">
        <w:r>
          <w:rPr>
            <w:color w:val="1155CC"/>
            <w:u w:val="single"/>
          </w:rPr>
          <w:t>沸石咪唑酯框架玻璃中的白光发射</w:t>
        </w:r>
      </w:hyperlink>
    </w:p>
    <w:p>
      <w:pPr>
        <w:spacing w:before="0" w:after="80"/>
      </w:pPr>
      <w:r>
        <w:rPr>
          <w:i/>
          <w:sz w:val="20"/>
        </w:rPr>
        <w:t>EN: White‐Light Emission in Zeolitic Imidazolate Framework Glasses</w:t>
      </w:r>
    </w:p>
    <w:p>
      <w:pPr>
        <w:spacing w:before="0" w:after="120"/>
      </w:pPr>
      <w:r>
        <w:rPr>
          <w:b/>
        </w:rPr>
        <w:t xml:space="preserve">Source: </w:t>
      </w:r>
      <w:r>
        <w:t>Wiley: Advanced Materials: Table of Contents</w:t>
      </w:r>
      <w:r>
        <w:t xml:space="preserve">    </w:t>
      </w:r>
      <w:r>
        <w:rPr>
          <w:b/>
        </w:rPr>
        <w:t xml:space="preserve">Pub date: </w:t>
      </w:r>
      <w:r>
        <w:t>2026-03-31 04:55:06+00:00</w:t>
      </w:r>
      <w:r>
        <w:t xml:space="preserve">    </w:t>
      </w:r>
      <w:r>
        <w:rPr>
          <w:b/>
        </w:rPr>
        <w:t xml:space="preserve">DOI: </w:t>
      </w:r>
      <w:hyperlink r:id="rId599">
        <w:r>
          <w:rPr>
            <w:color w:val="1155CC"/>
            <w:u w:val="single"/>
          </w:rPr>
          <w:t>10.1002/adma.72968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些沸石咪唑酯骨架（ZIFs）代表了一类新的玻璃形成物，具有迄今未知的光子功能。在这项工作中，我们报告了通过玻璃化-加压-退火策略在ZIF-62中发现的宽带白光发射。在该策略中，ZIF-62玻璃化后实现了可见（蓝色）光发射，随后在加压后得到增强和拓宽。此外，当退火温度超过临界退火温度（1.07 Tg）时，加压ZIF-62玻璃的发射峰发生了显著的红移（37 nm）。这意味着ZIF-62的光致发光可以精确地调整</w:t>
      </w:r>
    </w:p>
    <w:p>
      <w:pPr>
        <w:spacing w:before="0" w:after="200" w:lineRule="auto" w:line="276"/>
      </w:pPr>
      <w:r>
        <w:rPr>
          <w:b/>
        </w:rPr>
        <w:t xml:space="preserve">Abstract (EN): </w:t>
      </w:r>
      <w:r>
        <w:t>Some zeolitic imidazolate frameworks (ZIFs) represent a new family of glass formers, with hitherto unknown photonic functionalities. In this work, we report the discovery of broadband white light emission in ZIF‐62, achieved through a vitrification‐pressurization‐annealing strategy. In this strategy, visible (blue) light emission was realized after the vitrification of ZIF‐62,  subsequently enhanced and broadened upon pressurization. Additionally, a sharp redshift (37 nm) of the emission peak occurred in pressurized ZIF‐62 glass as the annealing temperature exceeded a critical annealing temperature (1.07</w:t>
      </w:r>
      <w:r>
        <w:t xml:space="preserve"> </w:t>
      </w:r>
      <w:r>
        <w:t>T</w:t>
      </w:r>
      <w:r>
        <w:t xml:space="preserve"> </w:t>
      </w:r>
      <w:r>
        <w:t>g</w:t>
      </w:r>
      <w:r>
        <w:t xml:space="preserve"> </w:t>
      </w:r>
      <w:r>
        <w:t>). This implies that the photoluminescence of ZIF‐62 can be precisely tailored. The photoluminescence quantum yield of ZIF‐62 glass reached 12.2% after annealing at 1.13</w:t>
      </w:r>
      <w:r>
        <w:t xml:space="preserve"> </w:t>
      </w:r>
      <w:r>
        <w:t>T</w:t>
      </w:r>
      <w:r>
        <w:t xml:space="preserve"> </w:t>
      </w:r>
      <w:r>
        <w:t>g</w:t>
      </w:r>
      <w:r>
        <w:t xml:space="preserve"> </w:t>
      </w:r>
      <w:r>
        <w:t>for 30 min. The origin of the observed phenomena was revealed by conducting structural analyses. Based on the annealed ZIF‐62 glass with the best photoluminescent performance, a white light‐emitting diode (LED) was fabricated, which exhibited a luminous efficacy of 4.2 lm/W and a high operational stability, i.e., retaining 36.8% of the efficacy after 72 h of operation. This work demonstrated the feasibility of the development of one‐component white LEDs by utilizing the annealed ZIF‐62 glass.</w:t>
      </w:r>
    </w:p>
    <w:p>
      <w:pPr>
        <w:spacing w:before="120" w:after="120"/>
      </w:pPr>
      <w:r>
        <w:rPr>
          <w:sz w:val="18"/>
        </w:rPr>
        <w:t>——————————————————————————————————————————————————————————————————————</w:t>
      </w:r>
    </w:p>
    <w:p>
      <w:pPr>
        <w:spacing w:before="160" w:after="40" w:line="240" w:lineRule="auto"/>
      </w:pPr>
      <w:r>
        <w:rPr>
          <w:b/>
        </w:rPr>
        <w:t xml:space="preserve">[214] </w:t>
      </w:r>
      <w:hyperlink r:id="rId600">
        <w:r>
          <w:rPr>
            <w:color w:val="1155CC"/>
            <w:u w:val="single"/>
          </w:rPr>
          <w:t>通过金属掺杂界面工程在流动电解槽中实现可扩展C═N键电合成的汇聚增值</w:t>
        </w:r>
      </w:hyperlink>
    </w:p>
    <w:p>
      <w:pPr>
        <w:spacing w:before="0" w:after="80"/>
      </w:pPr>
      <w:r>
        <w:rPr>
          <w:i/>
          <w:sz w:val="20"/>
        </w:rPr>
        <w:t>EN: Convergent Valorization via Scalable C═N Bond Electrosynthesis Through Metal‐Dopant Interfacial Engineering in a Flow Electrolyzer</w:t>
      </w:r>
    </w:p>
    <w:p>
      <w:pPr>
        <w:spacing w:before="0" w:after="120"/>
      </w:pPr>
      <w:r>
        <w:rPr>
          <w:b/>
        </w:rPr>
        <w:t xml:space="preserve">Source: </w:t>
      </w:r>
      <w:r>
        <w:t>Wiley: Angewandte Chemie International Edition: Table of Contents</w:t>
      </w:r>
      <w:r>
        <w:t xml:space="preserve">    </w:t>
      </w:r>
      <w:r>
        <w:rPr>
          <w:b/>
        </w:rPr>
        <w:t xml:space="preserve">Pub date: </w:t>
      </w:r>
      <w:r>
        <w:t>2026-03-31 04:57:03+00:00</w:t>
      </w:r>
      <w:r>
        <w:t xml:space="preserve">    </w:t>
      </w:r>
      <w:r>
        <w:rPr>
          <w:b/>
        </w:rPr>
        <w:t xml:space="preserve">DOI: </w:t>
      </w:r>
      <w:hyperlink r:id="rId601">
        <w:r>
          <w:rPr>
            <w:color w:val="1155CC"/>
            <w:u w:val="single"/>
          </w:rPr>
          <w:t>10.1002/anie.9964729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含C和N的污染物电催化转化为含C–N键的增值化合物已引起越来越多的关注。具体而言，探索的重点是生成具有C═N键的肟类化合物，这些是制药和精细化工领域中广泛应用的基本化学品。在此，我们开发了一种集成电催化平台，以金属掺杂的MoS2作为高效催化剂，在绿色溶剂中生产目标产物甲醛肟。值得注意的是，Fe掺杂的MoS2显著提高了H2C═NOH的法拉第效率和产率，分别达到81.2%和963 mmol h</w:t>
      </w:r>
    </w:p>
    <w:p>
      <w:pPr>
        <w:spacing w:before="0" w:after="200" w:lineRule="auto" w:line="276"/>
      </w:pPr>
      <w:r>
        <w:rPr>
          <w:b/>
        </w:rPr>
        <w:t xml:space="preserve">Abstract (EN): </w:t>
      </w:r>
      <w:r>
        <w:t>Electrocatalytic conversion of C‐ and N‐containing pollutants into value‐added C–N‐bond containing compounds has attracted increasing attention. Specifically, the exploration centers on the generation of oximes featuring C═N bonds, which are essential chemicals with widespread applications in the pharmaceutical and fine chemical fields. Here, we develop an integrated electrocatalytic platform to produce formaldoxime as the target product in a green solvent using metal‐doped MoS</w:t>
      </w:r>
      <w:r>
        <w:rPr>
          <w:vertAlign w:val="subscript"/>
        </w:rPr>
        <w:t>2</w:t>
      </w:r>
      <w:r>
        <w:t>as efficient catalysts. Notably, Fe‐doped MoS</w:t>
      </w:r>
      <w:r>
        <w:rPr>
          <w:vertAlign w:val="subscript"/>
        </w:rPr>
        <w:t>2</w:t>
      </w:r>
      <w:r>
        <w:t>significantly boosts the Faradaic efficiency and yield rate for H</w:t>
      </w:r>
      <w:r>
        <w:rPr>
          <w:vertAlign w:val="subscript"/>
        </w:rPr>
        <w:t>2</w:t>
      </w:r>
      <w:r>
        <w:t>C═NOH to 81.2% and 963 mmol h</w:t>
      </w:r>
      <w:r>
        <w:t xml:space="preserve"> </w:t>
      </w:r>
      <w:r>
        <w:t>−1</w:t>
      </w:r>
      <w:r>
        <w:t xml:space="preserve"> </w:t>
      </w:r>
      <w:r>
        <w:t>g</w:t>
      </w:r>
      <w:r>
        <w:t xml:space="preserve"> </w:t>
      </w:r>
      <w:r>
        <w:t>−1</w:t>
      </w:r>
      <w:r>
        <w:t xml:space="preserve"> </w:t>
      </w:r>
      <w:r>
        <w:t>, respectively. Mechanistic studies reveal that the Fe dopants enhance the NO</w:t>
      </w:r>
      <w:r>
        <w:rPr>
          <w:vertAlign w:val="subscript"/>
        </w:rPr>
        <w:t>2</w:t>
      </w:r>
      <w:r>
        <w:t>–</w:t>
      </w:r>
      <w:r>
        <w:t xml:space="preserve"> </w:t>
      </w:r>
      <w:r>
        <w:t>bonding, promoting substrate engagement and subsequently H</w:t>
      </w:r>
      <w:r>
        <w:rPr>
          <w:vertAlign w:val="subscript"/>
        </w:rPr>
        <w:t>2</w:t>
      </w:r>
      <w:r>
        <w:t>C═NOH formation in an aqueous medium. Upon incorporating into a flow electrolyzer, the yield rate for H</w:t>
      </w:r>
      <w:r>
        <w:rPr>
          <w:vertAlign w:val="subscript"/>
        </w:rPr>
        <w:t>2</w:t>
      </w:r>
      <w:r>
        <w:t>C═NOH electrosynthesis is drastically enhanced to 2630 mmol h</w:t>
      </w:r>
      <w:r>
        <w:t xml:space="preserve"> </w:t>
      </w:r>
      <w:r>
        <w:t>−1</w:t>
      </w:r>
      <w:r>
        <w:t xml:space="preserve"> </w:t>
      </w:r>
      <w:r>
        <w:t>g</w:t>
      </w:r>
      <w:r>
        <w:t xml:space="preserve"> </w:t>
      </w:r>
      <w:r>
        <w:t>−1</w:t>
      </w:r>
      <w:r>
        <w:t xml:space="preserve"> </w:t>
      </w:r>
      <w:r>
        <w:t>, almost triple that obtained from H‐cell setups. Our techno‐economic analysis estimates that the daily profit of this dual‐upgrading technology reaches $230 000+, highlighting the translational advantage of our strategy. Overall, this work establishes a non‐precious metal‐dopant strategy that upcycles low‐cost C‐ and N‐containing pollutants into valuable organonitrogens, enabling renewable energy synthesis of more valuable and functionally diverse commodities.</w:t>
      </w:r>
    </w:p>
    <w:p>
      <w:pPr>
        <w:spacing w:before="120" w:after="120"/>
      </w:pPr>
      <w:r>
        <w:rPr>
          <w:sz w:val="18"/>
        </w:rPr>
        <w:t>——————————————————————————————————————————————————————————————————————</w:t>
      </w:r>
    </w:p>
    <w:p>
      <w:pPr>
        <w:spacing w:before="160" w:after="40" w:line="240" w:lineRule="auto"/>
      </w:pPr>
      <w:r>
        <w:rPr>
          <w:b/>
        </w:rPr>
        <w:t xml:space="preserve">[215] </w:t>
      </w:r>
      <w:hyperlink r:id="rId602">
        <w:r>
          <w:rPr>
            <w:color w:val="1155CC"/>
            <w:u w:val="single"/>
          </w:rPr>
          <w:t>多重串联质谱成像实现组织中大规模异构体映射和注释</w:t>
        </w:r>
      </w:hyperlink>
    </w:p>
    <w:p>
      <w:pPr>
        <w:spacing w:before="0" w:after="80"/>
      </w:pPr>
      <w:r>
        <w:rPr>
          <w:i/>
          <w:sz w:val="20"/>
        </w:rPr>
        <w:t>EN: Multiplexed Tandem Mass Spectrometry Imaging Enables Large‐Scale Isomer Mapping and Annotation in Tissues</w:t>
      </w:r>
    </w:p>
    <w:p>
      <w:pPr>
        <w:spacing w:before="0" w:after="120"/>
      </w:pPr>
      <w:r>
        <w:rPr>
          <w:b/>
        </w:rPr>
        <w:t xml:space="preserve">Source: </w:t>
      </w:r>
      <w:r>
        <w:t>Wiley: Angewandte Chemie International Edition: Table of Contents</w:t>
      </w:r>
      <w:r>
        <w:t xml:space="preserve">    </w:t>
      </w:r>
      <w:r>
        <w:rPr>
          <w:b/>
        </w:rPr>
        <w:t xml:space="preserve">Pub date: </w:t>
      </w:r>
      <w:r>
        <w:t>2026-03-31 04:58:55+00:00</w:t>
      </w:r>
      <w:r>
        <w:t xml:space="preserve">    </w:t>
      </w:r>
      <w:r>
        <w:rPr>
          <w:b/>
        </w:rPr>
        <w:t xml:space="preserve">DOI: </w:t>
      </w:r>
      <w:hyperlink r:id="rId603">
        <w:r>
          <w:rPr>
            <w:color w:val="1155CC"/>
            <w:u w:val="single"/>
          </w:rPr>
          <w:t>10.1002/anie.202522119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准确的分子注释对于解读空间生物学中的生化过程至关重要。在此，我们提出了一种可扩展且广泛适用的串联质谱成像（MS</w:t>
      </w:r>
      <w:r>
        <w:rPr>
          <w:vertAlign w:val="subscript"/>
        </w:rPr>
        <w:t>2</w:t>
      </w:r>
      <w:r>
        <w:t>I）分子注释工具。我们的工作流程包括用于并行MS</w:t>
      </w:r>
      <w:r>
        <w:rPr>
          <w:vertAlign w:val="subscript"/>
        </w:rPr>
        <w:t>2</w:t>
      </w:r>
      <w:r>
        <w:t>I的并行图像采集（PIA）和用于空间相似性网络（SSN）的开放访问计算框架，使得MS</w:t>
      </w:r>
      <w:r>
        <w:rPr>
          <w:vertAlign w:val="subscript"/>
        </w:rPr>
        <w:t>2</w:t>
      </w:r>
      <w:r>
        <w:t>I数据的分子注释具有异构体特异性。PIA实现了同时的非靶向MSI和靶向MS</w:t>
      </w:r>
      <w:r>
        <w:rPr>
          <w:vertAlign w:val="subscript"/>
        </w:rPr>
        <w:t>2</w:t>
      </w:r>
      <w:r>
        <w:t>I，确保了数百种分子的结构特异性成像</w:t>
      </w:r>
    </w:p>
    <w:p>
      <w:pPr>
        <w:spacing w:before="0" w:after="200" w:lineRule="auto" w:line="276"/>
      </w:pPr>
      <w:r>
        <w:rPr>
          <w:b/>
        </w:rPr>
        <w:t xml:space="preserve">Abstract (EN): </w:t>
      </w:r>
      <w:r>
        <w:t>Accurate molecular annotation is essential for deciphering biochemical processes in spatial biology. Here, we present a scalable and broadly applicable molecular annotation tool for tandem mass spectrometry imaging (MS</w:t>
      </w:r>
      <w:r>
        <w:rPr>
          <w:vertAlign w:val="subscript"/>
        </w:rPr>
        <w:t>2</w:t>
      </w:r>
      <w:r>
        <w:t>I). Our workflow includes parallel image acquisition (PIA) for parallel MS</w:t>
      </w:r>
      <w:r>
        <w:rPr>
          <w:vertAlign w:val="subscript"/>
        </w:rPr>
        <w:t>2</w:t>
      </w:r>
      <w:r>
        <w:t>I and an open‐access computational framework for spatial similarity networking (SSN) that enables molecular annotation of MS</w:t>
      </w:r>
      <w:r>
        <w:rPr>
          <w:vertAlign w:val="subscript"/>
        </w:rPr>
        <w:t>2</w:t>
      </w:r>
      <w:r>
        <w:t>I data with isomeric specificity. The PIA enables simultaneous untargeted MSI and targeted MS</w:t>
      </w:r>
      <w:r>
        <w:rPr>
          <w:vertAlign w:val="subscript"/>
        </w:rPr>
        <w:t>2</w:t>
      </w:r>
      <w:r>
        <w:t>I ensuring structure‐specific imaging of hundreds of molecules in a single experiment. The SSN increases annotation confidence through graph‐based spatial correlation of product ion distributions, opening up new avenues for data investigation and annotation from both MSI and MS</w:t>
      </w:r>
      <w:r>
        <w:rPr>
          <w:vertAlign w:val="subscript"/>
        </w:rPr>
        <w:t>2</w:t>
      </w:r>
      <w:r>
        <w:t>I data. By integrating PIA and SSN into a single workflow, we visualize and annotate 134 phospholipid isomers and isobars in mouse brain tissue. Furthermore, we demonstrate the biological utility of the platform by mapping cholesterol metabolism in human multiple sclerosis brain tissue, revealing lesion‐associated cholesterol oxidation pathways. Finally, we propose annotation confidence levels for structural annotation in MSI. Overall, PIA and SSN together provide large‐scale, structure‐specific MSI, expanding the scope for spatial metabolomics, lipidomics, and chemical pathology through molecular annotation beyond current capabilities.</w:t>
      </w:r>
    </w:p>
    <w:p>
      <w:pPr>
        <w:spacing w:before="120" w:after="120"/>
      </w:pPr>
      <w:r>
        <w:rPr>
          <w:sz w:val="18"/>
        </w:rPr>
        <w:t>——————————————————————————————————————————————————————————————————————</w:t>
      </w:r>
    </w:p>
    <w:p>
      <w:pPr>
        <w:spacing w:before="160" w:after="40" w:line="240" w:lineRule="auto"/>
      </w:pPr>
      <w:r>
        <w:rPr>
          <w:b/>
        </w:rPr>
        <w:t xml:space="preserve">[216] </w:t>
      </w:r>
      <w:hyperlink r:id="rId604">
        <w:r>
          <w:rPr>
            <w:color w:val="1155CC"/>
            <w:u w:val="single"/>
          </w:rPr>
          <w:t>调节单原子Co吸收剂的局部协调环境以实现介电-磁双重损耗调制</w:t>
        </w:r>
      </w:hyperlink>
    </w:p>
    <w:p>
      <w:pPr>
        <w:spacing w:before="0" w:after="80"/>
      </w:pPr>
      <w:r>
        <w:rPr>
          <w:i/>
          <w:sz w:val="20"/>
        </w:rPr>
        <w:t>EN: Regulating Local Coordination Environment of Single‐Atom Co Absorbers for Dielectric‐Magnetic Dual Loss Modulation</w:t>
      </w:r>
    </w:p>
    <w:p>
      <w:pPr>
        <w:spacing w:before="0" w:after="120"/>
      </w:pPr>
      <w:r>
        <w:rPr>
          <w:b/>
        </w:rPr>
        <w:t xml:space="preserve">Source: </w:t>
      </w:r>
      <w:r>
        <w:t>Wiley: Advanced Materials: Table of Contents</w:t>
      </w:r>
      <w:r>
        <w:t xml:space="preserve">    </w:t>
      </w:r>
      <w:r>
        <w:rPr>
          <w:b/>
        </w:rPr>
        <w:t xml:space="preserve">Pub date: </w:t>
      </w:r>
      <w:r>
        <w:t>2026-03-31 05:45:44+00:00</w:t>
      </w:r>
      <w:r>
        <w:t xml:space="preserve">    </w:t>
      </w:r>
      <w:r>
        <w:rPr>
          <w:b/>
        </w:rPr>
        <w:t xml:space="preserve">DOI: </w:t>
      </w:r>
      <w:hyperlink r:id="rId605">
        <w:r>
          <w:rPr>
            <w:color w:val="1155CC"/>
            <w:u w:val="single"/>
          </w:rPr>
          <w:t>10.1002/adma.72966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材料具有明确的微观结构，为揭示电磁能量耗散机制提供了独特的机会。然而，关于优化局部电子状态以实现介电-磁协同损耗的研究仍然稀少。在此，通过原子尺度的配位工程，在钴单原子（Co-SA）吸收体中实现了偶极-自旋协同调控。实验和理论分析表明，不对称配位促进了增强的偶极极化，从而改善了介电损耗，而低自旋到高自旋的转变增加了磁矩，导致磁损耗增强。这种介电-磁协同调控构建了优越的原子级吸收体。</w:t>
      </w:r>
    </w:p>
    <w:p>
      <w:pPr>
        <w:spacing w:before="0" w:after="200" w:lineRule="auto" w:line="276"/>
      </w:pPr>
      <w:r>
        <w:rPr>
          <w:b/>
        </w:rPr>
        <w:t xml:space="preserve">Abstract (EN): </w:t>
      </w:r>
      <w:r>
        <w:t>Single‐atom materials with well‐defined microstructures offer unique opportunities for revealing electromagnetic energy dissipation mechanisms. However, research on the optimization of local electronic states to achieve dielectric–magnetic collaborative losses remains rare. Herein, a dipole–spin synergistic regulation was realized in cobalt single‐atom (Co‐SA) absorbers through atomic‐scale coordination engineering. Experimental and theoretical analyses revealed that asymmetric coordination facilitates enhanced dipole polarization, thereby improving dielectric loss, while the low‐spin to high‐spin transition increases the magnetic moment, resulting in strengthened magnetic loss. This dielectric–magnetic synergistic regulation constructs superior atomic‐level absorption centers, enabling outstanding electromagnetic wave absorption (EWA) with a minimum reflection loss of −54.87 dB and an effective absorption bandwidth of 5.36 GHz. This work demonstrates a scalable approach for the precise design and optimization of high‐performance EWA materials and offers a new insight into the relationships between the single‐atom coordination environment and the EWA performance.</w:t>
      </w:r>
    </w:p>
    <w:p>
      <w:pPr>
        <w:spacing w:before="120" w:after="120"/>
      </w:pPr>
      <w:r>
        <w:rPr>
          <w:sz w:val="18"/>
        </w:rPr>
        <w:t>——————————————————————————————————————————————————————————————————————</w:t>
      </w:r>
    </w:p>
    <w:p>
      <w:pPr>
        <w:spacing w:before="160" w:after="40" w:line="240" w:lineRule="auto"/>
      </w:pPr>
      <w:r>
        <w:rPr>
          <w:b/>
        </w:rPr>
        <w:t xml:space="preserve">[217] </w:t>
      </w:r>
      <w:hyperlink r:id="rId606">
        <w:r>
          <w:rPr>
            <w:color w:val="1155CC"/>
            <w:u w:val="single"/>
          </w:rPr>
          <w:t>结构化多材料纤维赋能智能机器人</w:t>
        </w:r>
      </w:hyperlink>
    </w:p>
    <w:p>
      <w:pPr>
        <w:spacing w:before="0" w:after="80"/>
      </w:pPr>
      <w:r>
        <w:rPr>
          <w:i/>
          <w:sz w:val="20"/>
        </w:rPr>
        <w:t>EN: Structured Multimaterial Fibers Enabling Intelligent Robots</w:t>
      </w:r>
    </w:p>
    <w:p>
      <w:pPr>
        <w:spacing w:before="0" w:after="120"/>
      </w:pPr>
      <w:r>
        <w:rPr>
          <w:b/>
        </w:rPr>
        <w:t xml:space="preserve">Source: </w:t>
      </w:r>
      <w:r>
        <w:t>Wiley: Advanced Materials: Table of Contents</w:t>
      </w:r>
      <w:r>
        <w:t xml:space="preserve">    </w:t>
      </w:r>
      <w:r>
        <w:rPr>
          <w:b/>
        </w:rPr>
        <w:t xml:space="preserve">Pub date: </w:t>
      </w:r>
      <w:r>
        <w:t>2026-03-31 05:49:55+00:00</w:t>
      </w:r>
      <w:r>
        <w:t xml:space="preserve">    </w:t>
      </w:r>
      <w:r>
        <w:rPr>
          <w:b/>
        </w:rPr>
        <w:t xml:space="preserve">DOI: </w:t>
      </w:r>
      <w:hyperlink r:id="rId607">
        <w:r>
          <w:rPr>
            <w:color w:val="1155CC"/>
            <w:u w:val="single"/>
          </w:rPr>
          <w:t>10.1002/adma.72737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机器人由于其刚性和笨重的结构，在柔软、动态或空间受限的环境中表现不佳，如人体内，并且与纺织品等柔性、大面积系统不兼容。这些限制加速了对更小、更柔软、更具适应性的机器人范式的探索。受将生化能量转化为运动的肌肉纤维启发，纤维机器人作为一种引人注目的解决方案出现，连接了微观集成与宏观智能。这些集成异质材料组件的纤维对热、电、化学或光刺激作出响应，具有可编程的驱动功能，并且当与分布式传感和人工智能（AI）集成时，它们演变为</w:t>
      </w:r>
    </w:p>
    <w:p>
      <w:pPr>
        <w:spacing w:before="0" w:after="200" w:lineRule="auto" w:line="276"/>
      </w:pPr>
      <w:r>
        <w:rPr>
          <w:b/>
        </w:rPr>
        <w:t xml:space="preserve">Abstract (EN): </w:t>
      </w:r>
      <w:r>
        <w:t>Traditional robots, defined by rigid and bulky architectures, perform poorly in soft, dynamic, or spatially constrained environments such as the human body, and are incompatible with flexible, large‐area systems like textiles. These limitations have accelerated the search for robotic paradigms that are smaller, softer, and more adaptive. Inspired by muscle fibers that convert biochemical energy into motion, fiber robots have emerged as a compelling solution that bridges microscale integration with macroscale intelligence. These fibers integrating heterogeneous material components respond to thermal, electrical, chemical, or optical stimuli with programmable actuation, and when integrated with distributed sensing and artificial intelligence (AI), they evolve into ultrathin, compliant, and intelligent systems. Such properties enable navigation in confined biological spaces and incorporation into comfortable fabrics for wearables, biomedical devices, and soft robotic skins. This work summarizes recent advances in actuation mechanisms, multimodal sensing, and system‐level integration of fiber robots enabled by structured multimaterial fibers, as well as applications ranging from artificial muscles to adaptive textile systems and implantable medicine. We further highlight the transformative role of AI in material discovery, actuator‐sensor co‐design, autonomous fabrication, and embodied intelligence, and outline key challenges and frontier application opportunities for fully autonomous intelligent fiber robots across scales, from inside the human body to the deep sea and deep space.</w:t>
      </w:r>
    </w:p>
    <w:p>
      <w:pPr>
        <w:spacing w:before="120" w:after="120"/>
      </w:pPr>
      <w:r>
        <w:rPr>
          <w:sz w:val="18"/>
        </w:rPr>
        <w:t>——————————————————————————————————————————————————————————————————————</w:t>
      </w:r>
    </w:p>
    <w:p>
      <w:pPr>
        <w:spacing w:before="160" w:after="40" w:line="240" w:lineRule="auto"/>
      </w:pPr>
      <w:r>
        <w:rPr>
          <w:b/>
        </w:rPr>
        <w:t xml:space="preserve">[218] </w:t>
      </w:r>
      <w:hyperlink r:id="rId608">
        <w:r>
          <w:rPr>
            <w:color w:val="1155CC"/>
            <w:u w:val="single"/>
          </w:rPr>
          <w:t>超越电子相互作用：Ru亚纳米颗粒在Ru-Co双原子位点上重构界面水以加速氧还原</w:t>
        </w:r>
      </w:hyperlink>
    </w:p>
    <w:p>
      <w:pPr>
        <w:spacing w:before="0" w:after="80"/>
      </w:pPr>
      <w:r>
        <w:rPr>
          <w:i/>
          <w:sz w:val="20"/>
        </w:rPr>
        <w:t>EN: Beyond Electronic Interaction: Ru Sub‐Nanoparticles Reconfiguring Interfacial Water on Ru–Co Diatomic Sites for Accelerated Oxygen Reduction</w:t>
      </w:r>
    </w:p>
    <w:p>
      <w:pPr>
        <w:spacing w:before="0" w:after="120"/>
      </w:pPr>
      <w:r>
        <w:rPr>
          <w:b/>
        </w:rPr>
        <w:t xml:space="preserve">Source: </w:t>
      </w:r>
      <w:r>
        <w:t>Wiley: Angewandte Chemie International Edition: Table of Contents</w:t>
      </w:r>
      <w:r>
        <w:t xml:space="preserve">    </w:t>
      </w:r>
      <w:r>
        <w:rPr>
          <w:b/>
        </w:rPr>
        <w:t xml:space="preserve">Pub date: </w:t>
      </w:r>
      <w:r>
        <w:t>2026-03-31 05:51:24+00:00</w:t>
      </w:r>
      <w:r>
        <w:t xml:space="preserve">    </w:t>
      </w:r>
      <w:r>
        <w:rPr>
          <w:b/>
        </w:rPr>
        <w:t xml:space="preserve">DOI: </w:t>
      </w:r>
      <w:hyperlink r:id="rId609">
        <w:r>
          <w:rPr>
            <w:color w:val="1155CC"/>
            <w:u w:val="single"/>
          </w:rPr>
          <w:t>10.1002/anie.2299436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纳米颗粒与单原子位点之间的协同作用为开发先进电催化剂提供了巨大的潜力。然而，在操作条件下这种复杂结构中的协同机制仍然难以捉摸。在此，开发了一种涉及选择性蚀刻和共限吸附的两步方法，精确构建了CoRu/Ru NPs催化剂，具有Ru-Co双原子位点与Ru亚纳米颗粒耦合，展示了优异的氧还原反应（ORR）性能，在锌空气电池中具有0.91 V的半波电位和369 mW cm−2的峰值功率密度，以及超过13次的出色循环稳定性。</w:t>
      </w:r>
    </w:p>
    <w:p>
      <w:pPr>
        <w:spacing w:before="0" w:after="200" w:lineRule="auto" w:line="276"/>
      </w:pPr>
      <w:r>
        <w:rPr>
          <w:b/>
        </w:rPr>
        <w:t xml:space="preserve">Abstract (EN): </w:t>
      </w:r>
      <w:r>
        <w:t>Synergy between metallic nanoparticles and single‐atom sites offers considerable potential for developing advanced electrocatalysts. However, the synergistic mechanism in such complex architectures under operating conditions remains elusive. Herein, a two‐step approach involving selective etching and co‐confined adsorption was developed to precisely construct CoRu/Ru</w:t>
      </w:r>
      <w:r>
        <w:t xml:space="preserve"> </w:t>
      </w:r>
      <w:r>
        <w:t>NPs</w:t>
      </w:r>
      <w:r>
        <w:t xml:space="preserve"> </w:t>
      </w:r>
      <w:r>
        <w:t>catalyst, featuring Ru–Co diatomic sites coupled with Ru sub‐nanoparticles, which demonstrates excellent oxygen reduction reaction (ORR) performance with a half‐wave potential of 0.91 V and a peak power density of 369 mW cm</w:t>
      </w:r>
      <w:r>
        <w:t xml:space="preserve"> </w:t>
      </w:r>
      <w:r>
        <w:t>−2</w:t>
      </w:r>
      <w:r>
        <w:t xml:space="preserve"> </w:t>
      </w:r>
      <w:r>
        <w:t>in zinc‐air batteries, along with outstanding cycling stability over 1350 h. Beyond modulating the electronic structure to weaken OH* adsorption on Ru–Co diatomic sites, the Ru sub‐nanoparticles also induce an alternative thermodynamic pathway for enhanced ORR kinetics, in which interfacial water dissociate on oxyphilic Ru sub‐nanoparticles and facilely supply protons to oxygen‐containing intermediates on neighboring Ru–Co diatomic sites. This work not only advances the construction of synergistic active sites but also opens a new paradigm for designing advanced electrocatalysts by harnessing the interfacial environment beyond electronic structure modulation.</w:t>
      </w:r>
    </w:p>
    <w:p>
      <w:pPr>
        <w:spacing w:before="120" w:after="120"/>
      </w:pPr>
      <w:r>
        <w:rPr>
          <w:sz w:val="18"/>
        </w:rPr>
        <w:t>——————————————————————————————————————————————————————————————————————</w:t>
      </w:r>
    </w:p>
    <w:p>
      <w:pPr>
        <w:spacing w:before="160" w:after="40" w:line="240" w:lineRule="auto"/>
      </w:pPr>
      <w:r>
        <w:rPr>
          <w:b/>
        </w:rPr>
        <w:t xml:space="preserve">[219] </w:t>
      </w:r>
      <w:hyperlink r:id="rId610">
        <w:r>
          <w:rPr>
            <w:color w:val="1155CC"/>
            <w:u w:val="single"/>
          </w:rPr>
          <w:t>高熵调控的d-p轨道杂化用于增强固体氧化物燃料电池钙钛矿空气电极中的氧还原反应</w:t>
        </w:r>
      </w:hyperlink>
    </w:p>
    <w:p>
      <w:pPr>
        <w:spacing w:before="0" w:after="80"/>
      </w:pPr>
      <w:r>
        <w:rPr>
          <w:i/>
          <w:sz w:val="20"/>
        </w:rPr>
        <w:t>EN: High‐Entropy‐Tailored d‐p Orbital Hybridization for Enhanced Oxygen Reduction Reaction in Perovskite Air Electrodes of Solid Oxide Fuel Cells</w:t>
      </w:r>
    </w:p>
    <w:p>
      <w:pPr>
        <w:spacing w:before="0" w:after="120"/>
      </w:pPr>
      <w:r>
        <w:rPr>
          <w:b/>
        </w:rPr>
        <w:t xml:space="preserve">Source: </w:t>
      </w:r>
      <w:r>
        <w:t>Wiley: Advanced Materials: Table of Contents</w:t>
      </w:r>
      <w:r>
        <w:t xml:space="preserve">    </w:t>
      </w:r>
      <w:r>
        <w:rPr>
          <w:b/>
        </w:rPr>
        <w:t xml:space="preserve">Pub date: </w:t>
      </w:r>
      <w:r>
        <w:t>2026-03-31 05:51:28+00:00</w:t>
      </w:r>
      <w:r>
        <w:t xml:space="preserve">    </w:t>
      </w:r>
      <w:r>
        <w:rPr>
          <w:b/>
        </w:rPr>
        <w:t xml:space="preserve">DOI: </w:t>
      </w:r>
      <w:hyperlink r:id="rId611">
        <w:r>
          <w:rPr>
            <w:color w:val="1155CC"/>
            <w:u w:val="single"/>
          </w:rPr>
          <w:t>10.1002/adma.72892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高性能和耐用的空气电极对于中温固体氧化物燃料电池（MT-SOFCs）的商业化至关重要。在此，我们报告了一种高熵Pr0.2Nd0.2Ba0.2Sr0.2Ca0.2CoO3−δ（PNBSCC）空气电极，展示了优越的氧还原反应（ORR）催化活性和稳定性。具有PNBSCC的对称电池表现出0.048 Ω cm2的极化阻抗（Rp）</w:t>
      </w:r>
    </w:p>
    <w:p>
      <w:pPr>
        <w:spacing w:before="0" w:after="200" w:lineRule="auto" w:line="276"/>
      </w:pPr>
      <w:r>
        <w:rPr>
          <w:b/>
        </w:rPr>
        <w:t xml:space="preserve">Abstract (EN): </w:t>
      </w:r>
      <w:r>
        <w:t>Developing high‐performance and durable air electrodes is crucial for the commercialization of medium‐temperature solid oxide fuel cells (MT‐SOFCs). Herein, we report a high‐entropy Pr</w:t>
      </w:r>
      <w:r>
        <w:t xml:space="preserve"> </w:t>
      </w:r>
      <w:r>
        <w:t>0.2</w:t>
      </w:r>
      <w:r>
        <w:t xml:space="preserve"> </w:t>
      </w:r>
      <w:r>
        <w:t>Nd</w:t>
      </w:r>
      <w:r>
        <w:t xml:space="preserve"> </w:t>
      </w:r>
      <w:r>
        <w:t>0.2</w:t>
      </w:r>
      <w:r>
        <w:t xml:space="preserve"> </w:t>
      </w:r>
      <w:r>
        <w:t>Ba</w:t>
      </w:r>
      <w:r>
        <w:t xml:space="preserve"> </w:t>
      </w:r>
      <w:r>
        <w:t>0.2</w:t>
      </w:r>
      <w:r>
        <w:t xml:space="preserve"> </w:t>
      </w:r>
      <w:r>
        <w:t>Sr</w:t>
      </w:r>
      <w:r>
        <w:t xml:space="preserve"> </w:t>
      </w:r>
      <w:r>
        <w:t>0.2</w:t>
      </w:r>
      <w:r>
        <w:t xml:space="preserve"> </w:t>
      </w:r>
      <w:r>
        <w:t>Ca</w:t>
      </w:r>
      <w:r>
        <w:t xml:space="preserve"> </w:t>
      </w:r>
      <w:r>
        <w:t>0.2</w:t>
      </w:r>
      <w:r>
        <w:t xml:space="preserve"> </w:t>
      </w:r>
      <w:r>
        <w:t>CoO</w:t>
      </w:r>
      <w:r>
        <w:t xml:space="preserve"> </w:t>
      </w:r>
      <w:r>
        <w:t>3−δ</w:t>
      </w:r>
      <w:r>
        <w:t xml:space="preserve"> </w:t>
      </w:r>
      <w:r>
        <w:t>(PNBSCC) air electrode that demonstrates superior oxygen reduction reaction (ORR) catalytic activity and stability. The symmetrical cell with PNBSCC exhibits a polarization impedance (R</w:t>
      </w:r>
      <w:r>
        <w:t xml:space="preserve"> </w:t>
      </w:r>
      <w:r>
        <w:t>p</w:t>
      </w:r>
      <w:r>
        <w:t xml:space="preserve"> </w:t>
      </w:r>
      <w:r>
        <w:t>) of 0.048 Ω cm</w:t>
      </w:r>
      <w:r>
        <w:rPr>
          <w:vertAlign w:val="subscript"/>
        </w:rPr>
        <w:t>2</w:t>
      </w:r>
      <w:r>
        <w:t>at 650°C, significantly lower than the 0.196 Ω cm</w:t>
      </w:r>
      <w:r>
        <w:rPr>
          <w:vertAlign w:val="subscript"/>
        </w:rPr>
        <w:t>2</w:t>
      </w:r>
      <w:r>
        <w:t>of PrBaCo</w:t>
      </w:r>
      <w:r>
        <w:rPr>
          <w:vertAlign w:val="subscript"/>
        </w:rPr>
        <w:t>2</w:t>
      </w:r>
      <w:r>
        <w:t>O</w:t>
      </w:r>
      <w:r>
        <w:t xml:space="preserve"> </w:t>
      </w:r>
      <w:r>
        <w:t>5 ± δ</w:t>
      </w:r>
      <w:r>
        <w:t xml:space="preserve"> </w:t>
      </w:r>
      <w:r>
        <w:t>(PBC) counterpart. A single cell with the PNBSCC air electrode achieves an outstanding peak power density of 2.03 W cm</w:t>
      </w:r>
      <w:r>
        <w:t xml:space="preserve"> </w:t>
      </w:r>
      <w:r>
        <w:t>−2</w:t>
      </w:r>
      <w:r>
        <w:t xml:space="preserve"> </w:t>
      </w:r>
      <w:r>
        <w:t>at 800°C, representing a 153% improvement over that with PBC. Furthermore, the single cell maintains a voltage decay rate of only 0.047 mV h</w:t>
      </w:r>
      <w:r>
        <w:t xml:space="preserve"> </w:t>
      </w:r>
      <w:r>
        <w:t>−1</w:t>
      </w:r>
      <w:r>
        <w:t xml:space="preserve"> </w:t>
      </w:r>
      <w:r>
        <w:t>after 450 h of stable operation at 700°C. In situ high‐temperature XRD and electrochemical impedance spectroscopy (EIS) reveal excellent CO</w:t>
      </w:r>
      <w:r>
        <w:rPr>
          <w:vertAlign w:val="subscript"/>
        </w:rPr>
        <w:t>2</w:t>
      </w:r>
      <w:r>
        <w:t>tolerance and structural stability of PNBSCC. Combined X‐ray absorption spectroscopy and density functional theory calculations reveal weakened Co 3</w:t>
      </w:r>
      <w:r>
        <w:t xml:space="preserve"> </w:t>
      </w:r>
      <w:r>
        <w:t>d</w:t>
      </w:r>
      <w:r>
        <w:t xml:space="preserve"> </w:t>
      </w:r>
      <w:r>
        <w:t>‐O 2</w:t>
      </w:r>
      <w:r>
        <w:t xml:space="preserve"> </w:t>
      </w:r>
      <w:r>
        <w:t>p</w:t>
      </w:r>
      <w:r>
        <w:t xml:space="preserve"> </w:t>
      </w:r>
      <w:r>
        <w:t>hybridization and reduced Co─O covalency in PNBSCC, which favors lattice‐oxygen activation and oxygen‐vacancy formation. The increased oxygen‐vacancy population facilitates oxygen‐ion transport, thereby accelerating ORR kinetics and improving cell performance.</w:t>
      </w:r>
    </w:p>
    <w:p>
      <w:pPr>
        <w:spacing w:before="120" w:after="120"/>
      </w:pPr>
      <w:r>
        <w:rPr>
          <w:sz w:val="18"/>
        </w:rPr>
        <w:t>——————————————————————————————————————————————————————————————————————</w:t>
      </w:r>
    </w:p>
    <w:p>
      <w:pPr>
        <w:spacing w:before="160" w:after="40" w:line="240" w:lineRule="auto"/>
      </w:pPr>
      <w:r>
        <w:rPr>
          <w:b/>
        </w:rPr>
        <w:t xml:space="preserve">[220] </w:t>
      </w:r>
      <w:hyperlink r:id="rId612">
        <w:r>
          <w:rPr>
            <w:color w:val="1155CC"/>
            <w:u w:val="single"/>
          </w:rPr>
          <w:t>通过配位工程适度中间体吸附提升电催化C─N偶联</w:t>
        </w:r>
      </w:hyperlink>
    </w:p>
    <w:p>
      <w:pPr>
        <w:spacing w:before="0" w:after="80"/>
      </w:pPr>
      <w:r>
        <w:rPr>
          <w:i/>
          <w:sz w:val="20"/>
        </w:rPr>
        <w:t>EN: Moderate Intermediate Adsorption Boosts Electrocatalytic C─N Coupling via Coordination Engineering</w:t>
      </w:r>
    </w:p>
    <w:p>
      <w:pPr>
        <w:spacing w:before="0" w:after="120"/>
      </w:pPr>
      <w:r>
        <w:rPr>
          <w:b/>
        </w:rPr>
        <w:t xml:space="preserve">Source: </w:t>
      </w:r>
      <w:r>
        <w:t>Wiley: Angewandte Chemie International Edition: Table of Contents</w:t>
      </w:r>
      <w:r>
        <w:t xml:space="preserve">    </w:t>
      </w:r>
      <w:r>
        <w:rPr>
          <w:b/>
        </w:rPr>
        <w:t xml:space="preserve">Pub date: </w:t>
      </w:r>
      <w:r>
        <w:t>2026-03-31 06:01:22+00:00</w:t>
      </w:r>
      <w:r>
        <w:t xml:space="preserve">    </w:t>
      </w:r>
      <w:r>
        <w:rPr>
          <w:b/>
        </w:rPr>
        <w:t xml:space="preserve">DOI: </w:t>
      </w:r>
      <w:hyperlink r:id="rId613">
        <w:r>
          <w:rPr>
            <w:color w:val="1155CC"/>
            <w:u w:val="single"/>
          </w:rPr>
          <w:t>10.1002/anie.6998509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二氧化碳和硝酸盐电催化合成尿素是一种可持续的途径，其中*CO和*NO中间体之间的C─N耦合至关重要。然而，由于对中间体吸附和反应路径的控制不足，实现高效率仍然具有挑战性。在这项工作中，我们揭示了Cu的配位数（CN）反向调节*CO和*NO的吸附强度，而C─N耦合活性与CN呈火山型关系。将Cu与本质上惰性的Ga原子合金化降低了Cu的CN，上移d带中心，并精细调节中间体吸附，从而促进关键*ONCO的形成。优化的Cu</w:t>
      </w:r>
    </w:p>
    <w:p>
      <w:pPr>
        <w:spacing w:before="0" w:after="200" w:lineRule="auto" w:line="276"/>
      </w:pPr>
      <w:r>
        <w:rPr>
          <w:b/>
        </w:rPr>
        <w:t xml:space="preserve">Abstract (EN): </w:t>
      </w:r>
      <w:r>
        <w:t>The electrocatalytic synthesis of urea from carbon dioxide and nitrate represents a sustainable route, with the C─N coupling between *CO and *NO intermediates being critical. However, achieving high efficiency remains challenging due to insufficient control over intermediate adsorption and reaction pathways. In this work, we reveal that the coordination number (CN) of Cu inversely regulates the adsorption strength of *CO and *NO, while C─N coupling activity follows a volcano‐type relationship with CN. Alloying Cu with intrinsically inert Ga atoms lowers the CN of Cu, upshifts</w:t>
      </w:r>
      <w:r>
        <w:t xml:space="preserve"> </w:t>
      </w:r>
      <w:r>
        <w:t>d</w:t>
      </w:r>
      <w:r>
        <w:t xml:space="preserve"> </w:t>
      </w:r>
      <w:r>
        <w:t>‐band center, and finely tunes intermediate adsorption, thereby facilitating the formation of the key *ONCO. The optimized Cu</w:t>
      </w:r>
      <w:r>
        <w:t xml:space="preserve"> </w:t>
      </w:r>
      <w:r>
        <w:t>0.875</w:t>
      </w:r>
      <w:r>
        <w:t xml:space="preserve"> </w:t>
      </w:r>
      <w:r>
        <w:t>Ga</w:t>
      </w:r>
      <w:r>
        <w:t xml:space="preserve"> </w:t>
      </w:r>
      <w:r>
        <w:t>0.115</w:t>
      </w:r>
      <w:r>
        <w:t xml:space="preserve"> </w:t>
      </w:r>
      <w:r>
        <w:t>catalyst, with a moderate CN of 9.3 situated between its counterparts (6.0 and 12.0), balances adsorption and coupling activity, delivering a desirable urea yield rate of 575.6 mmol h</w:t>
      </w:r>
      <w:r>
        <w:t xml:space="preserve"> </w:t>
      </w:r>
      <w:r>
        <w:t>−1</w:t>
      </w:r>
      <w:r>
        <w:t xml:space="preserve"> </w:t>
      </w:r>
      <w:r>
        <w:t>g</w:t>
      </w:r>
      <w:r>
        <w:t xml:space="preserve"> </w:t>
      </w:r>
      <w:r>
        <w:t>−1</w:t>
      </w:r>
      <w:r>
        <w:t xml:space="preserve"> </w:t>
      </w:r>
      <w:r>
        <w:t>and a Faradaic efficiency of 30.4% at −1.4 V versus RHE. This work underscores coordination engineering as an effective strategy for guiding efficient C─N coupling toward urea synthesis.</w:t>
      </w:r>
    </w:p>
    <w:p>
      <w:pPr>
        <w:spacing w:before="120" w:after="120"/>
      </w:pPr>
      <w:r>
        <w:rPr>
          <w:sz w:val="18"/>
        </w:rPr>
        <w:t>——————————————————————————————————————————————————————————————————————</w:t>
      </w:r>
    </w:p>
    <w:p>
      <w:pPr>
        <w:spacing w:before="160" w:after="40" w:line="240" w:lineRule="auto"/>
      </w:pPr>
      <w:r>
        <w:rPr>
          <w:b/>
        </w:rPr>
        <w:t xml:space="preserve">[221] </w:t>
      </w:r>
      <w:hyperlink r:id="rId614">
        <w:r>
          <w:rPr>
            <w:color w:val="1155CC"/>
            <w:u w:val="single"/>
          </w:rPr>
          <w:t>协同自旋排列增强废水预氧化系统中选择性单线态氧的生成</w:t>
        </w:r>
      </w:hyperlink>
    </w:p>
    <w:p>
      <w:pPr>
        <w:spacing w:before="0" w:after="80"/>
      </w:pPr>
      <w:r>
        <w:rPr>
          <w:i/>
          <w:sz w:val="20"/>
        </w:rPr>
        <w:t>EN: Cooperative Spin Alignment Enhances Selective Singlet Oxygen Generation in Wastewater Pre‐Oxidation System</w:t>
      </w:r>
    </w:p>
    <w:p>
      <w:pPr>
        <w:spacing w:before="0" w:after="120"/>
      </w:pPr>
      <w:r>
        <w:rPr>
          <w:b/>
        </w:rPr>
        <w:t xml:space="preserve">Source: </w:t>
      </w:r>
      <w:r>
        <w:t>Wiley: Angewandte Chemie International Edition: Table of Contents</w:t>
      </w:r>
      <w:r>
        <w:t xml:space="preserve">    </w:t>
      </w:r>
      <w:r>
        <w:rPr>
          <w:b/>
        </w:rPr>
        <w:t xml:space="preserve">Pub date: </w:t>
      </w:r>
      <w:r>
        <w:t>2026-03-31 06:02:43+00:00</w:t>
      </w:r>
      <w:r>
        <w:t xml:space="preserve">    </w:t>
      </w:r>
      <w:r>
        <w:rPr>
          <w:b/>
        </w:rPr>
        <w:t xml:space="preserve">DOI: </w:t>
      </w:r>
      <w:hyperlink r:id="rId615">
        <w:r>
          <w:rPr>
            <w:color w:val="1155CC"/>
            <w:u w:val="single"/>
          </w:rPr>
          <w:t>10.1002/anie.8246739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选择性非自由基氧化以增强可生物降解性是废水预处理的一种有吸引力的途径，但过氧单硫酸盐（PMS）活化的分子控制仍然难以捉摸。在此，我们报告了一种通过超分子自组装合成的具有第二壳层硼配位的Fe‐N4催化剂（FeN4/B）。第二壳层B施加了长程电子调控和协同自旋对齐，将Fe‐PMS*加合物转变为高自旋构型，并促进自旋允许的界面电荷转移。同时，与PMS的共价B─H键生成了关键的SO5*。</w:t>
      </w:r>
    </w:p>
    <w:p>
      <w:pPr>
        <w:spacing w:before="0" w:after="200" w:lineRule="auto" w:line="276"/>
      </w:pPr>
      <w:r>
        <w:rPr>
          <w:b/>
        </w:rPr>
        <w:t xml:space="preserve">Abstract (EN): </w:t>
      </w:r>
      <w:r>
        <w:t>Selective nonradical oxidation to enhance biodegradability is an attractive route for wastewater pretreatment, but molecular control of peroxymonosulfate (PMS) activation remains elusive. Here we report a Fe‐N</w:t>
      </w:r>
      <w:r>
        <w:rPr>
          <w:vertAlign w:val="subscript"/>
        </w:rPr>
        <w:t>4</w:t>
      </w:r>
      <w:r>
        <w:t>catalyst with second‐shell boron coordination (FeN</w:t>
      </w:r>
      <w:r>
        <w:rPr>
          <w:vertAlign w:val="subscript"/>
        </w:rPr>
        <w:t>4</w:t>
      </w:r>
      <w:r>
        <w:t>/B) synthesized by supramolecular self‐assembly. The second‐shell B imposes long‐range electronic regulation and cooperative spin alignment, shifting the Fe‐PMS</w:t>
      </w:r>
      <w:r>
        <w:t xml:space="preserve"> </w:t>
      </w:r>
      <w:r>
        <w:t>*</w:t>
      </w:r>
      <w:r>
        <w:t xml:space="preserve"> </w:t>
      </w:r>
      <w:r>
        <w:t>adduct to a high‐spin configuration and promoting spin‐allowed interfacial charge transfer. Concomitantly, covalent B─H bonding with PMS generates the key SO</w:t>
      </w:r>
      <w:r>
        <w:rPr>
          <w:vertAlign w:val="subscript"/>
        </w:rPr>
        <w:t>5</w:t>
      </w:r>
      <w:r>
        <w:t>*</w:t>
      </w:r>
      <w:r>
        <w:t xml:space="preserve"> </w:t>
      </w:r>
      <w:r>
        <w:t>intermediate that channels PMS activation toward singlet oxygen. This structural control delivers ≥96%</w:t>
      </w:r>
      <w:r>
        <w:rPr>
          <w:vertAlign w:val="subscript"/>
        </w:rPr>
        <w:t>1</w:t>
      </w:r>
      <w:r>
        <w:t>O</w:t>
      </w:r>
      <w:r>
        <w:rPr>
          <w:vertAlign w:val="subscript"/>
        </w:rPr>
        <w:t>2</w:t>
      </w:r>
      <w:r>
        <w:t>selectivity with an observed rate constant</w:t>
      </w:r>
      <w:r>
        <w:t xml:space="preserve"> </w:t>
      </w:r>
      <w:r>
        <w:t>k</w:t>
      </w:r>
      <w:r>
        <w:t xml:space="preserve"> </w:t>
      </w:r>
      <w:r>
        <w:t>obs</w:t>
      </w:r>
      <w:r>
        <w:t xml:space="preserve"> </w:t>
      </w:r>
      <w:r>
        <w:t>= 1.64 min</w:t>
      </w:r>
      <w:r>
        <w:t xml:space="preserve"> </w:t>
      </w:r>
      <w:r>
        <w:t>−1</w:t>
      </w:r>
      <w:r>
        <w:t xml:space="preserve"> </w:t>
      </w:r>
      <w:r>
        <w:t>, a</w:t>
      </w:r>
      <w:r>
        <w:rPr>
          <w:vertAlign w:val="subscript"/>
        </w:rPr>
        <w:t>1</w:t>
      </w:r>
      <w:r>
        <w:t>O</w:t>
      </w:r>
      <w:r>
        <w:rPr>
          <w:vertAlign w:val="subscript"/>
        </w:rPr>
        <w:t>2</w:t>
      </w:r>
      <w:r>
        <w:t>production rate of 227 µmol L</w:t>
      </w:r>
      <w:r>
        <w:t xml:space="preserve"> </w:t>
      </w:r>
      <w:r>
        <w:t>−1</w:t>
      </w:r>
      <w:r>
        <w:t xml:space="preserve"> </w:t>
      </w:r>
      <w:r>
        <w:t>min</w:t>
      </w:r>
      <w:r>
        <w:t xml:space="preserve"> </w:t>
      </w:r>
      <w:r>
        <w:t>−1</w:t>
      </w:r>
      <w:r>
        <w:t xml:space="preserve"> </w:t>
      </w:r>
      <w:r>
        <w:t>, and 98% PMS‐to‐</w:t>
      </w:r>
      <w:r>
        <w:rPr>
          <w:vertAlign w:val="subscript"/>
        </w:rPr>
        <w:t>1</w:t>
      </w:r>
      <w:r>
        <w:t>O</w:t>
      </w:r>
      <w:r>
        <w:rPr>
          <w:vertAlign w:val="subscript"/>
        </w:rPr>
        <w:t>2</w:t>
      </w:r>
      <w:r>
        <w:t>conversion. FeN</w:t>
      </w:r>
      <w:r>
        <w:rPr>
          <w:vertAlign w:val="subscript"/>
        </w:rPr>
        <w:t>4</w:t>
      </w:r>
      <w:r>
        <w:t>/B rapidly degrades 15 highly biotoxic pollutants within 10 min and retains activity under pH fluctuations, common ion/DOM interference, and across diverse natural waters. Implemented as a hydrogel‐immobilized ALICR‐FeN</w:t>
      </w:r>
      <w:r>
        <w:rPr>
          <w:vertAlign w:val="subscript"/>
        </w:rPr>
        <w:t>4</w:t>
      </w:r>
      <w:r>
        <w:t>/B module, the catalyst operated continuously for 168 h, increased effluent biodegradability (BOD/COD &amp;gt; 0.50), reduced acute toxicity, and lowered downstream biological treatment load at an estimated pretreatment cost of ∼$0.14 t</w:t>
      </w:r>
      <w:r>
        <w:t xml:space="preserve"> </w:t>
      </w:r>
      <w:r>
        <w:t>−1</w:t>
      </w:r>
      <w:r>
        <w:t xml:space="preserve"> </w:t>
      </w:r>
      <w:r>
        <w:t>. These results establish cooperative spin alignment as a central lever of second‐shell engineering, bridging atomistic design and scalable water treatment to enable practical, economically favorable pretreatment based on selective PMS‐to‐</w:t>
      </w:r>
      <w:r>
        <w:rPr>
          <w:vertAlign w:val="subscript"/>
        </w:rPr>
        <w:t>1</w:t>
      </w:r>
      <w:r>
        <w:t>O</w:t>
      </w:r>
      <w:r>
        <w:rPr>
          <w:vertAlign w:val="subscript"/>
        </w:rPr>
        <w:t>2</w:t>
      </w:r>
      <w:r>
        <w:t>conversion.</w:t>
      </w:r>
    </w:p>
    <w:p>
      <w:pPr>
        <w:spacing w:before="120" w:after="120"/>
      </w:pPr>
      <w:r>
        <w:rPr>
          <w:sz w:val="18"/>
        </w:rPr>
        <w:t>——————————————————————————————————————————————————————————————————————</w:t>
      </w:r>
    </w:p>
    <w:p>
      <w:pPr>
        <w:spacing w:before="160" w:after="40" w:line="240" w:lineRule="auto"/>
      </w:pPr>
      <w:r>
        <w:rPr>
          <w:b/>
        </w:rPr>
        <w:t xml:space="preserve">[222] </w:t>
      </w:r>
      <w:hyperlink r:id="rId616">
        <w:r>
          <w:rPr>
            <w:color w:val="1155CC"/>
            <w:u w:val="single"/>
          </w:rPr>
          <w:t>具有双滚筒电荷增强的高耐久性同相堆叠摩擦电纳米发电机用于海洋能量收集</w:t>
        </w:r>
      </w:hyperlink>
    </w:p>
    <w:p>
      <w:pPr>
        <w:spacing w:before="0" w:after="80"/>
      </w:pPr>
      <w:r>
        <w:rPr>
          <w:i/>
          <w:sz w:val="20"/>
        </w:rPr>
        <w:t>EN: High‐Durability in‐Phase‐Stacked Triboelectric Nanogenerators with Dual‐Roller Charge Enhancement for Ocean Energy Harvesting</w:t>
      </w:r>
    </w:p>
    <w:p>
      <w:pPr>
        <w:spacing w:before="0" w:after="120"/>
      </w:pPr>
      <w:r>
        <w:rPr>
          <w:b/>
        </w:rPr>
        <w:t xml:space="preserve">Source: </w:t>
      </w:r>
      <w:r>
        <w:t>Wiley: Advanced Energy Materials: Table of Contents</w:t>
      </w:r>
      <w:r>
        <w:t xml:space="preserve">    </w:t>
      </w:r>
      <w:r>
        <w:rPr>
          <w:b/>
        </w:rPr>
        <w:t xml:space="preserve">Pub date: </w:t>
      </w:r>
      <w:r>
        <w:t>2026-03-31 06:04:34+00:00</w:t>
      </w:r>
      <w:r>
        <w:t xml:space="preserve">    </w:t>
      </w:r>
      <w:r>
        <w:rPr>
          <w:b/>
        </w:rPr>
        <w:t xml:space="preserve">DOI: </w:t>
      </w:r>
      <w:hyperlink r:id="rId617">
        <w:r>
          <w:rPr>
            <w:color w:val="1155CC"/>
            <w:u w:val="single"/>
          </w:rPr>
          <w:t>10.1002/aenm.70891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靠的海洋能量收集器是长期海洋传感和信号传输的关键。然而，摩擦电纳米发电机（TENGs）通常受到低转移电荷和机械磨损的限制。在此，我们报告了一种双独立层互补增强TENG（DICE‐TENG），专为低频海浪能量设计，结合了双滚轮电荷增强和同相机械堆叠。通过将聚酰亚胺薄膜与聚四氟乙烯和聚酰胺滚轮材料之间的中间电荷极性结合，我们创建了一个电负性梯度。这种架构将传统的感应电荷从后验叠加转变为反向互补增强，使转移电荷增加了42.26%。此外，u</w:t>
      </w:r>
    </w:p>
    <w:p>
      <w:pPr>
        <w:spacing w:before="0" w:after="200" w:lineRule="auto" w:line="276"/>
      </w:pPr>
      <w:r>
        <w:rPr>
          <w:b/>
        </w:rPr>
        <w:t xml:space="preserve">Abstract (EN): </w:t>
      </w:r>
      <w:r>
        <w:t>Reliable ocean energy harvesters are key to long‐term ocean sensing and signal transmission. However, triboelectric nanogenerators (TENGs) are often limited by their low transferred charge and mechanical wear. Here, we report a dual‐independent‐layer complementary enhancement TENG (DICE‐TENG) designed for low‐frequency ocean wave energy that combines dual‐roller charge enhancement with in‐phase mechanical stacking. By incorporating polyimide film with intermediate charge polarity between the polytetrafluoroethylene and polyamide roller materials, we created an electronegativity gradient. This architecture transforms traditional induced charge from a posteriori superposition to reverse complementary enhancement, increasing the transferred charge by 42.26%. Also, using a low‐wear rolling contact electrification, the device exhibits strong durability. After 3 million cycles, the electrical output has an attenuation of only 3.1%. Furthermore, a mechanical structure locks the output phase to stack multiple units, leading to a nearly‐linear increase in output current and transferred charge. Finally, the integrated DICE‐TENG device with multiple units in parallel successfully harvests the real water wave energy to power 800 light emitting diodes, a thermo‐hygrometer, and a wireless water quality detector, sending signals without external power. This work provides a promising way to develop durable ocean energy harvesters and self‐powered sensing nodes.</w:t>
      </w:r>
    </w:p>
    <w:p>
      <w:pPr>
        <w:spacing w:before="120" w:after="120"/>
      </w:pPr>
      <w:r>
        <w:rPr>
          <w:sz w:val="18"/>
        </w:rPr>
        <w:t>——————————————————————————————————————————————————————————————————————</w:t>
      </w:r>
    </w:p>
    <w:p>
      <w:pPr>
        <w:spacing w:before="160" w:after="40" w:line="240" w:lineRule="auto"/>
      </w:pPr>
      <w:r>
        <w:rPr>
          <w:b/>
        </w:rPr>
        <w:t xml:space="preserve">[223] </w:t>
      </w:r>
      <w:hyperlink r:id="rId618">
        <w:r>
          <w:rPr>
            <w:color w:val="1155CC"/>
            <w:u w:val="single"/>
          </w:rPr>
          <w:t>可解释的描述符用于预测丙烷脱氢催化剂的丙烯产量</w:t>
        </w:r>
      </w:hyperlink>
    </w:p>
    <w:p>
      <w:pPr>
        <w:spacing w:before="0" w:after="80"/>
      </w:pPr>
      <w:r>
        <w:rPr>
          <w:i/>
          <w:sz w:val="20"/>
        </w:rPr>
        <w:t>EN: Interpretable Descriptor Enabling Prediction of Propylene Yield for Propane Dehydrogenation Catalysts</w:t>
      </w:r>
    </w:p>
    <w:p>
      <w:pPr>
        <w:spacing w:before="0" w:after="120"/>
      </w:pPr>
      <w:r>
        <w:rPr>
          <w:b/>
        </w:rPr>
        <w:t xml:space="preserve">Source: </w:t>
      </w:r>
      <w:r>
        <w:t>Wiley: Advanced Energy Materials: Table of Contents</w:t>
      </w:r>
      <w:r>
        <w:t xml:space="preserve">    </w:t>
      </w:r>
      <w:r>
        <w:rPr>
          <w:b/>
        </w:rPr>
        <w:t xml:space="preserve">Pub date: </w:t>
      </w:r>
      <w:r>
        <w:t>2026-03-31 06:07:19+00:00</w:t>
      </w:r>
      <w:r>
        <w:t xml:space="preserve">    </w:t>
      </w:r>
      <w:r>
        <w:rPr>
          <w:b/>
        </w:rPr>
        <w:t xml:space="preserve">DOI: </w:t>
      </w:r>
      <w:hyperlink r:id="rId619">
        <w:r>
          <w:rPr>
            <w:color w:val="1155CC"/>
            <w:u w:val="single"/>
          </w:rPr>
          <w:t>10.1002/aenm.70893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鉴于目前丙烯（C3H6）的产量相对较低，开发一种高产量的丙烷（PDH）直接脱氢催化剂对化学工业来说是极其有益的。通过提取物理意义，结合可解释描述符的机器学习是一种加速催化剂设计的有效方法。然而，现有的描述符只能预测选择性，无法直接预测C3H6的产量</w:t>
      </w:r>
    </w:p>
    <w:p>
      <w:pPr>
        <w:spacing w:before="0" w:after="200" w:lineRule="auto" w:line="276"/>
      </w:pPr>
      <w:r>
        <w:rPr>
          <w:b/>
        </w:rPr>
        <w:t xml:space="preserve">Abstract (EN): </w:t>
      </w:r>
      <w:r>
        <w:t>Given that the present yield of propylene (C</w:t>
      </w:r>
      <w:r>
        <w:rPr>
          <w:vertAlign w:val="subscript"/>
        </w:rPr>
        <w:t>3</w:t>
      </w:r>
      <w:r>
        <w:t>H</w:t>
      </w:r>
      <w:r>
        <w:rPr>
          <w:vertAlign w:val="subscript"/>
        </w:rPr>
        <w:t>6</w:t>
      </w:r>
      <w:r>
        <w:t>) is relatively low, developing an efficient direct dehydrogenation of propane (PDH) catalyst that exhibits a high yield of C</w:t>
      </w:r>
      <w:r>
        <w:rPr>
          <w:vertAlign w:val="subscript"/>
        </w:rPr>
        <w:t>3</w:t>
      </w:r>
      <w:r>
        <w:t>H</w:t>
      </w:r>
      <w:r>
        <w:rPr>
          <w:vertAlign w:val="subscript"/>
        </w:rPr>
        <w:t>6</w:t>
      </w:r>
      <w:r>
        <w:t>is therefore immensely beneficial for the chemical industry. By extracting physical meaning, machine learning, combined with an interpretable descriptor, is an effective method for speeding up catalyst design. Existing descriptors, however, are only capable of predicting selectivity, rendering the direct prediction of the yield of C</w:t>
      </w:r>
      <w:r>
        <w:rPr>
          <w:vertAlign w:val="subscript"/>
        </w:rPr>
        <w:t>3</w:t>
      </w:r>
      <w:r>
        <w:t>H</w:t>
      </w:r>
      <w:r>
        <w:rPr>
          <w:vertAlign w:val="subscript"/>
        </w:rPr>
        <w:t>6</w:t>
      </w:r>
      <w:r>
        <w:t>challenging. Furthermore, the current descriptors primarily screen transition metal elements, thereby neglecting other potentially high‐performance metals beyond the transition metal zone. Hence, constructing a universal descriptor that is capable of screening all metallic elements and predicting the yield of C</w:t>
      </w:r>
      <w:r>
        <w:rPr>
          <w:vertAlign w:val="subscript"/>
        </w:rPr>
        <w:t>3</w:t>
      </w:r>
      <w:r>
        <w:t>H</w:t>
      </w:r>
      <w:r>
        <w:rPr>
          <w:vertAlign w:val="subscript"/>
        </w:rPr>
        <w:t>6</w:t>
      </w:r>
      <w:r>
        <w:t>is highly desirable but challenging. Herein, a universal descriptor that incorporates frontier orbital occupancy to describe the electronic contributions of metals from different blocks is proposed, thereby enabling the comprehensive screening of all metallic elements, concurrently predicting C</w:t>
      </w:r>
      <w:r>
        <w:rPr>
          <w:vertAlign w:val="subscript"/>
        </w:rPr>
        <w:t>3</w:t>
      </w:r>
      <w:r>
        <w:t>H</w:t>
      </w:r>
      <w:r>
        <w:rPr>
          <w:vertAlign w:val="subscript"/>
        </w:rPr>
        <w:t>6</w:t>
      </w:r>
      <w:r>
        <w:t>yield. The screening process predicted that potential catalysts, IrGa@NC, composed of both post‐transition and transition metals, achieved the C</w:t>
      </w:r>
      <w:r>
        <w:rPr>
          <w:vertAlign w:val="subscript"/>
        </w:rPr>
        <w:t>3</w:t>
      </w:r>
      <w:r>
        <w:t>H</w:t>
      </w:r>
      <w:r>
        <w:rPr>
          <w:vertAlign w:val="subscript"/>
        </w:rPr>
        <w:t>6</w:t>
      </w:r>
      <w:r>
        <w:t>yield of 51.1%, outperforming state‐of‐the‐art catalysts. This work provides insights into the complicated PDH reaction and the development of catalysts with full‐period metallic elements.</w:t>
      </w:r>
    </w:p>
    <w:p>
      <w:pPr>
        <w:spacing w:before="120" w:after="120"/>
      </w:pPr>
      <w:r>
        <w:rPr>
          <w:sz w:val="18"/>
        </w:rPr>
        <w:t>——————————————————————————————————————————————————————————————————————</w:t>
      </w:r>
    </w:p>
    <w:p>
      <w:pPr>
        <w:spacing w:before="160" w:after="40" w:line="240" w:lineRule="auto"/>
      </w:pPr>
      <w:r>
        <w:rPr>
          <w:b/>
        </w:rPr>
        <w:t xml:space="preserve">[224] </w:t>
      </w:r>
      <w:hyperlink r:id="rId620">
        <w:r>
          <w:rPr>
            <w:color w:val="1155CC"/>
            <w:u w:val="single"/>
          </w:rPr>
          <w:t>线粒体中的视黄醇饱和酶拮抗IDH2和GLUD1乙酰化以介导心脏修复</w:t>
        </w:r>
      </w:hyperlink>
    </w:p>
    <w:p>
      <w:pPr>
        <w:spacing w:before="0" w:after="80"/>
      </w:pPr>
      <w:r>
        <w:rPr>
          <w:i/>
          <w:sz w:val="20"/>
        </w:rPr>
        <w:t>EN: Retinol saturase in the mitochondria antagonizes IDH2 and GLUD1 acetylation to mediate heart repair</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21">
        <w:r>
          <w:rPr>
            <w:color w:val="1155CC"/>
            <w:u w:val="single"/>
          </w:rPr>
          <w:t>10.1073/pnas.2526203123</w:t>
        </w:r>
      </w:hyperlink>
    </w:p>
    <w:p>
      <w:pPr>
        <w:spacing w:before="0" w:after="120"/>
      </w:pPr>
      <w:r>
        <w:rPr>
          <w:b/>
        </w:rPr>
        <w:t xml:space="preserve">Notes: </w:t>
      </w:r>
      <w:r>
        <w:t>abstract_source=crossref</w:t>
      </w:r>
    </w:p>
    <w:p>
      <w:pPr>
        <w:spacing w:before="0" w:after="80" w:lineRule="auto" w:line="276"/>
      </w:pPr>
      <w:r>
        <w:rPr>
          <w:b/>
        </w:rPr>
        <w:t xml:space="preserve">摘要（ZH）: </w:t>
      </w:r>
      <w:r>
        <w:t>促进内源性心肌细胞增殖已成为心脏修复的重要策略。保守的视黄醇饱和酶（Retsat）在内质网（ER）中产生全反式13,14-二氢视黄醇。然而，Retsat在心脏再生中的作用和机制仍不清楚。在此，我们发现Retsat在小鼠心脏再生期间在心肌细胞中上调。心肌细胞特异性Retsat敲入促进心脏再生并改善损伤后的心脏功能。相反，心肌细胞特异性敲除Retsat抑制新生小鼠的心脏再生。令人惊讶的是，Retsat独立于其经典的视黄醇饱和</w:t>
      </w:r>
    </w:p>
    <w:p>
      <w:pPr>
        <w:spacing w:before="0" w:after="200" w:lineRule="auto" w:line="276"/>
      </w:pPr>
      <w:r>
        <w:rPr>
          <w:b/>
        </w:rPr>
        <w:t xml:space="preserve">Abstract (EN): </w:t>
      </w:r>
      <w:r>
        <w:t>Facilitating endogenous cardiomyocyte proliferation has emerged as an important strategy for cardiac repair. Conserved retinol saturase (Retsat) functions in producing all-trans 13,14-dihydroretinol in the endoplasmic reticulum (ER). However, Retsat’s role and mechanism in heart regeneration remain unclear. Here, we uncover that Retsat is upregulated in cardiomyocytes during cardiac regeneration in mice. Cardiomyocyte-specific</w:t>
      </w:r>
      <w:r>
        <w:t xml:space="preserve"> </w:t>
      </w:r>
      <w:r>
        <w:t>Retsat</w:t>
      </w:r>
      <w:r>
        <w:t xml:space="preserve"> </w:t>
      </w:r>
      <w:r>
        <w:t>knockin promotes cardiac regeneration and improves cardiac function after injury. Conversely, cardiomyocyte-specific knockout of</w:t>
      </w:r>
      <w:r>
        <w:t xml:space="preserve"> </w:t>
      </w:r>
      <w:r>
        <w:t>Retsat</w:t>
      </w:r>
      <w:r>
        <w:t xml:space="preserve"> </w:t>
      </w:r>
      <w:r>
        <w:t>inhibits heart regeneration in neonatal mice. Surprisingly, Retsat drives cardiomyocyte proliferation independently of its classical retinol saturase activity in the ER. Retsat also localizes in cardiomyocyte mitochondria, and mitochondrial-specific overexpression of Retsat can stimulate cardiomyocyte proliferation and heart repair after injury. Mechanistically, Retsat in the mitochondria acts as an antagonist of Idh2 and Glud1 acetylation, reducing their acetylation levels and enhancing their activities. Furthermore, Retsat enters mitochondria by interacting with Tom70 and Tim23 proteins. These data suggest that targeting Retsat is a promising strategy for promoting cardiac regeneration after heart injury.</w:t>
      </w:r>
    </w:p>
    <w:p>
      <w:pPr>
        <w:spacing w:before="120" w:after="120"/>
      </w:pPr>
      <w:r>
        <w:rPr>
          <w:sz w:val="18"/>
        </w:rPr>
        <w:t>——————————————————————————————————————————————————————————————————————</w:t>
      </w:r>
    </w:p>
    <w:p>
      <w:pPr>
        <w:spacing w:before="160" w:after="40" w:line="240" w:lineRule="auto"/>
      </w:pPr>
      <w:r>
        <w:rPr>
          <w:b/>
        </w:rPr>
        <w:t xml:space="preserve">[225] </w:t>
      </w:r>
      <w:hyperlink r:id="rId622">
        <w:r>
          <w:rPr>
            <w:color w:val="1155CC"/>
            <w:u w:val="single"/>
          </w:rPr>
          <w:t>发育中人类新皮质神经元的代谢轨迹</w:t>
        </w:r>
      </w:hyperlink>
    </w:p>
    <w:p>
      <w:pPr>
        <w:spacing w:before="0" w:after="80"/>
      </w:pPr>
      <w:r>
        <w:rPr>
          <w:i/>
          <w:sz w:val="20"/>
        </w:rPr>
        <w:t>EN: Metabolic trajectories in developing human neocortical neurons</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23">
        <w:r>
          <w:rPr>
            <w:color w:val="1155CC"/>
            <w:u w:val="single"/>
          </w:rPr>
          <w:t>10.1073/pnas.2509980123</w:t>
        </w:r>
      </w:hyperlink>
    </w:p>
    <w:p>
      <w:pPr>
        <w:spacing w:before="0" w:after="120"/>
      </w:pPr>
      <w:r>
        <w:rPr>
          <w:b/>
        </w:rPr>
        <w:t xml:space="preserve">Notes: </w:t>
      </w:r>
      <w:r>
        <w:t>abstract_source=crossref</w:t>
      </w:r>
    </w:p>
    <w:p>
      <w:pPr>
        <w:spacing w:before="0" w:after="80" w:lineRule="auto" w:line="276"/>
      </w:pPr>
      <w:r>
        <w:rPr>
          <w:b/>
        </w:rPr>
        <w:t xml:space="preserve">摘要（ZH）: </w:t>
      </w:r>
      <w:r>
        <w:t>从糖酵解到氧化磷酸化的转变是神经分化中的关键步骤。然而，从前体细胞到神经元发育过程中代谢重组的时间仍然难以捉摸，特别是在人体皮质发生中。为了弥合这一差距，我们采用了一种基于新皮质来源的人类神经上皮干细胞的独特细胞平台，在4个月的纵向研究中模拟其生理过渡到功能性神经元，直到获得电生理能力。通过结合NAD(P)H荧光寿命成像和代谢组学的定量蛋白质组学，我们研究了整个分化过程，并描述了代谢途径如何驱动皮质神经元的成熟。随后在人体中确认了主要的代谢适应。</w:t>
      </w:r>
    </w:p>
    <w:p>
      <w:pPr>
        <w:spacing w:before="0" w:after="200" w:lineRule="auto" w:line="276"/>
      </w:pPr>
      <w:r>
        <w:rPr>
          <w:b/>
        </w:rPr>
        <w:t xml:space="preserve">Abstract (EN): </w:t>
      </w:r>
      <w:r>
        <w:t>The shift from glycolysis to oxidative phosphorylation is a key step in neural differentiation. Yet, the timing of metabolic rewiring in the development from progenitors to neurons remains elusive, especially in human corticogenesis. To bridge this gap, here we adopted a unique cell platform based on neocortex-derived human neuroepithelial stem cells, modeling their physiological transition into functional neurons in a 4-mo longitudinal study and until the acquisition of electrophysiological competence. Using quantitative proteomics, combined with NAD(P)H fluorescence lifetime imaging and metabolomics, we investigated the entire differentiation process and describe how metabolic pathways drive cortical neuron maturation. The prevalent metabolic adaptations were then confirmed in a human neocortical specimen. This study provides a spatiotemporal map of neocortical metabolism during development and offers a framework to investigate human neurometabolic disorders.</w:t>
      </w:r>
    </w:p>
    <w:p>
      <w:pPr>
        <w:spacing w:before="120" w:after="120"/>
      </w:pPr>
      <w:r>
        <w:rPr>
          <w:sz w:val="18"/>
        </w:rPr>
        <w:t>——————————————————————————————————————————————————————————————————————</w:t>
      </w:r>
    </w:p>
    <w:p>
      <w:pPr>
        <w:spacing w:before="160" w:after="40" w:line="240" w:lineRule="auto"/>
      </w:pPr>
      <w:r>
        <w:rPr>
          <w:b/>
        </w:rPr>
        <w:t xml:space="preserve">[226] </w:t>
      </w:r>
      <w:hyperlink r:id="rId624">
        <w:r>
          <w:rPr>
            <w:color w:val="1155CC"/>
            <w:u w:val="single"/>
          </w:rPr>
          <w:t>重组基因组中的背景选择及其对复杂性状变异维持的影响</w:t>
        </w:r>
      </w:hyperlink>
    </w:p>
    <w:p>
      <w:pPr>
        <w:spacing w:before="0" w:after="80"/>
      </w:pPr>
      <w:r>
        <w:rPr>
          <w:i/>
          <w:sz w:val="20"/>
        </w:rPr>
        <w:t>EN: Background selection in recombining genomes and its consequences for the maintenance of variation in complex traits</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25">
        <w:r>
          <w:rPr>
            <w:color w:val="1155CC"/>
            <w:u w:val="single"/>
          </w:rPr>
          <w:t>10.1073/pnas.2513613123</w:t>
        </w:r>
      </w:hyperlink>
    </w:p>
    <w:p>
      <w:pPr>
        <w:spacing w:before="0" w:after="120"/>
      </w:pPr>
      <w:r>
        <w:rPr>
          <w:b/>
        </w:rPr>
        <w:t xml:space="preserve">Notes: </w:t>
      </w:r>
      <w:r>
        <w:t>abstract_source=crossref</w:t>
      </w:r>
    </w:p>
    <w:p>
      <w:pPr>
        <w:spacing w:before="0" w:after="80" w:lineRule="auto" w:line="276"/>
      </w:pPr>
      <w:r>
        <w:rPr>
          <w:b/>
        </w:rPr>
        <w:t xml:space="preserve">摘要（ZH）: </w:t>
      </w:r>
      <w:r>
        <w:t>背景选择（BGS）——通过清除有害突变来减少关联的中性多样性——是基因组进化中的一种普遍力量。然而，由于经典理论将适应度效应视为固定的，而不是从表型到适应度映射中产生的，其对复杂表型的影响仍然知之甚少。在此，我们研究了BGS在三种表型选择框架中的影响：指数方向性、责任阈值模型和稳定选择。首先，我们开发了一个有效的非重组块近似用于位点频谱（SFS），并表明该框架准确描述了典型于人类的弱突变状态下SFS的偏斜。其次，我们表明BGS的表型影响取决于选择如何耦合。</w:t>
      </w:r>
    </w:p>
    <w:p>
      <w:pPr>
        <w:spacing w:before="0" w:after="200" w:lineRule="auto" w:line="276"/>
      </w:pPr>
      <w:r>
        <w:rPr>
          <w:b/>
        </w:rPr>
        <w:t xml:space="preserve">Abstract (EN): </w:t>
      </w:r>
      <w:r>
        <w:t>Background selection (BGS)—the reduction of linked neutral diversity via the purging of deleterious mutations—is a pervasive force in genomic evolution. However, its impact on complex phenotypes remains poorly understood because classical theory treats fitness effects as fixed rather than emerging from a phenotype-to-fitness map. Here, we investigate the impact of BGS across three phenotypic selection frameworks: exponential directional, a liability threshold model, and stabilizing selection. First, we develop an effectively nonrecombining block approximation for the site frequency spectrum (SFS) and show that this framework accurately describes the skew in the SFS in the weak mutation regime typical of humans. Second, we show that phenotypic impacts of BGS depend on how selection is coupled across loci. In the liability threshold model, strong synergistic epistasis generates a global compensation mechanism—driven by tiny shifts in the mean phenotype—that propagates BGS effects to strongly selected variants otherwise immune to linked selection. This coupling reduces genetic variance across almost the entire effect-size distribution by an amount determined by a nonlinear average of local effective population size reductions across the genome. Conversely, under stabilizing selection, BGS can counterintuitively increase genetic variance. This occurs because BGS shifts strongly selected sites into the weakly selected underdominant regime where they persist at intermediate frequencies longer than in the equivalent directional selection model. Our results inform both longstanding evolutionary conversations regarding synergistic epistasis and efforts to model the impact of background selection on individual variants in recombining genomes.</w:t>
      </w:r>
    </w:p>
    <w:p>
      <w:pPr>
        <w:spacing w:before="120" w:after="120"/>
      </w:pPr>
      <w:r>
        <w:rPr>
          <w:sz w:val="18"/>
        </w:rPr>
        <w:t>——————————————————————————————————————————————————————————————————————</w:t>
      </w:r>
    </w:p>
    <w:p>
      <w:pPr>
        <w:spacing w:before="160" w:after="40" w:line="240" w:lineRule="auto"/>
      </w:pPr>
      <w:r>
        <w:rPr>
          <w:b/>
        </w:rPr>
        <w:t xml:space="preserve">[227] </w:t>
      </w:r>
      <w:hyperlink r:id="rId626">
        <w:r>
          <w:rPr>
            <w:color w:val="1155CC"/>
            <w:u w:val="single"/>
          </w:rPr>
          <w:t>作为接触数超均匀性和临界性的拓扑可满足性转变的堵塞</w:t>
        </w:r>
      </w:hyperlink>
    </w:p>
    <w:p>
      <w:pPr>
        <w:spacing w:before="0" w:after="80"/>
      </w:pPr>
      <w:r>
        <w:rPr>
          <w:i/>
          <w:sz w:val="20"/>
        </w:rPr>
        <w:t>EN: Jamming as a topological satisfiability transition with contact number hyperuniformity and criticality</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27">
        <w:r>
          <w:rPr>
            <w:color w:val="1155CC"/>
            <w:u w:val="single"/>
          </w:rPr>
          <w:t>10.1073/pnas.2517241123</w:t>
        </w:r>
      </w:hyperlink>
    </w:p>
    <w:p>
      <w:pPr>
        <w:spacing w:before="0" w:after="120"/>
      </w:pPr>
      <w:r>
        <w:rPr>
          <w:b/>
        </w:rPr>
        <w:t xml:space="preserve">Notes: </w:t>
      </w:r>
      <w:r>
        <w:t>abstract_source=crossref</w:t>
      </w:r>
    </w:p>
    <w:p>
      <w:pPr>
        <w:spacing w:before="0" w:after="80" w:lineRule="auto" w:line="276"/>
      </w:pPr>
      <w:r>
        <w:rPr>
          <w:b/>
        </w:rPr>
        <w:t xml:space="preserve">摘要（ZH）: </w:t>
      </w:r>
      <w:r>
        <w:t>流动和无定形固体状态之间的堵塞转变表现出悖论性质，其特征是超均匀性（抑制的空间波动）和临界性（超波动），其起源尚不清楚。在此，我们通过一个最小网络模型中的拓扑可满足性转变来模拟堵塞转变，该模型同时具有接触的超均匀分布、发散的长度尺度和无标度簇。我们表明，这些现象源于等静性和机械稳定性：前者在任意子系统上施加全局等式，后者施加局部不等式。这种双重约束从上方和下方限制了接触数波动，使其与表面积成比例。网络的超均匀和临界指数</w:t>
      </w:r>
    </w:p>
    <w:p>
      <w:pPr>
        <w:spacing w:before="0" w:after="200" w:lineRule="auto" w:line="276"/>
      </w:pPr>
      <w:r>
        <w:rPr>
          <w:b/>
        </w:rPr>
        <w:t xml:space="preserve">Abstract (EN): </w:t>
      </w:r>
      <w:r>
        <w:t>The jamming transition between flow and amorphous-solid states exhibits paradoxical properties characterized by hyperuniformity (suppressed spatial fluctuations) and criticality (hyperfluctuations), whose origin remains unclear. Here, we model the jamming transition by a topological satisfiability transition in a minimum network model with simultaneously hyperuniform distributions of contacts, diverging length scales and scale-free clusters. We show that these phenomena stem from isostaticity and mechanical stability: The former imposes a global equality, and the latter local inequalities on arbitrary subsystems. This dual constraint bounds contact number fluctuations from both above and below, limiting them to scale with the surface area. The hyperuniform and critical exponents of the network model align with those of frictionless jamming, suggesting a universality class of nonequilibrium phase transitions. Our results provide a minimal, dynamics-independent framework for jamming criticality and hyperuniformity in disordered systems.</w:t>
      </w:r>
    </w:p>
    <w:p>
      <w:pPr>
        <w:spacing w:before="120" w:after="120"/>
      </w:pPr>
      <w:r>
        <w:rPr>
          <w:sz w:val="18"/>
        </w:rPr>
        <w:t>——————————————————————————————————————————————————————————————————————</w:t>
      </w:r>
    </w:p>
    <w:p>
      <w:pPr>
        <w:spacing w:before="160" w:after="40" w:line="240" w:lineRule="auto"/>
      </w:pPr>
      <w:r>
        <w:rPr>
          <w:b/>
        </w:rPr>
        <w:t xml:space="preserve">[228] </w:t>
      </w:r>
      <w:hyperlink r:id="rId628">
        <w:r>
          <w:rPr>
            <w:color w:val="1155CC"/>
            <w:u w:val="single"/>
          </w:rPr>
          <w:t>螺环β-内酰胺次级代谢物调节剪接体功能</w:t>
        </w:r>
      </w:hyperlink>
    </w:p>
    <w:p>
      <w:pPr>
        <w:spacing w:before="0" w:after="80"/>
      </w:pPr>
      <w:r>
        <w:rPr>
          <w:i/>
          <w:sz w:val="20"/>
        </w:rPr>
        <w:t>EN: Spirocyclic β-lactone secondary metabolites modulate spliceosome function</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29">
        <w:r>
          <w:rPr>
            <w:color w:val="1155CC"/>
            <w:u w:val="single"/>
          </w:rPr>
          <w:t>10.1073/pnas.2518221123</w:t>
        </w:r>
      </w:hyperlink>
    </w:p>
    <w:p>
      <w:pPr>
        <w:spacing w:before="0" w:after="120"/>
      </w:pPr>
      <w:r>
        <w:rPr>
          <w:b/>
        </w:rPr>
        <w:t xml:space="preserve">Notes: </w:t>
      </w:r>
      <w:r>
        <w:t>abstract_source=crossref</w:t>
      </w:r>
    </w:p>
    <w:p>
      <w:pPr>
        <w:spacing w:before="0" w:after="80" w:lineRule="auto" w:line="276"/>
      </w:pPr>
      <w:r>
        <w:rPr>
          <w:b/>
        </w:rPr>
        <w:t xml:space="preserve">摘要（ZH）: </w:t>
      </w:r>
      <w:r>
        <w:t>螺环β-内酯（SβLs）是由放线菌门产生的环应力活化天然产物，具有强效和选择性的细胞毒性，其药理机制尚不清楚。为了进一步了解其作用机制并发现新的SβLs，我们从含有隐性SβL生产基因簇的</w:t>
      </w:r>
      <w:r>
        <w:t xml:space="preserve"> </w:t>
      </w:r>
      <w:r>
        <w:t>Streptomyces platensis</w:t>
      </w:r>
      <w:r>
        <w:t xml:space="preserve"> </w:t>
      </w:r>
      <w:r>
        <w:t>中获得了一系列已知和以前未分离的SβLs。利用单细胞多重活性代谢组学评估在代谢组学阵列中对MV-4-11细胞测试的细胞损伤和细胞死亡标志物，观察到磷蛋白-S6磷酸化抑制作用在几个代谢组学特征中出现，促使我们优先考虑这些代谢物进行结构解析。</w:t>
      </w:r>
    </w:p>
    <w:p>
      <w:pPr>
        <w:spacing w:before="0" w:after="200" w:lineRule="auto" w:line="276"/>
      </w:pPr>
      <w:r>
        <w:rPr>
          <w:b/>
        </w:rPr>
        <w:t xml:space="preserve">Abstract (EN): </w:t>
      </w:r>
      <w:r>
        <w:t>Spirocyclic β-lactones (SβLs) are ring-strain activated natural products produced by actinomycetota, possessing potent and selective cytotoxicity, and with an unknown pharmacological mechanism. To further the understanding of their mechanism of action and the discovery of new SβLs, we obtained a series of known and previously not isolated SβLs from</w:t>
      </w:r>
      <w:r>
        <w:t xml:space="preserve"> </w:t>
      </w:r>
      <w:r>
        <w:t>Streptomyces platensis</w:t>
      </w:r>
      <w:r>
        <w:t xml:space="preserve"> </w:t>
      </w:r>
      <w:r>
        <w:t>, which contained a cryptic SβL-producing gene cluster. Utilizing single cell Multiplexed Activity Metabolomics to assess a panel of regulated cell injury and cell death markers in metabolomic arrays tested against MV-4-11 cells, phosphoprotein-S6 phosphorylation inhibition was observed for several metabolomic features, prompting us to prioritize these metabolites for structure elucidation. Several compounds were isolated including one new variant, permitting correlation of a cryptic biosynthetic gene cluster entry for oxazolomycin D (OxD) family metabolites. Cytotoxicity and flow cytometric structure–activity relationships for isolated analogs were determined using an expanded phospho-flow metabolism marker panel suggesting that SβLs possess two pharmacophores: a mixed polyketide component, involved in target engagement and inhibition, and a nonribosomal peptide synthetase-derived covalent β-lactone warhead, contributing to cytotoxicity. Global cellular thermal proteome profiling analysis of OxD treated cells implicated potent interaction with and modulation of spliceosome associated proteins. Spliceosome-associated functional changes were validated by alternate splicing analysis upon induction by OxD. As aberrant RNA splicing occurs in nearly all cancer types, the spliceosome-associated cellular response profiles of OxD define an unexplored opportunity for therapeutic development in cancers dependent upon alternative splicing.</w:t>
      </w:r>
    </w:p>
    <w:p>
      <w:pPr>
        <w:spacing w:before="120" w:after="120"/>
      </w:pPr>
      <w:r>
        <w:rPr>
          <w:sz w:val="18"/>
        </w:rPr>
        <w:t>——————————————————————————————————————————————————————————————————————</w:t>
      </w:r>
    </w:p>
    <w:p>
      <w:pPr>
        <w:spacing w:before="160" w:after="40" w:line="240" w:lineRule="auto"/>
      </w:pPr>
      <w:r>
        <w:rPr>
          <w:b/>
        </w:rPr>
        <w:t xml:space="preserve">[229] </w:t>
      </w:r>
      <w:hyperlink r:id="rId630">
        <w:r>
          <w:rPr>
            <w:color w:val="1155CC"/>
            <w:u w:val="single"/>
          </w:rPr>
          <w:t>基于松果体光感受的斑马鱼决策神经回路</w:t>
        </w:r>
      </w:hyperlink>
    </w:p>
    <w:p>
      <w:pPr>
        <w:spacing w:before="0" w:after="80"/>
      </w:pPr>
      <w:r>
        <w:rPr>
          <w:i/>
          <w:sz w:val="20"/>
        </w:rPr>
        <w:t>EN: Neural circuits for decision-making based on pineal photoreception in zebrafish</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31">
        <w:r>
          <w:rPr>
            <w:color w:val="1155CC"/>
            <w:u w:val="single"/>
          </w:rPr>
          <w:t>10.1073/pnas.2520290123</w:t>
        </w:r>
      </w:hyperlink>
    </w:p>
    <w:p>
      <w:pPr>
        <w:spacing w:before="0" w:after="120"/>
      </w:pPr>
      <w:r>
        <w:rPr>
          <w:b/>
        </w:rPr>
        <w:t xml:space="preserve">Notes: </w:t>
      </w:r>
      <w:r>
        <w:t>abstract_source=crossref</w:t>
      </w:r>
    </w:p>
    <w:p>
      <w:pPr>
        <w:spacing w:before="0" w:after="80" w:lineRule="auto" w:line="276"/>
      </w:pPr>
      <w:r>
        <w:rPr>
          <w:b/>
        </w:rPr>
        <w:t xml:space="preserve">摘要（ZH）: </w:t>
      </w:r>
      <w:r>
        <w:t>非哺乳类脊椎动物具有光敏松果体器官。我们之前发现，在斑马鱼松果体器官中，表达双稳态视蛋白parapinopsin 1（PP1）的感光细胞通过一种基于PP1的紫外线（UV）敏感（非活性）和可见光敏感（活性）状态之间的光互换性机制，表现出“色彩”响应。然而，PP1基础的色彩响应是否传递到松果体神经节细胞并进一步传递到大脑仍不清楚。在这项研究中，我们通过利用PP1两种状态的光谱特性设计了光刺激，发现松果体神经节细胞表现出色彩响应，特征是对UV和可见光的相反变化，使用钙成像。</w:t>
      </w:r>
    </w:p>
    <w:p>
      <w:pPr>
        <w:spacing w:before="0" w:after="200" w:lineRule="auto" w:line="276"/>
      </w:pPr>
      <w:r>
        <w:rPr>
          <w:b/>
        </w:rPr>
        <w:t xml:space="preserve">Abstract (EN): </w:t>
      </w:r>
      <w:r>
        <w:t>Nonmammalian vertebrates possess photosensitive pineal organs. We previously found that in the zebrafish pineal organ, photoreceptor cells expressing parapinopsin 1 (PP1), a bistable opsin, exhibit “chromatic” responses to ultraviolet (UV) and visible light through a unique mechanism based on the photo-interconvertibility between UV-sensitive (inactive) and visible light-sensitive (active) states of PP1. However, it remains unclear whether PP1-based chromatic responses are transmitted to pineal ganglion cells and further to the brain. In this study, we designed light stimuli by exploiting the spectral properties of the two states of PP1 and found that pineal ganglion cells exhibited chromatic responses, characterized by opposing changes to UV and visible light, using calcium imaging. These responses were significantly reduced in PP1-deficient fish compared to wild-type fish, indicating that PP1-derived signals are transmitted to pineal ganglion cells. This spectral stimulation approach enables selective analysis of PP1-specific responses. Using these stimuli, we further identified the tegmentum as a central brain region receiving pineal-derived “color” information, although it is also indirectly influenced by retinal photoreception. Both PP1-deficient fish and tegmentum neuron-ablated fish showed impaired vertical movements in response to sequential wavelength component changes. These results suggest that the neural circuit from the pineal organ to the tegmentum, which processes PP1-based chromatic information, contributes to the decision-making process for wavelength-dependent vertical behavior that is also driven by visual input. These findings provide insights into the neural circuits integrating pineal and retinal light information and how PP1-based color opponency affects behavior via tegmentum neurons.</w:t>
      </w:r>
    </w:p>
    <w:p>
      <w:pPr>
        <w:spacing w:before="120" w:after="120"/>
      </w:pPr>
      <w:r>
        <w:rPr>
          <w:sz w:val="18"/>
        </w:rPr>
        <w:t>——————————————————————————————————————————————————————————————————————</w:t>
      </w:r>
    </w:p>
    <w:p>
      <w:pPr>
        <w:spacing w:before="160" w:after="40" w:line="240" w:lineRule="auto"/>
      </w:pPr>
      <w:r>
        <w:rPr>
          <w:b/>
        </w:rPr>
        <w:t xml:space="preserve">[230] </w:t>
      </w:r>
      <w:hyperlink r:id="rId632">
        <w:r>
          <w:rPr>
            <w:color w:val="1155CC"/>
            <w:u w:val="single"/>
          </w:rPr>
          <w:t>ASB9促进TNP2的泛素介导降解以促进人类和小鼠的组蛋白-精蛋白过渡</w:t>
        </w:r>
      </w:hyperlink>
    </w:p>
    <w:p>
      <w:pPr>
        <w:spacing w:before="0" w:after="80"/>
      </w:pPr>
      <w:r>
        <w:rPr>
          <w:i/>
          <w:sz w:val="20"/>
        </w:rPr>
        <w:t>EN: ASB9 promotes ubiquitin-mediated degradation of TNP2 to facilitate histone-to-protamine transition in humans and mice</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33">
        <w:r>
          <w:rPr>
            <w:color w:val="1155CC"/>
            <w:u w:val="single"/>
          </w:rPr>
          <w:t>10.1073/pnas.2522270123</w:t>
        </w:r>
      </w:hyperlink>
    </w:p>
    <w:p>
      <w:pPr>
        <w:spacing w:before="0" w:after="120"/>
      </w:pPr>
      <w:r>
        <w:rPr>
          <w:b/>
        </w:rPr>
        <w:t xml:space="preserve">Notes: </w:t>
      </w:r>
      <w:r>
        <w:t>abstract_source=crossref</w:t>
      </w:r>
    </w:p>
    <w:p>
      <w:pPr>
        <w:spacing w:before="0" w:after="80" w:lineRule="auto" w:line="276"/>
      </w:pPr>
      <w:r>
        <w:rPr>
          <w:b/>
        </w:rPr>
        <w:t xml:space="preserve">摘要（ZH）: </w:t>
      </w:r>
      <w:r>
        <w:t>在精子发生过程中，核重塑发生，组蛋白依次被过渡蛋白（TNPs）和精蛋白替代，这是精子成熟的关键过程。尽管组蛋白和TNPs的降解被认为对精子核重塑至关重要，但其潜在机制，特别是控制TNP降解的机制，仍然知之甚少。在这项研究中，我们研究了含有锚蛋白重复结构域的SOCS盒蛋白9（ASB9）在精子发生过程中的作用，发现其缺乏导致TNP2滞留，进而导致人类和小鼠中组蛋白到精蛋白的转变失败。这种破坏导致男性不育，其特征是精子头部畸形以及受精和早期胚胎发育的障碍。</w:t>
      </w:r>
    </w:p>
    <w:p>
      <w:pPr>
        <w:spacing w:before="0" w:after="200" w:lineRule="auto" w:line="276"/>
      </w:pPr>
      <w:r>
        <w:rPr>
          <w:b/>
        </w:rPr>
        <w:t xml:space="preserve">Abstract (EN): </w:t>
      </w:r>
      <w:r>
        <w:t>During spermiogenesis, nuclear remodeling occurs where histones are sequentially replaced by transition proteins (TNPs) and protamines, a process essential for sperm maturation. Although the degradation of histones and TNPs is thought to be essential for sperm nuclear remodeling, the underlying mechanisms, particularly those governing TNP degradation, remain poorly understood. In this study, we investigated the role of the ankyrin repeat-containing SOCS box protein 9 (ASB9) during spermiogenesis and found that its deficiency causes TNP2 retention, leading to a failure of the histone-to-protamine transition in both humans and mice. This disruption consequently causes male infertility, characterized by sperm head malformation and impairments in fertilization and early embryonic development. Mechanistically, we found that ASB9 assembles a testis-specific Cullin-RING ligase (CRL) complex—TNP2–ASB9–ELOB/C–CUL5–RBX1—that mediates the ubiquitin-dependent degradation of TNP2 to facilitate the histone-to-protamine transition during spermiogenesis. Collectively, our study uncovers the mechanism underlying TNP2 degradation and highlights the critical role of ASB9 in male fertility through the CRL complex-mediated ubiquitination pathway, thereby expanding the fundamental understanding of nuclear remodeling during spermiogenesis.</w:t>
      </w:r>
    </w:p>
    <w:p>
      <w:pPr>
        <w:spacing w:before="120" w:after="120"/>
      </w:pPr>
      <w:r>
        <w:rPr>
          <w:sz w:val="18"/>
        </w:rPr>
        <w:t>——————————————————————————————————————————————————————————————————————</w:t>
      </w:r>
    </w:p>
    <w:p>
      <w:pPr>
        <w:spacing w:before="160" w:after="40" w:line="240" w:lineRule="auto"/>
      </w:pPr>
      <w:r>
        <w:rPr>
          <w:b/>
        </w:rPr>
        <w:t xml:space="preserve">[231] </w:t>
      </w:r>
      <w:hyperlink r:id="rId634">
        <w:r>
          <w:rPr>
            <w:color w:val="1155CC"/>
            <w:u w:val="single"/>
          </w:rPr>
          <w:t>生态学和进化中的非遍历性</w:t>
        </w:r>
      </w:hyperlink>
    </w:p>
    <w:p>
      <w:pPr>
        <w:spacing w:before="0" w:after="80"/>
      </w:pPr>
      <w:r>
        <w:rPr>
          <w:i/>
          <w:sz w:val="20"/>
        </w:rPr>
        <w:t>EN: Non-ergodicity in ecology and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35">
        <w:r>
          <w:rPr>
            <w:color w:val="1155CC"/>
            <w:u w:val="single"/>
          </w:rPr>
          <w:t>10.1073/pnas.2522964123</w:t>
        </w:r>
      </w:hyperlink>
    </w:p>
    <w:p>
      <w:pPr>
        <w:spacing w:before="0" w:after="120"/>
      </w:pPr>
      <w:r>
        <w:rPr>
          <w:b/>
        </w:rPr>
        <w:t xml:space="preserve">Notes: </w:t>
      </w:r>
      <w:r>
        <w:t>abstract_source=crossref</w:t>
      </w:r>
    </w:p>
    <w:p>
      <w:pPr>
        <w:spacing w:before="0" w:after="80" w:lineRule="auto" w:line="276"/>
      </w:pPr>
      <w:r>
        <w:rPr>
          <w:b/>
        </w:rPr>
        <w:t xml:space="preserve">摘要（ZH）: </w:t>
      </w:r>
      <w:r>
        <w:t>随机性在所有生物系统中起着重要作用。处理随机性的标准方法涉及对独立实现的集合进行平均。然而，除非系统满足遍历性属性，否则这种平均统计可能无法准确反映任何有限样本中的典型结果，遍历性保证每个轨迹随着时间的推移将经历与整个集合相同的统计数据。在此，我们认为，相反，非遍历性可能在真实生物系统中是规则而非例外，并通过三个案例研究调查其对生态进化动力学的影响。首先，我们展示了人口随机性如何导致遍历性破裂，其中渐近增长率带有初始条件的特征</w:t>
      </w:r>
    </w:p>
    <w:p>
      <w:pPr>
        <w:spacing w:before="0" w:after="200" w:lineRule="auto" w:line="276"/>
      </w:pPr>
      <w:r>
        <w:rPr>
          <w:b/>
        </w:rPr>
        <w:t xml:space="preserve">Abstract (EN): </w:t>
      </w:r>
      <w:r>
        <w:t>Stochasticity plays an important role in all biological systems. The standard way to deal with stochasticity involves averaging over an ensemble of independent realizations. However, such mean statistics need not accurately reflect the typical outcomes in any finite sample unless the system satisfies the property of ergodicity, which guarantees that each trajectory will over time experience the same statistics as the entire ensemble. Here, we argue that, in contrast, non-ergodicity might instead be the rule rather than exception in real biological systems and investigate its implications for eco-evolutionary dynamics through three case-studies. First, we show how demographic stochasticity leads to ergodicity breaking where the asymptotic growth rate carries a signature of the initial condition. This motivates us to define a mutant establishment threshold, which quantifies a critical population size above which the typical mutant population starts to grow. Second, we consider environmental stochasticity and demonstrate that eco-evolutionary feedback can lead to non-ergodic dynamics, which has the important consequence that the fitness of a genotype cannot be simply averaged over the environments. Finally, we show how in a metapopulation structure the evolutionary dynamics within a typical subpopulation can deviate from the ensemble dynamics in the entire metapopulation, which is sufficient to explain the evolution and persistence of cooperation despite a fitness cost.</w:t>
      </w:r>
    </w:p>
    <w:p>
      <w:pPr>
        <w:spacing w:before="120" w:after="120"/>
      </w:pPr>
      <w:r>
        <w:rPr>
          <w:sz w:val="18"/>
        </w:rPr>
        <w:t>——————————————————————————————————————————————————————————————————————</w:t>
      </w:r>
    </w:p>
    <w:p>
      <w:pPr>
        <w:spacing w:before="160" w:after="40" w:line="240" w:lineRule="auto"/>
      </w:pPr>
      <w:r>
        <w:rPr>
          <w:b/>
        </w:rPr>
        <w:t xml:space="preserve">[232] </w:t>
      </w:r>
      <w:hyperlink r:id="rId636">
        <w:r>
          <w:rPr>
            <w:color w:val="1155CC"/>
            <w:u w:val="single"/>
          </w:rPr>
          <w:t>CFTR折叠缺陷和药理学救援的单分子剖析</w:t>
        </w:r>
      </w:hyperlink>
    </w:p>
    <w:p>
      <w:pPr>
        <w:spacing w:before="0" w:after="80"/>
      </w:pPr>
      <w:r>
        <w:rPr>
          <w:i/>
          <w:sz w:val="20"/>
        </w:rPr>
        <w:t>EN: Single-molecule dissection of CFTR folding defects and pharmacological rescue</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37">
        <w:r>
          <w:rPr>
            <w:color w:val="1155CC"/>
            <w:u w:val="single"/>
          </w:rPr>
          <w:t>10.1073/pnas.2528216123</w:t>
        </w:r>
      </w:hyperlink>
    </w:p>
    <w:p>
      <w:pPr>
        <w:spacing w:before="0" w:after="120"/>
      </w:pPr>
      <w:r>
        <w:rPr>
          <w:b/>
        </w:rPr>
        <w:t xml:space="preserve">Notes: </w:t>
      </w:r>
      <w:r>
        <w:t>abstract_source=crossref</w:t>
      </w:r>
    </w:p>
    <w:p>
      <w:pPr>
        <w:spacing w:before="0" w:after="80" w:lineRule="auto" w:line="276"/>
      </w:pPr>
      <w:r>
        <w:rPr>
          <w:b/>
        </w:rPr>
        <w:t xml:space="preserve">摘要（ZH）: </w:t>
      </w:r>
      <w:r>
        <w:t>囊性纤维化是一种致命的遗传性疾病，由囊性纤维化跨膜电导调节因子（CFTR）蛋白错误折叠引起，最常见的是由于ΔF508突变。尽管进行了广泛研究，CFTR的折叠过程仍无法直接观察。在此，我们应用单分子磁镊子解析野生型和ΔF508 CFTR的完整折叠轨迹，达到接近氨基酸分辨率。我们发现CFTR遵循分层的、模板引导的折叠路径，其中N端结构域支架下游折叠。该机制紧密耦合中间体的自由能状态，允许ΔF508诱导的不稳定性在折叠路径中传播。药理学校正剂与ATP协同作用，重塑整个折叠能量</w:t>
      </w:r>
    </w:p>
    <w:p>
      <w:pPr>
        <w:spacing w:before="0" w:after="200" w:lineRule="auto" w:line="276"/>
      </w:pPr>
      <w:r>
        <w:rPr>
          <w:b/>
        </w:rPr>
        <w:t xml:space="preserve">Abstract (EN): </w:t>
      </w:r>
      <w:r>
        <w:t>Cystic fibrosis is a lethal genetic disorder caused by misfolding of the cystic fibrosis transmembrane conductance regulator (CFTR) protein, most commonly due to the ΔF508 mutation. Despite extensive study, CFTR’s folding process has remained inaccessible to direct observation. Here, we apply single-molecule magnetic tweezers to resolve the complete folding trajectories of wild-type and ΔF508 CFTR with near–amino acid resolution. We find that CFTR follows a hierarchical, template-guided folding pathway in which N-terminal domains scaffold downstream folding. This mechanism tightly couples the free energy states of intermediates, allowing ΔF508-induced instability to propagate across the folding pathway. Pharmacological correctors, in synergy with ATP, reshape the entire folding energy landscape by catalyzing transitions rather than simply stabilizing end states. These long-range, allosteric effects reveal a folding-embedded regulatory network. Our work provides a quantitative framework for mapping multidomain protein folding and therapeutic rescue, offering a broadly applicable strategy for interrogating rare mutations and accelerating structure-based drug discovery.</w:t>
      </w:r>
    </w:p>
    <w:p>
      <w:pPr>
        <w:spacing w:before="120" w:after="120"/>
      </w:pPr>
      <w:r>
        <w:rPr>
          <w:sz w:val="18"/>
        </w:rPr>
        <w:t>——————————————————————————————————————————————————————————————————————</w:t>
      </w:r>
    </w:p>
    <w:p>
      <w:pPr>
        <w:spacing w:before="160" w:after="40" w:line="240" w:lineRule="auto"/>
      </w:pPr>
      <w:r>
        <w:rPr>
          <w:b/>
        </w:rPr>
        <w:t xml:space="preserve">[233] </w:t>
      </w:r>
      <w:hyperlink r:id="rId638">
        <w:r>
          <w:rPr>
            <w:color w:val="1155CC"/>
            <w:u w:val="single"/>
          </w:rPr>
          <w:t>WFDC21P对于G3BP1介导的RIG-I激活和三阴性乳腺癌中的抗肿瘤免疫至关重要</w:t>
        </w:r>
      </w:hyperlink>
    </w:p>
    <w:p>
      <w:pPr>
        <w:spacing w:before="0" w:after="80"/>
      </w:pPr>
      <w:r>
        <w:rPr>
          <w:i/>
          <w:sz w:val="20"/>
        </w:rPr>
        <w:t>EN: WFDC21P is essential for G3BP1-mediated RIG-I activation and antitumor immunity in triple-negative breast cancer</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39">
        <w:r>
          <w:rPr>
            <w:color w:val="1155CC"/>
            <w:u w:val="single"/>
          </w:rPr>
          <w:t>10.1073/pnas.2532576123</w:t>
        </w:r>
      </w:hyperlink>
    </w:p>
    <w:p>
      <w:pPr>
        <w:spacing w:before="0" w:after="120"/>
      </w:pPr>
      <w:r>
        <w:rPr>
          <w:b/>
        </w:rPr>
        <w:t xml:space="preserve">Notes: </w:t>
      </w:r>
      <w:r>
        <w:t>abstract_source=crossref</w:t>
      </w:r>
    </w:p>
    <w:p>
      <w:pPr>
        <w:spacing w:before="0" w:after="80" w:lineRule="auto" w:line="276"/>
      </w:pPr>
      <w:r>
        <w:rPr>
          <w:b/>
        </w:rPr>
        <w:t xml:space="preserve">摘要（ZH）: </w:t>
      </w:r>
      <w:r>
        <w:t>破译抗肿瘤免疫机制对于提高癌症免疫治疗的疗效至关重要。在此，我们确定WFDC21P（lnc-DC）作为抗肿瘤免疫的正调节因子，通过促进三阴性乳腺癌（TNBC）中RNA感应视黄酸诱导基因-I（RIG-I）通路的激活。WFDC21P直接结合RIG-I相互作用蛋白G3BP1，并通过相分离快速组装功能性G3BP1-RIG-I-双链RNA凝聚体，从而实现RIG-I的强烈激活。WFDC21P在TNBC组织中下调，并与肿瘤中较少的CD8</w:t>
      </w:r>
      <w:r>
        <w:t xml:space="preserve"> </w:t>
      </w:r>
      <w:r>
        <w:t>+</w:t>
      </w:r>
      <w:r>
        <w:t xml:space="preserve"> </w:t>
      </w:r>
      <w:r>
        <w:t>T细胞浸润和患者较差的预后相关。WFDC21P在TNBC细胞中的敲低显著减弱RIG-I激活并减少</w:t>
      </w:r>
    </w:p>
    <w:p>
      <w:pPr>
        <w:spacing w:before="0" w:after="200" w:lineRule="auto" w:line="276"/>
      </w:pPr>
      <w:r>
        <w:rPr>
          <w:b/>
        </w:rPr>
        <w:t xml:space="preserve">Abstract (EN): </w:t>
      </w:r>
      <w:r>
        <w:t>Deciphering the mechanisms underlying antitumor immunity is critical for improving cancer immunotherapy efficacy. Here, we identify WFDC21P (lnc-DC) as a positive regulator of antitumor immunity through promoting the activation of the RNA-sensing retinoic acid-inducible gene-I (RIG-I) pathway in triple-negative breast cancer (TNBC). WFDC21P directly binds to RIG-I-interacting protein G3BP1 and is required for a rapid assembly of functional G3BP1-RIG-I-double-stranded RNAs condensates via phase separation, which enables robust activation of RIG-I. WFDC21P is downregulated in TNBC tissues and correlates with less CD8</w:t>
      </w:r>
      <w:r>
        <w:t xml:space="preserve"> </w:t>
      </w:r>
      <w:r>
        <w:t>+</w:t>
      </w:r>
      <w:r>
        <w:t xml:space="preserve"> </w:t>
      </w:r>
      <w:r>
        <w:t>T cell infiltration in tumors and worse outcome of patients. WFDC21P knockdown in TNBC cells markedly dampens RIG-I activation and reduces the expression of IFN-stimulated genes, including MHC-I and PD-L1. In syngeneic tumor models, WFDC21P expression not only suppresses tumor growth by augmenting the infiltration and cytotoxic function of CD8</w:t>
      </w:r>
      <w:r>
        <w:t xml:space="preserve"> </w:t>
      </w:r>
      <w:r>
        <w:t>+</w:t>
      </w:r>
      <w:r>
        <w:t xml:space="preserve"> </w:t>
      </w:r>
      <w:r>
        <w:t>T cells but also improves the response to immune checkpoint blockade, thus providing a compelling combination immunotherapy strategy for treating triple-negative breast cancer.</w:t>
      </w:r>
    </w:p>
    <w:p>
      <w:pPr>
        <w:spacing w:before="120" w:after="120"/>
      </w:pPr>
      <w:r>
        <w:rPr>
          <w:sz w:val="18"/>
        </w:rPr>
        <w:t>——————————————————————————————————————————————————————————————————————</w:t>
      </w:r>
    </w:p>
    <w:p>
      <w:pPr>
        <w:spacing w:before="160" w:after="40" w:line="240" w:lineRule="auto"/>
      </w:pPr>
      <w:r>
        <w:rPr>
          <w:b/>
        </w:rPr>
        <w:t xml:space="preserve">[234] </w:t>
      </w:r>
      <w:hyperlink r:id="rId640">
        <w:r>
          <w:rPr>
            <w:color w:val="1155CC"/>
            <w:u w:val="single"/>
          </w:rPr>
          <w:t>广义Wigner晶体中的Moiré激子</w:t>
        </w:r>
      </w:hyperlink>
    </w:p>
    <w:p>
      <w:pPr>
        <w:spacing w:before="0" w:after="80"/>
      </w:pPr>
      <w:r>
        <w:rPr>
          <w:i/>
          <w:sz w:val="20"/>
        </w:rPr>
        <w:t>EN: Moiré excitons in generalized Wigner crystals</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41">
        <w:r>
          <w:rPr>
            <w:color w:val="1155CC"/>
            <w:u w:val="single"/>
          </w:rPr>
          <w:t>10.1073/pnas.2531259123</w:t>
        </w:r>
      </w:hyperlink>
    </w:p>
    <w:p>
      <w:pPr>
        <w:spacing w:before="0" w:after="120"/>
      </w:pPr>
      <w:r>
        <w:rPr>
          <w:b/>
        </w:rPr>
        <w:t xml:space="preserve">Notes: </w:t>
      </w:r>
      <w:r>
        <w:t>abstract_source=crossref</w:t>
      </w:r>
    </w:p>
    <w:p>
      <w:pPr>
        <w:spacing w:before="0" w:after="80" w:lineRule="auto" w:line="276"/>
      </w:pPr>
      <w:r>
        <w:rPr>
          <w:b/>
        </w:rPr>
        <w:t xml:space="preserve">摘要（ZH）: </w:t>
      </w:r>
      <w:r>
        <w:t>过渡金属二硫化物双层的莫尔超晶格中存在强库仑相互作用，这些相互作用存在于狭窄的电子带中，导致在分数载流子掺杂密度下出现相关的绝缘态，称为广义Wigner晶体。在激发态中，莫尔激子的形成可以从根本上受到Wigner晶体基态的影响，表现出电子和激子相关性之间复杂的相互作用。然而，这些Wigner晶体激子（WCEs）的微观描述仍然难以捉摸，主要是推测性的，并且进一步需要理解奇异激子相（例如，激子绝缘体和激子密度波）及其独特性质（例如，异常激子扩散）。在这里，使用第一性原理方法</w:t>
      </w:r>
    </w:p>
    <w:p>
      <w:pPr>
        <w:spacing w:before="0" w:after="200" w:lineRule="auto" w:line="276"/>
      </w:pPr>
      <w:r>
        <w:rPr>
          <w:b/>
        </w:rPr>
        <w:t xml:space="preserve">Abstract (EN): </w:t>
      </w:r>
      <w:r>
        <w:t>Moiré superlattices of transition-metal dichalcogenide bilayers host strong Coulomb interactions residing in narrow electron bands, leading to correlated insulating states at fractional carrier doping densities, known as generalized Wigner crystals. In excited states, the formation of moiré excitons can be fundamentally shaped by the Wigner-crystal ground states, manifesting an intricate interplay between electronic and excitonic correlations. However, the microscopic description of these Wigner crystalline excitons (WCEs) remains elusive, largely subject to speculations, and is further needed for the understanding of exotic excitonic phases (e.g., exciton insulators and exciton density waves) and their unique properties (e.g., anomalous exciton diffusion). Here, using first-principles many-body</w:t>
      </w:r>
      <w:r>
        <w:t xml:space="preserve"> </w:t>
      </w:r>
      <w:r>
        <w:t>GW</w:t>
      </w:r>
      <w:r>
        <w:t xml:space="preserve"> </w:t>
      </w:r>
      <w:r>
        <w:t>–Bethe–Salpeter equation calculations, we directly reveal the internal structures of WCEs in angle-aligned MoSe</w:t>
      </w:r>
      <w:r>
        <w:rPr>
          <w:vertAlign w:val="subscript"/>
        </w:rPr>
        <w:t>2</w:t>
      </w:r>
      <w:r>
        <w:t>/MoS</w:t>
      </w:r>
      <w:r>
        <w:rPr>
          <w:vertAlign w:val="subscript"/>
        </w:rPr>
        <w:t>2</w:t>
      </w:r>
      <w:r>
        <w:t>moiré heterostructure at hole fillings of 1/3 and 2/3. Our results uncover the propagation of correlation effects from the ground state to excited states, shaping the real-space characteristics of WCEs. The strong two-particle excitonic correlations dominate over the kinetic energy of free electron–hole pairs, in analog to the strong single-particle correlations of flat bands. We propose that such unusual excited-state correlation effects of WCEs can be experimentally probed by photocurrent tunneling microscopy (PTM). Our work provides a microscopic understanding of strongly correlated WCEs, suggesting them as a highly tunable mixed boson-fermion platform to study many-body interactions and phenomena.</w:t>
      </w:r>
    </w:p>
    <w:p>
      <w:pPr>
        <w:spacing w:before="120" w:after="120"/>
      </w:pPr>
      <w:r>
        <w:rPr>
          <w:sz w:val="18"/>
        </w:rPr>
        <w:t>——————————————————————————————————————————————————————————————————————</w:t>
      </w:r>
    </w:p>
    <w:p>
      <w:pPr>
        <w:spacing w:before="160" w:after="40" w:line="240" w:lineRule="auto"/>
      </w:pPr>
      <w:r>
        <w:rPr>
          <w:b/>
        </w:rPr>
        <w:t xml:space="preserve">[235] </w:t>
      </w:r>
      <w:hyperlink r:id="rId642">
        <w:r>
          <w:rPr>
            <w:color w:val="1155CC"/>
            <w:u w:val="single"/>
          </w:rPr>
          <w:t>来自共同祖先的后裔限制了蛋白质序列空间的探索</w:t>
        </w:r>
      </w:hyperlink>
    </w:p>
    <w:p>
      <w:pPr>
        <w:spacing w:before="0" w:after="80"/>
      </w:pPr>
      <w:r>
        <w:rPr>
          <w:i/>
          <w:sz w:val="20"/>
        </w:rPr>
        <w:t>EN: Descent from a common ancestor restricts exploration of protein sequence space</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43">
        <w:r>
          <w:rPr>
            <w:color w:val="1155CC"/>
            <w:u w:val="single"/>
          </w:rPr>
          <w:t>10.1073/pnas.2532018123</w:t>
        </w:r>
      </w:hyperlink>
    </w:p>
    <w:p>
      <w:pPr>
        <w:spacing w:before="0" w:after="120"/>
      </w:pPr>
      <w:r>
        <w:rPr>
          <w:b/>
        </w:rPr>
        <w:t xml:space="preserve">Notes: </w:t>
      </w:r>
      <w:r>
        <w:t>abstract_source=crossref</w:t>
      </w:r>
    </w:p>
    <w:p>
      <w:pPr>
        <w:spacing w:before="0" w:after="80" w:lineRule="auto" w:line="276"/>
      </w:pPr>
      <w:r>
        <w:rPr>
          <w:b/>
        </w:rPr>
        <w:t xml:space="preserve">摘要（ZH）: </w:t>
      </w:r>
      <w:r>
        <w:t>功能性蛋白质序列在序列空间中的分布对于进化理论和蛋白质设计至关重要，特别是如果在进化上未被探索的序列空间区域中隐藏着大量多样化的蛋白质功能。然而，这个问题研究不足，部分原因是实验和计算研究使用现有序列作为研究序列空间的起点。在这里，我们研究现有序列是否代表整个功能性序列空间。我们计算了来自脊椎动物和细菌的数千个蛋白质家族中现有同源物所占据的序列空间的维度和体积。我们发现现有序列空间的观察到的维度和体积极小，数量级</w:t>
      </w:r>
    </w:p>
    <w:p>
      <w:pPr>
        <w:spacing w:before="0" w:after="200" w:lineRule="auto" w:line="276"/>
      </w:pPr>
      <w:r>
        <w:rPr>
          <w:b/>
        </w:rPr>
        <w:t xml:space="preserve">Abstract (EN): </w:t>
      </w:r>
      <w:r>
        <w:t>How functional protein sequences are distributed in sequence space is fundamentally important for evolutionary theory and protein design, particularly if a large diversity of protein functions are hidden in evolutionarily unexplored areas of the sequence space. However, this question is understudied in part because experimental and computational studies use extant sequences as a starting point to study sequence space. Here, we study whether extant sequences are representative of the entire functional sequence space. Across thousands of protein families from vertebrates and bacteria we calculate the dimensionality and the volume of sequence space occupied by extant homologs. We find that the observed dimensionality and volume of extant sequence space are minuscule, many orders of magnitude smaller than what we estimated using a model of protein evolution. Simulating sequence evolution we then quantify the impact of phylogeny, selection, and epistasis on restricting the evolutionary exploration of sequence space. We find that sequence evolution from a single common ancestor, or a single point of origin in sequence space, is by far the largest limiting factor that reduces the dimensionality and volume of extant sequence space. These results indicate that there are vast areas of functional sequence space that have not been explored in evolution because of the excessive restrictions on natural exploration of the protein sequence space imposed by the point of origin effect. We suggest that protein design methods that rely on extant sequences may be limited in their ability to discover truly novel functions.</w:t>
      </w:r>
    </w:p>
    <w:p>
      <w:pPr>
        <w:spacing w:before="120" w:after="120"/>
      </w:pPr>
      <w:r>
        <w:rPr>
          <w:sz w:val="18"/>
        </w:rPr>
        <w:t>——————————————————————————————————————————————————————————————————————</w:t>
      </w:r>
    </w:p>
    <w:p>
      <w:pPr>
        <w:spacing w:before="160" w:after="40" w:line="240" w:lineRule="auto"/>
      </w:pPr>
      <w:r>
        <w:rPr>
          <w:b/>
        </w:rPr>
        <w:t xml:space="preserve">[236] </w:t>
      </w:r>
      <w:hyperlink r:id="rId644">
        <w:r>
          <w:rPr>
            <w:color w:val="1155CC"/>
            <w:u w:val="single"/>
          </w:rPr>
          <w:t>慢性感染扰乱了抗病毒B细胞的亲和力等级</w:t>
        </w:r>
      </w:hyperlink>
    </w:p>
    <w:p>
      <w:pPr>
        <w:spacing w:before="0" w:after="80"/>
      </w:pPr>
      <w:r>
        <w:rPr>
          <w:i/>
          <w:sz w:val="20"/>
        </w:rPr>
        <w:t>EN: Chronic infection perturbs the affinity hierarchy of antiviral B cells</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45">
        <w:r>
          <w:rPr>
            <w:color w:val="1155CC"/>
            <w:u w:val="single"/>
          </w:rPr>
          <w:t>10.1073/pnas.2532422123</w:t>
        </w:r>
      </w:hyperlink>
    </w:p>
    <w:p>
      <w:pPr>
        <w:spacing w:before="0" w:after="120"/>
      </w:pPr>
      <w:r>
        <w:rPr>
          <w:b/>
        </w:rPr>
        <w:t xml:space="preserve">Notes: </w:t>
      </w:r>
      <w:r>
        <w:t>abstract_source=crossref</w:t>
      </w:r>
    </w:p>
    <w:p>
      <w:pPr>
        <w:spacing w:before="0" w:after="80" w:lineRule="auto" w:line="276"/>
      </w:pPr>
      <w:r>
        <w:rPr>
          <w:b/>
        </w:rPr>
        <w:t xml:space="preserve">摘要（ZH）: </w:t>
      </w:r>
      <w:r>
        <w:t>生发中心（GC）反应的一个关键功能是优先扩展和富集高亲和力B细胞克隆。持续性病毒感染是否以及如何阻碍这一目的仍不明确。在这里，我们将单克隆淋巴细胞性脉络丛脑膜炎病毒特异性B细胞转移到持续感染的宿主中。高亲和力B细胞强烈扩增，形成GCs和大量抗体分泌细胞。当未能清除病毒血症或驱动病毒突变逃逸时，扩增的B细胞群体收缩，最终几乎完全从脾脏中消失，我们称之为“消耗”。相比之下，低亲和力B细胞无论病毒载量多高都能扩增并持续存在。B细胞消耗与表型和转录</w:t>
      </w:r>
    </w:p>
    <w:p>
      <w:pPr>
        <w:spacing w:before="0" w:after="200" w:lineRule="auto" w:line="276"/>
      </w:pPr>
      <w:r>
        <w:rPr>
          <w:b/>
        </w:rPr>
        <w:t xml:space="preserve">Abstract (EN): </w:t>
      </w:r>
      <w:r>
        <w:t>A key function of the germinal center (GC) reaction consists in the preferential expansion and enrichment of high-affinity B cell clones. Whether and how persistent viral infection thwarts this purpose remains ill-defined. Here, we transferred monoclonal lymphocytic choriomeningitis virus–specific B cells into persistently infected hosts. High-affinity B cells expanded vigorously, forming GCs and abundant antibody-secreting cells. When failing to clear viremia or to drive viral mutational escape, the expanded B cell population contracted, ending in its quasi-complete disappearance from the spleen, a process we termed “attrition.” In stark contrast, low-affinity B cells expanded and persisted irrespective of high viral loads. B cell attrition was associated with phenotypic and transcriptional alterations including a prominent Blimp-1 transcriptional signature in high-affinity GC B cells. Blimp-1-deficient B cells were resistant to attrition, suggesting a B cell–intrinsic process. Moreover, exogenously supplied antibody feedback prevented attrition, suggesting that the latter may have resulted from excessive antigenic stimulation. Our findings suggest that in chronic viral infection, the incessant exposure to overwhelming amounts of antigen perturbs B cell affinity hierarchies by preferentially dysregulating high-affinity B cells.</w:t>
      </w:r>
    </w:p>
    <w:p>
      <w:pPr>
        <w:spacing w:before="120" w:after="120"/>
      </w:pPr>
      <w:r>
        <w:rPr>
          <w:sz w:val="18"/>
        </w:rPr>
        <w:t>——————————————————————————————————————————————————————————————————————</w:t>
      </w:r>
    </w:p>
    <w:p>
      <w:pPr>
        <w:spacing w:before="160" w:after="40" w:line="240" w:lineRule="auto"/>
      </w:pPr>
      <w:r>
        <w:rPr>
          <w:b/>
        </w:rPr>
        <w:t xml:space="preserve">[237] </w:t>
      </w:r>
      <w:hyperlink r:id="rId646">
        <w:r>
          <w:rPr>
            <w:color w:val="1155CC"/>
            <w:u w:val="single"/>
          </w:rPr>
          <w:t>质子激活的氯离子通道PACC1作为表皮脱屑中的酸传感器</w:t>
        </w:r>
      </w:hyperlink>
    </w:p>
    <w:p>
      <w:pPr>
        <w:spacing w:before="0" w:after="80"/>
      </w:pPr>
      <w:r>
        <w:rPr>
          <w:i/>
          <w:sz w:val="20"/>
        </w:rPr>
        <w:t>EN: Proton-activated chloride channel PACC1 as acid sensor in epidermal desquamation</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47">
        <w:r>
          <w:rPr>
            <w:color w:val="1155CC"/>
            <w:u w:val="single"/>
          </w:rPr>
          <w:t>10.1073/pnas.2601316123</w:t>
        </w:r>
      </w:hyperlink>
    </w:p>
    <w:p>
      <w:pPr>
        <w:spacing w:before="0" w:after="120"/>
      </w:pPr>
      <w:r>
        <w:rPr>
          <w:b/>
        </w:rPr>
        <w:t xml:space="preserve">Notes: </w:t>
      </w:r>
      <w:r>
        <w:t>abstract_source=crossref</w:t>
      </w:r>
    </w:p>
    <w:p>
      <w:pPr>
        <w:spacing w:before="0" w:after="80" w:lineRule="auto" w:line="276"/>
      </w:pPr>
      <w:r>
        <w:rPr>
          <w:b/>
        </w:rPr>
        <w:t xml:space="preserve">摘要（ZH）: </w:t>
      </w:r>
      <w:r>
        <w:t>角质层的酸性微环境对于表皮脱屑和屏障稳态至关重要，但触发这一过程的主要质子传感器仍然未知。在此，我们报告质子激活的氯离子通道PACC1对于酸诱导的激肽释放酶（KLKs）上调和桥粒降解至关重要，这是皮肤去角质的两个关键步骤。功能和蛋白质表达分析显示，PACC1是角质形成细胞中主要的酸敏感离子通道。质子介导的PACC1激活引发氯离子外流，并通过c-Jun N-terminal Kinase/AP-1 (JNK/AP-1)通路启动信号级联反应。此级联显著增强KLKs（KLK5/7）的表达和分泌，从而通过角质桥粒降解促进脱屑。</w:t>
      </w:r>
    </w:p>
    <w:p>
      <w:pPr>
        <w:spacing w:before="0" w:after="200" w:lineRule="auto" w:line="276"/>
      </w:pPr>
      <w:r>
        <w:rPr>
          <w:b/>
        </w:rPr>
        <w:t xml:space="preserve">Abstract (EN): </w:t>
      </w:r>
      <w:r>
        <w:t>The acidic microenvironment of the stratum corneum is crucial for epidermal desquamation and barrier homeostasis, yet the primary proton sensor that triggers this process remains unknown. Here, we report that the proton-activated chloride channel PACC1 is essential for acid-induced upregulation of kallikreins (KLKs) and desmosomal degradation, two key steps in skin exfoliation. Functional and protein expression analyses revealed that PACC1 is the predominant acid-sensitive ion channel in keratinocytes. Proton-mediated PACC1 activation evokes chloride efflux and initiates a signaling cascade via the c-Jun N-terminal Kinase/AP-1 (JNK/AP-1) pathway. This cascade significantly enhances the expression and secretion of KLKs (KLK5/7), thereby facilitating desquamation through corneodesmosomal degradation. Notably, acid-induced KLK upregulation was abolished by PACC1 knockdown, knockout, or mutants that are deficient in proton sensing. This effect was also observed with pharmacological channel inhibition and was specifically restored by reconstitution with functional PACC1. These findings establish PACC1 as the core sensor that converts epidermal acidification into a desquamation signal, providing a mechanistic foundation for developing targeted therapeutic and cosmetic strategies that modulate skin barrier function.</w:t>
      </w:r>
    </w:p>
    <w:p>
      <w:pPr>
        <w:spacing w:before="120" w:after="120"/>
      </w:pPr>
      <w:r>
        <w:rPr>
          <w:sz w:val="18"/>
        </w:rPr>
        <w:t>——————————————————————————————————————————————————————————————————————</w:t>
      </w:r>
    </w:p>
    <w:p>
      <w:pPr>
        <w:spacing w:before="160" w:after="40" w:line="240" w:lineRule="auto"/>
      </w:pPr>
      <w:r>
        <w:rPr>
          <w:b/>
        </w:rPr>
        <w:t xml:space="preserve">[238] </w:t>
      </w:r>
      <w:hyperlink r:id="rId648">
        <w:r>
          <w:rPr>
            <w:color w:val="1155CC"/>
            <w:u w:val="single"/>
          </w:rPr>
          <w:t>功能多样性和专业化解码：对复杂粒子系统、NeuroAI和人类-人工智能混合生态系统的影响</w:t>
        </w:r>
      </w:hyperlink>
    </w:p>
    <w:p>
      <w:pPr>
        <w:spacing w:before="0" w:after="80"/>
      </w:pPr>
      <w:r>
        <w:rPr>
          <w:i/>
          <w:sz w:val="20"/>
        </w:rPr>
        <w:t>EN: Functional diversity and specialization decoded: Implications for complex particle systems, NeuroAI, and hybrid human–AI ecosystems</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49">
        <w:r>
          <w:rPr>
            <w:color w:val="1155CC"/>
            <w:u w:val="single"/>
          </w:rPr>
          <w:t>10.1073/pnas.2602694123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[239] </w:t>
      </w:r>
      <w:hyperlink r:id="rId650">
        <w:r>
          <w:rPr>
            <w:color w:val="1155CC"/>
            <w:u w:val="single"/>
          </w:rPr>
          <w:t>本期内容</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51">
        <w:r>
          <w:rPr>
            <w:color w:val="1155CC"/>
            <w:u w:val="single"/>
          </w:rPr>
          <w:t>10.1073/iti1326123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[240] </w:t>
      </w:r>
      <w:hyperlink r:id="rId652">
        <w:r>
          <w:rPr>
            <w:color w:val="1155CC"/>
            <w:u w:val="single"/>
          </w:rPr>
          <w:t>单倍型解析基因组组装下个体化定量遗传学的图统计理论</w:t>
        </w:r>
      </w:hyperlink>
    </w:p>
    <w:p>
      <w:pPr>
        <w:spacing w:before="0" w:after="80"/>
      </w:pPr>
      <w:r>
        <w:rPr>
          <w:i/>
          <w:sz w:val="20"/>
        </w:rPr>
        <w:t>EN: Graph statistics theory of individualized quantitative genetics under haplotype-resolved genome assembly</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53">
        <w:r>
          <w:rPr>
            <w:color w:val="1155CC"/>
            <w:u w:val="single"/>
          </w:rPr>
          <w:t>10.1073/pnas.2600004123</w:t>
        </w:r>
      </w:hyperlink>
    </w:p>
    <w:p>
      <w:pPr>
        <w:spacing w:before="0" w:after="120"/>
      </w:pPr>
      <w:r>
        <w:rPr>
          <w:b/>
        </w:rPr>
        <w:t xml:space="preserve">Notes: </w:t>
      </w:r>
      <w:r>
        <w:t>abstract_source=crossref</w:t>
      </w:r>
    </w:p>
    <w:p>
      <w:pPr>
        <w:spacing w:before="0" w:after="80" w:lineRule="auto" w:line="276"/>
      </w:pPr>
      <w:r>
        <w:rPr>
          <w:b/>
        </w:rPr>
        <w:t xml:space="preserve">摘要（ZH）: </w:t>
      </w:r>
      <w:r>
        <w:t>数量遗传学对于复杂性状的遗传剖析至关重要，但现有理论未能展示驱动表型变异和进化的遗传控制机制的全面景观。在此，我们开发了一种统计方法，将所有基因组位点组装成来自双倍型测序数据的全基因组互作网络。这些网络不仅可以捕捉显性、上位性和多效性，并将这些遗传概念作为等位基因和非等位基因之间的双向、有符号和加权的相互作用，还可以建立一个框架来剖析任何单个个体的遗传结构。虽然传统方法只能在群体水平上估计粗粒度的遗传参数，但我们的方法可以描绘出细粒度的图景。</w:t>
      </w:r>
    </w:p>
    <w:p>
      <w:pPr>
        <w:spacing w:before="0" w:after="200" w:lineRule="auto" w:line="276"/>
      </w:pPr>
      <w:r>
        <w:rPr>
          <w:b/>
        </w:rPr>
        <w:t xml:space="preserve">Abstract (EN): </w:t>
      </w:r>
      <w:r>
        <w:t>Quantitative genetics is essential for genetic dissection of complex traits, yet the existing theory fails to illustrate a comprehensive landscape of genetic control mechanisms driving phenotypic variation and evolution. Here, we develop a statistical approach to assemble all genome loci into omnigenic interactome networks from diplotyped sequencing data. Such networks can not only capture dominance, epistasis, and pleiotropy and leverage these genetic concepts as bidirectional, signed, and weighted interactions among alleles and nonalleles, but also establish a framework for dissecting the genetic architecture of any single individual. While traditional approaches can only estimate coarse-grained genetic parameters at the population level, our approach can portray a fine-grained picture involving how each allele acts and interacts with every other allele for a single individual, thus facilitating its genome editing and genome engineering. By analyzing transcriptomic data of two diplotyped cultivars of a woody plant, our approach can interpret the genetic mechanisms underlying this species’ cold resistance and interorgan communication. Our network-centric approach, generalized as a graph statistics theory, builds the foundation of individualized quantitative genetics, a theory that can make genetics even more transformational to precision breeding or precision medicine.</w:t>
      </w:r>
    </w:p>
    <w:p>
      <w:pPr>
        <w:spacing w:before="120" w:after="120"/>
      </w:pPr>
      <w:r>
        <w:rPr>
          <w:sz w:val="18"/>
        </w:rPr>
        <w:t>——————————————————————————————————————————————————————————————————————</w:t>
      </w:r>
    </w:p>
    <w:p>
      <w:pPr>
        <w:spacing w:before="160" w:after="40" w:line="240" w:lineRule="auto"/>
      </w:pPr>
      <w:r>
        <w:rPr>
          <w:b/>
        </w:rPr>
        <w:t xml:space="preserve">[241] </w:t>
      </w:r>
      <w:hyperlink r:id="rId654">
        <w:r>
          <w:rPr>
            <w:color w:val="1155CC"/>
            <w:u w:val="single"/>
          </w:rPr>
          <w:t>外部和内部压力源在Sonic hedgehog基因的应激响应增强子上的汇聚导致毛发疾病</w:t>
        </w:r>
      </w:hyperlink>
    </w:p>
    <w:p>
      <w:pPr>
        <w:spacing w:before="0" w:after="80"/>
      </w:pPr>
      <w:r>
        <w:rPr>
          <w:i/>
          <w:sz w:val="20"/>
        </w:rPr>
        <w:t>EN: Convergence of external and internal stressors on a stress-responsive enhancer of the Sonic hedgehog gene to induce hair disorders</w:t>
      </w:r>
    </w:p>
    <w:p>
      <w:pPr>
        <w:spacing w:before="0" w:after="120"/>
      </w:pPr>
      <w:r>
        <w:rPr>
          <w:b/>
        </w:rPr>
        <w:t xml:space="preserve">Source: </w:t>
      </w:r>
      <w:r>
        <w:t>Proceedings of the National Academy of Sciences: Keyword search for query</w:t>
      </w:r>
      <w:r>
        <w:t xml:space="preserve">    </w:t>
      </w:r>
      <w:r>
        <w:rPr>
          <w:b/>
        </w:rPr>
        <w:t xml:space="preserve">Pub date: </w:t>
      </w:r>
      <w:r>
        <w:t>2026-03-31 07:00:00+00:00</w:t>
      </w:r>
      <w:r>
        <w:t xml:space="preserve">    </w:t>
      </w:r>
      <w:r>
        <w:rPr>
          <w:b/>
        </w:rPr>
        <w:t xml:space="preserve">DOI: </w:t>
      </w:r>
      <w:hyperlink r:id="rId655">
        <w:r>
          <w:rPr>
            <w:color w:val="1155CC"/>
            <w:u w:val="single"/>
          </w:rPr>
          <w:t>10.1073/pnas.2529339123</w:t>
        </w:r>
      </w:hyperlink>
    </w:p>
    <w:p>
      <w:pPr>
        <w:spacing w:before="0" w:after="120"/>
      </w:pPr>
      <w:r>
        <w:rPr>
          <w:b/>
        </w:rPr>
        <w:t xml:space="preserve">Notes: </w:t>
      </w:r>
      <w:r>
        <w:t>abstract_source=crossref</w:t>
      </w:r>
    </w:p>
    <w:p>
      <w:pPr>
        <w:spacing w:before="0" w:after="80" w:lineRule="auto" w:line="276"/>
      </w:pPr>
      <w:r>
        <w:rPr>
          <w:b/>
        </w:rPr>
        <w:t xml:space="preserve">摘要（ZH）: </w:t>
      </w:r>
      <w:r>
        <w:t>哺乳动物不断暴露于各种内外源性压力源。尽管毛囊（HFs）对压力极为敏感，但压力诱导的反应如何与HF生长、循环和再生的内在调节因子相关联仍然很大程度上未知。在此，我们表征了Sonic hedgehog (Shh)基因的远程增强子，该基因在HF中编码一种关键的有丝分裂原，并识别出一个毛发压力响应增强子（HSRE），作为各种内外压力源汇聚的统一目标。与即刻早期基因Early growth response 1 (Egr1)一起</w:t>
      </w:r>
    </w:p>
    <w:p>
      <w:pPr>
        <w:spacing w:before="0" w:after="200" w:lineRule="auto" w:line="276"/>
      </w:pPr>
      <w:r>
        <w:rPr>
          <w:b/>
        </w:rPr>
        <w:t xml:space="preserve">Abstract (EN): </w:t>
      </w:r>
      <w:r>
        <w:t>Mammals are constantly exposed to various stressors of internal and external origin. Though hair follicles (HFs) are exquisitely sensitive to stress, it remains largely unknown how stress-induced responses are linked with the intrinsic regulators of HF growth, cycling, and regeneration. Here, we characterize the long-range enhancer of</w:t>
      </w:r>
      <w:r>
        <w:t xml:space="preserve"> </w:t>
      </w:r>
      <w:r>
        <w:t>Sonic hedgehog</w:t>
      </w:r>
      <w:r>
        <w:t xml:space="preserve"> </w:t>
      </w:r>
      <w:r>
        <w:t>(</w:t>
      </w:r>
      <w:r>
        <w:t xml:space="preserve"> </w:t>
      </w:r>
      <w:r>
        <w:t>Shh</w:t>
      </w:r>
      <w:r>
        <w:t xml:space="preserve"> </w:t>
      </w:r>
      <w:r>
        <w:t>) gene which encodes a crucial mitogen in the HF, and identify a hair stress-responsive enhancer (</w:t>
      </w:r>
      <w:r>
        <w:t xml:space="preserve"> </w:t>
      </w:r>
      <w:r>
        <w:t>HSRE</w:t>
      </w:r>
      <w:r>
        <w:t xml:space="preserve"> </w:t>
      </w:r>
      <w:r>
        <w:t>) as a unified target on which various internal and external stressors converge. Together with the immediate early gene</w:t>
      </w:r>
      <w:r>
        <w:t xml:space="preserve"> </w:t>
      </w:r>
      <w:r>
        <w:t>Early growth response 1</w:t>
      </w:r>
      <w:r>
        <w:t xml:space="preserve"> </w:t>
      </w:r>
      <w:r>
        <w:t>(</w:t>
      </w:r>
      <w:r>
        <w:t xml:space="preserve"> </w:t>
      </w:r>
      <w:r>
        <w:t>Egr1</w:t>
      </w:r>
      <w:r>
        <w:t xml:space="preserve"> </w:t>
      </w:r>
      <w:r>
        <w:t>), this combination of enhancer and transcription factor mediates hair growth arrest and regeneration defects under several stress conditions, including chemotherapy-induced hair loss, noise-induced hair dystrophy, and retarded hair regeneration in aging and obesity. Under stress, the increased expression of</w:t>
      </w:r>
      <w:r>
        <w:t xml:space="preserve"> </w:t>
      </w:r>
      <w:r>
        <w:t>Egr1</w:t>
      </w:r>
      <w:r>
        <w:t xml:space="preserve"> </w:t>
      </w:r>
      <w:r>
        <w:t>suppresses</w:t>
      </w:r>
      <w:r>
        <w:t xml:space="preserve"> </w:t>
      </w:r>
      <w:r>
        <w:t>Shh</w:t>
      </w:r>
      <w:r>
        <w:t xml:space="preserve"> </w:t>
      </w:r>
      <w:r>
        <w:t>gene expression; however, this suppression does not occur when the</w:t>
      </w:r>
      <w:r>
        <w:t xml:space="preserve"> </w:t>
      </w:r>
      <w:r>
        <w:t>HSRE</w:t>
      </w:r>
      <w:r>
        <w:t xml:space="preserve"> </w:t>
      </w:r>
      <w:r>
        <w:t>is absent. Furthermore, two chemical agents SR11302 and T-5224 which suppress</w:t>
      </w:r>
      <w:r>
        <w:t xml:space="preserve"> </w:t>
      </w:r>
      <w:r>
        <w:t>Egr1</w:t>
      </w:r>
      <w:r>
        <w:t xml:space="preserve"> </w:t>
      </w:r>
      <w:r>
        <w:t>expression both rescued the hair disorders under the various stressors. We propose that an</w:t>
      </w:r>
      <w:r>
        <w:t xml:space="preserve"> </w:t>
      </w:r>
      <w:r>
        <w:t>Egr1</w:t>
      </w:r>
      <w:r>
        <w:t xml:space="preserve"> </w:t>
      </w:r>
      <w:r>
        <w:t>–</w:t>
      </w:r>
      <w:r>
        <w:t xml:space="preserve"> </w:t>
      </w:r>
      <w:r>
        <w:t>Shh</w:t>
      </w:r>
      <w:r>
        <w:t xml:space="preserve"> </w:t>
      </w:r>
      <w:r>
        <w:t>axis integrates distinct stress signals and induces hair disorders via suppression of</w:t>
      </w:r>
      <w:r>
        <w:t xml:space="preserve"> </w:t>
      </w:r>
      <w:r>
        <w:t>Shh</w:t>
      </w:r>
      <w:r>
        <w:t xml:space="preserve"> </w:t>
      </w:r>
      <w:r>
        <w:t>gene expression, and provide a plausible strategy for therapeutic intervention. Our results establish a paradigm of how stress perturbs organ growth and regeneration through the regulation of key intrinsic morphogenetic factors.</w:t>
      </w:r>
    </w:p>
    <w:p>
      <w:pPr>
        <w:spacing w:before="120" w:after="120"/>
      </w:pPr>
      <w:r>
        <w:rPr>
          <w:sz w:val="18"/>
        </w:rPr>
        <w:t>——————————————————————————————————————————————————————————————————————</w:t>
      </w:r>
    </w:p>
    <w:p>
      <w:pPr>
        <w:spacing w:before="160" w:after="40" w:line="240" w:lineRule="auto"/>
      </w:pPr>
      <w:r>
        <w:rPr>
          <w:b/>
        </w:rPr>
        <w:t xml:space="preserve">[242] </w:t>
      </w:r>
      <w:hyperlink r:id="rId656">
        <w:r>
          <w:rPr>
            <w:color w:val="1155CC"/>
            <w:u w:val="single"/>
          </w:rPr>
          <w:t>[ASAP] 钼儿茶酚脱羟酶的活性位点结构和机制</w:t>
        </w:r>
      </w:hyperlink>
    </w:p>
    <w:p>
      <w:pPr>
        <w:spacing w:before="0" w:after="80"/>
      </w:pPr>
      <w:r>
        <w:rPr>
          <w:i/>
          <w:sz w:val="20"/>
        </w:rPr>
        <w:t>EN: [ASAP] Active Site Structure and Mechanism of a Molybdenum Catechol Dehydroxylase</w:t>
      </w:r>
    </w:p>
    <w:p>
      <w:pPr>
        <w:spacing w:before="0" w:after="120"/>
      </w:pPr>
      <w:r>
        <w:rPr>
          <w:b/>
        </w:rPr>
        <w:t xml:space="preserve">Source: </w:t>
      </w:r>
      <w:r>
        <w:t>Journal of the American Chemical Society: Latest Articles (ACS Publications)</w:t>
      </w:r>
      <w:r>
        <w:t xml:space="preserve">    </w:t>
      </w:r>
      <w:r>
        <w:rPr>
          <w:b/>
        </w:rPr>
        <w:t xml:space="preserve">Pub date: </w:t>
      </w:r>
      <w:r>
        <w:t>2026-03-31 08:02:04+00:00</w:t>
      </w:r>
      <w:r>
        <w:t xml:space="preserve">    </w:t>
      </w:r>
      <w:r>
        <w:rPr>
          <w:b/>
        </w:rPr>
        <w:t xml:space="preserve">DOI: </w:t>
      </w:r>
      <w:hyperlink r:id="rId657">
        <w:r>
          <w:rPr>
            <w:color w:val="1155CC"/>
            <w:u w:val="single"/>
          </w:rPr>
          <w:t>10.1021/jacs.5c20654</w:t>
        </w:r>
      </w:hyperlink>
    </w:p>
    <w:p>
      <w:pPr>
        <w:spacing w:before="0" w:after="120"/>
      </w:pPr>
      <w:r>
        <w:rPr>
          <w:b/>
        </w:rPr>
        <w:t xml:space="preserve">Notes: </w:t>
      </w:r>
      <w:r>
        <w:t>abstract_source=pubmed</w:t>
      </w:r>
    </w:p>
    <w:p>
      <w:pPr>
        <w:spacing w:before="0" w:after="80" w:lineRule="auto" w:line="276"/>
      </w:pPr>
      <w:r>
        <w:rPr>
          <w:b/>
        </w:rPr>
        <w:t xml:space="preserve">摘要（ZH）: </w:t>
      </w:r>
      <w:r>
        <w:t>儿茶酚的脱羟基化代表了一种重要的化学转化，由哺乳动物肠道细菌促进。该反应由属于DMSO还原酶家族的吡喃蝶呤钼酶催化。尽管其在化学和生物学上具有重要意义，但儿茶酚脱羟基酶的结构和机制仍未被表征。在这篇手稿中，我们使用Mo K边缘X射线吸收近边结构（XANES）光谱和扩展X射线吸收精细结构（EXAFS）分析，研究了来自肠道细菌Gordonibacter urolithinfaciens（Gu Hcdh）的羟基咖啡酸脱羟基酶的活性位点结构。在氧化态下，Mo(VI)离子与一个末端氧原子、一个半胱氨酸硫醇盐和来自两个双齿吡啶的四个硫原子配位。</w:t>
      </w:r>
    </w:p>
    <w:p>
      <w:pPr>
        <w:spacing w:before="0" w:after="200" w:lineRule="auto" w:line="276"/>
      </w:pPr>
      <w:r>
        <w:rPr>
          <w:b/>
        </w:rPr>
        <w:t xml:space="preserve">Abstract (EN): </w:t>
      </w:r>
      <w:r>
        <w:t>The dehydroxylation of catechols represents an important chemical transformation facilitated by gut bacteria in mammals. This reaction is catalyzed by pyranopterin molybdenum enzymes that belong to the DMSO reductase family. Despite their chemical and biological significance, the structure and mechanisms of catechol dehydroxylases remain uncharacterized. In this manuscript, we interrogated the active site structure of hydrocaffeic acid dehydroxylase from the gut bacterium Gordonibacter urolithinfaciens (Gu Hcdh) using Mo K-edge X-ray absorption near-edge structure (XANES) spectroscopy and extended X-ray absorption fine structure (EXAFS) analyses. In the oxidized state, the Mo(VI) ion is coordinated by a terminal oxo atom, a cysteine thiolate, and four sulfur atoms from the two bidentate pyranopterin dithiolene (PDT) ligands. Upon reduction to the Mo(IV) state, the active site remains hexacoordinate with a similar first coordination sphere; however, the terminal oxo ligand present in the Mo(VI) state has been protonated to yield a coordinated hydroxyl ligand. The EXAFS-derived coordination geometries for the Mo(VI) and Mo(IV) sites are consistent with the results of bond valence sum (BVS) analyses. Reaction coordinate computations suggest the likely role of an active site carboxylate in facilitating substrate dearomatization and product formation. Protein sequence analysis and site-directed mutagenesis experiments reveal that Cys157 is ligated to the Mo ion, and Asp210 serves as a catalytically essential active site acid-base. Together, these analyses enrich our understanding of an emerging pyranopterin molybdenum enzyme family from the human gut microbiota.</w:t>
      </w:r>
    </w:p>
    <w:p>
      <w:pPr>
        <w:spacing w:before="120" w:after="120"/>
      </w:pPr>
      <w:r>
        <w:rPr>
          <w:sz w:val="18"/>
        </w:rPr>
        <w:t>——————————————————————————————————————————————————————————————————————</w:t>
      </w:r>
    </w:p>
    <w:p>
      <w:pPr>
        <w:spacing w:before="160" w:after="40" w:line="240" w:lineRule="auto"/>
      </w:pPr>
      <w:r>
        <w:rPr>
          <w:b/>
        </w:rPr>
        <w:t xml:space="preserve">[243] </w:t>
      </w:r>
      <w:hyperlink r:id="rId658">
        <w:r>
          <w:rPr>
            <w:color w:val="1155CC"/>
            <w:u w:val="single"/>
          </w:rPr>
          <w:t>[ASAP] 对“在无金属有机框架中工程顺磁自旋中心”的更正</w:t>
        </w:r>
      </w:hyperlink>
    </w:p>
    <w:p>
      <w:pPr>
        <w:spacing w:before="0" w:after="80"/>
      </w:pPr>
      <w:r>
        <w:rPr>
          <w:i/>
          <w:sz w:val="20"/>
        </w:rPr>
        <w:t>EN: [ASAP] Correction to “Engineering Paramagnetic Spin Centers in Metal-Free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2026-03-31 09:42:38+00:00</w:t>
      </w:r>
      <w:r>
        <w:t xml:space="preserve">    </w:t>
      </w:r>
      <w:r>
        <w:rPr>
          <w:b/>
        </w:rPr>
        <w:t xml:space="preserve">DOI: </w:t>
      </w:r>
      <w:hyperlink r:id="rId659">
        <w:r>
          <w:rPr>
            <w:color w:val="1155CC"/>
            <w:u w:val="single"/>
          </w:rPr>
          <w:t>10.1021/jacs.6c05572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[244] </w:t>
      </w:r>
      <w:hyperlink r:id="rId660">
        <w:r>
          <w:rPr>
            <w:color w:val="1155CC"/>
            <w:u w:val="single"/>
          </w:rPr>
          <w:t>[ASAP] 硫杂环戊烷的β-氟化：重新定义溶剂化和界面化学</w:t>
        </w:r>
      </w:hyperlink>
    </w:p>
    <w:p>
      <w:pPr>
        <w:spacing w:before="0" w:after="80"/>
      </w:pPr>
      <w:r>
        <w:rPr>
          <w:i/>
          <w:sz w:val="20"/>
        </w:rPr>
        <w:t>EN: [ASAP] β-Fluorination of Sulfolane: Redefining Solvation and Interphase Chemistry</w:t>
      </w:r>
    </w:p>
    <w:p>
      <w:pPr>
        <w:spacing w:before="0" w:after="120"/>
      </w:pPr>
      <w:r>
        <w:rPr>
          <w:b/>
        </w:rPr>
        <w:t xml:space="preserve">Source: </w:t>
      </w:r>
      <w:r>
        <w:t>ACS Energy Letters: Latest Articles (ACS Publications)</w:t>
      </w:r>
      <w:r>
        <w:t xml:space="preserve">    </w:t>
      </w:r>
      <w:r>
        <w:rPr>
          <w:b/>
        </w:rPr>
        <w:t xml:space="preserve">Pub date: </w:t>
      </w:r>
      <w:r>
        <w:t>2026-03-31 09:47:39+00:00</w:t>
      </w:r>
      <w:r>
        <w:t xml:space="preserve">    </w:t>
      </w:r>
      <w:r>
        <w:rPr>
          <w:b/>
        </w:rPr>
        <w:t xml:space="preserve">DOI: </w:t>
      </w:r>
      <w:hyperlink r:id="rId661">
        <w:r>
          <w:rPr>
            <w:color w:val="1155CC"/>
            <w:u w:val="single"/>
          </w:rPr>
          <w:t>10.1021/acsenergylett.6c00613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[245] </w:t>
      </w:r>
      <w:hyperlink r:id="rId662">
        <w:r>
          <w:rPr>
            <w:color w:val="1155CC"/>
            <w:u w:val="single"/>
          </w:rPr>
          <w:t>一种三受体基序用于硫属键导向的环形组装以增强单线态氧的生成</w:t>
        </w:r>
      </w:hyperlink>
    </w:p>
    <w:p>
      <w:pPr>
        <w:spacing w:before="0" w:after="80"/>
      </w:pPr>
      <w:r>
        <w:rPr>
          <w:i/>
          <w:sz w:val="20"/>
        </w:rPr>
        <w:t>EN: A Triple‐Acceptor Motif for Chalcogen‐Bond‐Directed Circular Assemblies that Enhance Singlet Oxygen Generation</w:t>
      </w:r>
    </w:p>
    <w:p>
      <w:pPr>
        <w:spacing w:before="0" w:after="120"/>
      </w:pPr>
      <w:r>
        <w:rPr>
          <w:b/>
        </w:rPr>
        <w:t xml:space="preserve">Source: </w:t>
      </w:r>
      <w:r>
        <w:t>Wiley: Angewandte Chemie International Edition: Table of Contents</w:t>
      </w:r>
      <w:r>
        <w:t xml:space="preserve">    </w:t>
      </w:r>
      <w:r>
        <w:rPr>
          <w:b/>
        </w:rPr>
        <w:t xml:space="preserve">Pub date: </w:t>
      </w:r>
      <w:r>
        <w:t>2026-03-31 09:50:45+00:00</w:t>
      </w:r>
      <w:r>
        <w:t xml:space="preserve">    </w:t>
      </w:r>
      <w:r>
        <w:rPr>
          <w:b/>
        </w:rPr>
        <w:t xml:space="preserve">DOI: </w:t>
      </w:r>
      <w:hyperlink r:id="rId663">
        <w:r>
          <w:rPr>
            <w:color w:val="1155CC"/>
            <w:u w:val="single"/>
          </w:rPr>
          <w:t>10.1002/anie.6178676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一种三受体供体-受体（D–A）分子设计，该分子具有三个连续连接的受体，以赋予显著的构象灵活性。这种构象灵活性转化为不同的晶体堆积模式，从而产生截然不同的光敏化效率。值得注意的是，通过分子间硫属元素键合，六种不同构象体自组装成环形结构，这种独特的晶体结构通过单晶X射线衍射得到明确证实。环状组装提供了令人印象深刻的固态</w:t>
      </w:r>
      <w:r>
        <w:rPr>
          <w:vertAlign w:val="subscript"/>
        </w:rPr>
        <w:t>1</w:t>
      </w:r>
      <w:r>
        <w:t>O</w:t>
      </w:r>
      <w:r>
        <w:rPr>
          <w:vertAlign w:val="subscript"/>
        </w:rPr>
        <w:t>2</w:t>
      </w:r>
      <w:r>
        <w:t>量子产率为80%，这一数值远高于s的量子产率。</w:t>
      </w:r>
    </w:p>
    <w:p>
      <w:pPr>
        <w:spacing w:before="0" w:after="200" w:lineRule="auto" w:line="276"/>
      </w:pPr>
      <w:r>
        <w:rPr>
          <w:b/>
        </w:rPr>
        <w:t xml:space="preserve">Abstract (EN): </w:t>
      </w:r>
      <w:r>
        <w:t>Herein, we report a triple‐acceptor donor–acceptor (D–A) molecule designed with three consecutively linked acceptors to confer substantial conformational flexibility. This conformational flexibility translates into distinct crystalline packing modes, which yield strikingly different photosensitizing efficiencies. Notably, a unique crystal structure is formed by the self‐assembly of six distinct conformers into a circular architecture via intermolecular chalcogen bonding, an arrangement unambiguously confirmed by single‐crystal X‐ray diffraction. The cyclic assembly delivers an impressive solid‐state</w:t>
      </w:r>
      <w:r>
        <w:rPr>
          <w:vertAlign w:val="subscript"/>
        </w:rPr>
        <w:t>1</w:t>
      </w:r>
      <w:r>
        <w:t>O</w:t>
      </w:r>
      <w:r>
        <w:rPr>
          <w:vertAlign w:val="subscript"/>
        </w:rPr>
        <w:t>2</w:t>
      </w:r>
      <w:r>
        <w:t>quantum yield of 80%, a value far higher than that of the solution‐dispersed monomer (62%) and a non‐cyclically packed polymorph with both chalcogen bonds and π‐interactions between A groups (43%). This enhancement stems from the unique circular packing motif that increases the energy mismatch between the singlet excited state (S</w:t>
      </w:r>
      <w:r>
        <w:rPr>
          <w:vertAlign w:val="subscript"/>
        </w:rPr>
        <w:t>1</w:t>
      </w:r>
      <w:r>
        <w:t>) and singlet ground state (S</w:t>
      </w:r>
      <w:r>
        <w:rPr>
          <w:vertAlign w:val="subscript"/>
        </w:rPr>
        <w:t>0</w:t>
      </w:r>
      <w:r>
        <w:t>) to facilitate intersystem crossing (ISC), while concurrently suppressing π–π stacking–induced quenching. The generality of this strategy is further demonstrated by a heavy‐atom‐containing analogue, which achieves a similarly high</w:t>
      </w:r>
      <w:r>
        <w:rPr>
          <w:vertAlign w:val="subscript"/>
        </w:rPr>
        <w:t>1</w:t>
      </w:r>
      <w:r>
        <w:t>O</w:t>
      </w:r>
      <w:r>
        <w:rPr>
          <w:vertAlign w:val="subscript"/>
        </w:rPr>
        <w:t>2</w:t>
      </w:r>
      <w:r>
        <w:t>quantum yield of 84% in its chalcogen‐bond‐directed circular assembly (comprising three conformers), markedly outperforming a counterpart polymorph (45%) with both chalcogen bonds and π‐interactions between A groups and non‐circular packing. These findings establish a versatile and robust approach for developing high‐performance crystalline photosensitizers.</w:t>
      </w:r>
    </w:p>
    <w:p>
      <w:pPr>
        <w:spacing w:before="120" w:after="120"/>
      </w:pPr>
      <w:r>
        <w:rPr>
          <w:sz w:val="18"/>
        </w:rPr>
        <w:t>——————————————————————————————————————————————————————————————————————</w:t>
      </w:r>
    </w:p>
    <w:p>
      <w:pPr>
        <w:spacing w:before="160" w:after="40" w:line="240" w:lineRule="auto"/>
      </w:pPr>
      <w:r>
        <w:rPr>
          <w:b/>
        </w:rPr>
        <w:t xml:space="preserve">[246] </w:t>
      </w:r>
      <w:hyperlink r:id="rId664">
        <w:r>
          <w:rPr>
            <w:color w:val="1155CC"/>
            <w:u w:val="single"/>
          </w:rPr>
          <w:t>一种仿生纳米机器重新编程跨膜ATP流量以诱导肿瘤选择性生物能量危机</w:t>
        </w:r>
      </w:hyperlink>
    </w:p>
    <w:p>
      <w:pPr>
        <w:spacing w:before="0" w:after="80"/>
      </w:pPr>
      <w:r>
        <w:rPr>
          <w:i/>
          <w:sz w:val="20"/>
        </w:rPr>
        <w:t>EN: A Biomimetic Nanomachine Reprograms Transmembrane ATP Flux to Induce Tumor‐Selective Bioenergetic Crisis</w:t>
      </w:r>
    </w:p>
    <w:p>
      <w:pPr>
        <w:spacing w:before="0" w:after="120"/>
      </w:pPr>
      <w:r>
        <w:rPr>
          <w:b/>
        </w:rPr>
        <w:t xml:space="preserve">Source: </w:t>
      </w:r>
      <w:r>
        <w:t>Wiley: Advanced Materials: Table of Contents</w:t>
      </w:r>
      <w:r>
        <w:t xml:space="preserve">    </w:t>
      </w:r>
      <w:r>
        <w:rPr>
          <w:b/>
        </w:rPr>
        <w:t xml:space="preserve">Pub date: </w:t>
      </w:r>
      <w:r>
        <w:t>2026-03-31 10:03:33+00:00</w:t>
      </w:r>
      <w:r>
        <w:t xml:space="preserve">    </w:t>
      </w:r>
      <w:r>
        <w:rPr>
          <w:b/>
        </w:rPr>
        <w:t xml:space="preserve">DOI: </w:t>
      </w:r>
      <w:hyperlink r:id="rId665">
        <w:r>
          <w:rPr>
            <w:color w:val="1155CC"/>
            <w:u w:val="single"/>
          </w:rPr>
          <w:t>10.1002/adma.202522412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癌细胞通过失调的三磷酸腺苷（ATP）合成和外排来维持恶性，但传统的ATP消耗疗法因瞬时疗效和补偿性耐药性而受到限制。在此，我们提出了一种材料驱动的“跨膜ATP流量重编程”策略，该策略积极利用细胞外ATP外排来诱导肿瘤选择性生物能量崩溃。一种章鱼状仿生纳米机器（名为HSA-ABC）配备了ATP响应模块，能够同步光动力膜破坏和凋亡触发的ATP释放。多价胆固醇锚定引导精确的膜定位，启动自我放大的治疗循环：局部光动力膜扰动诱导ATP释放，进而</w:t>
      </w:r>
    </w:p>
    <w:p>
      <w:pPr>
        <w:spacing w:before="0" w:after="200" w:lineRule="auto" w:line="276"/>
      </w:pPr>
      <w:r>
        <w:rPr>
          <w:b/>
        </w:rPr>
        <w:t xml:space="preserve">Abstract (EN): </w:t>
      </w:r>
      <w:r>
        <w:t>Cancer cells maintain malignancy via dysregulated adenosine triphosphate (ATP) synthesis and efflux, yet conventional ATP‐depleting therapies remain limited by transient efficacy and compensatory resistance. Here, we present a materials‐driven strategy for “transmembrane ATP flux reprogramming” that actively exploits extracellular ATP efflux to induce tumor‐selective bioenergetic collapse. An octopus‐like biomimetic nanomachine (named HSA‐ABC) equipped with ATP‐responsive modules that enable synchronized photodynamic membrane disruption and apoptosis‐triggered ATP release. Multivalent cholesterol anchors guide precise membrane localization, initiating a self‐amplifying therapeutic cycle: localized photodynamic membrane perturbation induces ATP release, which in turn gates the synchronized discharge of Chlorin e6 and doxorubicin, amplifying apoptosis and subsequent ATP leakage. This feedforward loop induces a selective bioenergetic crisis in malignant cells while sparing normal cells. In contrast to conventional metabolic interventions, this approach exploits the intrinsic adaptability of cancer cells to provoke self‐driven metabolic collapse. This work establishes a new class of metabolically adaptive nanomaterials capable of reprogramming energy flux dynamics, offering a versatile platform for precision anticancer therapy.</w:t>
      </w:r>
    </w:p>
    <w:p>
      <w:pPr>
        <w:spacing w:before="120" w:after="120"/>
      </w:pPr>
      <w:r>
        <w:rPr>
          <w:sz w:val="18"/>
        </w:rPr>
        <w:t>——————————————————————————————————————————————————————————————————————</w:t>
      </w:r>
    </w:p>
    <w:p>
      <w:pPr>
        <w:spacing w:before="160" w:after="40" w:line="240" w:lineRule="auto"/>
      </w:pPr>
      <w:r>
        <w:rPr>
          <w:b/>
        </w:rPr>
        <w:t xml:space="preserve">[247] </w:t>
      </w:r>
      <w:hyperlink r:id="rId666">
        <w:r>
          <w:rPr>
            <w:color w:val="1155CC"/>
            <w:u w:val="single"/>
          </w:rPr>
          <w:t>高熵合金与基因编辑协同用于鸡尾酒敏化的肺转移瘤放射免疫治疗</w:t>
        </w:r>
      </w:hyperlink>
    </w:p>
    <w:p>
      <w:pPr>
        <w:spacing w:before="0" w:after="80"/>
      </w:pPr>
      <w:r>
        <w:rPr>
          <w:i/>
          <w:sz w:val="20"/>
        </w:rPr>
        <w:t>EN: High‐Entropy Alloy Synergized with Gene Editing for Cocktail‐Sensitized Radioimmunotherapy of Lung Metastases</w:t>
      </w:r>
    </w:p>
    <w:p>
      <w:pPr>
        <w:spacing w:before="0" w:after="120"/>
      </w:pPr>
      <w:r>
        <w:rPr>
          <w:b/>
        </w:rPr>
        <w:t xml:space="preserve">Source: </w:t>
      </w:r>
      <w:r>
        <w:t>Wiley: Advanced Materials: Table of Contents</w:t>
      </w:r>
      <w:r>
        <w:t xml:space="preserve">    </w:t>
      </w:r>
      <w:r>
        <w:rPr>
          <w:b/>
        </w:rPr>
        <w:t xml:space="preserve">Pub date: </w:t>
      </w:r>
      <w:r>
        <w:t>2026-03-31 10:04:55+00:00</w:t>
      </w:r>
      <w:r>
        <w:t xml:space="preserve">    </w:t>
      </w:r>
      <w:r>
        <w:rPr>
          <w:b/>
        </w:rPr>
        <w:t xml:space="preserve">DOI: </w:t>
      </w:r>
      <w:hyperlink r:id="rId667">
        <w:r>
          <w:rPr>
            <w:color w:val="1155CC"/>
            <w:u w:val="single"/>
          </w:rPr>
          <w:t>10.1002/adma.202522618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放射治疗（RT）通过电离辐射引起的直接DNA损伤或通过辐解产生的细胞毒性活性氧（ROS）间接消除癌细胞。然而，高剂量辐射常常触发DNA修复机制，削弱治疗效果并对周围健康组织造成损害。因此，在降低剂量的同时增强抗肿瘤效果、减少正常组织损伤并提高安全性仍然是推进RT技术的关键挑战。为了解决这些问题，我们开发了一种RT增敏平台，称为HAEPRC，该平台整合了一种由金（Au）、铋（Bi）、铂（Pt）、银（Ag）和钯（Pd）组成的新型高熵合金（HEA）、CRISPR/Cas9基因编辑系统和肿瘤细胞</w:t>
      </w:r>
    </w:p>
    <w:p>
      <w:pPr>
        <w:spacing w:before="0" w:after="200" w:lineRule="auto" w:line="276"/>
      </w:pPr>
      <w:r>
        <w:rPr>
          <w:b/>
        </w:rPr>
        <w:t xml:space="preserve">Abstract (EN): </w:t>
      </w:r>
      <w:r>
        <w:t>Radiotherapy (RT) eliminates cancer cells either through direct DNA damage induced by ionizing radiation or indirectly by generating cytotoxic reactive oxygen species (ROS) via radiolysis. However, high‐dose radiation often triggers DNA repair mechanisms, undermining therapeutic efficacy and causing damage to surrounding healthy tissues. Thus, enhancing anti‐tumor effects at lower doses while minimizing normal tissue damage and improving safety remains a key challenge in advancing RT technologies. To tackle these issues, we developed an RT‐sensitizing platform, referred to as HAEPRC, which integrates a novel high‐entropy alloy (HEA) composed of gold (Au), bismuth (Bi), platinum (Pt), silver (Ag), and palladium (Pd), a CRISPR/Cas9 gene‐editing system, and tumor cell membranes (CM) for enhanced home‐targeting and biocompatibility. We demonstrated that HAEPRC exhibits exceptional dose enhancement factors (DEFs), significantly boosting RT sensitization and improving RT‐induced immunotherapeutic outcomes. Furthermore, the gene‐editing system modulates the cell cycle, transforming RT‐resistant cancer cells into RT‐sensitive ones and further amplifying RT efficacy. Additionally, Pd‐mediated bioorthogonal catalysis activates immune adjuvant production, enhancing immune responses and reinforcing anti‐tumor immunity. Collectively, these features synergistically promote an enhanced abscopal immune effect, inhibiting lung cancer growth and metastasis, and providing a promising strategy to improve the efficacy and safety of RT.</w:t>
      </w:r>
    </w:p>
    <w:p>
      <w:pPr>
        <w:spacing w:before="120" w:after="120"/>
      </w:pPr>
      <w:r>
        <w:rPr>
          <w:sz w:val="18"/>
        </w:rPr>
        <w:t>——————————————————————————————————————————————————————————————————————</w:t>
      </w:r>
    </w:p>
    <w:p>
      <w:pPr>
        <w:spacing w:before="160" w:after="40" w:line="240" w:lineRule="auto"/>
      </w:pPr>
      <w:r>
        <w:rPr>
          <w:b/>
        </w:rPr>
        <w:t xml:space="preserve">[248] </w:t>
      </w:r>
      <w:hyperlink r:id="rId668">
        <w:r>
          <w:rPr>
            <w:color w:val="1155CC"/>
            <w:u w:val="single"/>
          </w:rPr>
          <w:t>[ASAP] 通过外部配体引起的铜配位数变化增强氧化还原电位的温度敏感性</w:t>
        </w:r>
      </w:hyperlink>
    </w:p>
    <w:p>
      <w:pPr>
        <w:spacing w:before="0" w:after="80"/>
      </w:pPr>
      <w:r>
        <w:rPr>
          <w:i/>
          <w:sz w:val="20"/>
        </w:rPr>
        <w:t>EN: [ASAP] Enhancing Temperature Sensitivity of Redox Potential via Redox-Induced Change in Copper Coordination Number by an External Ligand</w:t>
      </w:r>
    </w:p>
    <w:p>
      <w:pPr>
        <w:spacing w:before="0" w:after="120"/>
      </w:pPr>
      <w:r>
        <w:rPr>
          <w:b/>
        </w:rPr>
        <w:t xml:space="preserve">Source: </w:t>
      </w:r>
      <w:r>
        <w:t>Journal of the American Chemical Society: Latest Articles (ACS Publications)</w:t>
      </w:r>
      <w:r>
        <w:t xml:space="preserve">    </w:t>
      </w:r>
      <w:r>
        <w:rPr>
          <w:b/>
        </w:rPr>
        <w:t xml:space="preserve">Pub date: </w:t>
      </w:r>
      <w:r>
        <w:t>2026-03-31 10:53:55+00:00</w:t>
      </w:r>
      <w:r>
        <w:t xml:space="preserve">    </w:t>
      </w:r>
      <w:r>
        <w:rPr>
          <w:b/>
        </w:rPr>
        <w:t xml:space="preserve">DOI: </w:t>
      </w:r>
      <w:hyperlink r:id="rId669">
        <w:r>
          <w:rPr>
            <w:color w:val="1155CC"/>
            <w:u w:val="single"/>
          </w:rPr>
          <w:t>10.1021/jacs.5c21444</w:t>
        </w:r>
      </w:hyperlink>
    </w:p>
    <w:p>
      <w:pPr>
        <w:spacing w:before="0" w:after="120"/>
      </w:pPr>
      <w:r>
        <w:rPr>
          <w:b/>
        </w:rPr>
        <w:t xml:space="preserve">Notes: </w:t>
      </w:r>
      <w:r>
        <w:t>abstract_source=pubmed</w:t>
      </w:r>
    </w:p>
    <w:p>
      <w:pPr>
        <w:spacing w:before="0" w:after="80" w:lineRule="auto" w:line="276"/>
      </w:pPr>
      <w:r>
        <w:rPr>
          <w:b/>
        </w:rPr>
        <w:t xml:space="preserve">摘要（ZH）: </w:t>
      </w:r>
      <w:r>
        <w:t>我们报告了一种新的设计策略，用于增强分子氧化还原电位的温度敏感性，该策略基于氧化还原诱导的金属配位数变化，由外部配体促进。Cu 复合物双(2,9-二甲基-1,10-菲咯啉)铜(II)结合配位配体，包括 MeCN，而 CuI 类似物保持四配位。引入更强的供体4-叔丁基吡啶(tBu-py)后，MeCN 配体被置换，同时在 CuII 和 CuI 中心分别保持五配位和四配位。变温电化学分析显示，CuII/CuI 对的表观半波电位(E1/2)的温度敏感性在加入15.0当量的tBu-py后从α = 1.70(6) mV °C-1增加到α = 2.3(2) mV °C-1</w:t>
      </w:r>
    </w:p>
    <w:p>
      <w:pPr>
        <w:spacing w:before="0" w:after="200" w:lineRule="auto" w:line="276"/>
      </w:pPr>
      <w:r>
        <w:rPr>
          <w:b/>
        </w:rPr>
        <w:t xml:space="preserve">Abstract (EN): </w:t>
      </w:r>
      <w:r>
        <w:t>We report a new design strategy for enhancing the temperature sensitivity of molecular redox potentials that is based on a redox-induced change in the metal coordination number facilitated by an external ligand. The Cu complex bis(2,9-dimethyl-1,10-phenanthroline)copper(II) binds coordinating ligands, including MeCN, whereas the CuI analog remains tetracoordinate. Upon introduction of a stronger donor, 4-tert-butylpyridine (tBu-py), the MeCN ligand is displaced while retaining penta- and tetracoordination at the CuII and CuI centers, respectively. Variable-temperature electrochemical analysis reveals the temperature sensitivity of the apparent half-wave potential (E1/2) of the CuII/CuI couple to increase from α = 1.70(6) mV °C-1 to α = 2.3(2) mV °C-1 upon addition of 15.0 equiv of tBu-py to the MeCN-bound CuII complex in MeCN solution. Similar analysis starting with the CuI complex affords α = 2.6(2) mV °C-1 in the presence of tBu-py, providing a record-high temperature sensitivity of E1/2 of the CuII/CuI couple in MeCN solution.</w:t>
      </w:r>
    </w:p>
    <w:p>
      <w:pPr>
        <w:spacing w:before="120" w:after="120"/>
      </w:pPr>
      <w:r>
        <w:rPr>
          <w:sz w:val="18"/>
        </w:rPr>
        <w:t>——————————————————————————————————————————————————————————————————————</w:t>
      </w:r>
    </w:p>
    <w:p>
      <w:pPr>
        <w:spacing w:before="160" w:after="40" w:line="240" w:lineRule="auto"/>
      </w:pPr>
      <w:r>
        <w:rPr>
          <w:b/>
        </w:rPr>
        <w:t xml:space="preserve">[249] </w:t>
      </w:r>
      <w:hyperlink r:id="rId670">
        <w:r>
          <w:rPr>
            <w:color w:val="1155CC"/>
            <w:u w:val="single"/>
          </w:rPr>
          <w:t>[ASAP] 通过高压合成和拓扑化学氢插层制备化学定义的Ln2H3–xN氮化物-氢化物</w:t>
        </w:r>
      </w:hyperlink>
    </w:p>
    <w:p>
      <w:pPr>
        <w:spacing w:before="0" w:after="80"/>
      </w:pPr>
      <w:r>
        <w:rPr>
          <w:i/>
          <w:sz w:val="20"/>
        </w:rPr>
        <w:t>EN: [ASAP] Chemically Defined Ln2H3–xN Nitride-Hydrides via High-Pressure Synthesis and Topochemical Hydrogen Intercalation</w:t>
      </w:r>
    </w:p>
    <w:p>
      <w:pPr>
        <w:spacing w:before="0" w:after="120"/>
      </w:pPr>
      <w:r>
        <w:rPr>
          <w:b/>
        </w:rPr>
        <w:t xml:space="preserve">Source: </w:t>
      </w:r>
      <w:r>
        <w:t>Journal of the American Chemical Society: Latest Articles (ACS Publications)</w:t>
      </w:r>
      <w:r>
        <w:t xml:space="preserve">    </w:t>
      </w:r>
      <w:r>
        <w:rPr>
          <w:b/>
        </w:rPr>
        <w:t xml:space="preserve">Pub date: </w:t>
      </w:r>
      <w:r>
        <w:t>2026-03-31 11:54:06+00:00</w:t>
      </w:r>
      <w:r>
        <w:t xml:space="preserve">    </w:t>
      </w:r>
      <w:r>
        <w:rPr>
          <w:b/>
        </w:rPr>
        <w:t xml:space="preserve">DOI: </w:t>
      </w:r>
      <w:hyperlink r:id="rId671">
        <w:r>
          <w:rPr>
            <w:color w:val="1155CC"/>
            <w:u w:val="single"/>
          </w:rPr>
          <w:t>10.1021/jacs.6c02443</w:t>
        </w:r>
      </w:hyperlink>
    </w:p>
    <w:p>
      <w:pPr>
        <w:spacing w:before="0" w:after="120"/>
      </w:pPr>
      <w:r>
        <w:rPr>
          <w:b/>
        </w:rPr>
        <w:t xml:space="preserve">Notes: </w:t>
      </w:r>
      <w:r>
        <w:t>abstract_source=pubmed</w:t>
      </w:r>
    </w:p>
    <w:p>
      <w:pPr>
        <w:spacing w:before="0" w:after="80" w:lineRule="auto" w:line="276"/>
      </w:pPr>
      <w:r>
        <w:rPr>
          <w:b/>
        </w:rPr>
        <w:t xml:space="preserve">摘要（ZH）: </w:t>
      </w:r>
      <w:r>
        <w:t>关于近环境超导性在阴离子过量萤石型氮掺杂氢化镥(LuH3-δNε)中的争议性主张重新引起了对混合阴离子氢化物作为新兴电子特性平台的兴趣，同时强调了需要具有明确结构和成分控制的系统。在此，我们报告了在5 GPa下合成的氮化镧氢化物La2H3-xN。该化合物结晶于层状阴离子有序的Ba2H3Cl型(P-3m1)结构，该结构通过H-被N3-的3:1替代从阴离子过量的萤石型LaH3衍生而来，伴随着紧密堆积的La子晶格的重构。该压力稳定相只能在贫氢条件下获得，导致固有的氢空位(约23%)，对应于La2</w:t>
      </w:r>
    </w:p>
    <w:p>
      <w:pPr>
        <w:spacing w:before="0" w:after="200" w:lineRule="auto" w:line="276"/>
      </w:pPr>
      <w:r>
        <w:rPr>
          <w:b/>
        </w:rPr>
        <w:t xml:space="preserve">Abstract (EN): </w:t>
      </w:r>
      <w:r>
        <w:t>The controversial claim of near-ambient superconductivity in anion-excess fluorite-type nitrogen-doped lutetium hydride (LuH3-δNε) has renewed interest in mixed-anion hydrides as platforms for emergent electronic properties, while highlighting the need for systems with well-defined structural and compositional control. Here, we report the high-pressure synthesis of lanthanum nitride-hydride La2H3-xN at 5 GPa. The compound crystallizes in a layered anion-ordered Ba2H3Cl-type (P-3m1) structure derived from anion-excess fluorite-type LaH3 via a 3:1 substitution of H- by N3-, accompanied by a reconstruction of the close-packed La sublattice. This pressure-stabilized phase can be accessed only under hydrogen-poor conditions, resulting in intrinsic hydrogen vacancies (∼23%), corresponding to La2H2.3N. These hydride vacancies can be further filled by a subsequent topochemical H- intercalation under H2 gas pressure after releasing the mechanical pressure, thereby driving a metal-semiconductor transition. This combination of high-pressure synthesis and post-synthetic topochemical intercalation provides a powerful yet underexplored route to access pressure-stabilized mixed-anion frameworks with precisely tunable anion stoichiometry. In addition, Nd and Gd analogues were synthesized at 8 GPa, and density functional theory calculations indicate that chemical pressure induced by lanthanide substitution systematically tunes the band structures from semiconducting to semimetallic regimes.</w:t>
      </w:r>
    </w:p>
    <w:p>
      <w:pPr>
        <w:spacing w:before="120" w:after="120"/>
      </w:pPr>
      <w:r>
        <w:rPr>
          <w:sz w:val="18"/>
        </w:rPr>
        <w:t>——————————————————————————————————————————————————————————————————————</w:t>
      </w:r>
    </w:p>
    <w:p>
      <w:pPr>
        <w:spacing w:before="160" w:after="40" w:line="240" w:lineRule="auto"/>
      </w:pPr>
      <w:r>
        <w:rPr>
          <w:b/>
        </w:rPr>
        <w:t xml:space="preserve">[250] </w:t>
      </w:r>
      <w:hyperlink r:id="rId672">
        <w:r>
          <w:rPr>
            <w:color w:val="1155CC"/>
            <w:u w:val="single"/>
          </w:rPr>
          <w:t>[ASAP] 掺入胆甾液晶中的非手性电子供体-受体分子引起的手性诱导自旋选择性</w:t>
        </w:r>
      </w:hyperlink>
    </w:p>
    <w:p>
      <w:pPr>
        <w:spacing w:before="0" w:after="80"/>
      </w:pPr>
      <w:r>
        <w:rPr>
          <w:i/>
          <w:sz w:val="20"/>
        </w:rPr>
        <w:t>EN: [ASAP] Chirality-Induced Spin Selectivity in an Achiral Electron Donor–Acceptor Molecule Doped into a Cholesteric Liquid Crystal</w:t>
      </w:r>
    </w:p>
    <w:p>
      <w:pPr>
        <w:spacing w:before="0" w:after="120"/>
      </w:pPr>
      <w:r>
        <w:rPr>
          <w:b/>
        </w:rPr>
        <w:t xml:space="preserve">Source: </w:t>
      </w:r>
      <w:r>
        <w:t>Journal of the American Chemical Society: Latest Articles (ACS Publications)</w:t>
      </w:r>
      <w:r>
        <w:t xml:space="preserve">    </w:t>
      </w:r>
      <w:r>
        <w:rPr>
          <w:b/>
        </w:rPr>
        <w:t xml:space="preserve">Pub date: </w:t>
      </w:r>
      <w:r>
        <w:t>2026-03-31 13:48:19+00:00</w:t>
      </w:r>
      <w:r>
        <w:t xml:space="preserve">    </w:t>
      </w:r>
      <w:r>
        <w:rPr>
          <w:b/>
        </w:rPr>
        <w:t xml:space="preserve">DOI: </w:t>
      </w:r>
      <w:hyperlink r:id="rId673">
        <w:r>
          <w:rPr>
            <w:color w:val="1155CC"/>
            <w:u w:val="single"/>
          </w:rPr>
          <w:t>10.1021/jacs.6c01757</w:t>
        </w:r>
      </w:hyperlink>
    </w:p>
    <w:p>
      <w:pPr>
        <w:spacing w:before="0" w:after="120"/>
      </w:pPr>
      <w:r>
        <w:rPr>
          <w:b/>
        </w:rPr>
        <w:t xml:space="preserve">Notes: </w:t>
      </w:r>
      <w:r>
        <w:t>abstract_source=pubmed</w:t>
      </w:r>
    </w:p>
    <w:p>
      <w:pPr>
        <w:spacing w:before="0" w:after="80" w:lineRule="auto" w:line="276"/>
      </w:pPr>
      <w:r>
        <w:rPr>
          <w:b/>
        </w:rPr>
        <w:t xml:space="preserve">摘要（ZH）: </w:t>
      </w:r>
      <w:r>
        <w:t>手性诱导的自旋选择性（CISS）能够控制用于量子信息科学（QIS）应用的自由基对自旋动力学。在这项研究中，我们展示了这种控制可以通过超分子手性转移实现，而不是依赖于用于生成自由基对的分子的内在分子手性。我们研究了将非手性供体-桥-受体（D-B-A）分子掺入胆甾液晶中如何影响通过光引发的亚纳秒两步电荷分离形成的自旋相关自由基对（D•+-B-A•-，SCRP）的自旋动力学，其中D = p-甲氧基苯胺（MeOAn），B = 4-(N-哌啶基)萘-1,8-二甲酰亚胺（ANI），A = 萘-1,8:4,5-双(二甲酰亚胺)（NDI），化合物1。4-氰基胆甾相的</w:t>
      </w:r>
    </w:p>
    <w:p>
      <w:pPr>
        <w:spacing w:before="0" w:after="200" w:lineRule="auto" w:line="276"/>
      </w:pPr>
      <w:r>
        <w:rPr>
          <w:b/>
        </w:rPr>
        <w:t xml:space="preserve">Abstract (EN): </w:t>
      </w:r>
      <w:r>
        <w:t>Chirality-induced spin selectivity (CISS) enables control over radical pair spin dynamics for applications in quantum information science (QIS). In this study, we show that this control can be achieved through supramolecular chirality transfer, rather than relying on the intrinsic molecular chirality of the molecule used to generate the radical pair. We investigate how doping an achiral donor-bridge-acceptor (D-B-A) molecule into a cholesteric liquid crystal affects the spin dynamics of a spin-correlated radical pair (D•+-B-A•-, SCRP) formed by photoinitiated, subnanosecond, two-step charge separation, where D = p-methoxyaniline (MeOAn), B = 4-(N-piperidinyl)naphthalene-1,8-dicarboximide (ANI), and A = naphthalene-1,8:4,5-bis(dicarboximide) (NDI), compound 1. The cholesteric phase of 4-cyano-4'-n-pentylbiphenyl (5CB) was prepared by the addition of the chiral dopant (R)-2-octyl 4-[4-(hexyloxy)benzoyloxy]benzoate (R811) or its enantiomer (S811). Compound 1 was then doped into these mixtures to form (1/5CB/R811) and (1/5CB/S811). Circular dichroism spectra indicate that chirality transfer occurs from the chiral medium to 1. Time-resolved electron paramagnetic resonance spectroscopy at 85 K was used to observe the SCRP resulting from photoexcitation of B in 1 aligned in 5CB/R811 and 5CB/S811, as well as in 5CB lacking the chiral dopant. The resulting spectra reveal distinct line shape changes indicative of a strong CISS contribution (&gt;83%) to the spin dynamics of D•+-B-A•- formation in the cholesteric phase of 5CB/R811 and 5CB/S811. These results demonstrate that CISS can be effectively induced by supramolecular chirality transfer in SCRPs that lack intrinsic molecular chirality; thus expanding the potential use of CISS for QIS applications.</w:t>
      </w:r>
    </w:p>
    <w:p>
      <w:pPr>
        <w:spacing w:before="120" w:after="120"/>
      </w:pPr>
      <w:r>
        <w:rPr>
          <w:sz w:val="18"/>
        </w:rPr>
        <w:t>——————————————————————————————————————————————————————————————————————</w:t>
      </w:r>
    </w:p>
    <w:p>
      <w:pPr>
        <w:spacing w:before="160" w:after="40" w:line="240" w:lineRule="auto"/>
      </w:pPr>
      <w:r>
        <w:rPr>
          <w:b/>
        </w:rPr>
        <w:t xml:space="preserve">[251] </w:t>
      </w:r>
      <w:hyperlink r:id="rId674">
        <w:r>
          <w:rPr>
            <w:color w:val="1155CC"/>
            <w:u w:val="single"/>
          </w:rPr>
          <w:t>[ASAP] 胶体自组装策略的进展</w:t>
        </w:r>
      </w:hyperlink>
    </w:p>
    <w:p>
      <w:pPr>
        <w:spacing w:before="0" w:after="80"/>
      </w:pPr>
      <w:r>
        <w:rPr>
          <w:i/>
          <w:sz w:val="20"/>
        </w:rPr>
        <w:t>EN: [ASAP] Advances in Strategies for Colloidal Self-Assembly</w:t>
      </w:r>
    </w:p>
    <w:p>
      <w:pPr>
        <w:spacing w:before="0" w:after="120"/>
      </w:pPr>
      <w:r>
        <w:rPr>
          <w:b/>
        </w:rPr>
        <w:t xml:space="preserve">Source: </w:t>
      </w:r>
      <w:r>
        <w:t>Chemical Reviews: Latest Articles (ACS Publications)</w:t>
      </w:r>
      <w:r>
        <w:t xml:space="preserve">    </w:t>
      </w:r>
      <w:r>
        <w:rPr>
          <w:b/>
        </w:rPr>
        <w:t xml:space="preserve">Pub date: </w:t>
      </w:r>
      <w:r>
        <w:t>2026-03-31 14:09:24+00:00</w:t>
      </w:r>
      <w:r>
        <w:t xml:space="preserve">    </w:t>
      </w:r>
      <w:r>
        <w:rPr>
          <w:b/>
        </w:rPr>
        <w:t xml:space="preserve">DOI: </w:t>
      </w:r>
      <w:hyperlink r:id="rId675">
        <w:r>
          <w:rPr>
            <w:color w:val="1155CC"/>
            <w:u w:val="single"/>
          </w:rPr>
          <w:t>10.1021/acs.chemrev.5c00692</w:t>
        </w:r>
      </w:hyperlink>
    </w:p>
    <w:p>
      <w:pPr>
        <w:spacing w:before="0" w:after="120"/>
      </w:pPr>
      <w:r>
        <w:rPr>
          <w:b/>
        </w:rPr>
        <w:t xml:space="preserve">Notes: </w:t>
      </w:r>
      <w:r>
        <w:t>abstract_source=pubmed</w:t>
      </w:r>
    </w:p>
    <w:p>
      <w:pPr>
        <w:spacing w:before="0" w:after="80" w:lineRule="auto" w:line="276"/>
      </w:pPr>
      <w:r>
        <w:rPr>
          <w:b/>
        </w:rPr>
        <w:t xml:space="preserve">摘要（ZH）: </w:t>
      </w:r>
      <w:r>
        <w:t>胶体自组装将微/纳米级构建块组织成具有周期性、准周期性或无序结构的大型物体。获得的实体可以通过智能构建块和基质进行功能化，以及结构的纳米级对称性、取向、相位和尺寸。胶体自组装的各种功能化承诺其在许多领域的应用，如能源、微型机器人、生物医学和通信。鉴于其重要性，胶体自组装的基础方法需要系统地分析。本综述旨在全面总结胶体自组装技术的进展。对于每种策略，我们讨论了所得的胶体结构、优点和局限性。</w:t>
      </w:r>
    </w:p>
    <w:p>
      <w:pPr>
        <w:spacing w:before="0" w:after="200" w:lineRule="auto" w:line="276"/>
      </w:pPr>
      <w:r>
        <w:rPr>
          <w:b/>
        </w:rPr>
        <w:t xml:space="preserve">Abstract (EN): </w:t>
      </w:r>
      <w:r>
        <w:t>The colloidal self-assembly organizes micro/nano-sized building blocks into large objects with periodic, quasi-periodic, or disordered structures. The obtained entities are functionalizable with smart building blocks and matrices, as well as the nanoscale symmetry, orientation, phase, and dimension of the structures. Various functionalizations of colloidal self-assemblies promise their applications in many areas, such as energy, microrobots, biomedicine, and communications. Given the importance, the methodology underlying colloidal self-assembly is highly required to be systematically analyzed. This review aims to comprehensively summarize advances in the techniques of colloidal self-assembly. For each strategy, we discuss the resultant colloidal structures, advantages, and limitations. The benefits of the new assemblies over the existing ones are also highlighted. Diverse driving forces and general characterization approaches are briefly introduced to help readers understand the self-assembly techniques. The review concludes with a summary of the challenges in colloidal self-assembly and a perspective on further advances in this field.</w:t>
      </w:r>
    </w:p>
    <w:p>
      <w:pPr>
        <w:spacing w:before="120" w:after="120"/>
      </w:pPr>
      <w:r>
        <w:rPr>
          <w:sz w:val="18"/>
        </w:rPr>
        <w:t>——————————————————————————————————————————————————————————————————————</w:t>
      </w:r>
    </w:p>
    <w:p>
      <w:pPr>
        <w:spacing w:before="160" w:after="40" w:line="240" w:lineRule="auto"/>
      </w:pPr>
      <w:r>
        <w:rPr>
          <w:b/>
        </w:rPr>
        <w:t xml:space="preserve">[252] </w:t>
      </w:r>
      <w:hyperlink r:id="rId676">
        <w:r>
          <w:rPr>
            <w:color w:val="1155CC"/>
            <w:u w:val="single"/>
          </w:rPr>
          <w:t>[ASAP] 通过布朗斯特酸解锁银电极上的界面催化卤素原子转移</w:t>
        </w:r>
      </w:hyperlink>
    </w:p>
    <w:p>
      <w:pPr>
        <w:spacing w:before="0" w:after="80"/>
      </w:pPr>
      <w:r>
        <w:rPr>
          <w:i/>
          <w:sz w:val="20"/>
        </w:rPr>
        <w:t>EN: [ASAP] Unlocking Interfacial Catalytic Halogen Atom Transfer at Ag Electrodes with Brønsted Acids</w:t>
      </w:r>
    </w:p>
    <w:p>
      <w:pPr>
        <w:spacing w:before="0" w:after="120"/>
      </w:pPr>
      <w:r>
        <w:rPr>
          <w:b/>
        </w:rPr>
        <w:t xml:space="preserve">Source: </w:t>
      </w:r>
      <w:r>
        <w:t>Journal of the American Chemical Society: Latest Articles (ACS Publications)</w:t>
      </w:r>
      <w:r>
        <w:t xml:space="preserve">    </w:t>
      </w:r>
      <w:r>
        <w:rPr>
          <w:b/>
        </w:rPr>
        <w:t xml:space="preserve">Pub date: </w:t>
      </w:r>
      <w:r>
        <w:t>2026-03-31 14:21:36+00:00</w:t>
      </w:r>
      <w:r>
        <w:t xml:space="preserve">    </w:t>
      </w:r>
      <w:r>
        <w:rPr>
          <w:b/>
        </w:rPr>
        <w:t xml:space="preserve">DOI: </w:t>
      </w:r>
      <w:hyperlink r:id="rId677">
        <w:r>
          <w:rPr>
            <w:color w:val="1155CC"/>
            <w:u w:val="single"/>
          </w:rPr>
          <w:t>10.1021/jacs.5c22765</w:t>
        </w:r>
      </w:hyperlink>
    </w:p>
    <w:p>
      <w:pPr>
        <w:spacing w:before="0" w:after="120"/>
      </w:pPr>
      <w:r>
        <w:rPr>
          <w:b/>
        </w:rPr>
        <w:t xml:space="preserve">Notes: </w:t>
      </w:r>
      <w:r>
        <w:t>abstract_source=pubmed</w:t>
      </w:r>
    </w:p>
    <w:p>
      <w:pPr>
        <w:spacing w:before="0" w:after="80" w:lineRule="auto" w:line="276"/>
      </w:pPr>
      <w:r>
        <w:rPr>
          <w:b/>
        </w:rPr>
        <w:t xml:space="preserve">摘要（ZH）: </w:t>
      </w:r>
      <w:r>
        <w:t>卤素原子转移使得从可获得的C(sp3)有机卤化物中温和且可编程地获得碳中心自由基用于合成化学。利用可重复使用的异质电催化剂解锁这一基本的机制步骤需要策略来识别和分子调节复杂电化界面上的界面卤素原子转移。在此，我们揭示了Brønsted酸在接近热力学电位的催化Ag电极上解锁未活化烷基溴化物的界面卤素原子转移。在没有Brønsted酸的情况下，电化学和原位光谱数据与卤素在单次周转时钝化Ag表面一致，需要近1.1 V的过电位来激活会侵蚀功能的亲电体。</w:t>
      </w:r>
    </w:p>
    <w:p>
      <w:pPr>
        <w:spacing w:before="0" w:after="200" w:lineRule="auto" w:line="276"/>
      </w:pPr>
      <w:r>
        <w:rPr>
          <w:b/>
        </w:rPr>
        <w:t xml:space="preserve">Abstract (EN): </w:t>
      </w:r>
      <w:r>
        <w:t>Halogen atom transfer enables mild and programmable access to carbon-centered radicals from accessible C(sp3) organic halides for synthetic chemistry. Unlocking this fundamental mechanistic step with reusable heterogeneous electrocatalysts requires strategies to identify and molecularly tune interfacial halogen atom transfer at complex electrified interfaces. Here, we reveal that Brønsted acids unlock interfacial halogen-atom transfer of unactivated alkyl bromides at catalytic Ag electrodes near the thermodynamic potential. In the absence of Brønsted acids, electrochemical and in situ spectroscopic data are consistent with the passivation of Ag surfaces by the halogen upon a single turnover, requiring an overpotential of nearly 1.1 V to activate the electrophile that would erode functional-group tolerance. The addition of acids promotes halogen atom transfer by 1.1 V, enabling access to primary carbon-centered radicals under mild conditions. This promotion effect is unique to catalytic Ag electrode surfaces and general across structurally diverse acids, provided that their pKa falls below a specific threshold. By demonstrating C(sp3)-C(sp3) bond formation, we show that Brønsted acids enable interfacial halogen atom transfer at reusable catalytic electrodes for electroorganic synthesis.</w:t>
      </w:r>
    </w:p>
    <w:p>
      <w:pPr>
        <w:spacing w:before="120" w:after="120"/>
      </w:pPr>
      <w:r>
        <w:rPr>
          <w:sz w:val="18"/>
        </w:rPr>
        <w:t>——————————————————————————————————————————————————————————————————————</w:t>
      </w:r>
    </w:p>
    <w:p>
      <w:pPr>
        <w:spacing w:before="160" w:after="40" w:line="240" w:lineRule="auto"/>
      </w:pPr>
      <w:r>
        <w:rPr>
          <w:b/>
        </w:rPr>
        <w:t xml:space="preserve">[253] </w:t>
      </w:r>
      <w:hyperlink r:id="rId678">
        <w:r>
          <w:rPr>
            <w:color w:val="1155CC"/>
            <w:u w:val="single"/>
          </w:rPr>
          <w:t>[ASAP] 多级胶束的同步组装用于高效催化剂的构建</w:t>
        </w:r>
      </w:hyperlink>
    </w:p>
    <w:p>
      <w:pPr>
        <w:spacing w:before="0" w:after="80"/>
      </w:pPr>
      <w:r>
        <w:rPr>
          <w:i/>
          <w:sz w:val="20"/>
        </w:rPr>
        <w:t>EN: [ASAP] Synchronic Assembly of Multilevel Micelles for Construction of Efficient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2026-03-31 15:18:55+00:00</w:t>
      </w:r>
      <w:r>
        <w:t xml:space="preserve">    </w:t>
      </w:r>
      <w:r>
        <w:rPr>
          <w:b/>
        </w:rPr>
        <w:t xml:space="preserve">DOI: </w:t>
      </w:r>
      <w:hyperlink r:id="rId679">
        <w:r>
          <w:rPr>
            <w:color w:val="1155CC"/>
            <w:u w:val="single"/>
          </w:rPr>
          <w:t>10.1021/jacs.6c01122</w:t>
        </w:r>
      </w:hyperlink>
    </w:p>
    <w:p>
      <w:pPr>
        <w:spacing w:before="0" w:after="120"/>
      </w:pPr>
      <w:r>
        <w:rPr>
          <w:b/>
        </w:rPr>
        <w:t xml:space="preserve">Notes: </w:t>
      </w:r>
      <w:r>
        <w:t>abstract_source=pubmed</w:t>
      </w:r>
    </w:p>
    <w:p>
      <w:pPr>
        <w:spacing w:before="0" w:after="80" w:lineRule="auto" w:line="276"/>
      </w:pPr>
      <w:r>
        <w:rPr>
          <w:b/>
        </w:rPr>
        <w:t xml:space="preserve">摘要（ZH）: </w:t>
      </w:r>
      <w:r>
        <w:t>金属-载体界面是催化反应的关键活性位点。设计同时具有高界面密度、优越活性和稳健稳定性的催化剂是提高整体性能的核心挑战。在此，我们报告了一种创新的多级胶束同步组装，其中小的金属-乙酰丙酮胶束自发地在较大三嵌段共聚物胶束的两亲界面上组装。随后的结晶和煅烧半固定多种金属纳米颗粒（MNPs）在所得有序介孔晶体的墙壁内，从而实现最大化的界面密度和结构稳健性。构建的代表性界面，如Cu(I)-O-Ti和Pd@Cu-O-Ti，展示了增强的</w:t>
      </w:r>
    </w:p>
    <w:p>
      <w:pPr>
        <w:spacing w:before="0" w:after="200" w:lineRule="auto" w:line="276"/>
      </w:pPr>
      <w:r>
        <w:rPr>
          <w:b/>
        </w:rPr>
        <w:t xml:space="preserve">Abstract (EN): </w:t>
      </w:r>
      <w:r>
        <w:t>Metal-support interfaces serve as the key active sites for catalytic reactions. The design of catalysts that simultaneously possess high interfacial density, superior activity, and robust stability represents a central challenge in enhancing the overall performance. Herein, we report an innovative synchronic assembly of multilevel micelles, where small metal-acetylacetonate micelles spontaneously assemble at the amphiphilic interfaces of larger triblock copolymer micelles. Subsequent crystallization and calcination semi-fix diverse metal nanoparticles (MNPs) within the walls of the resulting ordered mesoporous crystals, thereby achieving maximized interfacial density and structural robustness. The constructed representative interfaces, such as Cu(I)-O-Ti and Pd@Cu-O-Ti, demonstrated an enhanced oxygen activation capacity, which drove their exceptional catalytic oxidation performance and surpassed nearly all existing benchmarks. Synchronic assembly of multilevel micelles offers a bottom-up strategy to simultaneously control MNP properties, mesostructural ordering, and interface formation, enabling the precise design of high-performance catalysts and providing new insights for rational cross-scale and cross-dimensional interface engineering.</w:t>
      </w:r>
    </w:p>
    <w:p>
      <w:pPr>
        <w:spacing w:before="120" w:after="120"/>
      </w:pPr>
      <w:r>
        <w:rPr>
          <w:sz w:val="18"/>
        </w:rPr>
        <w:t>——————————————————————————————————————————————————————————————————————</w:t>
      </w:r>
    </w:p>
    <w:p>
      <w:pPr>
        <w:spacing w:before="160" w:after="40" w:line="240" w:lineRule="auto"/>
      </w:pPr>
      <w:r>
        <w:rPr>
          <w:b/>
        </w:rPr>
        <w:t xml:space="preserve">[254] </w:t>
      </w:r>
      <w:hyperlink r:id="rId680">
        <w:r>
          <w:rPr>
            <w:color w:val="1155CC"/>
            <w:u w:val="single"/>
          </w:rPr>
          <w:t>[ASAP] 通过烷氧羰基氧自由基的氢原子转移介导的光诱导脂肪族C–H胺化及其在肽中脯氨酸残基的非对映选择性修饰中的应用</w:t>
        </w:r>
      </w:hyperlink>
    </w:p>
    <w:p>
      <w:pPr>
        <w:spacing w:before="0" w:after="80"/>
      </w:pPr>
      <w:r>
        <w:rPr>
          <w:i/>
          <w:sz w:val="20"/>
        </w:rPr>
        <w:t>EN: [ASAP] Photo-Induced Aliphatic C–H Amination Mediated by Hydrogen Atom Transfer of an Alkoxycarbonyloxyl Radical and Its Utilization for Diastereoselective Modification of Proline Residues in Peptides</w:t>
      </w:r>
    </w:p>
    <w:p>
      <w:pPr>
        <w:spacing w:before="0" w:after="120"/>
      </w:pPr>
      <w:r>
        <w:rPr>
          <w:b/>
        </w:rPr>
        <w:t xml:space="preserve">Source: </w:t>
      </w:r>
      <w:r>
        <w:t>Journal of the American Chemical Society: Latest Articles (ACS Publications)</w:t>
      </w:r>
      <w:r>
        <w:t xml:space="preserve">    </w:t>
      </w:r>
      <w:r>
        <w:rPr>
          <w:b/>
        </w:rPr>
        <w:t xml:space="preserve">Pub date: </w:t>
      </w:r>
      <w:r>
        <w:t>2026-03-31 16:02:49+00:00</w:t>
      </w:r>
      <w:r>
        <w:t xml:space="preserve">    </w:t>
      </w:r>
      <w:r>
        <w:rPr>
          <w:b/>
        </w:rPr>
        <w:t xml:space="preserve">DOI: </w:t>
      </w:r>
      <w:hyperlink r:id="rId681">
        <w:r>
          <w:rPr>
            <w:color w:val="1155CC"/>
            <w:u w:val="single"/>
          </w:rPr>
          <w:t>10.1021/jacs.6c03204</w:t>
        </w:r>
      </w:hyperlink>
    </w:p>
    <w:p>
      <w:pPr>
        <w:spacing w:before="0" w:after="120"/>
      </w:pPr>
      <w:r>
        <w:rPr>
          <w:b/>
        </w:rPr>
        <w:t xml:space="preserve">Notes: </w:t>
      </w:r>
      <w:r>
        <w:t>abstract_source=pubmed</w:t>
      </w:r>
    </w:p>
    <w:p>
      <w:pPr>
        <w:spacing w:before="0" w:after="80" w:lineRule="auto" w:line="276"/>
      </w:pPr>
      <w:r>
        <w:rPr>
          <w:b/>
        </w:rPr>
        <w:t xml:space="preserve">摘要（ZH）: </w:t>
      </w:r>
      <w:r>
        <w:t>一种无金属和添加剂的光敏化C(sp3)-H胺化反应已通过新开发的肟碳酸酯作为亚胺化试剂实现。光诱导能量转移催化使含腈肟碳酸酯的均裂成为可能，这不仅提供了能够通过氢原子转移（HAT）切断强C-H键的活性烷氧羰基氧自由基物种，还提供了合适的持久亚胺自由基。C-N键最终可以通过亚胺自由基与通过HAT形成的碳自由基的交叉偶联，或与含腈肟碳酸酯的自由基链传播构建。含腈胺化基团可以轻松转化为如酰胺、α-腈胺、伯胺和吡咯等片段。广泛的功能</w:t>
      </w:r>
    </w:p>
    <w:p>
      <w:pPr>
        <w:spacing w:before="0" w:after="200" w:lineRule="auto" w:line="276"/>
      </w:pPr>
      <w:r>
        <w:rPr>
          <w:b/>
        </w:rPr>
        <w:t xml:space="preserve">Abstract (EN): </w:t>
      </w:r>
      <w:r>
        <w:t>A metal- and additive-free photosensitized C(sp3)-H amination reaction has been achieved capitalizing on newly developed oxime carbonates as the iminylation reagents. Photoinduced energy transfer catalysis enables the homolysis of nitrile-containing oxime carbonates, which afford not only reactive alkoxycarbonyloxyl radical species capable of cleaving strong C-H bonds via hydrogen atom transfer (HAT) but also suitable persistent iminyl radicals. The C-N bonds can eventually be constructed via cross-coupling of an iminyl radical and a carbon radical formed upon HAT, or a radical chain propagation with nitrile-containing oxime carbonates. The nitrile-bearing amination moiety is readily converted to fragments such as amide, α-nitrile amine, primary amine, and pyrrole. A wide range of functional groups can be compatible in this transformation that is feasible for late-stage amination of bioactive compounds. Various aliphatic amines participated in this reaction as limiting reagents, selectively forging C-N bonds at α-C(sp3)-H sites. By employing proline-containing C-H substrates, the protocol is amenable to precise manipulation of peptide skeletons through a diastereoselective process.</w:t>
      </w:r>
    </w:p>
    <w:p>
      <w:pPr>
        <w:spacing w:before="120" w:after="120"/>
      </w:pPr>
      <w:r>
        <w:rPr>
          <w:sz w:val="18"/>
        </w:rPr>
        <w:t>——————————————————————————————————————————————————————————————————————</w:t>
      </w:r>
    </w:p>
    <w:p>
      <w:pPr>
        <w:spacing w:before="160" w:after="40" w:line="240" w:lineRule="auto"/>
      </w:pPr>
      <w:r>
        <w:rPr>
          <w:b/>
        </w:rPr>
        <w:t xml:space="preserve">[255] </w:t>
      </w:r>
      <w:hyperlink r:id="rId682">
        <w:r>
          <w:rPr>
            <w:color w:val="1155CC"/>
            <w:u w:val="single"/>
          </w:rPr>
          <w:t>[ASAP] 宽带隙钙钛矿的同步界面和晶体工程用于高效钙钛矿/硅串联太阳能电池</w:t>
        </w:r>
      </w:hyperlink>
    </w:p>
    <w:p>
      <w:pPr>
        <w:spacing w:before="0" w:after="80"/>
      </w:pPr>
      <w:r>
        <w:rPr>
          <w:i/>
          <w:sz w:val="20"/>
        </w:rPr>
        <w:t>EN: [ASAP] Synchronous Interfacial and Crystallographic Engineering of Wide-Bandgap Perovskites for Efficient Perovskite/Silicon Tandem Solar Cells</w:t>
      </w:r>
    </w:p>
    <w:p>
      <w:pPr>
        <w:spacing w:before="0" w:after="120"/>
      </w:pPr>
      <w:r>
        <w:rPr>
          <w:b/>
        </w:rPr>
        <w:t xml:space="preserve">Source: </w:t>
      </w:r>
      <w:r>
        <w:t>ACS Energy Letters: Latest Articles (ACS Publications)</w:t>
      </w:r>
      <w:r>
        <w:t xml:space="preserve">    </w:t>
      </w:r>
      <w:r>
        <w:rPr>
          <w:b/>
        </w:rPr>
        <w:t xml:space="preserve">Pub date: </w:t>
      </w:r>
      <w:r>
        <w:t>2026-03-31 16:53:47+00:00</w:t>
      </w:r>
      <w:r>
        <w:t xml:space="preserve">    </w:t>
      </w:r>
      <w:r>
        <w:rPr>
          <w:b/>
        </w:rPr>
        <w:t xml:space="preserve">DOI: </w:t>
      </w:r>
      <w:hyperlink r:id="rId683">
        <w:r>
          <w:rPr>
            <w:color w:val="1155CC"/>
            <w:u w:val="single"/>
          </w:rPr>
          <w:t>10.1021/acsenergylett.6c00166</w:t>
        </w:r>
      </w:hyperlink>
    </w:p>
    <w:p>
      <w:pPr>
        <w:spacing w:before="0" w:after="120"/>
      </w:pPr>
      <w:r>
        <w:rPr>
          <w:b/>
        </w:rPr>
        <w:t xml:space="preserve">Notes: </w:t>
      </w:r>
      <w:r>
        <w:t>abstract_source=openalex</w:t>
      </w:r>
    </w:p>
    <w:p>
      <w:pPr>
        <w:spacing w:before="0" w:after="80" w:lineRule="auto" w:line="276"/>
      </w:pPr>
      <w:r>
        <w:rPr>
          <w:b/>
        </w:rPr>
        <w:t xml:space="preserve">摘要（ZH）: </w:t>
      </w:r>
      <w:r>
        <w:t>与自组装分子（SAM）空穴选择层的充分界面接触对于实现最佳宽带隙（WBG）（1.68 eV）钙钛矿太阳能电池（PSCs）和高效叠层光伏至关重要。在此，我们报告了一种新型多功能分子TMTEA，其特点是含有三唑芳环和末端季铵基团，以实现高分子偶极矩和强界面化学相互作用。引入TMTEA协同优化了基底上的SAM排列，导致表面光滑均匀，能级对齐得到调整，并增强了电荷提取。同时，TMTEA诱导了优先取向的钙钛矿结晶，并有效钝化了体缺陷。因此，TMTEA修饰的WBG</w:t>
      </w:r>
    </w:p>
    <w:p>
      <w:pPr>
        <w:spacing w:before="0" w:after="200" w:lineRule="auto" w:line="276"/>
      </w:pPr>
      <w:r>
        <w:rPr>
          <w:b/>
        </w:rPr>
        <w:t xml:space="preserve">Abstract (EN): </w:t>
      </w:r>
      <w:r>
        <w:t>Sufficient interfacial contact with a self-assembled molecule (SAM) hole-selective layer is critical for achieving optimal wide-bandgap (WBG) (1.68 eV) perovskite solar cells (PSCs) and high-efficiency tandem photovoltaics. Herein, we report a novel multifunctional molecule, TMTEA, featuring a triazole aromatic ring and terminal quaternary ammonium moiety to implement a high molecular dipole moment and strong interfacial chemical interactions. The introduction of TMTEA synergistically optimizes SAM packing on the substrate, resulting in a smooth and homogeneous surface, tailored energy-level alignment, and enhanced charge extraction. Simultaneously, TMTEA induces preferentially oriented perovskite crystallization and effectively passivates bulk defects. As a result, the TMTEA-modified WBG PSCs deliver a champion power conversion efficiency (PCE) of 23.93% with a markedly improved device stability. Furthermore, when integrated into monolithic perovskite/silicon tandem solar cells, the strategy enables a promising efficiency of 32.15%.</w:t>
      </w:r>
    </w:p>
    <w:p>
      <w:pPr>
        <w:spacing w:before="120" w:after="120"/>
      </w:pPr>
      <w:r>
        <w:rPr>
          <w:sz w:val="18"/>
        </w:rPr>
        <w:t>——————————————————————————————————————————————————————————————————————</w:t>
      </w:r>
    </w:p>
    <w:p>
      <w:pPr>
        <w:spacing w:before="160" w:after="40" w:line="240" w:lineRule="auto"/>
      </w:pPr>
      <w:r>
        <w:rPr>
          <w:b/>
        </w:rPr>
        <w:t xml:space="preserve">[256] </w:t>
      </w:r>
      <w:hyperlink r:id="rId684">
        <w:r>
          <w:rPr>
            <w:color w:val="1155CC"/>
            <w:u w:val="single"/>
          </w:rPr>
          <w:t>[ASAP] 电解质引导的选择性解锁电化学烯烃官能化中的路径控制</w:t>
        </w:r>
      </w:hyperlink>
    </w:p>
    <w:p>
      <w:pPr>
        <w:spacing w:before="0" w:after="80"/>
      </w:pPr>
      <w:r>
        <w:rPr>
          <w:i/>
          <w:sz w:val="20"/>
        </w:rPr>
        <w:t>EN: [ASAP] Electrolyte-Guided Selectivity Unlocks Pathway Control in Electrochemical Olefin Functionalization</w:t>
      </w:r>
    </w:p>
    <w:p>
      <w:pPr>
        <w:spacing w:before="0" w:after="120"/>
      </w:pPr>
      <w:r>
        <w:rPr>
          <w:b/>
        </w:rPr>
        <w:t xml:space="preserve">Source: </w:t>
      </w:r>
      <w:r>
        <w:t>Journal of the American Chemical Society: Latest Articles (ACS Publications)</w:t>
      </w:r>
      <w:r>
        <w:t xml:space="preserve">    </w:t>
      </w:r>
      <w:r>
        <w:rPr>
          <w:b/>
        </w:rPr>
        <w:t xml:space="preserve">Pub date: </w:t>
      </w:r>
      <w:r>
        <w:t>2026-03-31 17:31:34+00:00</w:t>
      </w:r>
      <w:r>
        <w:t xml:space="preserve">    </w:t>
      </w:r>
      <w:r>
        <w:rPr>
          <w:b/>
        </w:rPr>
        <w:t xml:space="preserve">DOI: </w:t>
      </w:r>
      <w:hyperlink r:id="rId685">
        <w:r>
          <w:rPr>
            <w:color w:val="1155CC"/>
            <w:u w:val="single"/>
          </w:rPr>
          <w:t>10.1021/jacs.5c20366</w:t>
        </w:r>
      </w:hyperlink>
    </w:p>
    <w:p>
      <w:pPr>
        <w:spacing w:before="0" w:after="120"/>
      </w:pPr>
      <w:r>
        <w:rPr>
          <w:b/>
        </w:rPr>
        <w:t xml:space="preserve">Notes: </w:t>
      </w:r>
      <w:r>
        <w:t>abstract_source=pubmed</w:t>
      </w:r>
    </w:p>
    <w:p>
      <w:pPr>
        <w:spacing w:before="0" w:after="80" w:lineRule="auto" w:line="276"/>
      </w:pPr>
      <w:r>
        <w:rPr>
          <w:b/>
        </w:rPr>
        <w:t xml:space="preserve">摘要（ZH）: </w:t>
      </w:r>
      <w:r>
        <w:t>有机电合成提供了一种直接的、电力驱动的策略，以更可持续和创新的方式构建复杂的分子结构。然而，即使电化学提供了精确的氧化还原控制，引导高度活性的中间体沿单一生产性途径仍然是一个核心挑战，特别是在多种机制通道可用的情况下。在此，我们展示了支持电解质的身份决定了电还原烯烃偶联的选择性，将转化引导至专门线性或专门支链产物。自由基探针、CV、SEM、ssNMR、EPR和DFT阐明了这些不同的途径。铵盐保留了苯乙烯自由基阴离子的末端自旋偏置，促进了</w:t>
      </w:r>
    </w:p>
    <w:p>
      <w:pPr>
        <w:spacing w:before="0" w:after="200" w:lineRule="auto" w:line="276"/>
      </w:pPr>
      <w:r>
        <w:rPr>
          <w:b/>
        </w:rPr>
        <w:t xml:space="preserve">Abstract (EN): </w:t>
      </w:r>
      <w:r>
        <w:t>Organic electrosynthesis offers a direct, electricity-driven strategy for constructing complex molecular structures in a more sustainable and innovative manner. However, even with the precise redox control that electrochemistry affords, steering highly reactive intermediates along a single productive pathway remains a central challenge, particularly when multiple mechanistic manifolds are accessible. Herein, we demonstrate that the identity of the supporting electrolyte dictates the selectivity of electro-reductive olefin coupling, directing the transformation toward either exclusively linear or exclusively branched products. Radical probes, CV, SEM, ssNMR, EPR, and DFT clarify these distinct pathways. Ammonium salts preserve the terminal spin bias of the styrene radical anion, promoting solution-phase radical addition for linear products. Lithium salts instead form a Li-rich interphase that drives benzylic spin localization and channels surface-confined radical coupling to yield branched products. This platform streamlines access to pharmaceutical-relevant scaffolds and reveals previously underexplored polar hydrofunctionalization of conjugated olefins. These findings establish electrolyte-controlled interfacial organization as a powerful lever to control product selectivity in organic electrosynthesis.</w:t>
      </w:r>
    </w:p>
    <w:p>
      <w:pPr>
        <w:spacing w:before="120" w:after="120"/>
      </w:pPr>
      <w:r>
        <w:rPr>
          <w:sz w:val="18"/>
        </w:rPr>
        <w:t>——————————————————————————————————————————————————————————————————————</w:t>
      </w:r>
    </w:p>
    <w:p>
      <w:pPr>
        <w:spacing w:before="160" w:after="40" w:line="240" w:lineRule="auto"/>
      </w:pPr>
      <w:r>
        <w:rPr>
          <w:b/>
        </w:rPr>
        <w:t xml:space="preserve">[257] </w:t>
      </w:r>
      <w:hyperlink r:id="rId686">
        <w:r>
          <w:rPr>
            <w:color w:val="1155CC"/>
            <w:u w:val="single"/>
          </w:rPr>
          <w:t>[ASAP] 使用胺反转策略从烷基取代烯烃合成三级烷基胺</w:t>
        </w:r>
      </w:hyperlink>
    </w:p>
    <w:p>
      <w:pPr>
        <w:spacing w:before="0" w:after="80"/>
      </w:pPr>
      <w:r>
        <w:rPr>
          <w:i/>
          <w:sz w:val="20"/>
        </w:rPr>
        <w:t>EN: [ASAP] The Synthesis of Tertiary Alkylamines from Alkyl-Substituted Alkenes Using Amine Umpolung Strategy</w:t>
      </w:r>
    </w:p>
    <w:p>
      <w:pPr>
        <w:spacing w:before="0" w:after="120"/>
      </w:pPr>
      <w:r>
        <w:rPr>
          <w:b/>
        </w:rPr>
        <w:t xml:space="preserve">Source: </w:t>
      </w:r>
      <w:r>
        <w:t>Journal of the American Chemical Society: Latest Articles (ACS Publications)</w:t>
      </w:r>
      <w:r>
        <w:t xml:space="preserve">    </w:t>
      </w:r>
      <w:r>
        <w:rPr>
          <w:b/>
        </w:rPr>
        <w:t xml:space="preserve">Pub date: </w:t>
      </w:r>
      <w:r>
        <w:t>2026-03-31 18:47:48+00:00</w:t>
      </w:r>
      <w:r>
        <w:t xml:space="preserve">    </w:t>
      </w:r>
      <w:r>
        <w:rPr>
          <w:b/>
        </w:rPr>
        <w:t xml:space="preserve">DOI: </w:t>
      </w:r>
      <w:hyperlink r:id="rId687">
        <w:r>
          <w:rPr>
            <w:color w:val="1155CC"/>
            <w:u w:val="single"/>
          </w:rPr>
          <w:t>10.1021/jacs.6c02320</w:t>
        </w:r>
      </w:hyperlink>
    </w:p>
    <w:p>
      <w:pPr>
        <w:spacing w:before="0" w:after="120"/>
      </w:pPr>
      <w:r>
        <w:rPr>
          <w:b/>
        </w:rPr>
        <w:t xml:space="preserve">Notes: </w:t>
      </w:r>
      <w:r>
        <w:t>abstract_source=pubmed</w:t>
      </w:r>
    </w:p>
    <w:p>
      <w:pPr>
        <w:spacing w:before="0" w:after="80" w:lineRule="auto" w:line="276"/>
      </w:pPr>
      <w:r>
        <w:rPr>
          <w:b/>
        </w:rPr>
        <w:t xml:space="preserve">摘要（ZH）: </w:t>
      </w:r>
      <w:r>
        <w:t>基于自由基的烯烃氨甲基化功能化提供了一种强大的方法，可以直接从烯烃合成叔胺类化合物——药物发现中的关键结构基元，烯烃是理想且丰富的原料。然而，由于自由基反应中的极性效应，现有策略在很大程度上仅限于活化烯烃，如电子缺乏烯烃或芳基取代烯烃。在此，我们报告了一种统一的方法，通过使用α-铵甲基自由基（α-氨甲基自由基的亲电反转等价物），实现未活化烯烃的区域选择性双功能化，包括广泛的脂肪族底物。在可见光光氧化还原催化下，碘甲基铵盐生成α-铵甲基自由基，这</w:t>
      </w:r>
    </w:p>
    <w:p>
      <w:pPr>
        <w:spacing w:before="0" w:after="200" w:lineRule="auto" w:line="276"/>
      </w:pPr>
      <w:r>
        <w:rPr>
          <w:b/>
        </w:rPr>
        <w:t xml:space="preserve">Abstract (EN): </w:t>
      </w:r>
      <w:r>
        <w:t>Radical-based aminomethyl functionalization of alkenes offers a powerful approach to synthesize tertiary alkylamines─key structural motifs in drug discovery─directly from alkenes, which are ideal and abundant feedstocks. However, due to polarity effects in radical reactions, existing strategies have been largely restricted to activated alkenes, such as electron-deficient alkenes or aryl-substituted alkenes. Here, we report a unified method that overcomes this limitation by employing α-ammoniomethyl radicals, electrophilic umpolung equivalents of α-aminomethyl radicals, to enable regioselective difunctionalization of unactivated alkenes, including a broad class of aliphatic substrates. Under visible-light photoredox catalysis, iodomethylammonium salts generate α-ammoniomethyl radicals that add efficiently to these unactivated alkenes, followed by iodine-atom transfer in a radical-chain mechanism. A streamlined one-pot sequence couples this difunctionalization with the demethylation of the ammonium moiety, affording highly substituted tertiary alkylamines with broad functional-group tolerance. The platform extends to homologative allylamine synthesis via in-situ allylammonium intermediates, enabling rapid access to extended amine scaffolds and bioisosteric analogues of pharmaceuticals. Furthermore, our reaction system using α-ammoniomethyl radicals enables diverse aminomethyl functionalization with various SOMOphiles─such as heteroarylation, alkynylation, azidation, and fluorination─greatly expanding the chemical space of tertiary amines. Collectively, this approach overcomes key limitations of prior radical difunctionalization methods and provides a modular, operationally simple route to complex amines from commodity alkenes, with broad implications for synthetic methodology and drug discovery.</w:t>
      </w:r>
    </w:p>
    <w:p>
      <w:pPr>
        <w:spacing w:before="120" w:after="120"/>
      </w:pPr>
      <w:r>
        <w:rPr>
          <w:sz w:val="18"/>
        </w:rPr>
        <w:t>——————————————————————————————————————————————————————————————————————</w:t>
      </w:r>
    </w:p>
    <w:p>
      <w:pPr>
        <w:spacing w:before="160" w:after="40" w:line="240" w:lineRule="auto"/>
      </w:pPr>
      <w:r>
        <w:rPr>
          <w:b/>
        </w:rPr>
        <w:t xml:space="preserve">[258] </w:t>
      </w:r>
      <w:hyperlink r:id="rId688">
        <w:r>
          <w:rPr>
            <w:color w:val="1155CC"/>
            <w:u w:val="single"/>
          </w:rPr>
          <w:t>[ASAP] 使用遗传密码扩展的生物合成镧系发光小蛋白</w:t>
        </w:r>
      </w:hyperlink>
    </w:p>
    <w:p>
      <w:pPr>
        <w:spacing w:before="0" w:after="80"/>
      </w:pPr>
      <w:r>
        <w:rPr>
          <w:i/>
          <w:sz w:val="20"/>
        </w:rPr>
        <w:t>EN: [ASAP] Biosynthetic Lanthanide-Luminescent Mini-Proteins Using Genetic Code Expansion</w:t>
      </w:r>
    </w:p>
    <w:p>
      <w:pPr>
        <w:spacing w:before="0" w:after="120"/>
      </w:pPr>
      <w:r>
        <w:rPr>
          <w:b/>
        </w:rPr>
        <w:t xml:space="preserve">Source: </w:t>
      </w:r>
      <w:r>
        <w:t>Journal of the American Chemical Society: Latest Articles (ACS Publications)</w:t>
      </w:r>
      <w:r>
        <w:t xml:space="preserve">    </w:t>
      </w:r>
      <w:r>
        <w:rPr>
          <w:b/>
        </w:rPr>
        <w:t xml:space="preserve">Pub date: </w:t>
      </w:r>
      <w:r>
        <w:t>2026-03-31 19:43:31+00:00</w:t>
      </w:r>
      <w:r>
        <w:t xml:space="preserve">    </w:t>
      </w:r>
      <w:r>
        <w:rPr>
          <w:b/>
        </w:rPr>
        <w:t xml:space="preserve">DOI: </w:t>
      </w:r>
      <w:hyperlink r:id="rId689">
        <w:r>
          <w:rPr>
            <w:color w:val="1155CC"/>
            <w:u w:val="single"/>
          </w:rPr>
          <w:t>10.1021/jacs.6c01416</w:t>
        </w:r>
      </w:hyperlink>
    </w:p>
    <w:p>
      <w:pPr>
        <w:spacing w:before="0" w:after="120"/>
      </w:pPr>
      <w:r>
        <w:rPr>
          <w:b/>
        </w:rPr>
        <w:t xml:space="preserve">Notes: </w:t>
      </w:r>
      <w:r>
        <w:t>abstract_source=pubmed</w:t>
      </w:r>
    </w:p>
    <w:p>
      <w:pPr>
        <w:spacing w:before="0" w:after="80" w:lineRule="auto" w:line="276"/>
      </w:pPr>
      <w:r>
        <w:rPr>
          <w:b/>
        </w:rPr>
        <w:t xml:space="preserve">摘要（ZH）: </w:t>
      </w:r>
      <w:r>
        <w:t>非标准氨基酸（ncAA）作为镧系元素结合肽和蛋白质中镧系元素发光的光捕获天线具有很大潜力。在此，我们提供了关于天线-镧系元素相互作用的实证见解，揭示了明亮发光蛋白的设计原则。设计为镧系元素结合标签（LBT）的肽显示出敏化和镧系元素结合亲和力之间的权衡。我们通过计算设计生成了一种新的蛋白质，称为RF2，具有纳摩尔结合亲和力，并且相对于LBT，铽(III)发光增加了超过2倍。在这个支架中，6-氮杂色氨酸（6AW）在体内实现了10倍的铕(III)发光增强。RF2 6AW突变体还可以敏化镝(III)和钐(III)的发光。</w:t>
      </w:r>
    </w:p>
    <w:p>
      <w:pPr>
        <w:spacing w:before="0" w:after="200" w:lineRule="auto" w:line="276"/>
      </w:pPr>
      <w:r>
        <w:rPr>
          <w:b/>
        </w:rPr>
        <w:t xml:space="preserve">Abstract (EN): </w:t>
      </w:r>
      <w:r>
        <w:t>Noncanonical amino acids (ncAA) are promising as light-harvesting antennae for lanthanide luminescence in lanthanide-binding peptides and proteins. Here, we present empirical insights into antenna-lanthanide interactions, which reveal design principles of bright luminescent proteins. Peptides designed to act as lanthanide-binding tags (LBT) show a trade-off between sensitization and lanthanide-binding affinity. We generated a new protein, termed RF2, through computational design with nanomolar binding affinity and more than a 2-fold increase in terbium(III) luminescence relative to LBT. In this scaffold, 6-azatryptophan (6AW) achieved a 10-fold enhancement of the europium(III) luminescence in vivo. The RF2 6AW mutant also sensitizes the luminescence of dysprosium(III) and samarium(III). These results demonstrate the capability of de novo protein design to produce highly luminescent lanthanide-binding mini-proteins with a genetically encoded ncAA antenna.</w:t>
      </w:r>
    </w:p>
    <w:p>
      <w:pPr>
        <w:spacing w:before="120" w:after="120"/>
      </w:pPr>
      <w:r>
        <w:rPr>
          <w:sz w:val="18"/>
        </w:rPr>
        <w:t>——————————————————————————————————————————————————————————————————————</w:t>
      </w:r>
    </w:p>
    <w:p>
      <w:pPr>
        <w:spacing w:before="160" w:after="40" w:line="240" w:lineRule="auto"/>
      </w:pPr>
      <w:r>
        <w:rPr>
          <w:b/>
        </w:rPr>
        <w:t xml:space="preserve">[259] </w:t>
      </w:r>
      <w:hyperlink r:id="rId690">
        <w:r>
          <w:rPr>
            <w:color w:val="1155CC"/>
            <w:u w:val="single"/>
          </w:rPr>
          <w:t>通过选择性层内Cl配位与Ni/Fe位点的氢氧化物激活氧化路径机制以实现稳健的水氧化</w:t>
        </w:r>
      </w:hyperlink>
    </w:p>
    <w:p>
      <w:pPr>
        <w:spacing w:before="0" w:after="80"/>
      </w:pPr>
      <w:r>
        <w:rPr>
          <w:i/>
          <w:sz w:val="20"/>
        </w:rPr>
        <w:t>EN: Activating the oxide pathway mechanism via selective intralayer Cl coordination with Ni/Fe sites of hydroxides for robust water oxidation</w:t>
      </w:r>
    </w:p>
    <w:p>
      <w:pPr>
        <w:spacing w:before="0" w:after="120"/>
      </w:pPr>
      <w:r>
        <w:rPr>
          <w:b/>
        </w:rPr>
        <w:t xml:space="preserve">Source: </w:t>
      </w:r>
      <w:r>
        <w:t>RSC - Energy Environ. Sci. latest articles</w:t>
      </w:r>
      <w:r>
        <w:t xml:space="preserve">    </w:t>
      </w:r>
      <w:r>
        <w:rPr>
          <w:b/>
        </w:rPr>
        <w:t xml:space="preserve">Pub date: </w:t>
      </w:r>
      <w:r>
        <w:t>2026-03-31 23:00:00+00:00</w:t>
      </w:r>
    </w:p>
    <w:p>
      <w:pPr>
        <w:spacing w:before="0" w:after="120"/>
      </w:pPr>
      <w:r>
        <w:rPr>
          <w:b/>
        </w:rPr>
        <w:t xml:space="preserve">Notes: </w:t>
      </w:r>
      <w:r>
        <w:t>abstract_source=rsc_html</w:t>
      </w:r>
    </w:p>
    <w:p>
      <w:pPr>
        <w:spacing w:before="0" w:after="80" w:lineRule="auto" w:line="276"/>
      </w:pPr>
      <w:r>
        <w:rPr>
          <w:b/>
        </w:rPr>
        <w:t xml:space="preserve">摘要（ZH）: </w:t>
      </w:r>
      <w:r>
        <w:t>镍铁氢氧化物的缓慢动力学、导电性差和金属溶解阻碍了其在碱性氧析出反应（OER）中的应用，强调了结构调控和机制理解以满足工业要求的必要性。在此，我们提出了一种NiFe(OH)xCly电催化剂，具有从根本上重构的配位结构和电子构型，并采用高度响应的氧化物路径机制（OPM）。晶格定位的Cl（21.6 wt%）优先与Ni结合而非Fe，并压缩金属-氧层，从而本质上优化了电子构型和结构稳定性。此外，Cl引导在Ni/Fe–Cl四面体位点的羟基取代，使脱氢氧与邻近原子形成更紧密的相互作用。</w:t>
      </w:r>
    </w:p>
    <w:p>
      <w:pPr>
        <w:spacing w:before="0" w:after="200" w:lineRule="auto" w:line="276"/>
      </w:pPr>
      <w:r>
        <w:rPr>
          <w:b/>
        </w:rPr>
        <w:t xml:space="preserve">Abstract (EN): </w:t>
      </w:r>
      <w:r>
        <w:t>The sluggish kinetics, poor conductivity, and metal dissolution of NiFe hydroxides hinder their application in the alkaline oxygen evolution reaction (OER), highlighting the necessity for structural regulation and mechanistic understanding to meet industrial requirements. Herein, we propose a NiFe(OH)xCly electrocatalyst featuring a fundamentally reconstructed coordination structure and electronic configuration with the highly responsive oxide pathway mechanism (OPM). Lattice-positioned Cl (21.6 wt%) preferentially binds Ni over Fe and compresses metal–oxygen layers, intrinsically optimizing the electronic configuration and structural stability. Moreover, Cl directs hydroxyl substitution at the Ni/Fe–Cl tetrahedral sites, enabling dehydrogenated oxygen to form closer interactions with neighboring hydroxyls via hydrogen bonding, thereby promoting direct O–O coupling and better OER kinetics. NiFe(OH)xCly exhibits an overpotential of 217 mV at 100 mA cm−2 and 3000-h durability at 1 A cm−2. The integrated NiFe(OH)xCly‖Pt/C anion exchange membrane water electrolyzer achieves 1 A cm−2 at only 1.69 V with 1000 h stable operation. This work highlights an intrinsic strategy for structural tuning and mechanistic optimization for industrial OER electrocatalysts.</w:t>
      </w:r>
    </w:p>
    <w:p>
      <w:pPr>
        <w:spacing w:before="120" w:after="120"/>
      </w:pPr>
      <w:r>
        <w:rPr>
          <w:sz w:val="18"/>
        </w:rPr>
        <w:t>——————————————————————————————————————————————————————————————————————</w:t>
      </w:r>
    </w:p>
    <w:p>
      <w:pPr>
        <w:spacing w:before="160" w:after="40" w:line="240" w:lineRule="auto"/>
      </w:pPr>
      <w:r>
        <w:rPr>
          <w:b/>
        </w:rPr>
        <w:t xml:space="preserve">[260] </w:t>
      </w:r>
      <w:hyperlink r:id="rId691">
        <w:r>
          <w:rPr>
            <w:color w:val="1155CC"/>
            <w:u w:val="single"/>
          </w:rPr>
          <w:t>在酸性氧气演化过程中，晶体尺寸介导的溶质掺入和RuO2固溶体稳定性</w:t>
        </w:r>
      </w:hyperlink>
    </w:p>
    <w:p>
      <w:pPr>
        <w:spacing w:before="0" w:after="80"/>
      </w:pPr>
      <w:r>
        <w:rPr>
          <w:i/>
          <w:sz w:val="20"/>
        </w:rPr>
        <w:t>EN: Crystal size-mediated solute incorporation and solid-solution stability in RuO2 during acidic oxygen evolution</w:t>
      </w:r>
    </w:p>
    <w:p>
      <w:pPr>
        <w:spacing w:before="0" w:after="120"/>
      </w:pPr>
      <w:r>
        <w:rPr>
          <w:b/>
        </w:rPr>
        <w:t xml:space="preserve">Source: </w:t>
      </w:r>
      <w:r>
        <w:t>RSC - Energy Environ. Sci. latest articles</w:t>
      </w:r>
      <w:r>
        <w:t xml:space="preserve">    </w:t>
      </w:r>
      <w:r>
        <w:rPr>
          <w:b/>
        </w:rPr>
        <w:t xml:space="preserve">Pub date: </w:t>
      </w:r>
      <w:r>
        <w:t>2026-03-31 23:00:00+00:00</w:t>
      </w:r>
    </w:p>
    <w:p>
      <w:pPr>
        <w:spacing w:before="0" w:after="120"/>
      </w:pPr>
      <w:r>
        <w:rPr>
          <w:b/>
        </w:rPr>
        <w:t xml:space="preserve">Notes: </w:t>
      </w:r>
      <w:r>
        <w:t>abstract_source=rsc_html</w:t>
      </w:r>
    </w:p>
    <w:p>
      <w:pPr>
        <w:spacing w:before="0" w:after="80" w:lineRule="auto" w:line="276"/>
      </w:pPr>
      <w:r>
        <w:rPr>
          <w:b/>
        </w:rPr>
        <w:t xml:space="preserve">摘要（ZH）: </w:t>
      </w:r>
      <w:r>
        <w:t>理解外来阳离子在原始氧化物中的混溶性是合成具有前所未有功能的多组分单相氧化物晶体的基础步骤。在金红石RuO2中，我们发现许多溶质阳离子，通常在体相中表现出低于几个百分比的有限混溶性，当晶体尺寸减小到10 nm以下时，可以替代Ru超过20 at%的水平。更重要的是，这种尺寸依赖的溶解度增强不仅限于几个特定元素，而是出现在20种不同外来阳离子中的普遍趋势。这些结果表明，RuO2的相平衡在纳米尺度晶体尺寸引起的高拉普拉斯压力下显著改变。成功合成的固溶体RuO2纳米晶体显示出</w:t>
      </w:r>
    </w:p>
    <w:p>
      <w:pPr>
        <w:spacing w:before="0" w:after="200" w:lineRule="auto" w:line="276"/>
      </w:pPr>
      <w:r>
        <w:rPr>
          <w:b/>
        </w:rPr>
        <w:t xml:space="preserve">Abstract (EN): </w:t>
      </w:r>
      <w:r>
        <w:t>Understanding the miscibility of foreign cations in pristine oxides is a fundamental step toward synthesizing multicomponent single-phase oxide crystals with unprecedented functionalities. In rutile RuO2, we find that many solute cations, which typically exhibit limited miscibility below a few percent in the bulk, can substitute Ru at levels exceeding 20 at% when the crystal size is reduced below 10 nm. More importantly, this size-dependent enhancement in solubility is not restricted to a few specific elements but appears as a general trend across 20 distinct foreign cations. These results suggest that the phase equilibria of RuO2 are remarkably altered under the high Laplacian pressure induced by nanoscale crystal dimensions. The successful synthesis of solid-solution RuO2 nanocrystals smaller than 10 nm, with 20 different compositions, enables quantitative and systematic evaluation of their stability numbers (S-numbers) under identical electrochemical conditions as anodic electrocatalysts for acidic water oxidation. In addition to identifying significant RuO2-based solid solutions with Ta, Ir, Nb, Sb, and Mn among many proposed candidates for high-durability nanoscale electrocatalysts, the findings in our study demonstrate that the extent of chemical modification in RuO2 is strongly dependent on crystal size.</w:t>
      </w:r>
    </w:p>
    <w:p>
      <w:pPr>
        <w:spacing w:before="120" w:after="120"/>
      </w:pPr>
      <w:r>
        <w:rPr>
          <w:sz w:val="18"/>
        </w:rPr>
        <w:t>——————————————————————————————————————————————————————————————————————</w:t>
      </w:r>
    </w:p>
    <w:p>
      <w:pPr>
        <w:spacing w:before="160" w:after="40" w:line="240" w:lineRule="auto"/>
      </w:pPr>
      <w:r>
        <w:rPr>
          <w:b/>
        </w:rPr>
        <w:t xml:space="preserve">[261] </w:t>
      </w:r>
      <w:hyperlink r:id="rId692">
        <w:r>
          <w:rPr>
            <w:color w:val="1155CC"/>
            <w:u w:val="single"/>
          </w:rPr>
          <w:t>通用尺度解锁具有解释和预测能力的AI评估</w:t>
        </w:r>
      </w:hyperlink>
    </w:p>
    <w:p>
      <w:pPr>
        <w:spacing w:before="0" w:after="80"/>
      </w:pPr>
      <w:r>
        <w:rPr>
          <w:i/>
          <w:sz w:val="20"/>
        </w:rPr>
        <w:t>EN: General scales unlock AI evaluation with explanatory and predictive power</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693">
        <w:r>
          <w:rPr>
            <w:color w:val="1155CC"/>
            <w:u w:val="single"/>
          </w:rPr>
          <w:t>10.1038/s41586-026-10303-2</w:t>
        </w:r>
      </w:hyperlink>
    </w:p>
    <w:p>
      <w:pPr>
        <w:spacing w:before="0" w:after="120"/>
      </w:pPr>
      <w:r>
        <w:rPr>
          <w:b/>
        </w:rPr>
        <w:t xml:space="preserve">Notes: </w:t>
      </w:r>
      <w:r>
        <w:t>abstract_source=nature_html</w:t>
      </w:r>
    </w:p>
    <w:p>
      <w:pPr>
        <w:spacing w:before="0" w:after="80" w:lineRule="auto" w:line="276"/>
      </w:pPr>
      <w:r>
        <w:rPr>
          <w:b/>
        </w:rPr>
        <w:t xml:space="preserve">摘要（ZH）: </w:t>
      </w:r>
      <w:r>
        <w:t>确保人工智能（AI）的安全和有效使用需要理解和预测其在新任务上的表现，从高级科学挑战到转变的工作场所活动1,2,3。迄今为止，基准测试指导了AI的进步，但对通用AI系统的解释和预测能力有限4,5,6,7,8，这归因于特定任务之间的可转移性有限9,10,11。在此，我们引入了AI评估的一般尺度，这些尺度引出需求概况，解释常见AI基准真正测量的能力，提取能力概况，量化AI系统的一般强项和限制，并稳健预测AI在新任务实例中的表现。我们完全自动化的方法基于18个评分标准，捕捉广泛范围的认知</w:t>
      </w:r>
    </w:p>
    <w:p>
      <w:pPr>
        <w:spacing w:before="0" w:after="200" w:lineRule="auto" w:line="276"/>
      </w:pPr>
      <w:r>
        <w:rPr>
          <w:b/>
        </w:rPr>
        <w:t xml:space="preserve">Abstract (EN): </w:t>
      </w:r>
      <w:r>
        <w:t>Ensuring safe and effective use of artificial intelligence (AI) requires understanding and anticipating its performance on new tasks, from advanced scientific challenges to transformed workplace activities1,2,3. So far, benchmarking has guided progress in AI but has offered limited explanatory and predictive power for general-purpose AI systems4,5,6,7,8, attributed to limited transferability across specific tasks9,10,11. Here we introduce general scales for AI evaluation that elicit demand profiles explaining what capabilities common AI benchmarks truly measure, extract ability profiles quantifying the general strengths and limits of AI systems and robustly predict AI performance for new task instances. Our fully automated methodology builds on 18 rubrics, capturing a broad range of cognitive and intellectual demands, which place different task instances on the same general scales, illustrated on 15 large language models (LLMs) and 63 tasks. Both the demand and the ability profiles on these scales bring new insights such as construct validity through benchmark sensitivity and specificity and explain conflicting claims about whether AI has reasoning capabilities. Ultimately, high predictive power at the instance level becomes possible using the general scales, providing superior estimates over strong black-box baseline predictors, especially in out-of-distribution settings (new tasks and benchmarks). The scales, rubrics, battery, techniques and results presented here constitute a solid foundation for a science of AI evaluation, underpinning the reliable deployment of AI in the years ahead.</w:t>
      </w:r>
    </w:p>
    <w:p>
      <w:pPr>
        <w:spacing w:before="120" w:after="120"/>
      </w:pPr>
      <w:r>
        <w:rPr>
          <w:sz w:val="18"/>
        </w:rPr>
        <w:t>——————————————————————————————————————————————————————————————————————</w:t>
      </w:r>
    </w:p>
    <w:p>
      <w:pPr>
        <w:spacing w:before="160" w:after="40" w:line="240" w:lineRule="auto"/>
      </w:pPr>
      <w:r>
        <w:rPr>
          <w:b/>
        </w:rPr>
        <w:t xml:space="preserve">[262] </w:t>
      </w:r>
      <w:hyperlink r:id="rId694">
        <w:r>
          <w:rPr>
            <w:color w:val="1155CC"/>
            <w:u w:val="single"/>
          </w:rPr>
          <w:t>来自黑洞质量的对不稳定性间隙的证据</w:t>
        </w:r>
      </w:hyperlink>
    </w:p>
    <w:p>
      <w:pPr>
        <w:spacing w:before="0" w:after="80"/>
      </w:pPr>
      <w:r>
        <w:rPr>
          <w:i/>
          <w:sz w:val="20"/>
        </w:rPr>
        <w:t>EN: Evidence of the pair-instability gap from black-hole masses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695">
        <w:r>
          <w:rPr>
            <w:color w:val="1155CC"/>
            <w:u w:val="single"/>
          </w:rPr>
          <w:t>10.1038/s41586-026-10359-0</w:t>
        </w:r>
      </w:hyperlink>
    </w:p>
    <w:p>
      <w:pPr>
        <w:spacing w:before="0" w:after="120"/>
      </w:pPr>
      <w:r>
        <w:rPr>
          <w:b/>
        </w:rPr>
        <w:t xml:space="preserve">Notes: </w:t>
      </w:r>
      <w:r>
        <w:t>abstract_source=nature_html</w:t>
      </w:r>
    </w:p>
    <w:p>
      <w:pPr>
        <w:spacing w:before="0" w:after="80" w:lineRule="auto" w:line="276"/>
      </w:pPr>
      <w:r>
        <w:rPr>
          <w:b/>
        </w:rPr>
        <w:t xml:space="preserve">摘要（ZH）: </w:t>
      </w:r>
      <w:r>
        <w:t>恒星理论预测，由于对不稳定超新星的影响，黑洞质量在大约50 M⊙到130 M⊙之间存在一个禁区。然而，来自引力波天文学的质量分布中这种间隙的证据一直难以捉摸。早期关于黑洞质量在大约45 M⊙处的截止的暗示随着后续更大质量双黑洞的发现而消失。我们在LIGO–Virgo–KAGRA的第四次引力波瞬态目录（GWTC-4）中报告了对不稳定性间隙的证据，其下限为44−4+5M⊙（90%可信度）。虽然在主质量m1（双黑洞系统中较大的黑洞）的分布中没有出现这种间隙，但它似乎在未完成的情况下出现。</w:t>
      </w:r>
    </w:p>
    <w:p>
      <w:pPr>
        <w:spacing w:before="0" w:after="200" w:lineRule="auto" w:line="276"/>
      </w:pPr>
      <w:r>
        <w:rPr>
          <w:b/>
        </w:rPr>
        <w:t xml:space="preserve">Abstract (EN): </w:t>
      </w:r>
      <w:r>
        <w:t>Stellar theory predicts a forbidden range of black-hole masses between approximately 50 M⊙ and 130 M⊙ owing to pair-instability supernovae1,2,3,4,5,6,7, but evidence for such a gap in the mass distribution from gravitational-wave astronomy has proved elusive. Early hints of a cut-off in black-hole masses at about 45 M⊙ disappeared with the subsequent discovery of more massive binary black holes8,9. Here we report evidence of the pair-instability gap in LIGO–Virgo–KAGRA’s fourth Gravitational-Wave Transient Catalog (GWTC-4), with a lower boundary of 44&amp;#x2212;4+5M&amp;#x2299;" role="presentation"&gt;44−4+5M⊙4{4}_{-4}^{+5}\,{M}_{\odot } (90% credibility). Although the gap is not present in the distribution of primary masses m1 (the bigger of the two black holes in a binary system), it appears unambiguously in the distribution of secondary masses m2, in which m2 ≤ m1. The location of the gap lines up well with a previously identified transition in the binary black-hole spin distribution; binaries with primary components in the gap tend to spin more rapidly than those below the gap. We interpret these findings as evidence for a subpopulation of hierarchical mergers: binaries in which the primary component is the product of a previous black-hole merger and thus populates the gap. Our measurement of the location of the pair-instability gap constrains the S-factor for 12C(α, γ)16O at 300 keV to 260&amp;#x2212;108+190keVbarns" role="presentation"&gt;260−108+190keVbarns26{0}_{-108}^{+190}\,{\rm{keV}}\,{\rm{barns}}.</w:t>
      </w:r>
    </w:p>
    <w:p>
      <w:pPr>
        <w:spacing w:before="120" w:after="120"/>
      </w:pPr>
      <w:r>
        <w:rPr>
          <w:sz w:val="18"/>
        </w:rPr>
        <w:t>——————————————————————————————————————————————————————————————————————</w:t>
      </w:r>
    </w:p>
    <w:p>
      <w:pPr>
        <w:spacing w:before="160" w:after="40" w:line="240" w:lineRule="auto"/>
      </w:pPr>
      <w:r>
        <w:rPr>
          <w:b/>
        </w:rPr>
        <w:t xml:space="preserve">[263] </w:t>
      </w:r>
      <w:hyperlink r:id="rId696">
        <w:r>
          <w:rPr>
            <w:color w:val="1155CC"/>
            <w:u w:val="single"/>
          </w:rPr>
          <w:t>AhR抑制通过应激-生长开关促进轴突再生</w:t>
        </w:r>
      </w:hyperlink>
    </w:p>
    <w:p>
      <w:pPr>
        <w:spacing w:before="0" w:after="80"/>
      </w:pPr>
      <w:r>
        <w:rPr>
          <w:i/>
          <w:sz w:val="20"/>
        </w:rPr>
        <w:t>EN: AhR inhibition promotes axon regeneration via a stress–growth switch</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697">
        <w:r>
          <w:rPr>
            <w:color w:val="1155CC"/>
            <w:u w:val="single"/>
          </w:rPr>
          <w:t>10.1038/s41586-026-10295-z</w:t>
        </w:r>
      </w:hyperlink>
    </w:p>
    <w:p>
      <w:pPr>
        <w:spacing w:before="0" w:after="120"/>
      </w:pPr>
      <w:r>
        <w:rPr>
          <w:b/>
        </w:rPr>
        <w:t xml:space="preserve">Notes: </w:t>
      </w:r>
      <w:r>
        <w:t>abstract_source=nature_html</w:t>
      </w:r>
    </w:p>
    <w:p>
      <w:pPr>
        <w:spacing w:before="0" w:after="80" w:lineRule="auto" w:line="276"/>
      </w:pPr>
      <w:r>
        <w:rPr>
          <w:b/>
        </w:rPr>
        <w:t xml:space="preserve">摘要（ZH）: </w:t>
      </w:r>
      <w:r>
        <w:t>哺乳动物中枢神经系统中的轴突再生受到限制。神经元在轴突损伤后必须在应激反应和再生需求之间取得平衡，但机制尚不清楚。我们在此确定芳香烃受体（AhR），一种配体激活的基本螺旋-环-螺旋/PER-ARNT-SIM（bHLH-PAS）转录因子，是这种应激-生长转换的关键调节因子。我们表明，配体介导的AhR信号抑制轴突生长，而神经元删除或药理学抑制AhR促进轴突再生和在外周神经和脊髓损伤模型中的功能恢复。机制研究揭示，背根神经节神经元中由轴突切断诱导的AhR激活加强了蛋白质稳态和应激反应程序，以维持组织完整性。</w:t>
      </w:r>
    </w:p>
    <w:p>
      <w:pPr>
        <w:spacing w:before="0" w:after="200" w:lineRule="auto" w:line="276"/>
      </w:pPr>
      <w:r>
        <w:rPr>
          <w:b/>
        </w:rPr>
        <w:t xml:space="preserve">Abstract (EN): </w:t>
      </w:r>
      <w:r>
        <w:t>Axon regeneration is limited in the mammalian central nervous system1. Neurons must balance stress responses with regenerative demands after axonal injury2, but the mechanisms remain unclear. Here we identify aryl hydrocarbon receptor (AhR), a ligand-activated basic helix–loop–helix/PER-ARNT-SIM (bHLH-PAS) transcription factor, as a key regulator of this stress–growth switch. We show that ligand-mediated AhR signalling restrains axon growth, whereas neuronal deletion or pharmacological inhibition of AhR promotes axonal regeneration and functional recovery in both peripheral nerve and spinal cord injury models. Mechanistic studies reveal that axotomy-induced AhR activation in dorsal root ganglion neurons enforces proteostasis and stress-response programs to preserve tissue integrity. By contrast, AhR ablation redirects the neuronal response towards elevated de novo translation and pro-growth signalling, enabling axon regeneration. This growth-promoting effect requires HIF1α, with shared transcriptional targets enriched for metabolic and regenerative pathways. Single-cell and epigenomic analyses further revealed that the AhR regulon engages the integrated stress response and DNA hydroxymethylation to rewire neuronal injury-response programs. Together, our findings establish AhR as a neuronal brake on axon regeneration, integrating environmental sensing, protein homeostasis and metabolic signalling to control the balance between stress adaptation and axonal repair.</w:t>
      </w:r>
    </w:p>
    <w:p>
      <w:pPr>
        <w:spacing w:before="120" w:after="120"/>
      </w:pPr>
      <w:r>
        <w:rPr>
          <w:sz w:val="18"/>
        </w:rPr>
        <w:t>——————————————————————————————————————————————————————————————————————</w:t>
      </w:r>
    </w:p>
    <w:p>
      <w:pPr>
        <w:spacing w:before="160" w:after="40" w:line="240" w:lineRule="auto"/>
      </w:pPr>
      <w:r>
        <w:rPr>
          <w:b/>
        </w:rPr>
        <w:t xml:space="preserve">[264] </w:t>
      </w:r>
      <w:hyperlink r:id="rId698">
        <w:r>
          <w:rPr>
            <w:color w:val="1155CC"/>
            <w:u w:val="single"/>
          </w:rPr>
          <w:t>在低烟灰排放水平下的大量飞机尾迹形成</w:t>
        </w:r>
      </w:hyperlink>
    </w:p>
    <w:p>
      <w:pPr>
        <w:spacing w:before="0" w:after="80"/>
      </w:pPr>
      <w:r>
        <w:rPr>
          <w:i/>
          <w:sz w:val="20"/>
        </w:rPr>
        <w:t>EN: Substantial aircraft contrail formation at low soot emission levels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699">
        <w:r>
          <w:rPr>
            <w:color w:val="1155CC"/>
            <w:u w:val="single"/>
          </w:rPr>
          <w:t>10.1038/s41586-026-10286-0</w:t>
        </w:r>
      </w:hyperlink>
    </w:p>
    <w:p>
      <w:pPr>
        <w:spacing w:before="0" w:after="120"/>
      </w:pPr>
      <w:r>
        <w:rPr>
          <w:b/>
        </w:rPr>
        <w:t xml:space="preserve">Notes: </w:t>
      </w:r>
      <w:r>
        <w:t>abstract_source=nature_html</w:t>
      </w:r>
    </w:p>
    <w:p>
      <w:pPr>
        <w:spacing w:before="0" w:after="80" w:lineRule="auto" w:line="276"/>
      </w:pPr>
      <w:r>
        <w:rPr>
          <w:b/>
        </w:rPr>
        <w:t xml:space="preserve">摘要（ZH）: </w:t>
      </w:r>
      <w:r>
        <w:t>航迹卷云是航空对气候强迫的主要贡献者。然而，现代稀燃发动机后形成的航迹冰晶数量尚不清楚。理论上冰晶数量范围跨越四个数量级，使相关的气候效应难以预测。我们表明，与传统的富-淬火-稀发动机相比，稀燃燃烧将烟灰颗粒数量排放减少了三个数量级，但并未显著减少挥发性颗粒或航迹冰晶数量——两者都可以超过每千克燃烧燃料1015个颗粒。我们的发现来自于对配备稀燃发动机的A321neo飞机的飞行观察，从而提供了一些实验室工作的现实世界确认，并缩小了范围。</w:t>
      </w:r>
    </w:p>
    <w:p>
      <w:pPr>
        <w:spacing w:before="0" w:after="200" w:lineRule="auto" w:line="276"/>
      </w:pPr>
      <w:r>
        <w:rPr>
          <w:b/>
        </w:rPr>
        <w:t xml:space="preserve">Abstract (EN): </w:t>
      </w:r>
      <w:r>
        <w:t>Contrail cirrus clouds are a main contributor to the climate forcing from aviation1. Yet, the number of contrail ice crystals forming behind aircraft with modern lean-burn engines is unknown. Theory spans a four orders of magnitude range in ice crystal numbers2,3—rendering related climate effects unpredictable. Here we show that lean-burn combustion reduces soot particle number emissions by three orders of magnitude compared with conventional rich–quench–lean engines4,5—but does not significantly decrease volatile particles or contrail ice crystal numbers—both can exceed 1015 particles per kg of burned fuel. Our findings arise from in-flight observations behind an A321neo aircraft with lean-burn engines, thus providing real-world confirmation of some laboratory work6 and narrowing the range of theoretical expectations. Our results indicate that the tested lean-burn engine configurations alone are unlikely to reduce the warming effect of contrails, suggesting that modifications of fuel composition and lubrication oil venting architecture may be required. We show that contrail ice particle numbers in the low-soot regime can be reduced by using low-sulfur fuels and that organic fuel constituents and lubrication oil vapours can increase contrail ice particle numbers. Future research should explore how reductions in volatile particles, apart from soot, affect contrail ice formation.</w:t>
      </w:r>
    </w:p>
    <w:p>
      <w:pPr>
        <w:spacing w:before="120" w:after="120"/>
      </w:pPr>
      <w:r>
        <w:rPr>
          <w:sz w:val="18"/>
        </w:rPr>
        <w:t>——————————————————————————————————————————————————————————————————————</w:t>
      </w:r>
    </w:p>
    <w:p>
      <w:pPr>
        <w:spacing w:before="160" w:after="40" w:line="240" w:lineRule="auto"/>
      </w:pPr>
      <w:r>
        <w:rPr>
          <w:b/>
        </w:rPr>
        <w:t xml:space="preserve">[265] </w:t>
      </w:r>
      <w:hyperlink r:id="rId700">
        <w:r>
          <w:rPr>
            <w:color w:val="1155CC"/>
            <w:u w:val="single"/>
          </w:rPr>
          <w:t>调查社会和行为科学的可重复性</w:t>
        </w:r>
      </w:hyperlink>
    </w:p>
    <w:p>
      <w:pPr>
        <w:spacing w:before="0" w:after="80"/>
      </w:pPr>
      <w:r>
        <w:rPr>
          <w:i/>
          <w:sz w:val="20"/>
        </w:rPr>
        <w:t>EN: Investigating the reproducibility of the social and behavioural sciences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01">
        <w:r>
          <w:rPr>
            <w:color w:val="1155CC"/>
            <w:u w:val="single"/>
          </w:rPr>
          <w:t>10.1038/s41586-026-10203-5</w:t>
        </w:r>
      </w:hyperlink>
    </w:p>
    <w:p>
      <w:pPr>
        <w:spacing w:before="0" w:after="120"/>
      </w:pPr>
      <w:r>
        <w:rPr>
          <w:b/>
        </w:rPr>
        <w:t xml:space="preserve">Notes: </w:t>
      </w:r>
      <w:r>
        <w:t>abstract_source=nature_html</w:t>
      </w:r>
    </w:p>
    <w:p>
      <w:pPr>
        <w:spacing w:before="0" w:after="80" w:lineRule="auto" w:line="276"/>
      </w:pPr>
      <w:r>
        <w:rPr>
          <w:b/>
        </w:rPr>
        <w:t xml:space="preserve">摘要（ZH）: </w:t>
      </w:r>
      <w:r>
        <w:t>发表的声明应该是可重复的，当对相同的数据应用相同的分析时，应该产生相同的结果1,2。在这里，我们评估了社会和行为科学领域62本期刊中从2009年到2018年发表的600篇论文的分层随机样本的可重复性。144篇论文（24.0%，95%置信区间（CI）= 20.8–27.6%）的作者提供了数据以评估可重复性，对于另外38篇论文，我们获得了源数据以重建数据集。我们评估了182个可用数据集中的143个，发现76.6篇（53.6%，95% CI = 45.8–60.7%）论文被评为精确可重复，105.0篇（73.5%，95% CI = 66.4–80.0%）被评为至少大致可重复（在原始效果的15%以内或在原始P值的0.05以内）在逆向w之后。</w:t>
      </w:r>
    </w:p>
    <w:p>
      <w:pPr>
        <w:spacing w:before="0" w:after="200" w:lineRule="auto" w:line="276"/>
      </w:pPr>
      <w:r>
        <w:rPr>
          <w:b/>
        </w:rPr>
        <w:t xml:space="preserve">Abstract (EN): </w:t>
      </w:r>
      <w:r>
        <w:t>Published claims should be reproducible, yielding the same result when the same analysis is applied to the same data1,2. Here we assess reproducibility in a stratified random sample of 600 papers published from 2009 to 2018 in 62 journals spanning the social and behavioural sciences. The authors of 144 (24.0%, 95% confidence interval (CI) = 20.8–27.6%) papers made data available to assess reproducibility and, for 38 others, we obtained source data to reconstruct the dataset. We assessed 143 out of the 182 available datasets and found that 76.6 (53.6%, 95% CI = 45.8–60.7%) papers were rated as precisely reproducible and 105.0 (73.5%, 95% CI = 66.4–80.0%) were rated as at least approximately reproducible (within 15% of the original effects or within 0.05 of original P values) after inverse weighting each of the 551 claims by the number of claims per paper. We observed higher reproducibility for papers from political science and economics compared with other fields, for more recent papers compared with older papers and for papers from journals that require data sharing. Implementation of measures to verify that research is reproducible is needed to support trustworthiness in the complex enterprise of knowledge production3,4.</w:t>
      </w:r>
    </w:p>
    <w:p>
      <w:pPr>
        <w:spacing w:before="120" w:after="120"/>
      </w:pPr>
      <w:r>
        <w:rPr>
          <w:sz w:val="18"/>
        </w:rPr>
        <w:t>——————————————————————————————————————————————————————————————————————</w:t>
      </w:r>
    </w:p>
    <w:p>
      <w:pPr>
        <w:spacing w:before="160" w:after="40" w:line="240" w:lineRule="auto"/>
      </w:pPr>
      <w:r>
        <w:rPr>
          <w:b/>
        </w:rPr>
        <w:t xml:space="preserve">[266] </w:t>
      </w:r>
      <w:hyperlink r:id="rId702">
        <w:r>
          <w:rPr>
            <w:color w:val="1155CC"/>
            <w:u w:val="single"/>
          </w:rPr>
          <w:t>化学计量的FeTe是一种超导体</w:t>
        </w:r>
      </w:hyperlink>
    </w:p>
    <w:p>
      <w:pPr>
        <w:spacing w:before="0" w:after="80"/>
      </w:pPr>
      <w:r>
        <w:rPr>
          <w:i/>
          <w:sz w:val="20"/>
        </w:rPr>
        <w:t>EN: Stoichiometric FeTe is a superconductor</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03">
        <w:r>
          <w:rPr>
            <w:color w:val="1155CC"/>
            <w:u w:val="single"/>
          </w:rPr>
          <w:t>10.1038/s41586-026-10321-0</w:t>
        </w:r>
      </w:hyperlink>
    </w:p>
    <w:p>
      <w:pPr>
        <w:spacing w:before="0" w:after="120"/>
      </w:pPr>
      <w:r>
        <w:rPr>
          <w:b/>
        </w:rPr>
        <w:t xml:space="preserve">Notes: </w:t>
      </w:r>
      <w:r>
        <w:t>abstract_source=nature_html</w:t>
      </w:r>
    </w:p>
    <w:p>
      <w:pPr>
        <w:spacing w:before="0" w:after="80" w:lineRule="auto" w:line="276"/>
      </w:pPr>
      <w:r>
        <w:rPr>
          <w:b/>
        </w:rPr>
        <w:t xml:space="preserve">摘要（ZH）: </w:t>
      </w:r>
      <w:r>
        <w:t>铁基超导体（FeSCs）是一类迷人的材料，其中几个电子能带和强反铁磁（AFM）关联是竞争基态的关键成分1,2,3,4,5,6，包括反铁磁性、电子向列性和非常规超导性。与其超导同构体FeSe不同，FeTe长期以来被认为是一种没有超导性的AFM金属7,8,9。在这里，我们使用分子束外延（MBE）生长FeTe薄膜，并在Te通量下进行生长后退火。通过进行自旋极化扫描隧道显微镜和光谱（STM/S），我们证明了在生长的FeTe薄膜中的AFM有序是由破坏理想1:1化学计量比的间隙Fe原子引起的。值得注意的是，去除这些i</w:t>
      </w:r>
    </w:p>
    <w:p>
      <w:pPr>
        <w:spacing w:before="0" w:after="200" w:lineRule="auto" w:line="276"/>
      </w:pPr>
      <w:r>
        <w:rPr>
          <w:b/>
        </w:rPr>
        <w:t xml:space="preserve">Abstract (EN): </w:t>
      </w:r>
      <w:r>
        <w:t>Iron-based superconductors (FeSCs) are a fascinating family of materials in which several electronic bands and strong antiferromagnetic (AFM) correlations are key ingredients for competing ground states1,2,3,4,5,6, including antiferromagnetism, electronic nematicity and unconventional superconductivity. FeTe, unlike its superconducting isostructural counterpart FeSe, has long been considered an AFM metal sans superconductivity7,8,9. Here we use molecular-beam epitaxy (MBE) to grow FeTe films and perform post-growth annealing under a Te flux. By performing spin-polarized scanning tunnelling microscopy and spectroscopy (STM/S), we demonstrate that the AFM order in as-grown FeTe films is induced by interstitial Fe atoms that disrupt the ideal 1:1 stoichiometry. Notably, the removal of these interstitial Fe atoms through Te annealing yields stoichiometric FeTe films that show no AFM order and instead exhibit robust superconductivity with a critical temperature of about 13.5 K. This superconducting state is further confirmed by the observation of Cooper-pair tunnelling, zero electrical resistance and the Meissner effect. Therefore, our results demonstrate that stoichiometric FeTe is inherently a superconductor, overturning a long-held view that it is an AFM metal. This work clarifies the origin of superconductivity in FeTe-based heterostructures10,11,12,13,14,15 and demonstrates the importance of stoichiometry control in understanding the competition between antiferromagnetism and superconductivity in FeSCs.</w:t>
      </w:r>
    </w:p>
    <w:p>
      <w:pPr>
        <w:spacing w:before="120" w:after="120"/>
      </w:pPr>
      <w:r>
        <w:rPr>
          <w:sz w:val="18"/>
        </w:rPr>
        <w:t>——————————————————————————————————————————————————————————————————————</w:t>
      </w:r>
    </w:p>
    <w:p>
      <w:pPr>
        <w:spacing w:before="160" w:after="40" w:line="240" w:lineRule="auto"/>
      </w:pPr>
      <w:r>
        <w:rPr>
          <w:b/>
        </w:rPr>
        <w:t xml:space="preserve">[267] </w:t>
      </w:r>
      <w:hyperlink r:id="rId704">
        <w:r>
          <w:rPr>
            <w:color w:val="1155CC"/>
            <w:u w:val="single"/>
          </w:rPr>
          <w:t>研究社会和行为科学的可重复性</w:t>
        </w:r>
      </w:hyperlink>
    </w:p>
    <w:p>
      <w:pPr>
        <w:spacing w:before="0" w:after="80"/>
      </w:pPr>
      <w:r>
        <w:rPr>
          <w:i/>
          <w:sz w:val="20"/>
        </w:rPr>
        <w:t>EN: Investigating the replicability of the social and behavioural sciences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05">
        <w:r>
          <w:rPr>
            <w:color w:val="1155CC"/>
            <w:u w:val="single"/>
          </w:rPr>
          <w:t>10.1038/s41586-025-10078-y</w:t>
        </w:r>
      </w:hyperlink>
    </w:p>
    <w:p>
      <w:pPr>
        <w:spacing w:before="0" w:after="120"/>
      </w:pPr>
      <w:r>
        <w:rPr>
          <w:b/>
        </w:rPr>
        <w:t xml:space="preserve">Notes: </w:t>
      </w:r>
      <w:r>
        <w:t>abstract_source=nature_html</w:t>
      </w:r>
    </w:p>
    <w:p>
      <w:pPr>
        <w:spacing w:before="0" w:after="80" w:lineRule="auto" w:line="276"/>
      </w:pPr>
      <w:r>
        <w:rPr>
          <w:b/>
        </w:rPr>
        <w:t xml:space="preserve">摘要（ZH）: </w:t>
      </w:r>
      <w:r>
        <w:t>追求可复制性——对先前声明的独立证据——对于创建可推广的知识很重要1,2。在这里，我们尝试复制了从2009年到2018年在社会和行为科学领域54本期刊中发表的164篇定量论文中的274个正结果声明。复制平均具有高功效以检测原始效应大小（中位数为99.6%），在相关和可用时使用原始材料，并通过标准化的内部协议提前进行同行评审。复制在274个声明中的151个（55.1%（95%置信区间（CI）49.2–60.9%））和164篇论文中的80.8个（49.3%（95% CI 43.8–54.7%））中显示出与原始模式一致的统计显著结果，权重为每篇论文复制多个声明。我们观察到适度的</w:t>
      </w:r>
    </w:p>
    <w:p>
      <w:pPr>
        <w:spacing w:before="0" w:after="200" w:lineRule="auto" w:line="276"/>
      </w:pPr>
      <w:r>
        <w:rPr>
          <w:b/>
        </w:rPr>
        <w:t xml:space="preserve">Abstract (EN): </w:t>
      </w:r>
      <w:r>
        <w:t>Pursuing replicability — independent evidence for previous claims — is important for creating generalizable knowledge1,2. Here we attempted replications of 274 claims of positive results from 164 quantitative papers published from 2009 to 2018 in 54 journals in the social and behavioural sciences. Replications were high powered on average to detect the original effect size (median of 99.6%), used original materials when relevant and available, and were peer reviewed in advance through a standardized internal protocol. Replications showed statistically significant results in the original pattern for 151 of 274 claims (55.1% (95% confidence interval (CI) 49.2–60.9%)) and for 80.8 of 164 papers (49.3% (95% CI 43.8–54.7%)), weighed for replicating multiple claims per paper. We observed modest variation in replication rates across disciplines (42.5–63.1%), although some estimates had high uncertainty. The median Pearson’s r effect size was 0.25 (95% CI 0.21–0.27) for original studies and 0.10 (95% CI 0.09–0.13) for replication studies, an 82.4% (95% CI 67.8–88.2%) reduction in shared variance. Thirteen methods for evaluating replication success provided estimates ranging from 28.6% to 74.8% (median of 49.3%). Some decline in effect size and significance is expected based on power to detect original effects and regression to the mean because we replicated only positive results. We observe that challenges for replicability extend across social–behavioural sciences, illustrating the importance of identifying conditions that promote or inhibit replicability3,4.</w:t>
      </w:r>
    </w:p>
    <w:p>
      <w:pPr>
        <w:spacing w:before="120" w:after="120"/>
      </w:pPr>
      <w:r>
        <w:rPr>
          <w:sz w:val="18"/>
        </w:rPr>
        <w:t>——————————————————————————————————————————————————————————————————————</w:t>
      </w:r>
    </w:p>
    <w:p>
      <w:pPr>
        <w:spacing w:before="160" w:after="40" w:line="240" w:lineRule="auto"/>
      </w:pPr>
      <w:r>
        <w:rPr>
          <w:b/>
        </w:rPr>
        <w:t xml:space="preserve">[268] </w:t>
      </w:r>
      <w:hyperlink r:id="rId706">
        <w:r>
          <w:rPr>
            <w:color w:val="1155CC"/>
            <w:u w:val="single"/>
          </w:rPr>
          <w:t>扭曲双层WSe2中超导相图的角度演变</w:t>
        </w:r>
      </w:hyperlink>
    </w:p>
    <w:p>
      <w:pPr>
        <w:spacing w:before="0" w:after="80"/>
      </w:pPr>
      <w:r>
        <w:rPr>
          <w:i/>
          <w:sz w:val="20"/>
        </w:rPr>
        <w:t>EN: Angle evolution of the superconducting phase diagram in twisted bilayer WSe2</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07">
        <w:r>
          <w:rPr>
            <w:color w:val="1155CC"/>
            <w:u w:val="single"/>
          </w:rPr>
          <w:t>10.1038/s41586-026-10357-2</w:t>
        </w:r>
      </w:hyperlink>
    </w:p>
    <w:p>
      <w:pPr>
        <w:spacing w:before="0" w:after="120"/>
      </w:pPr>
      <w:r>
        <w:rPr>
          <w:b/>
        </w:rPr>
        <w:t xml:space="preserve">Notes: </w:t>
      </w:r>
      <w:r>
        <w:t>abstract_source=nature_html</w:t>
      </w:r>
    </w:p>
    <w:p>
      <w:pPr>
        <w:spacing w:before="0" w:after="80" w:lineRule="auto" w:line="276"/>
      </w:pPr>
      <w:r>
        <w:rPr>
          <w:b/>
        </w:rPr>
        <w:t xml:space="preserve">摘要（ZH）: </w:t>
      </w:r>
      <w:r>
        <w:t>最近在扭曲双层WSe2（参考文献1,2）中观察到的超导性将莫尔超导体家族扩展到了扭曲石墨烯之外3,4,5,6,7,8,9,10,11,12,13,14,15。在WSe2中，研究了两个不同的扭曲角度，3.65°（参考文献1）和5.0°（参考文献2），并报告了两个看似不同的超导相图，这引发了关于两个器件中的超导相是否具有相似起源的问题。我们通过实验绘制跨越初始报告定义范围的扭曲角度的器件的相图演变，并将结果与扭曲角度相关的理论进行比较来解决这个问题。我们发现超导状态随着扭曲角度平滑演变，并且在所有扭曲角度下都接近费米面。</w:t>
      </w:r>
    </w:p>
    <w:p>
      <w:pPr>
        <w:spacing w:before="0" w:after="200" w:lineRule="auto" w:line="276"/>
      </w:pPr>
      <w:r>
        <w:rPr>
          <w:b/>
        </w:rPr>
        <w:t xml:space="preserve">Abstract (EN): </w:t>
      </w:r>
      <w:r>
        <w:t>Recent observations of superconductivity in twisted bilayer WSe2 (refs. 1,2) have extended the family of moiré superconductors beyond twisted graphene3,4,5,6,7,8,9,10,11,12,13,14,15. In WSe2, two different twist angles were studied, 3.65° (ref. 1) and 5.0° (ref. 2), and two seemingly distinct superconducting phase diagrams were reported, raising the question of whether the superconducting phases in the two devices share a similar origin. Here we address the question by experimentally mapping the evolution of the phase diagram across devices with twist angles spanning the range defined by the initial reports and comparing the results to twist angle-dependent theory. We find that the superconducting state evolves smoothly with twist angle and at all twist angles is proximal to a Fermi surface reconstruction with, presumably, antiferromagnetic ordering, but is neither necessarily tied to the Van Hove singularity nor to the half-band insulator. Our results connect the previously distinct phase diagrams at 3.65° and 5°, and offer new insight into the origin of the superconductivity in this system and its evolution as the correlation strength increases. More broadly, the smooth phase diagram evolution, repeatability between different devices and dynamic gate tunability within each device establish twisted transition metal dichalcogenides as a unique platform for the study of correlated phases as the ratio of interaction strength to bandwidth is varied.</w:t>
      </w:r>
    </w:p>
    <w:p>
      <w:pPr>
        <w:spacing w:before="120" w:after="120"/>
      </w:pPr>
      <w:r>
        <w:rPr>
          <w:sz w:val="18"/>
        </w:rPr>
        <w:t>——————————————————————————————————————————————————————————————————————</w:t>
      </w:r>
    </w:p>
    <w:p>
      <w:pPr>
        <w:spacing w:before="160" w:after="40" w:line="240" w:lineRule="auto"/>
      </w:pPr>
      <w:r>
        <w:rPr>
          <w:b/>
        </w:rPr>
        <w:t xml:space="preserve">[269] </w:t>
      </w:r>
      <w:hyperlink r:id="rId708">
        <w:r>
          <w:rPr>
            <w:color w:val="1155CC"/>
            <w:u w:val="single"/>
          </w:rPr>
          <w:t>轴突的灵活包裹使复杂CNS网络的髓鞘化成为可能</w:t>
        </w:r>
      </w:hyperlink>
    </w:p>
    <w:p>
      <w:pPr>
        <w:spacing w:before="0" w:after="80"/>
      </w:pPr>
      <w:r>
        <w:rPr>
          <w:i/>
          <w:sz w:val="20"/>
        </w:rPr>
        <w:t>EN: Flexible ensheathment of axons enables myelination of complex CNS networks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09">
        <w:r>
          <w:rPr>
            <w:color w:val="1155CC"/>
            <w:u w:val="single"/>
          </w:rPr>
          <w:t>10.1038/s41586-026-10312-1</w:t>
        </w:r>
      </w:hyperlink>
    </w:p>
    <w:p>
      <w:pPr>
        <w:spacing w:before="0" w:after="120"/>
      </w:pPr>
      <w:r>
        <w:rPr>
          <w:b/>
        </w:rPr>
        <w:t xml:space="preserve">Notes: </w:t>
      </w:r>
      <w:r>
        <w:t>abstract_source=nature_html</w:t>
      </w:r>
    </w:p>
    <w:p>
      <w:pPr>
        <w:spacing w:before="0" w:after="80" w:lineRule="auto" w:line="276"/>
      </w:pPr>
      <w:r>
        <w:rPr>
          <w:b/>
        </w:rPr>
        <w:t xml:space="preserve">摘要（ZH）: </w:t>
      </w:r>
      <w:r>
        <w:t>中枢神经系统（CNS）中由少突胶质细胞形成的髓鞘对电路功能和神经健康至关重要。这些绝缘鞘的分布在大脑区域1、神经元亚型2和个体轴突3,4,5之间差异显著，但控制这种模式的机制尚不清楚。尽管先前的研究表明每个少突胶质细胞过程生成一个髓鞘，但这种轴突包裹模式严重限制了在复杂电路中高度分支轴突上的髓鞘形成6。我们发现，在斑马鱼和小鼠中，单个髓鞘形成过程沿轴突的包裹速度不同。这使得单个少突胶质细胞过程能够在轴突分支点和Ranvier节点之前延伸。</w:t>
      </w:r>
    </w:p>
    <w:p>
      <w:pPr>
        <w:spacing w:before="0" w:after="200" w:lineRule="auto" w:line="276"/>
      </w:pPr>
      <w:r>
        <w:rPr>
          <w:b/>
        </w:rPr>
        <w:t xml:space="preserve">Abstract (EN): </w:t>
      </w:r>
      <w:r>
        <w:t>Myelin sheaths made by oligodendrocytes in the central nervous system (CNS) are critical to circuit function and neural health. The distribution of these insulating sheaths varies substantially between brain regions1, neuron subtypes2 and individual axons3,4,5, but the mechanisms that control this patterning are poorly understood. Although previous studies suggested that each oligodendrocyte process generates a single myelin sheath, this mode of axon ensheathment severely constrains myelination along highly branched axons within complex circuits6. Here we find that axon ensheathment by individual myelinating processes in zebrafish and mouse proceeds at different rates along axons. This enables a single oligodendrocyte process to extend past axon branch points and nodes of Ranvier before ensheathment, resulting in the formation of chains of myelin sheaths connected by thin cytoplasmic processes. In the cerebral cortex, these ‘paranodal bridges’ expand the myelin territory produced by individual oligodendrocytes along the highly branched axons of parvalbumin interneurons. Although flexible ensheathment reduces the need for oligodendrocytes, terminal sheaths in myelin chains degenerated more frequently in the aged brain, suggesting that they are more vulnerable to cellular and environmental stress and disproportionally contribute to myelin loss.</w:t>
      </w:r>
    </w:p>
    <w:p>
      <w:pPr>
        <w:spacing w:before="120" w:after="120"/>
      </w:pPr>
      <w:r>
        <w:rPr>
          <w:sz w:val="18"/>
        </w:rPr>
        <w:t>——————————————————————————————————————————————————————————————————————</w:t>
      </w:r>
    </w:p>
    <w:p>
      <w:pPr>
        <w:spacing w:before="160" w:after="40" w:line="240" w:lineRule="auto"/>
      </w:pPr>
      <w:r>
        <w:rPr>
          <w:b/>
        </w:rPr>
        <w:t xml:space="preserve">[270] </w:t>
      </w:r>
      <w:hyperlink r:id="rId710">
        <w:r>
          <w:rPr>
            <w:color w:val="1155CC"/>
            <w:u w:val="single"/>
          </w:rPr>
          <w:t>全球霍乱大流行的演变</w:t>
        </w:r>
      </w:hyperlink>
    </w:p>
    <w:p>
      <w:pPr>
        <w:spacing w:before="0" w:after="80"/>
      </w:pPr>
      <w:r>
        <w:rPr>
          <w:i/>
          <w:sz w:val="20"/>
        </w:rPr>
        <w:t>EN: Evolution of pandemic cholera at its global source</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11">
        <w:r>
          <w:rPr>
            <w:color w:val="1155CC"/>
            <w:u w:val="single"/>
          </w:rPr>
          <w:t>10.1038/s41586-026-10340-x</w:t>
        </w:r>
      </w:hyperlink>
    </w:p>
    <w:p>
      <w:pPr>
        <w:spacing w:before="0" w:after="120"/>
      </w:pPr>
      <w:r>
        <w:rPr>
          <w:b/>
        </w:rPr>
        <w:t xml:space="preserve">Notes: </w:t>
      </w:r>
      <w:r>
        <w:t>abstract_source=nature_html</w:t>
      </w:r>
    </w:p>
    <w:p>
      <w:pPr>
        <w:spacing w:before="0" w:after="80" w:lineRule="auto" w:line="276"/>
      </w:pPr>
      <w:r>
        <w:rPr>
          <w:b/>
        </w:rPr>
        <w:t xml:space="preserve">摘要（ZH）: </w:t>
      </w:r>
      <w:r>
        <w:t>第七次霍乱大流行，由第七次大流行El Tor谱系的霍乱弧菌引起，先前被证明是从孟加拉湾发出的三次全球波浪，孟加拉国和印度接壤1。然而，恒河三角洲和盆地地区在播种这些全球大流行波中的各自角色尚不清楚。我们发现，尽管孟加拉国和印度之间发生了传播事件，但在过去20年中，两个国家的霍乱弧菌基本上是分别进化的，显然受到国家边界的限制，而不是水文特征，如恒河三角洲和盆地。在孟加拉国的进化与在印度观察到的不同，涉及基因和移动遗传元件的快速获得和丢失，特别是那些涉及噬菌体的。</w:t>
      </w:r>
    </w:p>
    <w:p>
      <w:pPr>
        <w:spacing w:before="0" w:after="200" w:lineRule="auto" w:line="276"/>
      </w:pPr>
      <w:r>
        <w:rPr>
          <w:b/>
        </w:rPr>
        <w:t xml:space="preserve">Abstract (EN): </w:t>
      </w:r>
      <w:r>
        <w:t>The seventh pandemic of cholera, caused by the seventh pandemic El Tor lineage of Vibrio cholerae, was previously shown to have emanated in three global waves from the Bay of Bengal, bordering Bangladesh and India1. However, the respective roles of the Ganges Delta and Basin regions in seeding these global pandemic waves were not known. Here we show that, although transmission events occur between Bangladesh and India, V. cholerae in the two countries has largely evolved separately over the past 20 years, apparently constrained by national borders rather than by hydrological features, such as the Ganges Delta and Basin. Evolution within Bangladesh was distinct from that seen in India, involving rapid gain and loss of genes and mobile genetic elements, particularly those involved in phage defence. The loss of these systems was associated with increased risk of severe disease and transmission outside Bangladesh. Lineage replacement in Bangladesh in 2018, resulting in a major change in phage defence systems, was accompanied by a rapid change in the lineage and anti-defence system of lytic phage ICP1. Here we show that the Ganges Basin, falling across Bangladesh and Northern India, rather than the Ganges Delta, probably acts as a global launch pad for pandemic disease. This shifts our understanding of Bangladesh as the purported global source of cholera and underscores the potential role of phage in controlling spread of lineages within the current seventh pandemic.</w:t>
      </w:r>
    </w:p>
    <w:p>
      <w:pPr>
        <w:spacing w:before="120" w:after="120"/>
      </w:pPr>
      <w:r>
        <w:rPr>
          <w:sz w:val="18"/>
        </w:rPr>
        <w:t>——————————————————————————————————————————————————————————————————————</w:t>
      </w:r>
    </w:p>
    <w:p>
      <w:pPr>
        <w:spacing w:before="160" w:after="40" w:line="240" w:lineRule="auto"/>
      </w:pPr>
      <w:r>
        <w:rPr>
          <w:b/>
        </w:rPr>
        <w:t xml:space="preserve">[271] </w:t>
      </w:r>
      <w:hyperlink r:id="rId712">
        <w:r>
          <w:rPr>
            <w:color w:val="1155CC"/>
            <w:u w:val="single"/>
          </w:rPr>
          <w:t>研究社会和行为科学的分析稳健性</w:t>
        </w:r>
      </w:hyperlink>
    </w:p>
    <w:p>
      <w:pPr>
        <w:spacing w:before="0" w:after="80"/>
      </w:pPr>
      <w:r>
        <w:rPr>
          <w:i/>
          <w:sz w:val="20"/>
        </w:rPr>
        <w:t>EN: Investigating the analytical robustness of the social and behavioural sciences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13">
        <w:r>
          <w:rPr>
            <w:color w:val="1155CC"/>
            <w:u w:val="single"/>
          </w:rPr>
          <w:t>10.1038/s41586-025-09844-9</w:t>
        </w:r>
      </w:hyperlink>
    </w:p>
    <w:p>
      <w:pPr>
        <w:spacing w:before="0" w:after="120"/>
      </w:pPr>
      <w:r>
        <w:rPr>
          <w:b/>
        </w:rPr>
        <w:t xml:space="preserve">Notes: </w:t>
      </w:r>
      <w:r>
        <w:t>abstract_source=nature_html</w:t>
      </w:r>
    </w:p>
    <w:p>
      <w:pPr>
        <w:spacing w:before="0" w:after="80" w:lineRule="auto" w:line="276"/>
      </w:pPr>
      <w:r>
        <w:rPr>
          <w:b/>
        </w:rPr>
        <w:t xml:space="preserve">摘要（ZH）: </w:t>
      </w:r>
      <w:r>
        <w:t>相同的数据集可以通过不同的合理方式进行分析，以回答相同的研究问题，这可能会挑战经验科学的稳健性1,2,3。在这个群众倡议中，我们调查了社会和行为科学研究结果在多大程度上依赖于分析者的选择。我们检查了2009年至2018年间发表的100项研究的分层随机样本，其中每项研究的一个主张至少由五位重新分析者独立重新分析了原始数据。重新分析的统计适当性在同行评估中进行了评估，并沿着一系列研究特征和研究设计检查了稳健性指标。我们发现，34%的独立重新分析得出了相同的结果（在容忍范围内）。</w:t>
      </w:r>
    </w:p>
    <w:p>
      <w:pPr>
        <w:spacing w:before="0" w:after="200" w:lineRule="auto" w:line="276"/>
      </w:pPr>
      <w:r>
        <w:rPr>
          <w:b/>
        </w:rPr>
        <w:t xml:space="preserve">Abstract (EN): </w:t>
      </w:r>
      <w:r>
        <w:t>The same dataset can be analysed in different justifiable ways to answer the same research question, potentially challenging the robustness of empirical science1,2,3. In this crowd initiative, we investigated the degree to which research findings in the social and behavioural sciences are contingent on analysts’ choices. We examined a stratified random sample of 100 studies published between 2009 and 2018, in which, for one claim per study, at least five reanalysts independently reanalysed the original data. The statistical appropriateness of the reanalyses was assessed in peer evaluations, and the robustness indicators were inspected along a range of research characteristics and study designs. We found that 34% of the independent reanalyses yielded the same result (within a tolerance region of ±0.05 Cohen’s d) as the original report; with a four times broader tolerance region, this indicator increased to 57%. Of the reanalyses conducted, 74% reached the same conclusion as the original investigation, 24% yielded no effects or inconclusive results and 2% reported the opposite effect. This exploratory study indicates that the common single-path analyses in social and behavioural research should not be simply assumed to be robust to alternative analyses4. Therefore, we recommend the development and use of practices to explore and communicate this neglected source of uncertainty.</w:t>
      </w:r>
    </w:p>
    <w:p>
      <w:pPr>
        <w:spacing w:before="120" w:after="120"/>
      </w:pPr>
      <w:r>
        <w:rPr>
          <w:sz w:val="18"/>
        </w:rPr>
        <w:t>——————————————————————————————————————————————————————————————————————</w:t>
      </w:r>
    </w:p>
    <w:p>
      <w:pPr>
        <w:spacing w:before="160" w:after="40" w:line="240" w:lineRule="auto"/>
      </w:pPr>
      <w:r>
        <w:rPr>
          <w:b/>
        </w:rPr>
        <w:t xml:space="preserve">[272] </w:t>
      </w:r>
      <w:hyperlink r:id="rId714">
        <w:r>
          <w:rPr>
            <w:color w:val="1155CC"/>
            <w:u w:val="single"/>
          </w:rPr>
          <w:t>双对称性引导的复杂晶格组装</w:t>
        </w:r>
      </w:hyperlink>
    </w:p>
    <w:p>
      <w:pPr>
        <w:spacing w:before="0" w:after="80"/>
      </w:pPr>
      <w:r>
        <w:rPr>
          <w:i/>
          <w:sz w:val="20"/>
        </w:rPr>
        <w:t>EN: Dual-symmetry-guided assembly of complex lattices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15">
        <w:r>
          <w:rPr>
            <w:color w:val="1155CC"/>
            <w:u w:val="single"/>
          </w:rPr>
          <w:t>10.1038/s41586-026-10364-3</w:t>
        </w:r>
      </w:hyperlink>
    </w:p>
    <w:p>
      <w:pPr>
        <w:spacing w:before="0" w:after="120"/>
      </w:pPr>
      <w:r>
        <w:rPr>
          <w:b/>
        </w:rPr>
        <w:t xml:space="preserve">Notes: </w:t>
      </w:r>
      <w:r>
        <w:t>abstract_source=nature_html</w:t>
      </w:r>
    </w:p>
    <w:p>
      <w:pPr>
        <w:spacing w:before="0" w:after="80" w:lineRule="auto" w:line="276"/>
      </w:pPr>
      <w:r>
        <w:rPr>
          <w:b/>
        </w:rPr>
        <w:t xml:space="preserve">摘要（ZH）: </w:t>
      </w:r>
      <w:r>
        <w:t>结合低阶和高阶旋转对称性的复杂晶格是从kagome超导体1,2,3到auxetic机械网络4和具有拓扑保护态的光子晶体5,6,7等功能材料的基础。然而，组装此类结构通常需要各向异性粒子形状、定向键合或完全施加的模板8,9,10,11，这些通常会遭受严重的动力学挫折和缺陷捕获。在此，我们引入了一种双对称性引导（DSG）原理，该原理利用目标镶嵌的几何自对偶性。通过将结构分解为两个互为对偶的低对称性子晶格，并在胶体单层中仅使用光学陷阱稀疏固定一个子晶格，补充的子晶格自发地自组织。</w:t>
      </w:r>
    </w:p>
    <w:p>
      <w:pPr>
        <w:spacing w:before="0" w:after="200" w:lineRule="auto" w:line="276"/>
      </w:pPr>
      <w:r>
        <w:rPr>
          <w:b/>
        </w:rPr>
        <w:t xml:space="preserve">Abstract (EN): </w:t>
      </w:r>
      <w:r>
        <w:t>Complex lattices that combine low- and high-order rotational symmetries underpin functional materials ranging from kagome superconductors1,2,3 to auxetic mechanical networks4 and photonic crystals with topologically protected states5,6,7. However, assembling such structures typically requires anisotropic particle shapes, directional bonding or fully imposed templates8,9,10,11, which often suffer from severe kinetic frustration and defect trapping. Here we introduce a dual-symmetry-guided (DSG) principle that exploits the geometric self-duality of a target tiling. By decomposing the structure into two mutually dual sublattices of lower symmetry and sparsely pinning only one sublattice using optical traps in a colloidal monolayer, the complementary sublattice spontaneously self-organizes through purely isotropic repulsive interactions, thereby reconstructing the full lattice. Using this minimal guidance strategy, we experimentally realize, and corroborate with simulations, a broad class of complex Archimedean lattices as well as two-dimensional quasicrystalline structures. DSG reveals lattice-dependent thermal stability while preserving interconnected free volume for mobile particles, enabling efficient defect relaxation and kinetically accessible assembly even under strong pinning conditions. We show that full pinning corresponds to a special limiting case of DSG, and that reformulating conventional templating protocols within the DSG framework systematically reduces kinetic barriers and suppresses defect formation. By decoupling structural complexity from interaction anisotropy, DSG provides a general and experimentally accessible route to complex-symmetry materials with programmable structural and physical properties.</w:t>
      </w:r>
    </w:p>
    <w:p>
      <w:pPr>
        <w:spacing w:before="120" w:after="120"/>
      </w:pPr>
      <w:r>
        <w:rPr>
          <w:sz w:val="18"/>
        </w:rPr>
        <w:t>——————————————————————————————————————————————————————————————————————</w:t>
      </w:r>
    </w:p>
    <w:p>
      <w:pPr>
        <w:spacing w:before="160" w:after="40" w:line="240" w:lineRule="auto"/>
      </w:pPr>
      <w:r>
        <w:rPr>
          <w:b/>
        </w:rPr>
        <w:t xml:space="preserve">[273] </w:t>
      </w:r>
      <w:hyperlink r:id="rId716">
        <w:r>
          <w:rPr>
            <w:color w:val="1155CC"/>
            <w:u w:val="single"/>
          </w:rPr>
          <w:t>一种带螯肢的节肢动物揭示了螯肢动物的寒武纪起源</w:t>
        </w:r>
      </w:hyperlink>
    </w:p>
    <w:p>
      <w:pPr>
        <w:spacing w:before="0" w:after="80"/>
      </w:pPr>
      <w:r>
        <w:rPr>
          <w:i/>
          <w:sz w:val="20"/>
        </w:rPr>
        <w:t>EN: A chelicera-bearing arthropod reveals the Cambrian origin of chelicerates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17">
        <w:r>
          <w:rPr>
            <w:color w:val="1155CC"/>
            <w:u w:val="single"/>
          </w:rPr>
          <w:t>10.1038/s41586-026-10284-2</w:t>
        </w:r>
      </w:hyperlink>
    </w:p>
    <w:p>
      <w:pPr>
        <w:spacing w:before="0" w:after="120"/>
      </w:pPr>
      <w:r>
        <w:rPr>
          <w:b/>
        </w:rPr>
        <w:t xml:space="preserve">Notes: </w:t>
      </w:r>
      <w:r>
        <w:t>abstract_source=nature_html</w:t>
      </w:r>
    </w:p>
    <w:p>
      <w:pPr>
        <w:spacing w:before="0" w:after="80" w:lineRule="auto" w:line="276"/>
      </w:pPr>
      <w:r>
        <w:rPr>
          <w:b/>
        </w:rPr>
        <w:t xml:space="preserve">摘要（ZH）: </w:t>
      </w:r>
      <w:r>
        <w:t>螯肢类是一个多样性极高（超过120,000种）的节肢动物类群，包括具有深远生态和经济重要性的熟悉类群，如蝎子、蜘蛛和螨虫1。现存的螯肢动物共享一个独特的解剖特征，即螯肢——以简单的钳状螯结束的第一对附肢2。这些主要是捕食性动物的化石记录跨越了近5亿年3，暗示了可能但未记录的寒武纪大爆发期间的起源。Artiopods4,5,6、megacheirans4,7,8,9、habeliids10,11,12,13和mollisoniids14,15被认为是寒武纪的茎或冠群螯肢动物，但它们都缺乏明确的螯肢，使得螯肢节肢动物的出现不清楚。在此，我们描述了Megachelicerax cousteaui gen. et sp. nov.，一个l</w:t>
      </w:r>
    </w:p>
    <w:p>
      <w:pPr>
        <w:spacing w:before="0" w:after="200" w:lineRule="auto" w:line="276"/>
      </w:pPr>
      <w:r>
        <w:rPr>
          <w:b/>
        </w:rPr>
        <w:t xml:space="preserve">Abstract (EN): </w:t>
      </w:r>
      <w:r>
        <w:t>Chelicerata is a megadiverse (over 120,000 species) arthropod clade that includes familiar taxa of profound ecological and economic importance, such as scorpions, spiders and mites1. Extant chelicerates share a unique anatomical character, the chelicerae—feeding first appendages terminated by a simple pincer-like chela2. The fossil record of these primarily predatory animals spans almost 500 million years3, suggesting a likely yet undocumented origin during the Cambrian Explosion. Artiopods4,5,6, megacheirans4,7,8,9, habeliids10,11,12,13 and mollisoniids14,15 have been considered Cambrian stem- or crown-group chelicerates, but they all lack unequivocal chelicerae, leaving the emergence of chelicerae-bearing arthropods unclear. Here we describe Megachelicerax cousteaui gen. et sp. nov., a large soft-bodied arthropod from the middle Cambrian of Utah featuring massive three-segmented chelicerae, along with five pairs of pseudobiramous prosomal limbs with non-foliaceous exopodal rami, and plate-like lamellae-bearing opisthosomal appendages. Bayesian and parsimony phylogenetic analyses resolve Megachelicerax as a stem-group chelicerate bridging Cambrian habeliids and post-Cambrian chelicerae-bearing synziphosurines. This finding provides unequivocal evidence of large predatory chelicerates in the Cambrian, illuminates their body plan’s origin, and confirms habeliids, mollisoniids and probably megacheirans as members of total-group Chelicerata.</w:t>
      </w:r>
    </w:p>
    <w:p>
      <w:pPr>
        <w:spacing w:before="120" w:after="120"/>
      </w:pPr>
      <w:r>
        <w:rPr>
          <w:sz w:val="18"/>
        </w:rPr>
        <w:t>——————————————————————————————————————————————————————————————————————</w:t>
      </w:r>
    </w:p>
    <w:p>
      <w:pPr>
        <w:spacing w:before="160" w:after="40" w:line="240" w:lineRule="auto"/>
      </w:pPr>
      <w:r>
        <w:rPr>
          <w:b/>
        </w:rPr>
        <w:t xml:space="preserve">[274] </w:t>
      </w:r>
      <w:hyperlink r:id="rId718">
        <w:r>
          <w:rPr>
            <w:color w:val="1155CC"/>
            <w:u w:val="single"/>
          </w:rPr>
          <w:t>纳米级转印全彩超高分辨率量子点LED</w:t>
        </w:r>
      </w:hyperlink>
    </w:p>
    <w:p>
      <w:pPr>
        <w:spacing w:before="0" w:after="80"/>
      </w:pPr>
      <w:r>
        <w:rPr>
          <w:i/>
          <w:sz w:val="20"/>
        </w:rPr>
        <w:t>EN: Nanoscale transfer-printed full-colour ultrahigh-resolution quantum dot LEDs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19">
        <w:r>
          <w:rPr>
            <w:color w:val="1155CC"/>
            <w:u w:val="single"/>
          </w:rPr>
          <w:t>10.1038/s41586-026-10333-w</w:t>
        </w:r>
      </w:hyperlink>
    </w:p>
    <w:p>
      <w:pPr>
        <w:spacing w:before="0" w:after="120"/>
      </w:pPr>
      <w:r>
        <w:rPr>
          <w:b/>
        </w:rPr>
        <w:t xml:space="preserve">Notes: </w:t>
      </w:r>
      <w:r>
        <w:t>abstract_source=nature_html</w:t>
      </w:r>
    </w:p>
    <w:p>
      <w:pPr>
        <w:spacing w:before="0" w:after="80" w:lineRule="auto" w:line="276"/>
      </w:pPr>
      <w:r>
        <w:rPr>
          <w:b/>
        </w:rPr>
        <w:t xml:space="preserve">摘要（ZH）: </w:t>
      </w:r>
      <w:r>
        <w:t>全彩超高分辨率量子点发光二极管（URQLEDs）具有高效率和稳定性，是下一代近眼显示器所需的。然而，现有的量子点（QD）图案化技术难以同时实现亚微米像素尺寸、全彩集成和高设备性能。在此，我们报告了一种使用硬硅模板作为纳米压印印章的双重作用力动力学（DAFD）策略，结合整体倒置转印。该方法实现了红绿蓝（RGB）全彩QD像素阵列，密度范围为9,072–25,400像素每英寸（PPI），保持高保真图案复制，保守转印率&gt;99.9%。该方法兼容CdSe/ZnS和钙钛矿QDs。</w:t>
      </w:r>
    </w:p>
    <w:p>
      <w:pPr>
        <w:spacing w:before="0" w:after="200" w:lineRule="auto" w:line="276"/>
      </w:pPr>
      <w:r>
        <w:rPr>
          <w:b/>
        </w:rPr>
        <w:t xml:space="preserve">Abstract (EN): </w:t>
      </w:r>
      <w:r>
        <w:t>Full-colour ultrahigh-resolution quantum dot light-emitting diodes (URQLEDs) with high efficiency and stability are required for next-generation near-eye displays1,2,3. However, existing quantum dot (QD) patterning techniques struggle to simultaneously achieve submicrometre pixel sizes, full-colour integration and high device performance. Here we report a dual-action force dynamics (DAFD) strategy using a hard silicon template as a nanoimprinting stamp, combined with integral inverted transfer printing. This approach enables red–green–blue (RGB) full-colour QD pixel arrays with densities in the range 9,072–25,400 pixels per inch (PPI), maintaining high-fidelity pattern replication with a conservative transfer yield &gt;99.9%. The method is compatible with both CdSe/ZnS and perovskite QDs on rigid and flexible substrates. Beyond patterning, we identify and address a previously underappreciated bottleneck in ultrahigh-resolution devices—electric-field non-uniformity arising from pixel microstructures. Matching the dielectric constant of the leakage-current-blocking layer to that of the QDs by means of TiO2 nanoparticle incorporation yields a more uniform electric-field distribution, effectively suppressing edge effects and enhancing both efficiency and operational stability. Red URQLEDs at 12,700 PPI achieved a peak external quantum efficiency (EQE) of 26.1% and an operational lifetime T95@1,000 cd m−2 of 65,190 h. Comparable enhancements in device performance were obtained for green and blue URQLEDs, with EQE improvements of 124% and 119%, respectively. RGB-pixelated white URQLEDs reached a peak EQE of 10.1%. By integrating these URQLEDs with complementary metal–oxide–semiconductor (CMOS) integrated circuits, we demonstrated solution-processed active-matrix URQLED animated displays.</w:t>
      </w:r>
    </w:p>
    <w:p>
      <w:pPr>
        <w:spacing w:before="120" w:after="120"/>
      </w:pPr>
      <w:r>
        <w:rPr>
          <w:sz w:val="18"/>
        </w:rPr>
        <w:t>——————————————————————————————————————————————————————————————————————</w:t>
      </w:r>
    </w:p>
    <w:p>
      <w:pPr>
        <w:spacing w:before="160" w:after="40" w:line="240" w:lineRule="auto"/>
      </w:pPr>
      <w:r>
        <w:rPr>
          <w:b/>
        </w:rPr>
        <w:t xml:space="preserve">[275] </w:t>
      </w:r>
      <w:hyperlink r:id="rId720">
        <w:r>
          <w:rPr>
            <w:color w:val="1155CC"/>
            <w:u w:val="single"/>
          </w:rPr>
          <w:t>经济学和政治科学研究的可重复性和稳健性</w:t>
        </w:r>
      </w:hyperlink>
    </w:p>
    <w:p>
      <w:pPr>
        <w:spacing w:before="0" w:after="80"/>
      </w:pPr>
      <w:r>
        <w:rPr>
          <w:i/>
          <w:sz w:val="20"/>
        </w:rPr>
        <w:t>EN: Reproducibility and robustness of economics and political science research</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21">
        <w:r>
          <w:rPr>
            <w:color w:val="1155CC"/>
            <w:u w:val="single"/>
          </w:rPr>
          <w:t>10.1038/s41586-026-10251-x</w:t>
        </w:r>
      </w:hyperlink>
    </w:p>
    <w:p>
      <w:pPr>
        <w:spacing w:before="0" w:after="120"/>
      </w:pPr>
      <w:r>
        <w:rPr>
          <w:b/>
        </w:rPr>
        <w:t xml:space="preserve">Notes: </w:t>
      </w:r>
      <w:r>
        <w:t>abstract_source=nature_html</w:t>
      </w:r>
    </w:p>
    <w:p>
      <w:pPr>
        <w:spacing w:before="0" w:after="80" w:lineRule="auto" w:line="276"/>
      </w:pPr>
      <w:r>
        <w:rPr>
          <w:b/>
        </w:rPr>
        <w:t xml:space="preserve">摘要（ZH）: </w:t>
      </w:r>
      <w:r>
        <w:t>科学旨在累积。可重复性努力通过测试已发表研究结果的可靠性、促进自我纠正和为政策制定提供信息来加强科学。计算机再现，即独立研究人员再现已发表研究的结果，是一种重要的诊断工具。这些努力应有更高的可见度。然而，社会科学的再现和稳健性研究在大规模上进行得很少。在此，我们再现了原始分析并对110篇在主要经济学和政治科学期刊上发表的文章进行了稳健性检查，这些期刊具有强制性数据和代码共享政策。我们发现超过85%的已发表声明在计算上是可再现的。</w:t>
      </w:r>
    </w:p>
    <w:p>
      <w:pPr>
        <w:spacing w:before="0" w:after="200" w:lineRule="auto" w:line="276"/>
      </w:pPr>
      <w:r>
        <w:rPr>
          <w:b/>
        </w:rPr>
        <w:t xml:space="preserve">Abstract (EN): </w:t>
      </w:r>
      <w:r>
        <w:t>Science aspires to be cumulative. Reproducibility efforts strengthen science by testing the reliability of published findings, promoting self-correction, and informing policy-making1. Computational reproductions, whereby independent researchers reproduce the results of published studies, are an essential diagnostic tool2,3,4,5,6,7,8,9,10. Such efforts should have greater visibility11,12,13,14,15,16. However, little social science reproduction and robustness has been conducted at scale10,13,17,18,19,20,21,22,23. Here we reproduced original analyses and conducted robustness checks of 110 articles that were published in leading economics and political science journals with mandatory data and code sharing policies17,18. We found that more than 85% of published claims were computationally reproducible. In robustness checks, our reanalyses showed that 72% of statistically significant estimates remain significant and in the same direction, and the median reproduced effect size is nearly the same as the originally published effect size (that is, 99% of the published effect size). Additionally, 6 independent research teams examined 12 pre-specified hypotheses about determinants of robustness. Research teams with more experience found lower levels of robustness, and robustness did not correlate with author characteristics or data availability.</w:t>
      </w:r>
    </w:p>
    <w:p>
      <w:pPr>
        <w:spacing w:before="120" w:after="120"/>
      </w:pPr>
      <w:r>
        <w:rPr>
          <w:sz w:val="18"/>
        </w:rPr>
        <w:t>——————————————————————————————————————————————————————————————————————</w:t>
      </w:r>
    </w:p>
    <w:p>
      <w:pPr>
        <w:spacing w:before="160" w:after="40" w:line="240" w:lineRule="auto"/>
      </w:pPr>
      <w:r>
        <w:rPr>
          <w:b/>
        </w:rPr>
        <w:t xml:space="preserve">[276] </w:t>
      </w:r>
      <w:hyperlink r:id="rId722">
        <w:r>
          <w:rPr>
            <w:color w:val="1155CC"/>
            <w:u w:val="single"/>
          </w:rPr>
          <w:t>庞大的元研究项目对社会科学论文中的主张进行测试</w:t>
        </w:r>
      </w:hyperlink>
    </w:p>
    <w:p>
      <w:pPr>
        <w:spacing w:before="0" w:after="80"/>
      </w:pPr>
      <w:r>
        <w:rPr>
          <w:i/>
          <w:sz w:val="20"/>
        </w:rPr>
        <w:t>EN: Huge meta-research project puts claims in social-science papers to the test</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23">
        <w:r>
          <w:rPr>
            <w:color w:val="1155CC"/>
            <w:u w:val="single"/>
          </w:rPr>
          <w:t>10.1038/d41586-026-00805-4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[277] </w:t>
      </w:r>
      <w:hyperlink r:id="rId724">
        <w:r>
          <w:rPr>
            <w:color w:val="1155CC"/>
            <w:u w:val="single"/>
          </w:rPr>
          <w:t>虚构的引用正在污染科学文献。可以做些什么？</w:t>
        </w:r>
      </w:hyperlink>
    </w:p>
    <w:p>
      <w:pPr>
        <w:spacing w:before="0" w:after="80"/>
      </w:pPr>
      <w:r>
        <w:rPr>
          <w:i/>
          <w:sz w:val="20"/>
        </w:rPr>
        <w:t>EN: Hallucinated citations are polluting the scientific literature. What can be done?</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25">
        <w:r>
          <w:rPr>
            <w:color w:val="1155CC"/>
            <w:u w:val="single"/>
          </w:rPr>
          <w:t>10.1038/d41586-026-00969-z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[278] </w:t>
      </w:r>
      <w:hyperlink r:id="rId726">
        <w:r>
          <w:rPr>
            <w:color w:val="1155CC"/>
            <w:u w:val="single"/>
          </w:rPr>
          <w:t>为什么科学存在可信度问题——以及如何解决</w:t>
        </w:r>
      </w:hyperlink>
    </w:p>
    <w:p>
      <w:pPr>
        <w:spacing w:before="0" w:after="80"/>
      </w:pPr>
      <w:r>
        <w:rPr>
          <w:i/>
          <w:sz w:val="20"/>
        </w:rPr>
        <w:t>EN: Why science has a credibility problem — and how to address it</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27">
        <w:r>
          <w:rPr>
            <w:color w:val="1155CC"/>
            <w:u w:val="single"/>
          </w:rPr>
          <w:t>10.1038/d41586-026-00972-4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[279] </w:t>
      </w:r>
      <w:hyperlink r:id="rId728">
        <w:r>
          <w:rPr>
            <w:color w:val="1155CC"/>
            <w:u w:val="single"/>
          </w:rPr>
          <w:t>催化剂改变工业过程的路径以制造有价值的烃类</w:t>
        </w:r>
      </w:hyperlink>
    </w:p>
    <w:p>
      <w:pPr>
        <w:spacing w:before="0" w:after="80"/>
      </w:pPr>
      <w:r>
        <w:rPr>
          <w:i/>
          <w:sz w:val="20"/>
        </w:rPr>
        <w:t>EN: Catalyst diverts course of industrial process to make valuable hydrocarbons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29">
        <w:r>
          <w:rPr>
            <w:color w:val="1155CC"/>
            <w:u w:val="single"/>
          </w:rPr>
          <w:t>10.1038/d41586-026-00803-6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[280] </w:t>
      </w:r>
      <w:hyperlink r:id="rId730">
        <w:r>
          <w:rPr>
            <w:color w:val="1155CC"/>
            <w:u w:val="single"/>
          </w:rPr>
          <w:t>在反磁性RuO2中180度畴对比的热成像</w:t>
        </w:r>
      </w:hyperlink>
    </w:p>
    <w:p>
      <w:pPr>
        <w:spacing w:before="0" w:after="80"/>
      </w:pPr>
      <w:r>
        <w:rPr>
          <w:i/>
          <w:sz w:val="20"/>
        </w:rPr>
        <w:t>EN: Thermal imaging of 180o domain contrast in altermagnetic RuO2</w:t>
      </w:r>
    </w:p>
    <w:p>
      <w:pPr>
        <w:spacing w:before="0" w:after="120"/>
      </w:pPr>
      <w:r>
        <w:rPr>
          <w:b/>
        </w:rPr>
        <w:t xml:space="preserve">Source: </w:t>
      </w:r>
      <w:r>
        <w:t>National Science Review Advance Access</w:t>
      </w:r>
      <w:r>
        <w:t xml:space="preserve">    </w:t>
      </w:r>
      <w:r>
        <w:rPr>
          <w:b/>
        </w:rPr>
        <w:t xml:space="preserve">Pub date: </w:t>
      </w:r>
      <w:r>
        <w:t>2026-04-01 00:00:00+00:00</w:t>
      </w:r>
      <w:r>
        <w:t xml:space="preserve">    </w:t>
      </w:r>
      <w:r>
        <w:rPr>
          <w:b/>
        </w:rPr>
        <w:t xml:space="preserve">DOI: </w:t>
      </w:r>
      <w:hyperlink r:id="rId731">
        <w:r>
          <w:rPr>
            <w:color w:val="1155CC"/>
            <w:u w:val="single"/>
          </w:rPr>
          <w:t>10.1093/nsr/nwag203</w:t>
        </w:r>
      </w:hyperlink>
    </w:p>
    <w:p>
      <w:pPr>
        <w:spacing w:before="0" w:after="120"/>
      </w:pPr>
      <w:r>
        <w:rPr>
          <w:b/>
        </w:rPr>
        <w:t xml:space="preserve">Notes: </w:t>
      </w:r>
      <w:r>
        <w:t>abstract_source=rss_oup</w:t>
      </w:r>
    </w:p>
    <w:p>
      <w:pPr>
        <w:spacing w:before="0" w:after="80" w:lineRule="auto" w:line="276"/>
      </w:pPr>
      <w:r>
        <w:rPr>
          <w:b/>
        </w:rPr>
        <w:t xml:space="preserve">摘要（ZH）: </w:t>
      </w:r>
      <w:r>
        <w:t>交替磁体具有依赖于Néel矢量的自旋分裂能带结构，为非常规凝聚态现象和自旋电子学应用提供了肥沃的土壤。然而，由于成像具有相反Néel矢量的0度和180度域的障碍，实验访问其特性具有挑战性。在此，通过利用锁定热成像技术来映射源于自旋依赖的Peltier效应的域依赖热对比，我们实现了RuO2交替磁域特征的实空间成像。此外，我们发现磁场冷却可以实现域对齐的确定性控制，从而实现由磁场方向决定的长期期望的均匀0度或180度域。这些可切换的均匀域为</w:t>
      </w:r>
    </w:p>
    <w:p>
      <w:pPr>
        <w:spacing w:before="0" w:after="200" w:lineRule="auto" w:line="276"/>
      </w:pPr>
      <w:r>
        <w:rPr>
          <w:b/>
        </w:rPr>
        <w:t xml:space="preserve">Abstract (EN): </w:t>
      </w:r>
      <w:r>
        <w:t>Altermagnets host Néel-vector-dependent spin-splitting band structures, offering fertile ground for unconventional condensed-matter phenomena and spintronic applications. Experimental access to their properties, however, is challenging due to the obstacle for imaging 0o and 180o domains with opposite Néel vectors. Here, by exploiting the lock-in thermography to map the domain-dependent thermal contrast originating from the spin-dependent Peltier effect, we achieve real-space imaging of altermagnetic domain signatures of RuO2 in the scale of micrometer. Moreover, we find that magnetic field cooling can enable deterministic control of domain alignment and hence achieve the long-desired uniform 0o or 180o domain determined by the magnetic field direction. These switchable uniform domains restore the characteristic macroscopic magneto-responses of altermagnets, such as spin currents arising from the altermagnetic spin-dependent Seebeck effect. Our findings establish a robust thermal fingerprint of altermagnetism and extend the frontier of spin caloritronics into this emerging class of magnetic materials.</w:t>
      </w:r>
    </w:p>
    <w:p>
      <w:pPr>
        <w:spacing w:before="120" w:after="120"/>
      </w:pPr>
      <w:r>
        <w:rPr>
          <w:sz w:val="18"/>
        </w:rPr>
        <w:t>——————————————————————————————————————————————————————————————————————</w:t>
      </w:r>
    </w:p>
    <w:p>
      <w:pPr>
        <w:spacing w:before="160" w:after="40" w:line="240" w:lineRule="auto"/>
      </w:pPr>
      <w:r>
        <w:rPr>
          <w:b/>
        </w:rPr>
        <w:t xml:space="preserve">[281] </w:t>
      </w:r>
      <w:hyperlink r:id="rId732">
        <w:r>
          <w:rPr>
            <w:color w:val="1155CC"/>
            <w:u w:val="single"/>
          </w:rPr>
          <w:t>用于通过纳米孔进行安全信息传输的光响应DNA隐写术</w:t>
        </w:r>
      </w:hyperlink>
    </w:p>
    <w:p>
      <w:pPr>
        <w:spacing w:before="0" w:after="80"/>
      </w:pPr>
      <w:r>
        <w:rPr>
          <w:i/>
          <w:sz w:val="20"/>
        </w:rPr>
        <w:t>EN: Photoresponsive DNA steganography for secure information transmission by nanopore</w:t>
      </w:r>
    </w:p>
    <w:p>
      <w:pPr>
        <w:spacing w:before="0" w:after="120"/>
      </w:pPr>
      <w:r>
        <w:rPr>
          <w:b/>
        </w:rPr>
        <w:t xml:space="preserve">Source: </w:t>
      </w:r>
      <w:r>
        <w:t>National Science Review Advance Access</w:t>
      </w:r>
      <w:r>
        <w:t xml:space="preserve">    </w:t>
      </w:r>
      <w:r>
        <w:rPr>
          <w:b/>
        </w:rPr>
        <w:t xml:space="preserve">Pub date: </w:t>
      </w:r>
      <w:r>
        <w:t>2026-04-01 00:00:00+00:00</w:t>
      </w:r>
      <w:r>
        <w:t xml:space="preserve">    </w:t>
      </w:r>
      <w:r>
        <w:rPr>
          <w:b/>
        </w:rPr>
        <w:t xml:space="preserve">DOI: </w:t>
      </w:r>
      <w:hyperlink r:id="rId733">
        <w:r>
          <w:rPr>
            <w:color w:val="1155CC"/>
            <w:u w:val="single"/>
          </w:rPr>
          <w:t>10.1093/nsr/nwag196</w:t>
        </w:r>
      </w:hyperlink>
    </w:p>
    <w:p>
      <w:pPr>
        <w:spacing w:before="0" w:after="120"/>
      </w:pPr>
      <w:r>
        <w:rPr>
          <w:b/>
        </w:rPr>
        <w:t xml:space="preserve">Notes: </w:t>
      </w:r>
      <w:r>
        <w:t>abstract_source=rss_oup</w:t>
      </w:r>
    </w:p>
    <w:p>
      <w:pPr>
        <w:spacing w:before="0" w:after="80" w:lineRule="auto" w:line="276"/>
      </w:pPr>
      <w:r>
        <w:rPr>
          <w:b/>
        </w:rPr>
        <w:t xml:space="preserve">摘要（ZH）: </w:t>
      </w:r>
      <w:r>
        <w:t>传统的DNA加密方法通常需要额外的非编码链作为物理密钥或覆盖介质，导致由于冗余而密度降低。在此，我们提出了一种基于纳米孔的光响应DNA信息隐写系统（NAPDISS），该系统仅使用五种可异构化的偶氮苯修饰编码DNA来编码26个加密的英文字母，从而消除了额外合成的需要。编码通过两种互补方案实现，包括一个字母代码，其中序列定义的光响应DNA代表字母，以及一个地址代码，其中poly(dA)3 (A3)浓度定义字母的位置。利用光作为秘密密钥，NAPDISS在模糊的纳米孔读数中隐藏信息，仅通过结合照射前后的信息才能恢复。</w:t>
      </w:r>
    </w:p>
    <w:p>
      <w:pPr>
        <w:spacing w:before="0" w:after="200" w:lineRule="auto" w:line="276"/>
      </w:pPr>
      <w:r>
        <w:rPr>
          <w:b/>
        </w:rPr>
        <w:t xml:space="preserve">Abstract (EN): </w:t>
      </w:r>
      <w:r>
        <w:t>Conventional DNA encryption methods often require additional noncoding strands as physical keys or covering media, leading to density decrease from redundancy. Here, we present a nanopore-based photoresponsive DNA information steganography system (NAPDISS) that encodes 26 encrypted English letters using only five isomerizable azobenzene-modified coding DNAs, thereby eliminating the need for extra synthesis. Encoding was implemented through two complementary schemes, comprising a letter code with sequence-defined photoresponsive DNAs representing letters, and an address code with poly(dA)3 (A3) concentrations defining letter’s positions. Utilizing light as secret keys, NAPDISS conceals messages in obscuring nanopore readouts, allowing recovery only through combined pre- and post-irradiation analyses. This approach achieves a logical storage density of 0.2–1.0 bits per nucleotide, about one order of magnitude higher than existing DNA structure-based methods. Moreover, simplified sample processing reduces the readout time from hours to less than 10 minutes. Collectively, this work provides fresh insights to balance density, security and efficiency, advancing DNA steganography toward secure and instantaneous messaging applications.</w:t>
      </w:r>
    </w:p>
    <w:p>
      <w:pPr>
        <w:spacing w:before="120" w:after="120"/>
      </w:pPr>
      <w:r>
        <w:rPr>
          <w:sz w:val="18"/>
        </w:rPr>
        <w:t>——————————————————————————————————————————————————————————————————————</w:t>
      </w:r>
    </w:p>
    <w:p>
      <w:pPr>
        <w:spacing w:before="160" w:after="40" w:line="240" w:lineRule="auto"/>
      </w:pPr>
      <w:r>
        <w:rPr>
          <w:b/>
        </w:rPr>
        <w:t xml:space="preserve">[282] </w:t>
      </w:r>
      <w:hyperlink r:id="rId734">
        <w:r>
          <w:rPr>
            <w:color w:val="1155CC"/>
            <w:u w:val="single"/>
          </w:rPr>
          <w:t>一种莫尔启用的激子晶体</w:t>
        </w:r>
      </w:hyperlink>
    </w:p>
    <w:p>
      <w:pPr>
        <w:spacing w:before="0" w:after="80"/>
      </w:pPr>
      <w:r>
        <w:rPr>
          <w:i/>
          <w:sz w:val="20"/>
        </w:rPr>
        <w:t>EN: A moiré-enabled exciton crystal</w:t>
      </w:r>
    </w:p>
    <w:p>
      <w:pPr>
        <w:spacing w:before="0" w:after="120"/>
      </w:pPr>
      <w:r>
        <w:rPr>
          <w:b/>
        </w:rPr>
        <w:t xml:space="preserve">Source: </w:t>
      </w:r>
      <w:r>
        <w:t>Nature Reviews Materials</w:t>
      </w:r>
      <w:r>
        <w:t xml:space="preserve">    </w:t>
      </w:r>
      <w:r>
        <w:rPr>
          <w:b/>
        </w:rPr>
        <w:t xml:space="preserve">Pub date: </w:t>
      </w:r>
      <w:r>
        <w:t>2026-04-01 00:00:00+00:00</w:t>
      </w:r>
      <w:r>
        <w:t xml:space="preserve">    </w:t>
      </w:r>
      <w:r>
        <w:rPr>
          <w:b/>
        </w:rPr>
        <w:t xml:space="preserve">DOI: </w:t>
      </w:r>
      <w:hyperlink r:id="rId735">
        <w:r>
          <w:rPr>
            <w:color w:val="1155CC"/>
            <w:u w:val="single"/>
          </w:rPr>
          <w:t>10.1038/s41578-026-00916-4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[283] </w:t>
      </w:r>
      <w:hyperlink r:id="rId736">
        <w:r>
          <w:rPr>
            <w:color w:val="1155CC"/>
            <w:u w:val="single"/>
          </w:rPr>
          <w:t>起飞！阿尔忒弥斯II号任务将人类送上月球——开启探索新时代</w:t>
        </w:r>
      </w:hyperlink>
    </w:p>
    <w:p>
      <w:pPr>
        <w:spacing w:before="0" w:after="80"/>
      </w:pPr>
      <w:r>
        <w:rPr>
          <w:i/>
          <w:sz w:val="20"/>
        </w:rPr>
        <w:t>EN: Lift off! Artemis II mission sends humans to the Moon — opening a new era of exploration</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37">
        <w:r>
          <w:rPr>
            <w:color w:val="1155CC"/>
            <w:u w:val="single"/>
          </w:rPr>
          <w:t>10.1038/d41586-026-00978-y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[284] </w:t>
      </w:r>
      <w:hyperlink r:id="rId738">
        <w:r>
          <w:rPr>
            <w:color w:val="1155CC"/>
            <w:u w:val="single"/>
          </w:rPr>
          <w:t>合成燃料的100年</w:t>
        </w:r>
      </w:hyperlink>
    </w:p>
    <w:p>
      <w:pPr>
        <w:spacing w:before="0" w:after="80"/>
      </w:pPr>
      <w:r>
        <w:rPr>
          <w:i/>
          <w:sz w:val="20"/>
        </w:rPr>
        <w:t>EN: 100 years of synthetic fuels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39">
        <w:r>
          <w:rPr>
            <w:color w:val="1155CC"/>
            <w:u w:val="single"/>
          </w:rPr>
          <w:t>10.1038/d41586-026-00808-1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[285] </w:t>
      </w:r>
      <w:hyperlink r:id="rId740">
        <w:r>
          <w:rPr>
            <w:color w:val="1155CC"/>
            <w:u w:val="single"/>
          </w:rPr>
          <w:t>肠神经离子型受体调节盐胁迫抗性</w:t>
        </w:r>
      </w:hyperlink>
    </w:p>
    <w:p>
      <w:pPr>
        <w:spacing w:before="0" w:after="80"/>
      </w:pPr>
      <w:r>
        <w:rPr>
          <w:i/>
          <w:sz w:val="20"/>
        </w:rPr>
        <w:t>EN: An enteric neuron ionotropic receptor regulates salt stress resistance</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41">
        <w:r>
          <w:rPr>
            <w:color w:val="1155CC"/>
            <w:u w:val="single"/>
          </w:rPr>
          <w:t>10.1038/s41586-026-10348-3</w:t>
        </w:r>
      </w:hyperlink>
    </w:p>
    <w:p>
      <w:pPr>
        <w:spacing w:before="0" w:after="120"/>
      </w:pPr>
      <w:r>
        <w:rPr>
          <w:b/>
        </w:rPr>
        <w:t xml:space="preserve">Notes: </w:t>
      </w:r>
      <w:r>
        <w:t>abstract_source=nature_html</w:t>
      </w:r>
    </w:p>
    <w:p>
      <w:pPr>
        <w:spacing w:before="0" w:after="80" w:lineRule="auto" w:line="276"/>
      </w:pPr>
      <w:r>
        <w:rPr>
          <w:b/>
        </w:rPr>
        <w:t xml:space="preserve">摘要（ZH）: </w:t>
      </w:r>
      <w:r>
        <w:t>通过内感受化学感受通路检测内部化学物质对于调节代谢和生理至关重要。内感受器的分子身份以及特定内感受神经元的化学感受功能后果尚未完全描述。秀丽隐杆线虫的咽神经网络在解剖学和功能上类似于哺乳动物的肠神经系统。在此，我们展示了I3咽肠神经元通过I3特异性离子型受体响应阳离子以调节盐胁迫耐受性。GLR-9离子型受体和GLR-7 IR25a共受体同源物定位于I3的肠腔暴露的感觉末端，并且对于盐感知是必要且充分的。I3的盐检测特别保护</w:t>
      </w:r>
    </w:p>
    <w:p>
      <w:pPr>
        <w:spacing w:before="0" w:after="200" w:lineRule="auto" w:line="276"/>
      </w:pPr>
      <w:r>
        <w:rPr>
          <w:b/>
        </w:rPr>
        <w:t xml:space="preserve">Abstract (EN): </w:t>
      </w:r>
      <w:r>
        <w:t>The detection of internal chemicals by interoceptive chemosensory pathways is critical for regulating metabolism and physiology1. The molecular identities of interoceptors, and the functional consequences of chemosensation by specific interoceptive neurons, remain to be fully described. The pharyngeal neuronal network of Caenorhabditis elegans is anatomically and functionally analogous to the mammalian enteric nervous system2,3. Here we show that the I3 pharyngeal enteric neuron responds to cations via an I3-specific ionotropic receptor to regulate salt stress tolerance. The GLR-9 ionotropic receptor and the GLR-7 IR25a co-receptor orthologue localize to the gut lumen-exposed sensory ending of I3, and are necessary and sufficient for salt sensation. Salt detection by I3 protects specifically against high-salt stress, as glr-9 mutants show reduced tolerance of hypertonic salt but not of sugar solutions, with or without prior acclimatization. Whereas cholinergic signalling from I3 promotes tolerance of acute high-salt stress, peptidergic signalling from I3 during acclimatization is essential for resistance to a subsequent high-salt challenge. Transcriptomic and reporter gene analyses show that I3 modulates salt tolerance in part by regulating the expression of salt stress response genes in distal tissues. Correspondingly, mutations in a subset of salt- and GLR-9-regulated genes reduce salt stress resistance. Our results describe the mechanisms by which chemosensation mediated by a defined enteric neuron regulates physiological homeostasis in response to a specific abiotic stress.</w:t>
      </w:r>
    </w:p>
    <w:p>
      <w:pPr>
        <w:spacing w:before="120" w:after="120"/>
      </w:pPr>
      <w:r>
        <w:rPr>
          <w:sz w:val="18"/>
        </w:rPr>
        <w:t>——————————————————————————————————————————————————————————————————————</w:t>
      </w:r>
    </w:p>
    <w:p>
      <w:pPr>
        <w:spacing w:before="160" w:after="40" w:line="240" w:lineRule="auto"/>
      </w:pPr>
      <w:r>
        <w:rPr>
          <w:b/>
        </w:rPr>
        <w:t xml:space="preserve">[286] </w:t>
      </w:r>
      <w:hyperlink r:id="rId742">
        <w:r>
          <w:rPr>
            <w:color w:val="1155CC"/>
            <w:u w:val="single"/>
          </w:rPr>
          <w:t>研究中的更多自我反思可以带来更好的科学</w:t>
        </w:r>
      </w:hyperlink>
    </w:p>
    <w:p>
      <w:pPr>
        <w:spacing w:before="0" w:after="80"/>
      </w:pPr>
      <w:r>
        <w:rPr>
          <w:i/>
          <w:sz w:val="20"/>
        </w:rPr>
        <w:t>EN: More self-reflection in research can lead to better science</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43">
        <w:r>
          <w:rPr>
            <w:color w:val="1155CC"/>
            <w:u w:val="single"/>
          </w:rPr>
          <w:t>10.1038/d41586-026-00965-3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[287] </w:t>
      </w:r>
      <w:hyperlink r:id="rId744">
        <w:r>
          <w:rPr>
            <w:color w:val="1155CC"/>
            <w:u w:val="single"/>
          </w:rPr>
          <w:t>皮层内尖峰和高伽马活动的主动解离</w:t>
        </w:r>
      </w:hyperlink>
    </w:p>
    <w:p>
      <w:pPr>
        <w:spacing w:before="0" w:after="80"/>
      </w:pPr>
      <w:r>
        <w:rPr>
          <w:i/>
          <w:sz w:val="20"/>
        </w:rPr>
        <w:t>EN: Active dissociation of intracortical spiking and high gamma activity</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45">
        <w:r>
          <w:rPr>
            <w:color w:val="1155CC"/>
            <w:u w:val="single"/>
          </w:rPr>
          <w:t>10.1038/s41586-026-10331-y</w:t>
        </w:r>
      </w:hyperlink>
    </w:p>
    <w:p>
      <w:pPr>
        <w:spacing w:before="0" w:after="120"/>
      </w:pPr>
      <w:r>
        <w:rPr>
          <w:b/>
        </w:rPr>
        <w:t xml:space="preserve">Notes: </w:t>
      </w:r>
      <w:r>
        <w:t>abstract_source=nature_html</w:t>
      </w:r>
    </w:p>
    <w:p>
      <w:pPr>
        <w:spacing w:before="0" w:after="80" w:lineRule="auto" w:line="276"/>
      </w:pPr>
      <w:r>
        <w:rPr>
          <w:b/>
        </w:rPr>
        <w:t xml:space="preserve">摘要（ZH）: </w:t>
      </w:r>
      <w:r>
        <w:t>皮层高伽马波段活动（HGA）在许多科学研究中被使用，但其生物物理来源仍然存在争议。两个主要假设是HGA主要代表汇总的突触后电位，或者更常见的是，它主要代表汇总的局部尖峰。如果后者为真，则离电极最近的神经元应对该电极上记录的HGA贡献最大。为了测试这些假设，我们训练了猴子（Macaca mulatta）使用脑机接口将局部尖峰与单个电极上的HGA解耦。它们能够解耦它们，这表明HGA可能不是简单地由汇总的局部尖峰产生的。相反，HGA与更广泛的神经元群体的共同发放相关。</w:t>
      </w:r>
    </w:p>
    <w:p>
      <w:pPr>
        <w:spacing w:before="0" w:after="200" w:lineRule="auto" w:line="276"/>
      </w:pPr>
      <w:r>
        <w:rPr>
          <w:b/>
        </w:rPr>
        <w:t xml:space="preserve">Abstract (EN): </w:t>
      </w:r>
      <w:r>
        <w:t>Cortical high gamma-band activity (HGA) is used in many scientific investigations1,2,3,4,5,6,7,8,9,10,11,12,13,14,15,16,17,18, yet its biophysical source is a matter of debate. Two leading hypotheses are that HGA predominantly represents summed postsynaptic potentials or—more commonly—that it predominantly represents summed local spikes. If the latter were true, the nearest neurons to an electrode should contribute most to HGA recorded on that electrode. To test these hypotheses, here we trained monkeys (Macaca mulatta) to decouple local spiking from HGA on a single electrode using a brain–machine interface. Their ability to decouple them suggested that HGA is probably not generated simply by summed local spiking. Instead, HGA correlated with co-firing of neuronal populations that were widely distributed across millimetres of cortex. The neuronal spikes that contributed more to this co-firing also contributed more to, and preceded, spike-triggered HGA. These results suggest that HGA arises mainly from summed postsynaptic potentials triggered by the synchronous co-firing of widely distributed neurons.</w:t>
      </w:r>
    </w:p>
    <w:p>
      <w:pPr>
        <w:spacing w:before="120" w:after="120"/>
      </w:pPr>
      <w:r>
        <w:rPr>
          <w:sz w:val="18"/>
        </w:rPr>
        <w:t>——————————————————————————————————————————————————————————————————————</w:t>
      </w:r>
    </w:p>
    <w:p>
      <w:pPr>
        <w:spacing w:before="160" w:after="40" w:line="240" w:lineRule="auto"/>
      </w:pPr>
      <w:r>
        <w:rPr>
          <w:b/>
        </w:rPr>
        <w:t xml:space="preserve">[288] </w:t>
      </w:r>
      <w:hyperlink r:id="rId746">
        <w:r>
          <w:rPr>
            <w:color w:val="1155CC"/>
            <w:u w:val="single"/>
          </w:rPr>
          <w:t>虚假希望</w:t>
        </w:r>
      </w:hyperlink>
    </w:p>
    <w:p>
      <w:pPr>
        <w:spacing w:before="0" w:after="80"/>
      </w:pPr>
      <w:r>
        <w:rPr>
          <w:i/>
          <w:sz w:val="20"/>
        </w:rPr>
        <w:t>EN: False hope</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47">
        <w:r>
          <w:rPr>
            <w:color w:val="1155CC"/>
            <w:u w:val="single"/>
          </w:rPr>
          <w:t>10.1038/d41586-026-00616-7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[289] </w:t>
      </w:r>
      <w:hyperlink r:id="rId748">
        <w:r>
          <w:rPr>
            <w:color w:val="1155CC"/>
            <w:u w:val="single"/>
          </w:rPr>
          <w:t>‘复制游戏’测试社会科学研究的稳健性</w:t>
        </w:r>
      </w:hyperlink>
    </w:p>
    <w:p>
      <w:pPr>
        <w:spacing w:before="0" w:after="80"/>
      </w:pPr>
      <w:r>
        <w:rPr>
          <w:i/>
          <w:sz w:val="20"/>
        </w:rPr>
        <w:t>EN: ‘Replication games’ test the robustness of social-science studies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49">
        <w:r>
          <w:rPr>
            <w:color w:val="1155CC"/>
            <w:u w:val="single"/>
          </w:rPr>
          <w:t>10.1038/d41586-026-00684-9</w:t>
        </w:r>
      </w:hyperlink>
    </w:p>
    <w:p>
      <w:pPr>
        <w:spacing w:before="0" w:after="120"/>
      </w:pPr>
      <w:r>
        <w:rPr>
          <w:b/>
        </w:rPr>
        <w:t xml:space="preserve">Notes: </w:t>
      </w:r>
      <w:r>
        <w:t>abstract_source=openalex</w:t>
      </w:r>
    </w:p>
    <w:p>
      <w:pPr>
        <w:spacing w:before="0" w:after="80" w:lineRule="auto" w:line="276"/>
      </w:pPr>
      <w:r>
        <w:rPr>
          <w:b/>
        </w:rPr>
        <w:t xml:space="preserve">摘要（ZH）: </w:t>
      </w:r>
      <w:r>
        <w:t>对110篇发表在顶级经济学和政治科学期刊上的文章进行的大规模评估发现，超过85%的文章在计算上是可重复的，72%的统计显著结果在稳健性检查中仍然显著且方向一致。约25%的评估文章包含非平凡的编码错误。复制经济学和政治科学研究的工作强调了共享数据和代码的重要性。</w:t>
      </w:r>
    </w:p>
    <w:p>
      <w:pPr>
        <w:spacing w:before="0" w:after="200" w:lineRule="auto" w:line="276"/>
      </w:pPr>
      <w:r>
        <w:rPr>
          <w:b/>
        </w:rPr>
        <w:t xml:space="preserve">Abstract (EN): </w:t>
      </w:r>
      <w:r>
        <w:t>A large-scale assessment of the reproducibility and robustness of 110 articles published in leading economics and political-science journals finds that more than 85% were computationally reproducible, and 72% of statistically significant results remained significant and in the same direction in robustness checks. About 25% of the evaluated articles contained non‑trivial coding errors. Work to replicate studies in economics and political science highlights the importance of sharing data and code.</w:t>
      </w:r>
    </w:p>
    <w:p>
      <w:pPr>
        <w:spacing w:before="120" w:after="120"/>
      </w:pPr>
      <w:r>
        <w:rPr>
          <w:sz w:val="18"/>
        </w:rPr>
        <w:t>——————————————————————————————————————————————————————————————————————</w:t>
      </w:r>
    </w:p>
    <w:p>
      <w:pPr>
        <w:spacing w:before="160" w:after="40" w:line="240" w:lineRule="auto"/>
      </w:pPr>
      <w:r>
        <w:rPr>
          <w:b/>
        </w:rPr>
        <w:t xml:space="preserve">[290] </w:t>
      </w:r>
      <w:hyperlink r:id="rId750">
        <w:r>
          <w:rPr>
            <w:color w:val="1155CC"/>
            <w:u w:val="single"/>
          </w:rPr>
          <w:t>钳形运动：化石将螯肢类节肢动物的起源推回到寒武纪</w:t>
        </w:r>
      </w:hyperlink>
    </w:p>
    <w:p>
      <w:pPr>
        <w:spacing w:before="0" w:after="80"/>
      </w:pPr>
      <w:r>
        <w:rPr>
          <w:i/>
          <w:sz w:val="20"/>
        </w:rPr>
        <w:t>EN: Pincer movement: fossil pushes origins of chelicerate arthropods back to the Cambrian period</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51">
        <w:r>
          <w:rPr>
            <w:color w:val="1155CC"/>
            <w:u w:val="single"/>
          </w:rPr>
          <w:t>10.1038/d41586-026-00807-2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[291] </w:t>
      </w:r>
      <w:hyperlink r:id="rId752">
        <w:r>
          <w:rPr>
            <w:color w:val="1155CC"/>
            <w:u w:val="single"/>
          </w:rPr>
          <w:t>一半的社会科学研究在多年项目中未通过重复性测试</w:t>
        </w:r>
      </w:hyperlink>
    </w:p>
    <w:p>
      <w:pPr>
        <w:spacing w:before="0" w:after="80"/>
      </w:pPr>
      <w:r>
        <w:rPr>
          <w:i/>
          <w:sz w:val="20"/>
        </w:rPr>
        <w:t>EN: Half of social-science studies fail replication test in years-long project</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53">
        <w:r>
          <w:rPr>
            <w:color w:val="1155CC"/>
            <w:u w:val="single"/>
          </w:rPr>
          <w:t>10.1038/d41586-026-00955-5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[292] </w:t>
      </w:r>
      <w:hyperlink r:id="rId754">
        <w:r>
          <w:rPr>
            <w:color w:val="1155CC"/>
            <w:u w:val="single"/>
          </w:rPr>
          <w:t>减少飞机烟灰排放不足以抑制航迹云</w:t>
        </w:r>
      </w:hyperlink>
    </w:p>
    <w:p>
      <w:pPr>
        <w:spacing w:before="0" w:after="80"/>
      </w:pPr>
      <w:r>
        <w:rPr>
          <w:i/>
          <w:sz w:val="20"/>
        </w:rPr>
        <w:t>EN: Cutting aircraft soot emissions is not enough to curb contrail clouds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55">
        <w:r>
          <w:rPr>
            <w:color w:val="1155CC"/>
            <w:u w:val="single"/>
          </w:rPr>
          <w:t>10.1038/d41586-026-00931-z</w:t>
        </w:r>
      </w:hyperlink>
    </w:p>
    <w:p>
      <w:pPr>
        <w:spacing w:before="0" w:after="120"/>
      </w:pPr>
      <w:r>
        <w:rPr>
          <w:b/>
        </w:rPr>
        <w:t xml:space="preserve">Notes: </w:t>
      </w:r>
      <w:r>
        <w:t>abstract_source=openalex</w:t>
      </w:r>
    </w:p>
    <w:p>
      <w:pPr>
        <w:spacing w:before="0" w:after="80" w:lineRule="auto" w:line="276"/>
      </w:pPr>
      <w:r>
        <w:rPr>
          <w:b/>
        </w:rPr>
        <w:t xml:space="preserve">摘要（ZH）: </w:t>
      </w:r>
      <w:r>
        <w:t>喷气发动机形成的航迹云对全球变暖有贡献。对客机排放的颗粒物和产生的航迹云进行的飞行中测量显示，航迹云是通过不同机制形成的，具体取决于烟灰排放水平和燃料成分，这可能会重塑我们对航空气候影响的理解。低烟灰喷气发动机通过释放挥发性化合物形成航迹云。</w:t>
      </w:r>
    </w:p>
    <w:p>
      <w:pPr>
        <w:spacing w:before="0" w:after="200" w:lineRule="auto" w:line="276"/>
      </w:pPr>
      <w:r>
        <w:rPr>
          <w:b/>
        </w:rPr>
        <w:t xml:space="preserve">Abstract (EN): </w:t>
      </w:r>
      <w:r>
        <w:t>The contrail clouds formed by jet engines contribute to global warming. In-flight measurements of the particles emitted and contrails produced by a passenger jet show that contrails are formed through different mechanisms, depending on the soot-emission level and the fuel composition, potentially reshaping our understanding of the climate impact of aviation. Low-soot jet aircraft engines form contrail clouds by releasing volatile compounds.</w:t>
      </w:r>
    </w:p>
    <w:p>
      <w:pPr>
        <w:spacing w:before="120" w:after="120"/>
      </w:pPr>
      <w:r>
        <w:rPr>
          <w:sz w:val="18"/>
        </w:rPr>
        <w:t>——————————————————————————————————————————————————————————————————————</w:t>
      </w:r>
    </w:p>
    <w:p>
      <w:pPr>
        <w:spacing w:before="160" w:after="40" w:line="240" w:lineRule="auto"/>
      </w:pPr>
      <w:r>
        <w:rPr>
          <w:b/>
        </w:rPr>
        <w:t xml:space="preserve">[293] </w:t>
      </w:r>
      <w:hyperlink r:id="rId756">
        <w:r>
          <w:rPr>
            <w:color w:val="1155CC"/>
            <w:u w:val="single"/>
          </w:rPr>
          <w:t>当世界‘着火’时难以专注于研究？一些应对方法</w:t>
        </w:r>
      </w:hyperlink>
    </w:p>
    <w:p>
      <w:pPr>
        <w:spacing w:before="0" w:after="80"/>
      </w:pPr>
      <w:r>
        <w:rPr>
          <w:i/>
          <w:sz w:val="20"/>
        </w:rPr>
        <w:t>EN: Struggling to focus on research when the world is ‘on fire’? Some ways to cope</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57">
        <w:r>
          <w:rPr>
            <w:color w:val="1155CC"/>
            <w:u w:val="single"/>
          </w:rPr>
          <w:t>10.1038/d41586-026-00264-x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[294] </w:t>
      </w:r>
      <w:hyperlink r:id="rId758">
        <w:r>
          <w:rPr>
            <w:color w:val="1155CC"/>
            <w:u w:val="single"/>
          </w:rPr>
          <w:t>外皮层CUX2神经元的扩展需要适应DNA修复</w:t>
        </w:r>
      </w:hyperlink>
    </w:p>
    <w:p>
      <w:pPr>
        <w:spacing w:before="0" w:after="80"/>
      </w:pPr>
      <w:r>
        <w:rPr>
          <w:i/>
          <w:sz w:val="20"/>
        </w:rPr>
        <w:t>EN: Expansion of outer cortical CUX2 neurons requires adaptations for DNA repair</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59">
        <w:r>
          <w:rPr>
            <w:color w:val="1155CC"/>
            <w:u w:val="single"/>
          </w:rPr>
          <w:t>10.1038/s41586-026-10290-4</w:t>
        </w:r>
      </w:hyperlink>
    </w:p>
    <w:p>
      <w:pPr>
        <w:spacing w:before="0" w:after="120"/>
      </w:pPr>
      <w:r>
        <w:rPr>
          <w:b/>
        </w:rPr>
        <w:t xml:space="preserve">Notes: </w:t>
      </w:r>
      <w:r>
        <w:t>abstract_source=nature_html</w:t>
      </w:r>
    </w:p>
    <w:p>
      <w:pPr>
        <w:spacing w:before="0" w:after="80" w:lineRule="auto" w:line="276"/>
      </w:pPr>
      <w:r>
        <w:rPr>
          <w:b/>
        </w:rPr>
        <w:t xml:space="preserve">摘要（ZH）: </w:t>
      </w:r>
      <w:r>
        <w:t>在哺乳动物进化过程中，上皮层第2层和第3层（L2/3）的兴奋性神经元相比其他层显示出不成比例的扩展。皮层神经祖细胞的复制性扩展与相当大的氧化性DNA损伤有关。我们在此展示，激活转录因子4（ATF4）作为DNA损伤反应的关键调节因子，直接激活双链DNA修复的组成部分，包括CIRBP、UBA52和EBF1。值得注意的是，全皮层敲除（Emx1-Cre;Atf4fl/fl）表明ATF4对上层2/3神经元的发育是必需的，这些神经元以cut-like同源框蛋白2（CUX2）的表达为标志。ATF4的功能是修复DNA损伤并减轻胚胎放射状胶质祖细胞的细胞死亡。</w:t>
      </w:r>
    </w:p>
    <w:p>
      <w:pPr>
        <w:spacing w:before="0" w:after="200" w:lineRule="auto" w:line="276"/>
      </w:pPr>
      <w:r>
        <w:rPr>
          <w:b/>
        </w:rPr>
        <w:t xml:space="preserve">Abstract (EN): </w:t>
      </w:r>
      <w:r>
        <w:t>During mammalian evolution, excitatory neurons in upper cortical layer 2 and layer 3 (L2/3) have shown a disproportionate expansion compared with other layers1,2,3,4. Replicative expansion of cortical neural progenitors is associated with considerable oxidative DNA damage. Here we show that activating transcription factor 4 (ATF4) has roles as a critical regulator of the DNA damage response, directly activating components of double-stranded DNA repair, including CIRBP, UBA52 and EBF1. Notably, pan-cortical knockout (Emx1-Cre;Atf4fl/fl) demonstrates that ATF4 is required specifically for the development of upper layer 2/3 neurons, marked by the expression of cut-like homeobox 2 protein, CUX2. ATF4 functions to repair DNA damage and attenuate cell death of embryonic radial glial progenitors in a p53-dependent manner. In particular, we show that cold inducible RNA-binding protein (CIRBP) is a transcriptional target of ATF4 that is required for normal phosphorylation of the key double-strand DNA repair factor ataxia telangiectasia mutated (ATM). These findings establish that ATF4 is an essential regulator of the DNA damage response. They further indicate that there are extraordinary requirements for DNA repair after replicative stress in CUX2+ neurons during mammalian brain development.</w:t>
      </w:r>
    </w:p>
    <w:p>
      <w:pPr>
        <w:spacing w:before="120" w:after="120"/>
      </w:pPr>
      <w:r>
        <w:rPr>
          <w:sz w:val="18"/>
        </w:rPr>
        <w:t>——————————————————————————————————————————————————————————————————————</w:t>
      </w:r>
    </w:p>
    <w:p>
      <w:pPr>
        <w:spacing w:before="160" w:after="40" w:line="240" w:lineRule="auto"/>
      </w:pPr>
      <w:r>
        <w:rPr>
          <w:b/>
        </w:rPr>
        <w:t xml:space="preserve">[295] </w:t>
      </w:r>
      <w:hyperlink r:id="rId760">
        <w:r>
          <w:rPr>
            <w:color w:val="1155CC"/>
            <w:u w:val="single"/>
          </w:rPr>
          <w:t>慢性疼痛驱动的脊髓-大脑-脊髓回路的解构</w:t>
        </w:r>
      </w:hyperlink>
    </w:p>
    <w:p>
      <w:pPr>
        <w:spacing w:before="0" w:after="80"/>
      </w:pPr>
      <w:r>
        <w:rPr>
          <w:i/>
          <w:sz w:val="20"/>
        </w:rPr>
        <w:t>EN: Deconstruction of a spino-brain–spinal cord circuit that drives chronic pain</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61">
        <w:r>
          <w:rPr>
            <w:color w:val="1155CC"/>
            <w:u w:val="single"/>
          </w:rPr>
          <w:t>10.1038/s41586-026-10296-y</w:t>
        </w:r>
      </w:hyperlink>
    </w:p>
    <w:p>
      <w:pPr>
        <w:spacing w:before="0" w:after="120"/>
      </w:pPr>
      <w:r>
        <w:rPr>
          <w:b/>
        </w:rPr>
        <w:t xml:space="preserve">Notes: </w:t>
      </w:r>
      <w:r>
        <w:t>abstract_source=nature_html</w:t>
      </w:r>
    </w:p>
    <w:p>
      <w:pPr>
        <w:spacing w:before="0" w:after="80" w:lineRule="auto" w:line="276"/>
      </w:pPr>
      <w:r>
        <w:rPr>
          <w:b/>
        </w:rPr>
        <w:t xml:space="preserve">摘要（ZH）: </w:t>
      </w:r>
      <w:r>
        <w:t>外围的组织炎症或神经损伤可能导致慢性疼痛。尽管在头侧腹内侧延髓（RVMSC神经元）中投射到脊髓的神经元可以促进疼痛的慢性化1,2,3,4，但外周损伤信号驱动这些神经元的途径尚不清楚1,2,3,5。在此，我们报告了一个从脊髓延伸到腹侧后外侧丘脑和丘脑后复合体的回路环，经过初级躯体感觉皮层并通过外侧上丘返回脊髓，进而连接到表达μ-阿片受体的RVMSC神经元。沉默该多突触回路的任何节点对健康小鼠的痛觉感知影响最小，但可以消除机械性高敏感化并恢复无</w:t>
      </w:r>
    </w:p>
    <w:p>
      <w:pPr>
        <w:spacing w:before="0" w:after="200" w:lineRule="auto" w:line="276"/>
      </w:pPr>
      <w:r>
        <w:rPr>
          <w:b/>
        </w:rPr>
        <w:t xml:space="preserve">Abstract (EN): </w:t>
      </w:r>
      <w:r>
        <w:t>Tissue inflammation or nerve injury at the periphery can cause chronic pain. Although the spinal-cord-projecting neurons in the rostral ventromedial medulla (RVMSC neurons) can promote pain chronification1,2,3,4, the pathway by which peripheral injury signals drive these neurons is poorly understood1,2,3,5. Here we report a circuit loop that extends from the spinal cord to the ventral posterolateral thalamus and posterior complex of the thalamus, proceeds to the primary somatosensory cortex and returns to the spinal cord via the lateral superior colliculus, which in turn connects to μ-opioid-receptor-expressing RVMSC neurons. Silencing any node along this multisynaptic circuit has minimal effects on nociception in healthy mice, but can eliminate mechanical hypersensitization and restore normal nociceptive response thresholds in mouse models of inflammatory and neuropathic pain. In healthy mice, repetitive—but not acute—activation of each node in this circuit is sufficient to cause robust chronic mechanical hypersensitization. Our findings reveal a spino-brain–spinal cord circuit loop that links ascending and descending pathways and specifically drives chronic mechanical pain. This could enable the identification of cellular targets for treating chronic pain.</w:t>
      </w:r>
    </w:p>
    <w:p>
      <w:pPr>
        <w:spacing w:before="120" w:after="120"/>
      </w:pPr>
      <w:r>
        <w:rPr>
          <w:sz w:val="18"/>
        </w:rPr>
        <w:t>——————————————————————————————————————————————————————————————————————</w:t>
      </w:r>
    </w:p>
    <w:p>
      <w:pPr>
        <w:spacing w:before="160" w:after="40" w:line="240" w:lineRule="auto"/>
      </w:pPr>
      <w:r>
        <w:rPr>
          <w:b/>
        </w:rPr>
        <w:t xml:space="preserve">[296] </w:t>
      </w:r>
      <w:hyperlink r:id="rId762">
        <w:r>
          <w:rPr>
            <w:color w:val="1155CC"/>
            <w:u w:val="single"/>
          </w:rPr>
          <w:t>电偶极矩驱动TNFR1复合物I信号体的动态</w:t>
        </w:r>
      </w:hyperlink>
    </w:p>
    <w:p>
      <w:pPr>
        <w:spacing w:before="0" w:after="80"/>
      </w:pPr>
      <w:r>
        <w:rPr>
          <w:i/>
          <w:sz w:val="20"/>
        </w:rPr>
        <w:t>EN: Electric dipole moment drives the dynamics of the TNFR1 complex I signalosome</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63">
        <w:r>
          <w:rPr>
            <w:color w:val="1155CC"/>
            <w:u w:val="single"/>
          </w:rPr>
          <w:t>10.1038/s41586-026-10304-1</w:t>
        </w:r>
      </w:hyperlink>
    </w:p>
    <w:p>
      <w:pPr>
        <w:spacing w:before="0" w:after="120"/>
      </w:pPr>
      <w:r>
        <w:rPr>
          <w:b/>
        </w:rPr>
        <w:t xml:space="preserve">Notes: </w:t>
      </w:r>
      <w:r>
        <w:t>abstract_source=nature_html</w:t>
      </w:r>
    </w:p>
    <w:p>
      <w:pPr>
        <w:spacing w:before="0" w:after="80" w:lineRule="auto" w:line="276"/>
      </w:pPr>
      <w:r>
        <w:rPr>
          <w:b/>
        </w:rPr>
        <w:t xml:space="preserve">摘要（ZH）: </w:t>
      </w:r>
      <w:r>
        <w:t>由三个死亡结构域（DD）含有蛋白质—TNFR1、TRADD和RIPK1—介导的复合物I信号体的动态组装是将细胞外TNF刺激传递到细胞内NF-κB信号以控制“生或死”细胞命运的关键1。该信号枢纽在TNFR1与TNF结合后迅速招募TRADD和RIPK1以形成复合物I，随后通过定时解体过渡到下游信号复合物2,3，但驱动复合物I动态可逆性的机制仍不清楚。在此，我们捕获了复合物I的组装核心并确定了其冷冻电子显微镜结构，显示出由31个DD组成的五聚体纤维，其中一个TRADD-DD五聚体层夹在多个TNFR1-DD和RIPK</w:t>
      </w:r>
    </w:p>
    <w:p>
      <w:pPr>
        <w:spacing w:before="0" w:after="200" w:lineRule="auto" w:line="276"/>
      </w:pPr>
      <w:r>
        <w:rPr>
          <w:b/>
        </w:rPr>
        <w:t xml:space="preserve">Abstract (EN): </w:t>
      </w:r>
      <w:r>
        <w:t>Dynamic assembly of the complex I signalosome mediated by three death domain (DD)-containing proteins—TNFR1, TRADD and RIPK1—is key for transmitting extracellular TNF stimuli to intracellular NF-κB signalling in controlling ‘live or die’ cell fate1. This signalling hub features the rapid recruitment of TRADD and RIPK1 after engagement of TNFR1 by TNF for the formation of complex I, followed by timed disassembly for transition into downstream signalling complexes2,3, but the mechanism driving the dynamic reversibility of complex I remains unclear. Here we captured the assembly core of complex I and determined its cryo-electron microscopy structure, showing a pentameric fibre comprising 31 DDs, with a single layer of a TRADD-DD pentamer sandwiched between multiple layers of TNFR1-DD and RIPK1-DD homopentamers. Structural analysis revealed a strong opposing electric dipole moment (EDM) generated by RIPK1-DD oligomerization relative to that of TNFR1-DD and TRADD-DD. Structure-guided mutagenesis in TNFR1–TRADD–RIPK1 pentameric fibres altering the EDM without affecting DD oligomerization demonstrated the role and mechanism of EDM in driving the dynamic reversibility mediating the rapid assembly and disassembly of complex I. Our study demonstrates a role for long-range interactions mediated by protein EDMs in driving the assembly and disassembly of super-signalling complex I for promoting NF-κB signalling.</w:t>
      </w:r>
    </w:p>
    <w:p>
      <w:pPr>
        <w:spacing w:before="120" w:after="120"/>
      </w:pPr>
      <w:r>
        <w:rPr>
          <w:sz w:val="18"/>
        </w:rPr>
        <w:t>——————————————————————————————————————————————————————————————————————</w:t>
      </w:r>
    </w:p>
    <w:p>
      <w:pPr>
        <w:spacing w:before="160" w:after="40" w:line="240" w:lineRule="auto"/>
      </w:pPr>
      <w:r>
        <w:rPr>
          <w:b/>
        </w:rPr>
        <w:t xml:space="preserve">[297] </w:t>
      </w:r>
      <w:hyperlink r:id="rId764">
        <w:r>
          <w:rPr>
            <w:color w:val="1155CC"/>
            <w:u w:val="single"/>
          </w:rPr>
          <w:t>动态社会专业化的多巴胺机制</w:t>
        </w:r>
      </w:hyperlink>
    </w:p>
    <w:p>
      <w:pPr>
        <w:spacing w:before="0" w:after="80"/>
      </w:pPr>
      <w:r>
        <w:rPr>
          <w:i/>
          <w:sz w:val="20"/>
        </w:rPr>
        <w:t>EN: Dopaminergic mechanisms of dynamical social specialization</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65">
        <w:r>
          <w:rPr>
            <w:color w:val="1155CC"/>
            <w:u w:val="single"/>
          </w:rPr>
          <w:t>10.1038/s41586-026-10301-4</w:t>
        </w:r>
      </w:hyperlink>
    </w:p>
    <w:p>
      <w:pPr>
        <w:spacing w:before="0" w:after="120"/>
      </w:pPr>
      <w:r>
        <w:rPr>
          <w:b/>
        </w:rPr>
        <w:t xml:space="preserve">Notes: </w:t>
      </w:r>
      <w:r>
        <w:t>abstract_source=nature_html</w:t>
      </w:r>
    </w:p>
    <w:p>
      <w:pPr>
        <w:spacing w:before="0" w:after="80" w:lineRule="auto" w:line="276"/>
      </w:pPr>
      <w:r>
        <w:rPr>
          <w:b/>
        </w:rPr>
        <w:t xml:space="preserve">摘要（ZH）: </w:t>
      </w:r>
      <w:r>
        <w:t>社会组织和劳动分工是动物社会的基础1,2,3，但这些结构如何从个体互动中产生并受神经调节影响仍不清楚。在此，通过在半自然环境中的行为追踪、神经记录和整合强化学习与社会条件的计算模型，我们展示了同基因小鼠三人组在社会约束下解决觅食任务时自发发展出专业化角色。值得注意的是，尽管在单独测试时雄性小鼠行为的性别内差异较小，但雄性三人组形成了由竞争驱动的稳定工人-搜刮者关系，而雌性三人组则采用了统一的合作策略。这些性别差异的角色是由腹侧</w:t>
      </w:r>
    </w:p>
    <w:p>
      <w:pPr>
        <w:spacing w:before="0" w:after="200" w:lineRule="auto" w:line="276"/>
      </w:pPr>
      <w:r>
        <w:rPr>
          <w:b/>
        </w:rPr>
        <w:t xml:space="preserve">Abstract (EN): </w:t>
      </w:r>
      <w:r>
        <w:t>Social organization and division of labour are fundamental to animal societies1,2,3, yet how these structures emerge from individual interactions and are shaped by neuromodulation remains unclear. Here, using behavioural tracking in a semi-natural environment, neural recordings and computational models that integrate reinforcement learning and social condition, we show that triads of isogenic mice develop specialized roles spontaneously while solving a foraging task under social constraints. Notably, despite minor intra-sex differences in behaviour when mice were tested alone, male triads formed stable worker–scrounger relationships driven by competition, whereas female triads adopted uniform, cooperative strategies. These sex-divergent roles were shaped by dopaminergic activity in the ventral tegmental area. Model analysis revealed how intra-sex and inter-sex parameter differences in resource exploitation, combined with contingent social interactions, drive behavioural specialization and division of labour. Most notably, it highlighted how contingency, amplified by competition, magnifies individual differences and shapes social profiles. The plastic, adaptive nature of social organization was apparent when sex mixing or reintroducing experienced individuals into naive groups reshaped role distribution. Furthermore, dopaminergic manipulations confirmed this plasticity, reshaping roles and altering group structure. Our findings support a multi-scale feedback loop whereby social context shapes neural states, which in turn reinforce behavioural specialization and stabilize social structures.</w:t>
      </w:r>
    </w:p>
    <w:p>
      <w:pPr>
        <w:spacing w:before="120" w:after="120"/>
      </w:pPr>
      <w:r>
        <w:rPr>
          <w:sz w:val="18"/>
        </w:rPr>
        <w:t>——————————————————————————————————————————————————————————————————————</w:t>
      </w:r>
    </w:p>
    <w:p>
      <w:pPr>
        <w:spacing w:before="160" w:after="40" w:line="240" w:lineRule="auto"/>
      </w:pPr>
      <w:r>
        <w:rPr>
          <w:b/>
        </w:rPr>
        <w:t xml:space="preserve">[298] </w:t>
      </w:r>
      <w:hyperlink r:id="rId766">
        <w:r>
          <w:rPr>
            <w:color w:val="1155CC"/>
            <w:u w:val="single"/>
          </w:rPr>
          <w:t>感觉和交感神经节的发育组织</w:t>
        </w:r>
      </w:hyperlink>
    </w:p>
    <w:p>
      <w:pPr>
        <w:spacing w:before="0" w:after="80"/>
      </w:pPr>
      <w:r>
        <w:rPr>
          <w:i/>
          <w:sz w:val="20"/>
        </w:rPr>
        <w:t>EN: Developmental organization of sensory and sympathetic ganglia</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67">
        <w:r>
          <w:rPr>
            <w:color w:val="1155CC"/>
            <w:u w:val="single"/>
          </w:rPr>
          <w:t>10.1038/s41586-026-10313-0</w:t>
        </w:r>
      </w:hyperlink>
    </w:p>
    <w:p>
      <w:pPr>
        <w:spacing w:before="0" w:after="120"/>
      </w:pPr>
      <w:r>
        <w:rPr>
          <w:b/>
        </w:rPr>
        <w:t xml:space="preserve">Notes: </w:t>
      </w:r>
      <w:r>
        <w:t>abstract_source=nature_html</w:t>
      </w:r>
    </w:p>
    <w:p>
      <w:pPr>
        <w:spacing w:before="0" w:after="80" w:lineRule="auto" w:line="276"/>
      </w:pPr>
      <w:r>
        <w:rPr>
          <w:b/>
        </w:rPr>
        <w:t xml:space="preserve">摘要（ZH）: </w:t>
      </w:r>
      <w:r>
        <w:t>神经嵴产生广泛的细胞类型，这些细胞类型在身体计划中迁移以填充多个组织。然而，神经嵴衍生物的谱系之间的关系仍不清楚，神经嵴细胞从神经管脱离后是否具有特定命运的程度仍有争议。在此，我们利用小鼠的CRISPR条形码和人类的马赛克变体条形码分析，展示了神经嵴祖细胞沿头尾轴的强大双侧祖细胞克隆扩散，但感觉和交感神经谱系之间的克隆重叠有限。马赛克变体的计算建模表明，大多数神经嵴细胞在脱离前表现出强烈的命运限制。对鹌鹑胚胎的实时成像进一步显示了成纤维细胞生长因子</w:t>
      </w:r>
    </w:p>
    <w:p>
      <w:pPr>
        <w:spacing w:before="0" w:after="200" w:lineRule="auto" w:line="276"/>
      </w:pPr>
      <w:r>
        <w:rPr>
          <w:b/>
        </w:rPr>
        <w:t xml:space="preserve">Abstract (EN): </w:t>
      </w:r>
      <w:r>
        <w:t>The neural crest generates a broad spectrum of cell types that migrate across the body plan to populate multiple tissues1. However, the relationship between lineages of neural crest derivatives remains unclear, and the extent to which neural crest cells delaminated from the neural tube have specified fates remains debated. Here, leveraging CRISPR barcoding in mice and mosaic variant barcode analysis in humans, we demonstrate robust bilateral progenitor clonal spread of neural crest progenitors along the rostrocaudal axis but limited clonal overlap between sensory and sympathetic lineages. Computational modelling of mosaic variants suggests that most neural crest cells show strong fate restriction before delamination. Real-time imaging of quail embryos further shows a fibroblast-growth-factor-dependent rostrocaudal dispersion of neural crest cells across multiple axial levels. These findings support a model in which neural crest fate bias predominantly emerges within the neural tube, with only a minor subset of delaminated progenitors retaining multipotency to generate both sensory and sympathetic derivatives.</w:t>
      </w:r>
    </w:p>
    <w:p>
      <w:pPr>
        <w:spacing w:before="120" w:after="120"/>
      </w:pPr>
      <w:r>
        <w:rPr>
          <w:sz w:val="18"/>
        </w:rPr>
        <w:t>——————————————————————————————————————————————————————————————————————</w:t>
      </w:r>
    </w:p>
    <w:p>
      <w:pPr>
        <w:spacing w:before="160" w:after="40" w:line="240" w:lineRule="auto"/>
      </w:pPr>
      <w:r>
        <w:rPr>
          <w:b/>
        </w:rPr>
        <w:t xml:space="preserve">[299] </w:t>
      </w:r>
      <w:hyperlink r:id="rId768">
        <w:r>
          <w:rPr>
            <w:color w:val="1155CC"/>
            <w:u w:val="single"/>
          </w:rPr>
          <w:t>通过单细胞四组学测序剖析基因调控景观</w:t>
        </w:r>
      </w:hyperlink>
    </w:p>
    <w:p>
      <w:pPr>
        <w:spacing w:before="0" w:after="80"/>
      </w:pPr>
      <w:r>
        <w:rPr>
          <w:i/>
          <w:sz w:val="20"/>
        </w:rPr>
        <w:t>EN: Gene regulatory landscape dissected by single-cell four-omics sequencing</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69">
        <w:r>
          <w:rPr>
            <w:color w:val="1155CC"/>
            <w:u w:val="single"/>
          </w:rPr>
          <w:t>10.1038/s41586-026-10322-z</w:t>
        </w:r>
      </w:hyperlink>
    </w:p>
    <w:p>
      <w:pPr>
        <w:spacing w:before="0" w:after="120"/>
      </w:pPr>
      <w:r>
        <w:rPr>
          <w:b/>
        </w:rPr>
        <w:t xml:space="preserve">Notes: </w:t>
      </w:r>
      <w:r>
        <w:t>abstract_source=nature_html</w:t>
      </w:r>
    </w:p>
    <w:p>
      <w:pPr>
        <w:spacing w:before="0" w:after="80" w:lineRule="auto" w:line="276"/>
      </w:pPr>
      <w:r>
        <w:rPr>
          <w:b/>
        </w:rPr>
        <w:t xml:space="preserve">摘要（ZH）: </w:t>
      </w:r>
      <w:r>
        <w:t>细胞多样性不仅由转录组调控，还受到包括核小体占据、染色质状态和基因组结构在内的多层表观基因组调控的影响。为了全面理解这些调控模式如何汇聚以塑造细胞身份，我们开发了一种单细胞四组学测序方法（CHARM），能够在同一细胞中并行分析基因组构象、组蛋白修饰、染色质可及性和基因表达。将CHARM应用于小鼠胚胎干细胞和皮质组织，我们重建了整合的表观基因组谱，揭示了染色质可及性和组蛋白修饰的细胞周期动态，以及三维核空间中调控元件的空间聚集。</w:t>
      </w:r>
    </w:p>
    <w:p>
      <w:pPr>
        <w:spacing w:before="0" w:after="200" w:lineRule="auto" w:line="276"/>
      </w:pPr>
      <w:r>
        <w:rPr>
          <w:b/>
        </w:rPr>
        <w:t xml:space="preserve">Abstract (EN): </w:t>
      </w:r>
      <w:r>
        <w:t>Cellular diversity is governed not only by the transcriptome but also by multiple layers of epigenomic regulation, including nucleosome occupancy, chromatin states and genome architecture1,2,3. Here, to comprehensively understand how these regulatory modalities converge to shape cellular identity, we developed a single-cell four-omics sequencing method that enables parallel profiling of genome conformation, histone modifications, chromatin accessibility and gene expression within the same cell (CHARM). Applying CHARM to mouse embryonic stem cells and cortical tissues, we reconstructed integrated epigenome profiles, uncovering distinct cell-cycle dynamics of chromatin accessibility and histone modification, and spatial clustering of regulatory elements in three-dimensional nuclear space. Leveraging an interpretable machine learning model, we further identified thousands of enhancer–promoter linkages with high accuracy that modulate gene expression in a cell-type- and subtype-specific manner. Together, CHARM enables integrative dissection of the three-dimensional epigenome at single-cell resolution, providing a versatile platform for decoding the regulatory landscape across diverse cells in complex tissues.</w:t>
      </w:r>
    </w:p>
    <w:p>
      <w:pPr>
        <w:spacing w:before="120" w:after="120"/>
      </w:pPr>
      <w:r>
        <w:rPr>
          <w:sz w:val="18"/>
        </w:rPr>
        <w:t>——————————————————————————————————————————————————————————————————————</w:t>
      </w:r>
    </w:p>
    <w:p>
      <w:pPr>
        <w:spacing w:before="160" w:after="40" w:line="240" w:lineRule="auto"/>
      </w:pPr>
      <w:r>
        <w:rPr>
          <w:b/>
        </w:rPr>
        <w:t xml:space="preserve">[300] </w:t>
      </w:r>
      <w:hyperlink r:id="rId770">
        <w:r>
          <w:rPr>
            <w:color w:val="1155CC"/>
            <w:u w:val="single"/>
          </w:rPr>
          <w:t>1000个中国泛基因组赋能医学和人群遗传学</w:t>
        </w:r>
      </w:hyperlink>
    </w:p>
    <w:p>
      <w:pPr>
        <w:spacing w:before="0" w:after="80"/>
      </w:pPr>
      <w:r>
        <w:rPr>
          <w:i/>
          <w:sz w:val="20"/>
        </w:rPr>
        <w:t>EN: The 1000 Chinese Pangenome empowers medical and population genetics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71">
        <w:r>
          <w:rPr>
            <w:color w:val="1155CC"/>
            <w:u w:val="single"/>
          </w:rPr>
          <w:t>10.1038/s41586-026-10315-y</w:t>
        </w:r>
      </w:hyperlink>
    </w:p>
    <w:p>
      <w:pPr>
        <w:spacing w:before="0" w:after="120"/>
      </w:pPr>
      <w:r>
        <w:rPr>
          <w:b/>
        </w:rPr>
        <w:t xml:space="preserve">Notes: </w:t>
      </w:r>
      <w:r>
        <w:t>abstract_source=nature_html</w:t>
      </w:r>
    </w:p>
    <w:p>
      <w:pPr>
        <w:spacing w:before="0" w:after="80" w:lineRule="auto" w:line="276"/>
      </w:pPr>
      <w:r>
        <w:rPr>
          <w:b/>
        </w:rPr>
        <w:t xml:space="preserve">摘要（ZH）: </w:t>
      </w:r>
      <w:r>
        <w:t>泛基因组正在革新我们解决复杂变异基因组区域的能力。然而，现有的人类泛基因组由于样本量小而受到限制，在医学和群体遗传学应用中效用有限。在此，我们生成了1,116个二倍体基因组组装（55个de novo和1,061个泛基因组知情），平均大小为2.98 Gb，平均质量值为46，作为1000中国泛基因组（1KCP）项目的一部分。基于这些组装，我们构建了一个泛基因组，其中包括405.3百万碱基对的序列，这些序列在当前参考GRCh38和CHM13中缺失，包括26.2百万碱基对的功能基因和预测的调控元件。我们编目了全谱的遗传变异，包括35.4百万小变异，110,5</w:t>
      </w:r>
    </w:p>
    <w:p>
      <w:pPr>
        <w:spacing w:before="0" w:after="200" w:lineRule="auto" w:line="276"/>
      </w:pPr>
      <w:r>
        <w:rPr>
          <w:b/>
        </w:rPr>
        <w:t xml:space="preserve">Abstract (EN): </w:t>
      </w:r>
      <w:r>
        <w:t>Pangenomes are revolutionizing our ability to resolve genomic regions with complex variations1. However, existing human pangenomes2,3, constrained by small sample sizes, provide limited utility for medical and population genetic applications. Here we generated 1,116 diploid genome assemblies (55 de novo and 1,061 pangenome-informed) with an average size of 2.98 Gb and a mean quality value of 46 as part of the 1000 Chinese Pangenome (1KCP) project. On the basis of these assemblies, we constructed a pangenome comprising 405.3 million base pairs of sequences absent from the current references GRCh38 and CHM13, including 26.2 million base pairs of functional genic and predicted regulatory elements. We catalogued a full spectrum of genetic variation, including 35.4 million small variants, 110,530 structural variants (SVs), 485,575 tandem repeats (TRs) and 0.86 million nested variants embedded in non-reference sequences. This extensive dataset enabled detailed characterization of multiscale genic variations relevant to medical genetics, including gene-altering SVs, TR expansions, gene cluster variations and HLA gene haplotypes. Coupled with the 1KCP gene expression data, we conducted pan-variant expression quantitative trait locus (eQTL) mapping to analyse diverse variant types. We identified 3,256 eQTLs involving complex variants (SVs, TRs and nested variants) and elucidated their regulatory complexity. Finally, we developed a 1KCP pan-variant imputation reference panel, which provides multitype genetic markers to enhance the resolution of future association studies. This resource advances our understanding of complex variants and their functional implications to provide new insights into human health.</w:t>
      </w:r>
    </w:p>
    <w:p>
      <w:pPr>
        <w:spacing w:before="120" w:after="120"/>
      </w:pPr>
      <w:r>
        <w:rPr>
          <w:sz w:val="18"/>
        </w:rPr>
        <w:t>——————————————————————————————————————————————————————————————————————</w:t>
      </w:r>
    </w:p>
    <w:p>
      <w:pPr>
        <w:spacing w:before="160" w:after="40" w:line="240" w:lineRule="auto"/>
      </w:pPr>
      <w:r>
        <w:rPr>
          <w:b/>
        </w:rPr>
        <w:t xml:space="preserve">[301] </w:t>
      </w:r>
      <w:hyperlink r:id="rId772">
        <w:r>
          <w:rPr>
            <w:color w:val="1155CC"/>
            <w:u w:val="single"/>
          </w:rPr>
          <w:t>阿秒分子光电离中的纠缠和电子相干性</w:t>
        </w:r>
      </w:hyperlink>
    </w:p>
    <w:p>
      <w:pPr>
        <w:spacing w:before="0" w:after="80"/>
      </w:pPr>
      <w:r>
        <w:rPr>
          <w:i/>
          <w:sz w:val="20"/>
        </w:rPr>
        <w:t>EN: Entanglement and electronic coherence in attosecond molecular photoionization</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73">
        <w:r>
          <w:rPr>
            <w:color w:val="1155CC"/>
            <w:u w:val="single"/>
          </w:rPr>
          <w:t>10.1038/s41586-026-10230-2</w:t>
        </w:r>
      </w:hyperlink>
    </w:p>
    <w:p>
      <w:pPr>
        <w:spacing w:before="0" w:after="120"/>
      </w:pPr>
      <w:r>
        <w:rPr>
          <w:b/>
        </w:rPr>
        <w:t xml:space="preserve">Notes: </w:t>
      </w:r>
      <w:r>
        <w:t>abstract_source=nature_html</w:t>
      </w:r>
    </w:p>
    <w:p>
      <w:pPr>
        <w:spacing w:before="0" w:after="80" w:lineRule="auto" w:line="276"/>
      </w:pPr>
      <w:r>
        <w:rPr>
          <w:b/>
        </w:rPr>
        <w:t xml:space="preserve">摘要（ZH）: </w:t>
      </w:r>
      <w:r>
        <w:t>分子光电离产生的电子相干性是阿秒电荷迁移过程的基础，这一过程被广泛研究为实现受控电荷导向反应的可能途径1,2,3,4。然而，光电离通常会产生纠缠的离子和光电子。这种纠缠性削弱了探索离子内或其伴随光电子的相干超快电子动力学的能力5,6,7,8。在此，我们展示了实验和计算，其中氢分子通过相位锁定的孤立阿秒激光脉冲对和少周期近红外（NIR）激光脉冲的组合被电离。解离的H2+离子中的电子相干性受到离子-光电子纠缠的影响。我们展示了对程度的实验控制</w:t>
      </w:r>
    </w:p>
    <w:p>
      <w:pPr>
        <w:spacing w:before="0" w:after="200" w:lineRule="auto" w:line="276"/>
      </w:pPr>
      <w:r>
        <w:rPr>
          <w:b/>
        </w:rPr>
        <w:t xml:space="preserve">Abstract (EN): </w:t>
      </w:r>
      <w:r>
        <w:t>Electronic coherences resulting from molecular photoionization underlie the process of attosecond charge migration, widely investigated as a possible path towards controlled charge-directed reactivity1,2,3,4. However, photoionization often creates entangled ions and photoelectrons. This entanglement compromises the ability to explore coherent ultrafast electron dynamics within ions or of their accompanying photoelectrons5,6,7,8. Here we present experiments and calculations in which hydrogen molecules are ionized by the combination of a phase-locked pair of isolated attosecond laser pulses and a few-cycle near-infrared (NIR) laser pulse. The electronic coherence in the dissociating H2+ ion is influenced by ion–photoelectron entanglement. We demonstrate experimental control over the degree of entanglement by varying the delay between the two attosecond pulses and the delay between these pulses and the few-cycle NIR pulse. Our work demonstrates the importance of proper consideration of the role of quantum entanglement for the optimal observation of electronic coherences in attosecond experiments.</w:t>
      </w:r>
    </w:p>
    <w:p>
      <w:pPr>
        <w:spacing w:before="120" w:after="120"/>
      </w:pPr>
      <w:r>
        <w:rPr>
          <w:sz w:val="18"/>
        </w:rPr>
        <w:t>——————————————————————————————————————————————————————————————————————</w:t>
      </w:r>
    </w:p>
    <w:p>
      <w:pPr>
        <w:spacing w:before="160" w:after="40" w:line="240" w:lineRule="auto"/>
      </w:pPr>
      <w:r>
        <w:rPr>
          <w:b/>
        </w:rPr>
        <w:t xml:space="preserve">[302] </w:t>
      </w:r>
      <w:hyperlink r:id="rId774">
        <w:r>
          <w:rPr>
            <w:color w:val="1155CC"/>
            <w:u w:val="single"/>
          </w:rPr>
          <w:t>DNA损伤负担导致神经炎症中选择性CUX2神经元丢失</w:t>
        </w:r>
      </w:hyperlink>
    </w:p>
    <w:p>
      <w:pPr>
        <w:spacing w:before="0" w:after="80"/>
      </w:pPr>
      <w:r>
        <w:rPr>
          <w:i/>
          <w:sz w:val="20"/>
        </w:rPr>
        <w:t>EN: DNA damage burden causes selective CUX2 neuron loss in neuroinflammation</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75">
        <w:r>
          <w:rPr>
            <w:color w:val="1155CC"/>
            <w:u w:val="single"/>
          </w:rPr>
          <w:t>10.1038/s41586-026-10310-3</w:t>
        </w:r>
      </w:hyperlink>
    </w:p>
    <w:p>
      <w:pPr>
        <w:spacing w:before="0" w:after="120"/>
      </w:pPr>
      <w:r>
        <w:rPr>
          <w:b/>
        </w:rPr>
        <w:t xml:space="preserve">Notes: </w:t>
      </w:r>
      <w:r>
        <w:t>abstract_source=nature_html</w:t>
      </w:r>
    </w:p>
    <w:p>
      <w:pPr>
        <w:spacing w:before="0" w:after="80" w:lineRule="auto" w:line="276"/>
      </w:pPr>
      <w:r>
        <w:rPr>
          <w:b/>
        </w:rPr>
        <w:t xml:space="preserve">摘要（ZH）: </w:t>
      </w:r>
      <w:r>
        <w:t>神经退行性变在衰老和疾病中表现出区域和细胞类型特异性模式1，但细胞类型特异性神经元损失的潜在机制仍然知之甚少。先前的研究表明，在进行性人类多发性硬化症（MS）中，上皮层层变薄发生，并且表达CUT-like同源框2（CUX2）的皮层层2和层3（L2/3）兴奋性神经元（L2/3ENs）对退行性变具有选择性易感性2。在此，我们报告MS皮层病变中的L2/3ENs具有较高的DNA损伤负担。在多种小鼠脱髓鞘和全皮层炎症模型中，DNA损伤和L2/3ENs的选择性丧失被重现，证实了它们的内在脆弱性。Cux2和激活转录因子4（Atf4）的功能是必不可少的</w:t>
      </w:r>
    </w:p>
    <w:p>
      <w:pPr>
        <w:spacing w:before="0" w:after="200" w:lineRule="auto" w:line="276"/>
      </w:pPr>
      <w:r>
        <w:rPr>
          <w:b/>
        </w:rPr>
        <w:t xml:space="preserve">Abstract (EN): </w:t>
      </w:r>
      <w:r>
        <w:t>Neurodegeneration shows regional and cell-type-specific patterns in ageing and disease1, but the underlying mechanisms for cell-type-specific neuronal losses remain poorly understood. Previous studies have shown that upper cortical layer thinning occurs in progressive human multiple sclerosis (MS) and that cortical layer 2 and layer 3 (L2/3) excitatory neurons (L2/3ENs) that express CUT-like homeobox 2 (CUX2) are selectively vulnerable to degeneration2. Here we report that L2/3ENs within MS cortical lesions have an elevated DNA damage burden. DNA damage and selective loss of L2/3ENs were recapitulated in diverse mouse models of demyelination and pan-cortical inflammation, confirming their intrinsic vulnerability. Functions of Cux2 and activating transcription factor 4 (Atf4) were essential for resilience of L2/3ENs during postnatal neuroinflammation, acting in neurons to enhance DNA double-strand break repair. Interferon-γ, a cytokine implicated in MS pathogenesis3,4, was sufficient to elevate levels of reactive oxygen species, leading to DNA damage-mediated neuronal death in vitro, and caused selective depletion of L2/3 neurons in mice. These findings indicate that DNA damage burden and inadequate repair in CUX2+ L2/3ENs contributes to selective vulnerability in neuroinflammatory injury.</w:t>
      </w:r>
    </w:p>
    <w:p>
      <w:pPr>
        <w:spacing w:before="120" w:after="120"/>
      </w:pPr>
      <w:r>
        <w:rPr>
          <w:sz w:val="18"/>
        </w:rPr>
        <w:t>——————————————————————————————————————————————————————————————————————</w:t>
      </w:r>
    </w:p>
    <w:p>
      <w:pPr>
        <w:spacing w:before="160" w:after="40" w:line="240" w:lineRule="auto"/>
      </w:pPr>
      <w:r>
        <w:rPr>
          <w:b/>
        </w:rPr>
        <w:t xml:space="preserve">[303] </w:t>
      </w:r>
      <w:hyperlink r:id="rId776">
        <w:r>
          <w:rPr>
            <w:color w:val="1155CC"/>
            <w:u w:val="single"/>
          </w:rPr>
          <w:t>一种μ-阿片受体超激动剂镇痛药，具有最小的不良反应</w:t>
        </w:r>
      </w:hyperlink>
    </w:p>
    <w:p>
      <w:pPr>
        <w:spacing w:before="0" w:after="80"/>
      </w:pPr>
      <w:r>
        <w:rPr>
          <w:i/>
          <w:sz w:val="20"/>
        </w:rPr>
        <w:t>EN: A µ-opioid receptor superagonist analgesic with minimal adverse effects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77">
        <w:r>
          <w:rPr>
            <w:color w:val="1155CC"/>
            <w:u w:val="single"/>
          </w:rPr>
          <w:t>10.1038/s41586-026-10299-9</w:t>
        </w:r>
      </w:hyperlink>
    </w:p>
    <w:p>
      <w:pPr>
        <w:spacing w:before="0" w:after="120"/>
      </w:pPr>
      <w:r>
        <w:rPr>
          <w:b/>
        </w:rPr>
        <w:t xml:space="preserve">Notes: </w:t>
      </w:r>
      <w:r>
        <w:t>abstract_source=nature_html</w:t>
      </w:r>
    </w:p>
    <w:p>
      <w:pPr>
        <w:spacing w:before="0" w:after="80" w:lineRule="auto" w:line="276"/>
      </w:pPr>
      <w:r>
        <w:rPr>
          <w:b/>
        </w:rPr>
        <w:t xml:space="preserve">摘要（ZH）: </w:t>
      </w:r>
      <w:r>
        <w:t>开发安全有效的止痛药是人类健康面临的持续挑战。µ-阿片受体（MOR）的激动剂是重要的止痛药，但其高内在效能也会引发不良副作用，包括呼吸抑制、便秘、耐受性、依赖性、戒断和成瘾1,2,3,4,5,6,7。限制不良反应的策略传统上包括开发具有低内在效能的MOR激动剂或优先激活G蛋白信号而非β-抑制蛋白信号的激动剂8。在此，我们鉴定出一种具有超最大内在效能和独特药理特征的新型MOR激动剂，该激动剂在啮齿动物中产生有效镇痛效果且不良反应最小。N-去乙基-氟硝西泮（DFNZ）源自一类合成苯</w:t>
      </w:r>
    </w:p>
    <w:p>
      <w:pPr>
        <w:spacing w:before="0" w:after="200" w:lineRule="auto" w:line="276"/>
      </w:pPr>
      <w:r>
        <w:rPr>
          <w:b/>
        </w:rPr>
        <w:t xml:space="preserve">Abstract (EN): </w:t>
      </w:r>
      <w:r>
        <w:t>Developing safe and effective pain medications is an ongoing challenge for human health. Agonists for the µ-opioid receptor (MOR) are essential pain medications, but their high intrinsic efficacy also induces adverse side effects, including respiratory depression, constipation, tolerance, dependence, withdrawal and addiction1,2,3,4,5,6,7. Strategies to limit adverse effects traditionally include developing MOR agonists that have low intrinsic efficacy or that preferentially activate G-protein signalling over β-arrestin signalling8. Here we identify a novel MOR agonist with supramaximal intrinsic efficacy and a unique pharmacological profile that produced effective analgesia in rodents with minimal adverse effects. N-desethyl-fluornitrazene (DFNZ) was derived from a class of synthetic benzimidazole opioids called nitazenes. DFNZ has impaired brain penetrance, a unique spatiotemporal MOR cellular signalling profile, and diminished efficacy at the MOR–galanin 1 receptor (GAL1) heteromer. DFNZ does not induce respiratory depression, tolerance or MOR downregulation after repeated exposure. Compared with other MOR agonists, DFNZ has limited effects on dopamine neurotransmission in nucleus accumbens and weaker reinforcing effects in the drug self-administration procedure. These results provide novel insights about MOR and nitazene pharmacology, have important implications for pain and addiction treatment, and challenge the prevailing dogma that high-efficacy MOR agonists cannot constitute safe and effective therapeutic agents.</w:t>
      </w:r>
    </w:p>
    <w:p>
      <w:pPr>
        <w:spacing w:before="120" w:after="120"/>
      </w:pPr>
      <w:r>
        <w:rPr>
          <w:sz w:val="18"/>
        </w:rPr>
        <w:t>——————————————————————————————————————————————————————————————————————</w:t>
      </w:r>
    </w:p>
    <w:p>
      <w:pPr>
        <w:spacing w:before="160" w:after="40" w:line="240" w:lineRule="auto"/>
      </w:pPr>
      <w:r>
        <w:rPr>
          <w:b/>
        </w:rPr>
        <w:t xml:space="preserve">[304] </w:t>
      </w:r>
      <w:hyperlink r:id="rId778">
        <w:r>
          <w:rPr>
            <w:color w:val="1155CC"/>
            <w:u w:val="single"/>
          </w:rPr>
          <w:t>这些科学家追踪了一架喷气式飞机，以了解更多关于‘稀燃’凝结尾迹的信息</w:t>
        </w:r>
      </w:hyperlink>
    </w:p>
    <w:p>
      <w:pPr>
        <w:spacing w:before="0" w:after="80"/>
      </w:pPr>
      <w:r>
        <w:rPr>
          <w:i/>
          <w:sz w:val="20"/>
        </w:rPr>
        <w:t>EN: These scientists chased a jet to learn more about ‘lean-burn’ contrails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79">
        <w:r>
          <w:rPr>
            <w:color w:val="1155CC"/>
            <w:u w:val="single"/>
          </w:rPr>
          <w:t>10.1038/d41586-026-01052-3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[305] </w:t>
      </w:r>
      <w:hyperlink r:id="rId780">
        <w:r>
          <w:rPr>
            <w:color w:val="1155CC"/>
            <w:u w:val="single"/>
          </w:rPr>
          <w:t>从实验室到工厂的脂肪族C–H官能化转变：脱钨酸盐光催化是否已准备好跃进？</w:t>
        </w:r>
      </w:hyperlink>
    </w:p>
    <w:p>
      <w:pPr>
        <w:spacing w:before="0" w:after="80"/>
      </w:pPr>
      <w:r>
        <w:rPr>
          <w:i/>
          <w:sz w:val="20"/>
        </w:rPr>
        <w:t>EN: Transitioning aliphatic C–H functionalization from bench to plant: Is decatungstate photocatalysis ready for the leap yet?</w:t>
      </w:r>
    </w:p>
    <w:p>
      <w:pPr>
        <w:spacing w:before="0" w:after="120"/>
      </w:pPr>
      <w:r>
        <w:rPr>
          <w:b/>
        </w:rPr>
        <w:t xml:space="preserve">Source: </w:t>
      </w:r>
      <w:r>
        <w:t>Chem</w:t>
      </w:r>
      <w:r>
        <w:t xml:space="preserve">    </w:t>
      </w:r>
      <w:r>
        <w:rPr>
          <w:b/>
        </w:rPr>
        <w:t xml:space="preserve">Pub date: </w:t>
      </w:r>
      <w:r>
        <w:t>2026-04-01 00:00:00+00:00</w:t>
      </w:r>
      <w:r>
        <w:t xml:space="preserve">    </w:t>
      </w:r>
      <w:r>
        <w:rPr>
          <w:b/>
        </w:rPr>
        <w:t xml:space="preserve">DOI: </w:t>
      </w:r>
      <w:hyperlink r:id="rId781">
        <w:r>
          <w:rPr>
            <w:color w:val="1155CC"/>
            <w:u w:val="single"/>
          </w:rPr>
          <w:t>10.1016/j.chempr.2026.103027</w:t>
        </w:r>
      </w:hyperlink>
    </w:p>
    <w:p>
      <w:pPr>
        <w:spacing w:before="0" w:after="120"/>
      </w:pPr>
      <w:r>
        <w:rPr>
          <w:b/>
        </w:rPr>
        <w:t xml:space="preserve">Notes: </w:t>
      </w:r>
      <w:r>
        <w:t>abstract_source=rss_cell</w:t>
      </w:r>
    </w:p>
    <w:p>
      <w:pPr>
        <w:spacing w:before="0" w:after="80" w:lineRule="auto" w:line="276"/>
      </w:pPr>
      <w:r>
        <w:rPr>
          <w:b/>
        </w:rPr>
        <w:t xml:space="preserve">摘要（ZH）: </w:t>
      </w:r>
      <w:r>
        <w:t>直接C–H官能化将有机分子中最丰富的键转化为强大的合成手柄，实现步骤和原子经济的分子复杂性获取。脱钨酸盐光催化在温和条件下已成为脂肪族C–H键修饰的强大工具，但其影响仍主要局限于学术实验室。本文从工艺导向的角度重新审视脱钨酸盐光催化，概述了将该方法转化为可扩展和可持续化学制造所需的机制见解、技术挑战和设计原则。</w:t>
      </w:r>
    </w:p>
    <w:p>
      <w:pPr>
        <w:spacing w:before="0" w:after="200" w:lineRule="auto" w:line="276"/>
      </w:pPr>
      <w:r>
        <w:rPr>
          <w:b/>
        </w:rPr>
        <w:t xml:space="preserve">Abstract (EN): </w:t>
      </w:r>
      <w:r>
        <w:t>Direct C–H functionalization transforms the most abundant bond in organic molecules into a powerful synthetic handle, enabling step- and atom-economic access to molecular complexity. Decatungstate photocatalysis has become a powerful tool for aliphatic C–H bond elaboration under mild conditions, yet its impact remains largely confined to academic laboratories. This perspective re-examines decatungstate photocatalysis from a process-oriented viewpoint, outlining the mechanistic insights, technological challenges, and design principles required to translate this methodology into scalable and sustainable chemical manufacturing.</w:t>
      </w:r>
    </w:p>
    <w:p>
      <w:pPr>
        <w:spacing w:before="120" w:after="120"/>
      </w:pPr>
      <w:r>
        <w:rPr>
          <w:sz w:val="18"/>
        </w:rPr>
        <w:t>——————————————————————————————————————————————————————————————————————</w:t>
      </w:r>
    </w:p>
    <w:p>
      <w:pPr>
        <w:spacing w:before="160" w:after="40" w:line="240" w:lineRule="auto"/>
      </w:pPr>
      <w:r>
        <w:rPr>
          <w:b/>
        </w:rPr>
        <w:t xml:space="preserve">[306] </w:t>
      </w:r>
      <w:hyperlink r:id="rId782">
        <w:r>
          <w:rPr>
            <w:color w:val="1155CC"/>
            <w:u w:val="single"/>
          </w:rPr>
          <w:t>社交媒体上瘾吗？为什么正式诊断仍然遥不可及</w:t>
        </w:r>
      </w:hyperlink>
    </w:p>
    <w:p>
      <w:pPr>
        <w:spacing w:before="0" w:after="80"/>
      </w:pPr>
      <w:r>
        <w:rPr>
          <w:i/>
          <w:sz w:val="20"/>
        </w:rPr>
        <w:t>EN: Is social media addictive? Why a formal diagnosis is still out of reach</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83">
        <w:r>
          <w:rPr>
            <w:color w:val="1155CC"/>
            <w:u w:val="single"/>
          </w:rPr>
          <w:t>10.1038/d41586-026-01023-8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[307] </w:t>
      </w:r>
      <w:hyperlink r:id="rId784">
        <w:r>
          <w:rPr>
            <w:color w:val="1155CC"/>
            <w:u w:val="single"/>
          </w:rPr>
          <w:t>来自受挫有序的磁阻力</w:t>
        </w:r>
      </w:hyperlink>
    </w:p>
    <w:p>
      <w:pPr>
        <w:spacing w:before="0" w:after="80"/>
      </w:pPr>
      <w:r>
        <w:rPr>
          <w:i/>
          <w:sz w:val="20"/>
        </w:rPr>
        <w:t>EN: Magnetic drag from frustrated order</w:t>
      </w:r>
    </w:p>
    <w:p>
      <w:pPr>
        <w:spacing w:before="0" w:after="120"/>
      </w:pPr>
      <w:r>
        <w:rPr>
          <w:b/>
        </w:rPr>
        <w:t xml:space="preserve">Source: </w:t>
      </w:r>
      <w:r>
        <w:t>Nature Materials</w:t>
      </w:r>
      <w:r>
        <w:t xml:space="preserve">    </w:t>
      </w:r>
      <w:r>
        <w:rPr>
          <w:b/>
        </w:rPr>
        <w:t xml:space="preserve">Pub date: </w:t>
      </w:r>
      <w:r>
        <w:t>2026-04-01 00:00:00+00:00</w:t>
      </w:r>
      <w:r>
        <w:t xml:space="preserve">    </w:t>
      </w:r>
      <w:r>
        <w:rPr>
          <w:b/>
        </w:rPr>
        <w:t xml:space="preserve">DOI: </w:t>
      </w:r>
      <w:hyperlink r:id="rId785">
        <w:r>
          <w:rPr>
            <w:color w:val="1155CC"/>
            <w:u w:val="single"/>
          </w:rPr>
          <w:t>10.1038/s41563-026-02566-x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[308] </w:t>
      </w:r>
      <w:hyperlink r:id="rId786">
        <w:r>
          <w:rPr>
            <w:color w:val="1155CC"/>
            <w:u w:val="single"/>
          </w:rPr>
          <w:t>全球铜尾矿分布和预测</w:t>
        </w:r>
      </w:hyperlink>
    </w:p>
    <w:p>
      <w:pPr>
        <w:spacing w:before="0" w:after="80"/>
      </w:pPr>
      <w:r>
        <w:rPr>
          <w:i/>
          <w:sz w:val="20"/>
        </w:rPr>
        <w:t>EN: Global copper tailings distribution and projection</w:t>
      </w:r>
    </w:p>
    <w:p>
      <w:pPr>
        <w:spacing w:before="0" w:after="120"/>
      </w:pPr>
      <w:r>
        <w:rPr>
          <w:b/>
        </w:rPr>
        <w:t xml:space="preserve">Source: </w:t>
      </w:r>
      <w:r>
        <w:t>Nature Sustainability</w:t>
      </w:r>
      <w:r>
        <w:t xml:space="preserve">    </w:t>
      </w:r>
      <w:r>
        <w:rPr>
          <w:b/>
        </w:rPr>
        <w:t xml:space="preserve">Pub date: </w:t>
      </w:r>
      <w:r>
        <w:t>2026-04-01 00:00:00+00:00</w:t>
      </w:r>
      <w:r>
        <w:t xml:space="preserve">    </w:t>
      </w:r>
      <w:r>
        <w:rPr>
          <w:b/>
        </w:rPr>
        <w:t xml:space="preserve">DOI: </w:t>
      </w:r>
      <w:hyperlink r:id="rId787">
        <w:r>
          <w:rPr>
            <w:color w:val="1155CC"/>
            <w:u w:val="single"/>
          </w:rPr>
          <w:t>10.1038/s41893-026-01795-x</w:t>
        </w:r>
      </w:hyperlink>
    </w:p>
    <w:p>
      <w:pPr>
        <w:spacing w:before="0" w:after="120"/>
      </w:pPr>
      <w:r>
        <w:rPr>
          <w:b/>
        </w:rPr>
        <w:t xml:space="preserve">Notes: </w:t>
      </w:r>
      <w:r>
        <w:t>abstract_source=nature_html</w:t>
      </w:r>
    </w:p>
    <w:p>
      <w:pPr>
        <w:spacing w:before="0" w:after="80" w:lineRule="auto" w:line="276"/>
      </w:pPr>
      <w:r>
        <w:rPr>
          <w:b/>
        </w:rPr>
        <w:t xml:space="preserve">摘要（ZH）: </w:t>
      </w:r>
      <w:r>
        <w:t>人类发展和气候变化缓解需要大量矿产资源，其中一些会产生大量尾矿。尾矿储存设施故障的严重性和数量正在增加，对可持续发展构成重大挑战。然而，很难确定哪些国家应优先考虑尾矿管理以及如何在解决此类危机的同时有效管理现有尾矿。本研究通过调查主要产铜国家的铜尾矿生成趋势填补了这一空白。我们的结果显示，由于对铜的需求增加和矿石品位的逐渐下降，全球铜尾矿生成预计至少在本世纪中叶之前将继续上升。</w:t>
      </w:r>
    </w:p>
    <w:p>
      <w:pPr>
        <w:spacing w:before="0" w:after="200" w:lineRule="auto" w:line="276"/>
      </w:pPr>
      <w:r>
        <w:rPr>
          <w:b/>
        </w:rPr>
        <w:t xml:space="preserve">Abstract (EN): </w:t>
      </w:r>
      <w:r>
        <w:t>Human development and climate change mitigation require substantial mineral resources, some of which generate a large amount of tailings. The severities and volumes of tailings storage facilities failures are increasing, posing a major challenge to sustainable development. However, it is difficult to determine which countries should prioritize tailings management and how to effectively manage existing tailings while simultaneously addressing such a crisis. This study fills such a gap by investigating the trends of copper tailings generation in major copper-producing countries. Our results show that the global copper tailings generation is projected to continue to rise until at least the middle of this century because of the increasing demand for copper and the gradual decline of ore grades. We recommend developing a comprehensive strategy and fostering coordination among involved stakeholders to address this tailings crisis.</w:t>
      </w:r>
    </w:p>
    <w:p>
      <w:pPr>
        <w:spacing w:before="120" w:after="120"/>
      </w:pPr>
      <w:r>
        <w:rPr>
          <w:sz w:val="18"/>
        </w:rPr>
        <w:t>——————————————————————————————————————————————————————————————————————</w:t>
      </w:r>
    </w:p>
    <w:p>
      <w:pPr>
        <w:spacing w:before="160" w:after="40" w:line="240" w:lineRule="auto"/>
      </w:pPr>
      <w:r>
        <w:rPr>
          <w:b/>
        </w:rPr>
        <w:t xml:space="preserve">[309] </w:t>
      </w:r>
      <w:hyperlink r:id="rId788">
        <w:r>
          <w:rPr>
            <w:color w:val="1155CC"/>
            <w:u w:val="single"/>
          </w:rPr>
          <w:t>用于电化学水处理的可扩展流通装置，无二次污染</w:t>
        </w:r>
      </w:hyperlink>
    </w:p>
    <w:p>
      <w:pPr>
        <w:spacing w:before="0" w:after="80"/>
      </w:pPr>
      <w:r>
        <w:rPr>
          <w:i/>
          <w:sz w:val="20"/>
        </w:rPr>
        <w:t>EN: Scalable flow-through device for electrochemical water treatment without secondary pollution</w:t>
      </w:r>
    </w:p>
    <w:p>
      <w:pPr>
        <w:spacing w:before="0" w:after="120"/>
      </w:pPr>
      <w:r>
        <w:rPr>
          <w:b/>
        </w:rPr>
        <w:t xml:space="preserve">Source: </w:t>
      </w:r>
      <w:r>
        <w:t>Nature Sustainability</w:t>
      </w:r>
      <w:r>
        <w:t xml:space="preserve">    </w:t>
      </w:r>
      <w:r>
        <w:rPr>
          <w:b/>
        </w:rPr>
        <w:t xml:space="preserve">Pub date: </w:t>
      </w:r>
      <w:r>
        <w:t>2026-04-01 00:00:00+00:00</w:t>
      </w:r>
      <w:r>
        <w:t xml:space="preserve">    </w:t>
      </w:r>
      <w:r>
        <w:rPr>
          <w:b/>
        </w:rPr>
        <w:t xml:space="preserve">DOI: </w:t>
      </w:r>
      <w:hyperlink r:id="rId789">
        <w:r>
          <w:rPr>
            <w:color w:val="1155CC"/>
            <w:u w:val="single"/>
          </w:rPr>
          <w:t>10.1038/s41893-026-01799-7</w:t>
        </w:r>
      </w:hyperlink>
    </w:p>
    <w:p>
      <w:pPr>
        <w:spacing w:before="0" w:after="120"/>
      </w:pPr>
      <w:r>
        <w:rPr>
          <w:b/>
        </w:rPr>
        <w:t xml:space="preserve">Notes: </w:t>
      </w:r>
      <w:r>
        <w:t>abstract_source=nature_html</w:t>
      </w:r>
    </w:p>
    <w:p>
      <w:pPr>
        <w:spacing w:before="0" w:after="80" w:lineRule="auto" w:line="276"/>
      </w:pPr>
      <w:r>
        <w:rPr>
          <w:b/>
        </w:rPr>
        <w:t xml:space="preserve">摘要（ZH）: </w:t>
      </w:r>
      <w:r>
        <w:t>电化学高级氧化过程（EAOPs）能够在温和条件下去除各种有机污染物，具有保护水环境和提供安全供水的潜力。然而，由于需要支持电解质、半电池操作和小工作面积，其实施受到严重阻碍。在此，我们报告了一种用于基于EAOP的水处理的膜电极组件装置。通过组装气体扩散电极和反应性电化学膜，该设计结合并增强了氧还原反应和阳极氧化，即使在每升仅几个纳克的浓度下也能去除微污染物。更重要的是，它易于扩展以构建并行</w:t>
      </w:r>
    </w:p>
    <w:p>
      <w:pPr>
        <w:spacing w:before="0" w:after="200" w:lineRule="auto" w:line="276"/>
      </w:pPr>
      <w:r>
        <w:rPr>
          <w:b/>
        </w:rPr>
        <w:t xml:space="preserve">Abstract (EN): </w:t>
      </w:r>
      <w:r>
        <w:t>Electrochemical advanced oxidation processes (EAOPs), capable of removing various organic pollutants under mild conditions, have the potential to safeguard the water environment and deliver safe water supply. However, their implementation has been severely hampered by limited scalability caused by the need for a supporting electrolyte, half-cell operation and small working area. Here we report a membrane electrode assembly device for EAOP-based water treatment. Leveraging the assembly of a gas diffusion electrode and a reactive electrochemical membrane, this design combines and boosts oxygen reduction reaction and anodic oxidation for the removal of micropollutants even at concentrations as low as several nanograms per litre. More importantly, it is easily scalable to build either parallel or tandem stacks to improve treatment performance. Sixteen top persistent organic pollutants were efficiently removed (&gt;92%) at a low cell-operation voltage of only 2 V with a long operation stability of at least 5,000 h. Life-cycle techno-economic analysis indicates the potential for large-scale applications. Overall, this study presents a scalable EAOP device design that has the potential to pave the way to sustainable water purification.</w:t>
      </w:r>
    </w:p>
    <w:p>
      <w:pPr>
        <w:spacing w:before="120" w:after="120"/>
      </w:pPr>
      <w:r>
        <w:rPr>
          <w:sz w:val="18"/>
        </w:rPr>
        <w:t>——————————————————————————————————————————————————————————————————————</w:t>
      </w:r>
    </w:p>
    <w:p>
      <w:pPr>
        <w:spacing w:before="160" w:after="40" w:line="240" w:lineRule="auto"/>
      </w:pPr>
      <w:r>
        <w:rPr>
          <w:b/>
        </w:rPr>
        <w:t xml:space="preserve">[310] </w:t>
      </w:r>
      <w:hyperlink r:id="rId790">
        <w:r>
          <w:rPr>
            <w:color w:val="1155CC"/>
            <w:u w:val="single"/>
          </w:rPr>
          <w:t>海马体投射杏仁核神经元中Sgk1上调是PTSD样回避行为延迟发作的基础</w:t>
        </w:r>
      </w:hyperlink>
    </w:p>
    <w:p>
      <w:pPr>
        <w:spacing w:before="0" w:after="80"/>
      </w:pPr>
      <w:r>
        <w:rPr>
          <w:i/>
          <w:sz w:val="20"/>
        </w:rPr>
        <w:t>EN: Sgk1 upregulation in hippocampus-projecting amygdala neurons underlies the delayed onset of PTSD-like avoidance behavior</w:t>
      </w:r>
    </w:p>
    <w:p>
      <w:pPr>
        <w:spacing w:before="0" w:after="120"/>
      </w:pPr>
      <w:r>
        <w:rPr>
          <w:b/>
        </w:rPr>
        <w:t xml:space="preserve">Source: </w:t>
      </w:r>
      <w:r>
        <w:t>Nature Communications</w:t>
      </w:r>
      <w:r>
        <w:t xml:space="preserve">    </w:t>
      </w:r>
      <w:r>
        <w:rPr>
          <w:b/>
        </w:rPr>
        <w:t xml:space="preserve">Pub date: </w:t>
      </w:r>
      <w:r>
        <w:t>2026-04-01 00:00:00+00:00</w:t>
      </w:r>
      <w:r>
        <w:t xml:space="preserve">    </w:t>
      </w:r>
      <w:r>
        <w:rPr>
          <w:b/>
        </w:rPr>
        <w:t xml:space="preserve">DOI: </w:t>
      </w:r>
      <w:hyperlink r:id="rId791">
        <w:r>
          <w:rPr>
            <w:color w:val="1155CC"/>
            <w:u w:val="single"/>
          </w:rPr>
          <w:t>10.1038/s41467-026-71129-0</w:t>
        </w:r>
      </w:hyperlink>
    </w:p>
    <w:p>
      <w:pPr>
        <w:spacing w:before="0" w:after="120"/>
      </w:pPr>
      <w:r>
        <w:rPr>
          <w:b/>
        </w:rPr>
        <w:t xml:space="preserve">Notes: </w:t>
      </w:r>
      <w:r>
        <w:t>abstract_source=nature_html</w:t>
      </w:r>
    </w:p>
    <w:p>
      <w:pPr>
        <w:spacing w:before="0" w:after="80" w:lineRule="auto" w:line="276"/>
      </w:pPr>
      <w:r>
        <w:rPr>
          <w:b/>
        </w:rPr>
        <w:t xml:space="preserve">摘要（ZH）: </w:t>
      </w:r>
      <w:r>
        <w:t>过度回避是创伤后应激障碍（PTSD）的核心症状，但其潜在的回路机制仍然知之甚少。在此，我们使用由不可逃避的电击诱导的PTSD小鼠模型，观察到与选择性激活靶向腹侧海马（BLA→vHPC PNs）的基底外侧杏仁核（BLA）投射神经元（PNs）相关的回避行为的延迟和持续增加，但在两性中不涉及伏隔核。这种特定投射的激活是由糖皮质激素受体（GR）信号驱动的增强神经元兴奋性和兴奋性传递导致的。在GR信号分子的级联中，我们确定血清和糖皮质激素调节激酶1（Sgk1）是将压力暴露与过度激活联系起来的关键下游介质。</w:t>
      </w:r>
    </w:p>
    <w:p>
      <w:pPr>
        <w:spacing w:before="0" w:after="200" w:lineRule="auto" w:line="276"/>
      </w:pPr>
      <w:r>
        <w:rPr>
          <w:b/>
        </w:rPr>
        <w:t xml:space="preserve">Abstract (EN): </w:t>
      </w:r>
      <w:r>
        <w:t>Excessive avoidance is a core symptom of post-traumatic stress disorder (PTSD), yet its underlying circuit mechanisms remain poorly understood. Here, using a mouse model of PTSD induced by inescapable footshock, we observed a delayed and prolonged increase in avoidance behavior associated with selective activation of basolateral amygdala (BLA) projection neurons (PNs) targeting ventral hippocampus (BLA→vHPC PNs), but not nucleus accumbens, in both sexes. This projection-specific activation results from enhanced neuronal excitability and excitatory transmission driven by glucocorticoid receptor (GR) signaling. Among the cascade of GR signaling molecules, we identified serum- and glucocorticoid-regulated kinase 1 (Sgk1) as a key downstream mediator linking stress exposure to the hyperactivation of BLA→vHPC PNs and PTSD-like avoidance behavior. Manipulating Sgk1 expression bidirectionally regulates neuronal activity and susceptibility to stress-induced avoidance. These findings underscore the critical role of projection-specific upregulation of Sgk1 in BLA PNs in the pathogenesis of PTSD-like avoidance behavior.</w:t>
      </w:r>
    </w:p>
    <w:p>
      <w:pPr>
        <w:spacing w:before="120" w:after="120"/>
      </w:pPr>
      <w:r>
        <w:rPr>
          <w:sz w:val="18"/>
        </w:rPr>
        <w:t>——————————————————————————————————————————————————————————————————————</w:t>
      </w:r>
    </w:p>
    <w:p>
      <w:pPr>
        <w:spacing w:before="160" w:after="40" w:line="240" w:lineRule="auto"/>
      </w:pPr>
      <w:r>
        <w:rPr>
          <w:b/>
        </w:rPr>
        <w:t xml:space="preserve">[311] </w:t>
      </w:r>
      <w:hyperlink r:id="rId792">
        <w:r>
          <w:rPr>
            <w:color w:val="1155CC"/>
            <w:u w:val="single"/>
          </w:rPr>
          <w:t>应变工程双层镍酸盐薄膜中的结构改性</w:t>
        </w:r>
      </w:hyperlink>
    </w:p>
    <w:p>
      <w:pPr>
        <w:spacing w:before="0" w:after="80"/>
      </w:pPr>
      <w:r>
        <w:rPr>
          <w:i/>
          <w:sz w:val="20"/>
        </w:rPr>
        <w:t>EN: Structural modifications in strain-engineered bilayer nickelate thin films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93">
        <w:r>
          <w:rPr>
            <w:color w:val="1155CC"/>
            <w:u w:val="single"/>
          </w:rPr>
          <w:t>10.1038/s41586-026-10446-2</w:t>
        </w:r>
      </w:hyperlink>
    </w:p>
    <w:p>
      <w:pPr>
        <w:spacing w:before="0" w:after="120"/>
      </w:pPr>
      <w:r>
        <w:rPr>
          <w:b/>
        </w:rPr>
        <w:t xml:space="preserve">Notes: </w:t>
      </w:r>
      <w:r>
        <w:t>abstract_source=nature_html</w:t>
      </w:r>
    </w:p>
    <w:p>
      <w:pPr>
        <w:spacing w:before="0" w:after="80" w:lineRule="auto" w:line="276"/>
      </w:pPr>
      <w:r>
        <w:rPr>
          <w:b/>
        </w:rPr>
        <w:t xml:space="preserve">摘要（ZH）: </w:t>
      </w:r>
      <w:r>
        <w:t>在高静水压1−4和外延薄膜中的双轴压缩5−8下，块状La3Ni2O7中高温超导性的发现引发了对理解这些化合物中原子和电子结构相互作用的极大兴趣。镍氧键环境的微妙变化被认为是稳定超导性的关键驱动因素，但哪些键和哪些修改最相关的具体细节仍未解决。虽然在静水压下的直接原子尺度结构表征超出了当前实验能力，但应变La3Ni2O7薄膜的静态稳定提供了一个非常适合使用新的皮米分辨率电子显微镜方法进行研究的平台。在此，我们使用</w:t>
      </w:r>
    </w:p>
    <w:p>
      <w:pPr>
        <w:spacing w:before="0" w:after="200" w:lineRule="auto" w:line="276"/>
      </w:pPr>
      <w:r>
        <w:rPr>
          <w:b/>
        </w:rPr>
        <w:t xml:space="preserve">Abstract (EN): </w:t>
      </w:r>
      <w:r>
        <w:t>The discovery of high-temperature superconductivity in bulk La3Ni2O7 under high hydrostatic pressure1−4 and biaxial compression in epitaxial thin films5−8 has ignited significant interest in understanding the interplay between atomic and electronic structure in these compounds. Subtle changes in the nickel-oxygen bonding environment are thought to be key drivers for stabilizing superconductivity, but specific details of which bonds and which modifications are most relevant remains so far unresolved. While direct, atomic-scale structural characterization under hydrostatic pressure is beyond current experimental capabilities, static stabilization of strained La3Ni2O7 films provides a platform well-suited to investigation with new picometer-resolution electron microscopy methods. Here, we use multislice electron ptychography (MEP)9,10 to directly measure the atomic-scale structural evolution of La3Ni2O7 thin films across a wide range of biaxial strains tuned via substrate choice. By resolving both the cation and oxygen sublattices, we study the strain-dependent evolution of atomic bonds, providing the opportunity to isolate and disentangle the effects of specific structural motifs for stabilizing superconductivity. We identify the lifting of crystalline symmetry through modification of the nickel-oxygen octahedral distortions under compressive strain as a key structural ingredient for superconductivity and identify in-plane lattice compression as a common attribute between bulk and thin film superconductivity. Building upon the detailed structures obtained by MEP, we introduce a theoretical framework to disentangle coupled structural distortions in corner-sharing octahedra11, which suggest that both known superconducting geometries of La3Ni2O7 (hydrostatic pressure and compressive strain) suppress local t2g orbital mixing in the low-energy Ni bands by raising the octahedral symmetry.</w:t>
      </w:r>
    </w:p>
    <w:p>
      <w:pPr>
        <w:spacing w:before="120" w:after="120"/>
      </w:pPr>
      <w:r>
        <w:rPr>
          <w:sz w:val="18"/>
        </w:rPr>
        <w:t>——————————————————————————————————————————————————————————————————————</w:t>
      </w:r>
    </w:p>
    <w:p>
      <w:pPr>
        <w:spacing w:before="160" w:after="40" w:line="240" w:lineRule="auto"/>
      </w:pPr>
      <w:r>
        <w:rPr>
          <w:b/>
        </w:rPr>
        <w:t xml:space="preserve">[312] </w:t>
      </w:r>
      <w:hyperlink r:id="rId794">
        <w:r>
          <w:rPr>
            <w:color w:val="1155CC"/>
            <w:u w:val="single"/>
          </w:rPr>
          <w:t>超效阿片类药物可能是比预期更安全的传统止痛药替代品</w:t>
        </w:r>
      </w:hyperlink>
    </w:p>
    <w:p>
      <w:pPr>
        <w:spacing w:before="0" w:after="80"/>
      </w:pPr>
      <w:r>
        <w:rPr>
          <w:i/>
          <w:sz w:val="20"/>
        </w:rPr>
        <w:t>EN: Super-potent opioids could be safer-than-expected alternatives to conventional painkillers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95">
        <w:r>
          <w:rPr>
            <w:color w:val="1155CC"/>
            <w:u w:val="single"/>
          </w:rPr>
          <w:t>10.1038/d41586-026-00806-3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[313] </w:t>
      </w:r>
      <w:hyperlink r:id="rId796">
        <w:r>
          <w:rPr>
            <w:color w:val="1155CC"/>
            <w:u w:val="single"/>
          </w:rPr>
          <w:t>每日简报：NASA阿尔忒弥斯II号月球任务发射倒计时</w:t>
        </w:r>
      </w:hyperlink>
    </w:p>
    <w:p>
      <w:pPr>
        <w:spacing w:before="0" w:after="80"/>
      </w:pPr>
      <w:r>
        <w:rPr>
          <w:i/>
          <w:sz w:val="20"/>
        </w:rPr>
        <w:t>EN: Daily briefing: The countdown to NASA’s Artemis II Moon mission launch</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797">
        <w:r>
          <w:rPr>
            <w:color w:val="1155CC"/>
            <w:u w:val="single"/>
          </w:rPr>
          <w:t>10.1038/d41586-026-01097-4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[314] </w:t>
      </w:r>
      <w:hyperlink r:id="rId798">
        <w:r>
          <w:rPr>
            <w:color w:val="1155CC"/>
            <w:u w:val="single"/>
          </w:rPr>
          <w:t>通过类氢脆辅助热活化合成原子分散催化剂用于酸性氧还原</w:t>
        </w:r>
      </w:hyperlink>
    </w:p>
    <w:p>
      <w:pPr>
        <w:spacing w:before="0" w:after="80"/>
      </w:pPr>
      <w:r>
        <w:rPr>
          <w:i/>
          <w:sz w:val="20"/>
        </w:rPr>
        <w:t>EN: Synthesis of atomically dispersed catalysts via hydrogen embrittlement-like assisted thermal activation for acidic oxygen reduction</w:t>
      </w:r>
    </w:p>
    <w:p>
      <w:pPr>
        <w:spacing w:before="0" w:after="120"/>
      </w:pPr>
      <w:r>
        <w:rPr>
          <w:b/>
        </w:rPr>
        <w:t xml:space="preserve">Source: </w:t>
      </w:r>
      <w:r>
        <w:t>Nature Communications</w:t>
      </w:r>
      <w:r>
        <w:t xml:space="preserve">    </w:t>
      </w:r>
      <w:r>
        <w:rPr>
          <w:b/>
        </w:rPr>
        <w:t xml:space="preserve">Pub date: </w:t>
      </w:r>
      <w:r>
        <w:t>2026-04-01 00:00:00+00:00</w:t>
      </w:r>
      <w:r>
        <w:t xml:space="preserve">    </w:t>
      </w:r>
      <w:r>
        <w:rPr>
          <w:b/>
        </w:rPr>
        <w:t xml:space="preserve">DOI: </w:t>
      </w:r>
      <w:hyperlink r:id="rId799">
        <w:r>
          <w:rPr>
            <w:color w:val="1155CC"/>
            <w:u w:val="single"/>
          </w:rPr>
          <w:t>10.1038/s41467-026-71340-z</w:t>
        </w:r>
      </w:hyperlink>
    </w:p>
    <w:p>
      <w:pPr>
        <w:spacing w:before="0" w:after="120"/>
      </w:pPr>
      <w:r>
        <w:rPr>
          <w:b/>
        </w:rPr>
        <w:t xml:space="preserve">Notes: </w:t>
      </w:r>
      <w:r>
        <w:t>abstract_source=nature_html</w:t>
      </w:r>
    </w:p>
    <w:p>
      <w:pPr>
        <w:spacing w:before="0" w:after="80" w:lineRule="auto" w:line="276"/>
      </w:pPr>
      <w:r>
        <w:rPr>
          <w:b/>
        </w:rPr>
        <w:t xml:space="preserve">摘要（ZH）: </w:t>
      </w:r>
      <w:r>
        <w:t>基于3d金属的原子分散催化剂在催化领域已被广泛研究，但由于其高内聚能，稳定4d和5d金属如Ru、Pd和Pt为单原子仍然是一个挑战。在此，我们开发了一种受氢脆启发的策略，利用H2渗透在高温合成过程中削弱4d/5d金属簇的金属-金属内聚力。氢扩散进入簇中，驱动其解离为单个原子，随后由碳载体中的氮掺杂剂稳定，形成稳定的M-N4单原子位点。以Ru为模型系统，离位显微镜和光谱学提供了明确的证据，表明氢渗透破坏了Ru-Ru键合相互作用，促进了</w:t>
      </w:r>
    </w:p>
    <w:p>
      <w:pPr>
        <w:spacing w:before="0" w:after="200" w:lineRule="auto" w:line="276"/>
      </w:pPr>
      <w:r>
        <w:rPr>
          <w:b/>
        </w:rPr>
        <w:t xml:space="preserve">Abstract (EN): </w:t>
      </w:r>
      <w:r>
        <w:t>Atomically dispersed catalysts based on 3d metals have been extensively explored in the catalytic field, but stabilizing 4d and 5d metals like Ru, Pd, and Pt as single atoms remains a challenge due to their high cohesive energies. Herein, we develop a hydrogen-embrittlement-inspired strategy that leverages H2 permeation to weaken metal-metal cohesion in 4d/5d metal clusters during high-temperature synthesis. Hydrogen diffuses into the clusters, driving their dissociation into individual atoms, which are subsequently stabilized by nitrogen dopants in carbon supports, resulting in the formation of stable M-N4 single-atom sites. Taking Ru as a model system, ex-situ microscopy and spectroscopy offer definitive evidence that hydrogen permeation disrupts Ru-Ru bonding interactions, facilitating the conversion of Ru clusters into isolated RuN4 sites during the H2-assisted thermal activation process. Consequently, the prepared NC-Ru-950 catalyst achieves satisfactory activity and stability for acidic oxygen reduction and proton exchange membrane fuel cells. This work introduces a robust and universal strategy for stabilizing 4d and 5d transition metals as single-atom catalysts, offering a promising route to develop high-performance electrocatalysts.</w:t>
      </w:r>
    </w:p>
    <w:p>
      <w:pPr>
        <w:spacing w:before="120" w:after="120"/>
      </w:pPr>
      <w:r>
        <w:rPr>
          <w:sz w:val="18"/>
        </w:rPr>
        <w:t>——————————————————————————————————————————————————————————————————————</w:t>
      </w:r>
    </w:p>
    <w:p>
      <w:pPr>
        <w:spacing w:before="160" w:after="40" w:line="240" w:lineRule="auto"/>
      </w:pPr>
      <w:r>
        <w:rPr>
          <w:b/>
        </w:rPr>
        <w:t xml:space="preserve">[315] </w:t>
      </w:r>
      <w:hyperlink r:id="rId800">
        <w:r>
          <w:rPr>
            <w:color w:val="1155CC"/>
            <w:u w:val="single"/>
          </w:rPr>
          <w:t>通过阳离子中间体稳定化在受限空间内的柱[5]芳烃催化反马氏规则卤化反应</w:t>
        </w:r>
      </w:hyperlink>
    </w:p>
    <w:p>
      <w:pPr>
        <w:spacing w:before="0" w:after="80"/>
      </w:pPr>
      <w:r>
        <w:rPr>
          <w:i/>
          <w:sz w:val="20"/>
        </w:rPr>
        <w:t>EN: Pillar[5]arene-catalyzed anti-Markovnikov halogenations through cationic intermediates stabilization in confined spaces</w:t>
      </w:r>
    </w:p>
    <w:p>
      <w:pPr>
        <w:spacing w:before="0" w:after="120"/>
      </w:pPr>
      <w:r>
        <w:rPr>
          <w:b/>
        </w:rPr>
        <w:t xml:space="preserve">Source: </w:t>
      </w:r>
      <w:r>
        <w:t>Nature Communications</w:t>
      </w:r>
      <w:r>
        <w:t xml:space="preserve">    </w:t>
      </w:r>
      <w:r>
        <w:rPr>
          <w:b/>
        </w:rPr>
        <w:t xml:space="preserve">Pub date: </w:t>
      </w:r>
      <w:r>
        <w:t>2026-04-01 00:00:00+00:00</w:t>
      </w:r>
      <w:r>
        <w:t xml:space="preserve">    </w:t>
      </w:r>
      <w:r>
        <w:rPr>
          <w:b/>
        </w:rPr>
        <w:t xml:space="preserve">DOI: </w:t>
      </w:r>
      <w:hyperlink r:id="rId801">
        <w:r>
          <w:rPr>
            <w:color w:val="1155CC"/>
            <w:u w:val="single"/>
          </w:rPr>
          <w:t>10.1038/s41467-026-71201-9</w:t>
        </w:r>
      </w:hyperlink>
    </w:p>
    <w:p>
      <w:pPr>
        <w:spacing w:before="0" w:after="120"/>
      </w:pPr>
      <w:r>
        <w:rPr>
          <w:b/>
        </w:rPr>
        <w:t xml:space="preserve">Notes: </w:t>
      </w:r>
      <w:r>
        <w:t>abstract_source=nature_html</w:t>
      </w:r>
    </w:p>
    <w:p>
      <w:pPr>
        <w:spacing w:before="0" w:after="80" w:lineRule="auto" w:line="276"/>
      </w:pPr>
      <w:r>
        <w:rPr>
          <w:b/>
        </w:rPr>
        <w:t xml:space="preserve">摘要（ZH）: </w:t>
      </w:r>
      <w:r>
        <w:t>在催化腔内限制反应物对于实现高效和选择性的化学转化非常重要。模拟酶环境的大环有机共价主体提供了定义明确、可调节的腔体，能够容纳底物。这些稳健且合成可及的主体可以通过功能化其边缘工程成催化剂，其中底物选择性源于尺寸或形状互补的结合。这种定位将反应位点与共价主体边缘的催化功能基团靠近，加速反应。阳离子中间体在许多化学转化中起关键作用，在受限微环境中稳定这些活性物种可能会解锁非常规选择性</w:t>
      </w:r>
    </w:p>
    <w:p>
      <w:pPr>
        <w:spacing w:before="0" w:after="200" w:lineRule="auto" w:line="276"/>
      </w:pPr>
      <w:r>
        <w:rPr>
          <w:b/>
        </w:rPr>
        <w:t xml:space="preserve">Abstract (EN): </w:t>
      </w:r>
      <w:r>
        <w:t>The confinement of reactants within catalytic cavities is important for achieving efficient and selective chemical transformations. Macrocyclic organic covalent hosts, which mimic enzymatic environments, offer well-defined, tunable cavities capable of substrate accommodation. These robust and synthetically accessible hosts can be engineered into catalysts by functionalizing their rims, where substrate selectivity emerges from size- or shape-complementary binding. This positioning brings reactive sites into proximity with catalytic functional groups at the rims of covalent hosts, accelerating reactions. Cationic intermediates are pivotal in many chemical transformations, and stabilizing these reactive species within confined microenvironments could unlock unconventional selectivity for synthesizing high-value compounds. Despite this potential, leveraging the cavities of covalent hosts to stabilize and confine cationic intermediates for regioselective reactions remains underexplored. Here we report that the π-basic cavity of pillar[n]arenes can effectively stabilize bromiranium intermediates generated during olefin halogenation, confining them in a controlled microenvironment. This strategy overrides the intrinsic Markovnikov preference, enabling highly selective anti-Markovnikov halogenation. Furthermore, we extend this catalytic system to achieve size-selective anti-Markovnikov halogenation of olefins. This approach opens new pathways for selective transformations through the confinement of a cationic intermediate.</w:t>
      </w:r>
    </w:p>
    <w:p>
      <w:pPr>
        <w:spacing w:before="120" w:after="120"/>
      </w:pPr>
      <w:r>
        <w:rPr>
          <w:sz w:val="18"/>
        </w:rPr>
        <w:t>——————————————————————————————————————————————————————————————————————</w:t>
      </w:r>
    </w:p>
    <w:p>
      <w:pPr>
        <w:spacing w:before="160" w:after="40" w:line="240" w:lineRule="auto"/>
      </w:pPr>
      <w:r>
        <w:rPr>
          <w:b/>
        </w:rPr>
        <w:t xml:space="preserve">[316] </w:t>
      </w:r>
      <w:hyperlink r:id="rId802">
        <w:r>
          <w:rPr>
            <w:color w:val="1155CC"/>
            <w:u w:val="single"/>
          </w:rPr>
          <w:t>氨基酸衍生的可离子化脂质使吸入式碱基编辑成为可能，用于肺部治疗性基因校正</w:t>
        </w:r>
      </w:hyperlink>
    </w:p>
    <w:p>
      <w:pPr>
        <w:spacing w:before="0" w:after="80"/>
      </w:pPr>
      <w:r>
        <w:rPr>
          <w:i/>
          <w:sz w:val="20"/>
        </w:rPr>
        <w:t>EN: Amino acid-derived ionizable lipids enable inhaled base editing for therapeutic gene correction in the lung</w:t>
      </w:r>
    </w:p>
    <w:p>
      <w:pPr>
        <w:spacing w:before="0" w:after="120"/>
      </w:pPr>
      <w:r>
        <w:rPr>
          <w:b/>
        </w:rPr>
        <w:t xml:space="preserve">Source: </w:t>
      </w:r>
      <w:r>
        <w:t>Nature Materials</w:t>
      </w:r>
      <w:r>
        <w:t xml:space="preserve">    </w:t>
      </w:r>
      <w:r>
        <w:rPr>
          <w:b/>
        </w:rPr>
        <w:t xml:space="preserve">Pub date: </w:t>
      </w:r>
      <w:r>
        <w:t>2026-04-01 00:00:00+00:00</w:t>
      </w:r>
      <w:r>
        <w:t xml:space="preserve">    </w:t>
      </w:r>
      <w:r>
        <w:rPr>
          <w:b/>
        </w:rPr>
        <w:t xml:space="preserve">DOI: </w:t>
      </w:r>
      <w:hyperlink r:id="rId803">
        <w:r>
          <w:rPr>
            <w:color w:val="1155CC"/>
            <w:u w:val="single"/>
          </w:rPr>
          <w:t>10.1038/s41563-026-02555-0</w:t>
        </w:r>
      </w:hyperlink>
    </w:p>
    <w:p>
      <w:pPr>
        <w:spacing w:before="0" w:after="120"/>
      </w:pPr>
      <w:r>
        <w:rPr>
          <w:b/>
        </w:rPr>
        <w:t xml:space="preserve">Notes: </w:t>
      </w:r>
      <w:r>
        <w:t>abstract_source=nature_html</w:t>
      </w:r>
    </w:p>
    <w:p>
      <w:pPr>
        <w:spacing w:before="0" w:after="80" w:lineRule="auto" w:line="276"/>
      </w:pPr>
      <w:r>
        <w:rPr>
          <w:b/>
        </w:rPr>
        <w:t xml:space="preserve">摘要（ZH）: </w:t>
      </w:r>
      <w:r>
        <w:t>基于CRISPR的基因编辑在治疗遗传疾病方面具有前景，但其在肺部疾病中的应用因肺部递送的挑战而受阻。受氨基酸衍生化学的模块化和生物相容性启发，我们报告了960种可离子化脂质的组合合成，这些脂质结合了来自蛋白质和非蛋白质α-氨基酸的化学多样性骨架。通过高通量筛选和结构-功能分析，我们确定了CHCha-10，这是一种环己基氨基酸衍生的脂质，能够形成可生物降解的纳米颗粒，有效地将基于mRNA的基因编辑器递送到肺上皮细胞。经气管内给药后，CHCha-10纳米颗粒表现出增强的粘液穿透和上皮特异性转染</w:t>
      </w:r>
    </w:p>
    <w:p>
      <w:pPr>
        <w:spacing w:before="0" w:after="200" w:lineRule="auto" w:line="276"/>
      </w:pPr>
      <w:r>
        <w:rPr>
          <w:b/>
        </w:rPr>
        <w:t xml:space="preserve">Abstract (EN): </w:t>
      </w:r>
      <w:r>
        <w:t>CRISPR-based gene editing holds promise for treating genetic diseases, yet its application to lung disorders has been hindered by the challenges of pulmonary delivery. Inspired by the modularity and biocompatibility of amino acid-derived chemistries, we report the combinatorial synthesis of 960 ionizable lipids incorporating chemically diverse backbones from both proteinogenic and non-proteinogenic α-amino acids. Through high-throughput screening and structure–function analysis, we identify CHCha-10, a cyclohexyl amino acid-derived lipid that forms biodegradable nanoparticles capable of efficiently delivering mRNA-based gene editors to lung epithelial cells. Following intratracheal administration, CHCha-10 nanoparticles exhibit enhanced mucus penetration and epithelial-specific transfection in both mice and ferrets. Here, as a functional application, we demonstrate in vivo base editing in the lung via inhalation. Delivery of adenine base editor mRNA and guide RNA targeting the CFTR G542X mutation restores CFTR expression and chloride channel function in G542X human airway epithelial cells, mouse-derived intestinal organoids and the lungs of cystic fibrosis mice. This work establishes a chemically modular design framework for ionizable lipids and a translatable platform for RNA-based pulmonary gene correction.</w:t>
      </w:r>
    </w:p>
    <w:p>
      <w:pPr>
        <w:spacing w:before="120" w:after="120"/>
      </w:pPr>
      <w:r>
        <w:rPr>
          <w:sz w:val="18"/>
        </w:rPr>
        <w:t>——————————————————————————————————————————————————————————————————————</w:t>
      </w:r>
    </w:p>
    <w:p>
      <w:pPr>
        <w:spacing w:before="160" w:after="40" w:line="240" w:lineRule="auto"/>
      </w:pPr>
      <w:r>
        <w:rPr>
          <w:b/>
        </w:rPr>
        <w:t xml:space="preserve">[317] </w:t>
      </w:r>
      <w:hyperlink r:id="rId804">
        <w:r>
          <w:rPr>
            <w:color w:val="1155CC"/>
            <w:u w:val="single"/>
          </w:rPr>
          <w:t>YY1/Asprosin/PFKP轴调节糖酵解代谢并加剧病理性心肌肥大</w:t>
        </w:r>
      </w:hyperlink>
    </w:p>
    <w:p>
      <w:pPr>
        <w:spacing w:before="0" w:after="80"/>
      </w:pPr>
      <w:r>
        <w:rPr>
          <w:i/>
          <w:sz w:val="20"/>
        </w:rPr>
        <w:t>EN: YY1/Asprosin/PFKP axis regulates glycolytic metabolic and exacerbates pathological cardiac hypertrophy</w:t>
      </w:r>
    </w:p>
    <w:p>
      <w:pPr>
        <w:spacing w:before="0" w:after="120"/>
      </w:pPr>
      <w:r>
        <w:rPr>
          <w:b/>
        </w:rPr>
        <w:t xml:space="preserve">Source: </w:t>
      </w:r>
      <w:r>
        <w:t>Nature Communications</w:t>
      </w:r>
      <w:r>
        <w:t xml:space="preserve">    </w:t>
      </w:r>
      <w:r>
        <w:rPr>
          <w:b/>
        </w:rPr>
        <w:t xml:space="preserve">Pub date: </w:t>
      </w:r>
      <w:r>
        <w:t>2026-04-01 00:00:00+00:00</w:t>
      </w:r>
      <w:r>
        <w:t xml:space="preserve">    </w:t>
      </w:r>
      <w:r>
        <w:rPr>
          <w:b/>
        </w:rPr>
        <w:t xml:space="preserve">DOI: </w:t>
      </w:r>
      <w:hyperlink r:id="rId805">
        <w:r>
          <w:rPr>
            <w:color w:val="1155CC"/>
            <w:u w:val="single"/>
          </w:rPr>
          <w:t>10.1038/s41467-026-71197-2</w:t>
        </w:r>
      </w:hyperlink>
    </w:p>
    <w:p>
      <w:pPr>
        <w:spacing w:before="0" w:after="120"/>
      </w:pPr>
      <w:r>
        <w:rPr>
          <w:b/>
        </w:rPr>
        <w:t xml:space="preserve">Notes: </w:t>
      </w:r>
      <w:r>
        <w:t>abstract_source=nature_html</w:t>
      </w:r>
    </w:p>
    <w:p>
      <w:pPr>
        <w:spacing w:before="0" w:after="80" w:lineRule="auto" w:line="276"/>
      </w:pPr>
      <w:r>
        <w:rPr>
          <w:b/>
        </w:rPr>
        <w:t xml:space="preserve">摘要（ZH）: </w:t>
      </w:r>
      <w:r>
        <w:t>在肥厚和衰竭的心脏中，燃料代谢被重新编程以增强糖酵解。在此，我们确定了asprosin，一种脂肪因子，是病理性心肌肥厚过程中关键的调节因子。在患者中，循环asprosin水平与NT-proBNP和EF相关。心肌细胞特异性asprosin过表达加剧了肥厚、异常糖酵解，并损害了雄性小鼠的线粒体ATP生成，而其缺乏则对雄性/雌性小鼠的TAC或Ang II诱导的重塑具有保护作用。在机制上，asprosin结合PFKP并抑制DTX3L介导的K48连接的泛素化，从而稳定PFKP并驱动异常糖酵解、PDK4诱导、PDH抑制和呼吸受损。PFKP的基因敲低减轻了肥厚和f</w:t>
      </w:r>
    </w:p>
    <w:p>
      <w:pPr>
        <w:spacing w:before="0" w:after="200" w:lineRule="auto" w:line="276"/>
      </w:pPr>
      <w:r>
        <w:rPr>
          <w:b/>
        </w:rPr>
        <w:t xml:space="preserve">Abstract (EN): </w:t>
      </w:r>
      <w:r>
        <w:t>In hypertrophic and failing hearts, fuel metabolism is reprogrammed toward enhanced glycolysis. Here, we identify asprosin, an adipokine, as a critical regulator of this process in pathological cardiac hypertrophy. In patients, circulating asprosin levels correlate with NT-proBNP and EF. Cardiomyocyte-specific asprosin overexpression aggravates hypertrophy, abnormal glycolysis, and impairs mitochondrial ATP production in male mice, whereas its deficiency confers protection against TAC- or Ang II-induced remodeling in male/female mice. Mechanistically, asprosin binds PFKP and inhibits the K48-linked ubiquitination by DTX3L, thereby stabilizing PFKP and driving aberrant glycolysis, PDK4 induction, PDH inhibition, and impaired respiration. Genetic knockdown of PFKP mitigates hypertrophy and fibrosis in male mice, whereas PFKP overexpression abolishes the protective effects conferred by FBN1 knockdown. Moreover, YY1 is identified as a transcriptional activator of asprosin in the hypertrophic hearts of male mice. Here we show that the YY1–asprosin–PFKP–PDK4–PDH axis underlies metabolic remodeling, and we highlight plasma asprosin as a potential early biomarker and therapeutic target for cardiac dysfunction.</w:t>
      </w:r>
    </w:p>
    <w:p>
      <w:pPr>
        <w:spacing w:before="120" w:after="120"/>
      </w:pPr>
      <w:r>
        <w:rPr>
          <w:sz w:val="18"/>
        </w:rPr>
        <w:t>——————————————————————————————————————————————————————————————————————</w:t>
      </w:r>
    </w:p>
    <w:p>
      <w:pPr>
        <w:spacing w:before="160" w:after="40" w:line="240" w:lineRule="auto"/>
      </w:pPr>
      <w:r>
        <w:rPr>
          <w:b/>
        </w:rPr>
        <w:t xml:space="preserve">[318] </w:t>
      </w:r>
      <w:hyperlink r:id="rId806">
        <w:r>
          <w:rPr>
            <w:color w:val="1155CC"/>
            <w:u w:val="single"/>
          </w:rPr>
          <w:t>用于电化学技术的离子液体</w:t>
        </w:r>
      </w:hyperlink>
    </w:p>
    <w:p>
      <w:pPr>
        <w:spacing w:before="0" w:after="80"/>
      </w:pPr>
      <w:r>
        <w:rPr>
          <w:i/>
          <w:sz w:val="20"/>
        </w:rPr>
        <w:t>EN: Ionic liquids for electrochemical technologies</w:t>
      </w:r>
    </w:p>
    <w:p>
      <w:pPr>
        <w:spacing w:before="0" w:after="120"/>
      </w:pPr>
      <w:r>
        <w:rPr>
          <w:b/>
        </w:rPr>
        <w:t xml:space="preserve">Source: </w:t>
      </w:r>
      <w:r>
        <w:t>Nature Reviews Clean Technology</w:t>
      </w:r>
      <w:r>
        <w:t xml:space="preserve">    </w:t>
      </w:r>
      <w:r>
        <w:rPr>
          <w:b/>
        </w:rPr>
        <w:t xml:space="preserve">Pub date: </w:t>
      </w:r>
      <w:r>
        <w:t>2026-04-01 00:00:00+00:00</w:t>
      </w:r>
      <w:r>
        <w:t xml:space="preserve">    </w:t>
      </w:r>
      <w:r>
        <w:rPr>
          <w:b/>
        </w:rPr>
        <w:t xml:space="preserve">DOI: </w:t>
      </w:r>
      <w:hyperlink r:id="rId807">
        <w:r>
          <w:rPr>
            <w:color w:val="1155CC"/>
            <w:u w:val="single"/>
          </w:rPr>
          <w:t>10.1038/s44359-026-00163-4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[319] </w:t>
      </w:r>
      <w:hyperlink r:id="rId808">
        <w:r>
          <w:rPr>
            <w:color w:val="1155CC"/>
            <w:u w:val="single"/>
          </w:rPr>
          <w:t>纳米尺度染色质域的结构和调控</w:t>
        </w:r>
      </w:hyperlink>
    </w:p>
    <w:p>
      <w:pPr>
        <w:spacing w:before="0" w:after="80"/>
      </w:pPr>
      <w:r>
        <w:rPr>
          <w:i/>
          <w:sz w:val="20"/>
        </w:rPr>
        <w:t>EN: Architecture and regulation of nanoscale chromatin domains</w:t>
      </w:r>
    </w:p>
    <w:p>
      <w:pPr>
        <w:spacing w:before="0" w:after="120"/>
      </w:pPr>
      <w:r>
        <w:rPr>
          <w:b/>
        </w:rPr>
        <w:t xml:space="preserve">Source: </w:t>
      </w:r>
      <w:r>
        <w:t>Nature Communications</w:t>
      </w:r>
      <w:r>
        <w:t xml:space="preserve">    </w:t>
      </w:r>
      <w:r>
        <w:rPr>
          <w:b/>
        </w:rPr>
        <w:t xml:space="preserve">Pub date: </w:t>
      </w:r>
      <w:r>
        <w:t>2026-04-01 00:00:00+00:00</w:t>
      </w:r>
      <w:r>
        <w:t xml:space="preserve">    </w:t>
      </w:r>
      <w:r>
        <w:rPr>
          <w:b/>
        </w:rPr>
        <w:t xml:space="preserve">DOI: </w:t>
      </w:r>
      <w:hyperlink r:id="rId809">
        <w:r>
          <w:rPr>
            <w:color w:val="1155CC"/>
            <w:u w:val="single"/>
          </w:rPr>
          <w:t>10.1038/s41467-026-71213-5</w:t>
        </w:r>
      </w:hyperlink>
    </w:p>
    <w:p>
      <w:pPr>
        <w:spacing w:before="0" w:after="120"/>
      </w:pPr>
      <w:r>
        <w:rPr>
          <w:b/>
        </w:rPr>
        <w:t xml:space="preserve">Notes: </w:t>
      </w:r>
      <w:r>
        <w:t>abstract_source=nature_html</w:t>
      </w:r>
    </w:p>
    <w:p>
      <w:pPr>
        <w:spacing w:before="0" w:after="80" w:lineRule="auto" w:line="276"/>
      </w:pPr>
      <w:r>
        <w:rPr>
          <w:b/>
        </w:rPr>
        <w:t xml:space="preserve">摘要（ZH）: </w:t>
      </w:r>
      <w:r>
        <w:t>纳米尺度染色质域已成为哺乳动物基因组在间期和有丝分裂期间组织的基本单位。单分子定位显微镜现在能够直接可视化这些域，揭示了包括特征性包装、连接组蛋白的富集和组蛋白标记的径向分层等保守特征。这些域作为基因活性的动态调节器，响应发育和环境线索进行重塑，并在疾病中被破坏。实验发现和生物物理建模指出，核小体间相互作用和表观遗传反应是其组织的关键驱动因素。通过将它们与核纤层和核仁相关域并列，我们提出了一个跨尺度的统一生物物理框架来组织基因组。The</w:t>
      </w:r>
    </w:p>
    <w:p>
      <w:pPr>
        <w:spacing w:before="0" w:after="200" w:lineRule="auto" w:line="276"/>
      </w:pPr>
      <w:r>
        <w:rPr>
          <w:b/>
        </w:rPr>
        <w:t xml:space="preserve">Abstract (EN): </w:t>
      </w:r>
      <w:r>
        <w:t>Nanoscale chromatin domains have emerged as fundamental units of mammalian genome organization during interphase and mitosis. Single-molecule localization microscopy now enables their direct visualization, revealing conserved features including characteristic packing, enrichment of linker histones, and radial stratification of histone marks. These domains act as dynamic regulators of gene activity, remodel in response to developmental and environmental cues, and become disrupted in disease. Experimental findings and biophysical modelling point to internucleosomal interactions and epigenetic reactions as key drivers of their organization. By situating them alongside lamin- and nucleolus-associated domains, we propose a unified biophysical framework for genome organization across scales. Their recurrent disruption in aging and disease makes them compelling targets for diagnosis and intervention.</w:t>
      </w:r>
    </w:p>
    <w:p>
      <w:pPr>
        <w:spacing w:before="120" w:after="120"/>
      </w:pPr>
      <w:r>
        <w:rPr>
          <w:sz w:val="18"/>
        </w:rPr>
        <w:t>——————————————————————————————————————————————————————————————————————</w:t>
      </w:r>
    </w:p>
    <w:p>
      <w:pPr>
        <w:spacing w:before="160" w:after="40" w:line="240" w:lineRule="auto"/>
      </w:pPr>
      <w:r>
        <w:rPr>
          <w:b/>
        </w:rPr>
        <w:t xml:space="preserve">[320] </w:t>
      </w:r>
      <w:hyperlink r:id="rId810">
        <w:r>
          <w:rPr>
            <w:color w:val="1155CC"/>
            <w:u w:val="single"/>
          </w:rPr>
          <w:t>MIC-Drop-seq：可扩展的突变脊椎动物胚胎单细胞表型分析</w:t>
        </w:r>
      </w:hyperlink>
    </w:p>
    <w:p>
      <w:pPr>
        <w:spacing w:before="0" w:after="80"/>
      </w:pPr>
      <w:r>
        <w:rPr>
          <w:i/>
          <w:sz w:val="20"/>
        </w:rPr>
        <w:t>EN: MIC-Drop-seq: scalable single-cell phenotyping of mutant vertebrate embryos</w:t>
      </w:r>
    </w:p>
    <w:p>
      <w:pPr>
        <w:spacing w:before="0" w:after="120"/>
      </w:pPr>
      <w:r>
        <w:rPr>
          <w:b/>
        </w:rPr>
        <w:t xml:space="preserve">Source: </w:t>
      </w:r>
      <w:r>
        <w:t>Nature Communications</w:t>
      </w:r>
      <w:r>
        <w:t xml:space="preserve">    </w:t>
      </w:r>
      <w:r>
        <w:rPr>
          <w:b/>
        </w:rPr>
        <w:t xml:space="preserve">Pub date: </w:t>
      </w:r>
      <w:r>
        <w:t>2026-04-01 00:00:00+00:00</w:t>
      </w:r>
      <w:r>
        <w:t xml:space="preserve">    </w:t>
      </w:r>
      <w:r>
        <w:rPr>
          <w:b/>
        </w:rPr>
        <w:t xml:space="preserve">DOI: </w:t>
      </w:r>
      <w:hyperlink r:id="rId811">
        <w:r>
          <w:rPr>
            <w:color w:val="1155CC"/>
            <w:u w:val="single"/>
          </w:rPr>
          <w:t>10.1038/s41467-026-70989-w</w:t>
        </w:r>
      </w:hyperlink>
    </w:p>
    <w:p>
      <w:pPr>
        <w:spacing w:before="0" w:after="120"/>
      </w:pPr>
      <w:r>
        <w:rPr>
          <w:b/>
        </w:rPr>
        <w:t xml:space="preserve">Notes: </w:t>
      </w:r>
      <w:r>
        <w:t>abstract_source=nature_html</w:t>
      </w:r>
    </w:p>
    <w:p>
      <w:pPr>
        <w:spacing w:before="0" w:after="80" w:lineRule="auto" w:line="276"/>
      </w:pPr>
      <w:r>
        <w:rPr>
          <w:b/>
        </w:rPr>
        <w:t xml:space="preserve">摘要（ZH）: </w:t>
      </w:r>
      <w:r>
        <w:t>汇集扰动筛选可以揭示细胞调控网络，但在动物中大规模筛选这些技术仍然具有挑战性。在此，我们介绍MIC-Drop-seq，这是一种通过将斑马鱼胚胎中的高通量CRISPR基因破坏与多重单细胞RNA测序表型相结合来应对这些挑战的技术。在一次MIC-Drop-seq实验中，我们同时识别了由于50个转录因子功能丧失而导致的74种细胞类型的基因表达和细胞丰度变化。这些观察重现了许多已知的表型，同时也揭示了转录因子在大脑和中胚层发育中以前未被描述的作用。全动物筛选的一个关键优势是它们揭示了一个细胞类型中的变化如何影响其他细胞类型。</w:t>
      </w:r>
    </w:p>
    <w:p>
      <w:pPr>
        <w:spacing w:before="0" w:after="200" w:lineRule="auto" w:line="276"/>
      </w:pPr>
      <w:r>
        <w:rPr>
          <w:b/>
        </w:rPr>
        <w:t xml:space="preserve">Abstract (EN): </w:t>
      </w:r>
      <w:r>
        <w:t>Pooled perturbation screens can reveal cellular regulatory networks, yet scaling these techniques for large-scale screens in animals remains challenging. Here we present MIC-Drop-seq, a technique that addresses these challenges by combining high-throughput CRISPR gene disruption in zebrafish embryos with phenotyping by multiplexed single-cell RNAseq. In one MIC-Drop-seq experiment, we simultaneously identified changes in gene expression and cell abundance across 74 cell types resulting from loss of function of 50 transcription factors. These observations recapitulate many known phenotypes, while also uncovering previously uncharacterized roles for transcription factors in brain and mesoderm development. A key advantage of whole-animal screens is that they reveal how changes in one cell type affect the development of other cell types. Surprisingly, such cell-extrinsic phenotypes are abundant, indicating that transcription factors frequently exert effects beyond the cells where they are expressed to adjacent cells. We propose that MIC-Drop-seq will facilitate efforts to dissect the complete gene regulatory networks that guide animal development.</w:t>
      </w:r>
    </w:p>
    <w:p>
      <w:pPr>
        <w:spacing w:before="120" w:after="120"/>
      </w:pPr>
      <w:r>
        <w:rPr>
          <w:sz w:val="18"/>
        </w:rPr>
        <w:t>——————————————————————————————————————————————————————————————————————</w:t>
      </w:r>
    </w:p>
    <w:p>
      <w:pPr>
        <w:spacing w:before="160" w:after="40" w:line="240" w:lineRule="auto"/>
      </w:pPr>
      <w:r>
        <w:rPr>
          <w:b/>
        </w:rPr>
        <w:t xml:space="preserve">[321] </w:t>
      </w:r>
      <w:hyperlink r:id="rId812">
        <w:r>
          <w:rPr>
            <w:color w:val="1155CC"/>
            <w:u w:val="single"/>
          </w:rPr>
          <w:t>FSHR和LHR功能补偿揭示卵巢过度刺激综合征的机制和治疗</w:t>
        </w:r>
      </w:hyperlink>
    </w:p>
    <w:p>
      <w:pPr>
        <w:spacing w:before="0" w:after="80"/>
      </w:pPr>
      <w:r>
        <w:rPr>
          <w:i/>
          <w:sz w:val="20"/>
        </w:rPr>
        <w:t>EN: FSHR and LHR functional compensation reveals the mechanism and treatment of Ovarian Hyperstimulation Syndrome</w:t>
      </w:r>
    </w:p>
    <w:p>
      <w:pPr>
        <w:spacing w:before="0" w:after="120"/>
      </w:pPr>
      <w:r>
        <w:rPr>
          <w:b/>
        </w:rPr>
        <w:t xml:space="preserve">Source: </w:t>
      </w:r>
      <w:r>
        <w:t>Nature Communications</w:t>
      </w:r>
      <w:r>
        <w:t xml:space="preserve">    </w:t>
      </w:r>
      <w:r>
        <w:rPr>
          <w:b/>
        </w:rPr>
        <w:t xml:space="preserve">Pub date: </w:t>
      </w:r>
      <w:r>
        <w:t>2026-04-01 00:00:00+00:00</w:t>
      </w:r>
      <w:r>
        <w:t xml:space="preserve">    </w:t>
      </w:r>
      <w:r>
        <w:rPr>
          <w:b/>
        </w:rPr>
        <w:t xml:space="preserve">DOI: </w:t>
      </w:r>
      <w:hyperlink r:id="rId813">
        <w:r>
          <w:rPr>
            <w:color w:val="1155CC"/>
            <w:u w:val="single"/>
          </w:rPr>
          <w:t>10.1038/s41467-026-71338-7</w:t>
        </w:r>
      </w:hyperlink>
    </w:p>
    <w:p>
      <w:pPr>
        <w:spacing w:before="0" w:after="120"/>
      </w:pPr>
      <w:r>
        <w:rPr>
          <w:b/>
        </w:rPr>
        <w:t xml:space="preserve">Notes: </w:t>
      </w:r>
      <w:r>
        <w:t>abstract_source=nature_html</w:t>
      </w:r>
    </w:p>
    <w:p>
      <w:pPr>
        <w:spacing w:before="0" w:after="80" w:lineRule="auto" w:line="276"/>
      </w:pPr>
      <w:r>
        <w:rPr>
          <w:b/>
        </w:rPr>
        <w:t xml:space="preserve">摘要（ZH）: </w:t>
      </w:r>
      <w:r>
        <w:t>人类卵泡刺激素受体（FSHR）的功能获得性突变会导致自发性卵巢过度刺激综合征（OHSS），这是一种严重的生殖障碍。然而，OHSS的分子生理学和治疗选择仍不明确。值得注意的是，梅花雀自然携带一种FSHR变体（Thr449Ala），类似于人类的致病突变，但对OHSS具有抵抗力。我们在此表明，这种抵抗力源于梅花雀卵巢颗粒细胞中显著降低的黄体生成素受体表达。此外，使用黄体生成素受体拮抗剂的治疗在小鼠模型中缓解了OHSS症状。单细胞RNA转录组学揭示了两种受体在调节雌激素生产和血管通透性方面的功能补偿。</w:t>
      </w:r>
    </w:p>
    <w:p>
      <w:pPr>
        <w:spacing w:before="0" w:after="200" w:lineRule="auto" w:line="276"/>
      </w:pPr>
      <w:r>
        <w:rPr>
          <w:b/>
        </w:rPr>
        <w:t xml:space="preserve">Abstract (EN): </w:t>
      </w:r>
      <w:r>
        <w:t>Gain-of-function mutations in the human follicle-stimulating hormone receptor (FSHR) cause spontaneous ovarian hyperstimulation syndrome (OHSS), a serious reproductive disorder. However, the molecular physiology and treatment options for OHSS remain elusive. Notably, estrildid finches naturally carry an FSHR variant (Thr449Ala) analogous to the pathogenic mutation in humans yet are resistant to OHSS. Here we show that this resistance stems from significantly reduced luteinizing hormone receptor expression in estrildid ovarian granulosa cells. Furthermore, treatment with the luteinizing hormone receptor antagonist alleviates OHSS symptoms in mouse models. Single-cell RNA transcriptomic reveals functional compensation of the two receptors to regulate estrogen production and vascular permeability, resembling the adaptive mechanisms observed in estrildid finches. Our study unravels the molecular mechanism underlying the physiological adaptation of estrildid ovaries to high FSHR constitutive activity and is a example of how the concept of Darwinian Medicine could be exploited to identify novel drug targets for ovarian hyperstimulation syndrome treatment.</w:t>
      </w:r>
    </w:p>
    <w:p>
      <w:pPr>
        <w:spacing w:before="120" w:after="120"/>
      </w:pPr>
      <w:r>
        <w:rPr>
          <w:sz w:val="18"/>
        </w:rPr>
        <w:t>——————————————————————————————————————————————————————————————————————</w:t>
      </w:r>
    </w:p>
    <w:p>
      <w:pPr>
        <w:spacing w:before="160" w:after="40" w:line="240" w:lineRule="auto"/>
      </w:pPr>
      <w:r>
        <w:rPr>
          <w:b/>
        </w:rPr>
        <w:t xml:space="preserve">[322] </w:t>
      </w:r>
      <w:hyperlink r:id="rId814">
        <w:r>
          <w:rPr>
            <w:color w:val="1155CC"/>
            <w:u w:val="single"/>
          </w:rPr>
          <w:t>通过缺陷界面功能化唤醒休眠的BiCuSeO超晶格以增强光热电酶共催化疗法</w:t>
        </w:r>
      </w:hyperlink>
    </w:p>
    <w:p>
      <w:pPr>
        <w:spacing w:before="0" w:after="80"/>
      </w:pPr>
      <w:r>
        <w:rPr>
          <w:i/>
          <w:sz w:val="20"/>
        </w:rPr>
        <w:t>EN: Awakening dormant BiCuSeO superlattices via defect-interface functionalization for amplified photothermoelectric-enzyme co-catalysis therapy</w:t>
      </w:r>
    </w:p>
    <w:p>
      <w:pPr>
        <w:spacing w:before="0" w:after="120"/>
      </w:pPr>
      <w:r>
        <w:rPr>
          <w:b/>
        </w:rPr>
        <w:t xml:space="preserve">Source: </w:t>
      </w:r>
      <w:r>
        <w:t>Matter</w:t>
      </w:r>
      <w:r>
        <w:t xml:space="preserve">    </w:t>
      </w:r>
      <w:r>
        <w:rPr>
          <w:b/>
        </w:rPr>
        <w:t xml:space="preserve">Pub date: </w:t>
      </w:r>
      <w:r>
        <w:t>2026-04-01 00:00:00+00:00</w:t>
      </w:r>
      <w:r>
        <w:t xml:space="preserve">    </w:t>
      </w:r>
      <w:r>
        <w:rPr>
          <w:b/>
        </w:rPr>
        <w:t xml:space="preserve">DOI: </w:t>
      </w:r>
      <w:hyperlink r:id="rId815">
        <w:r>
          <w:rPr>
            <w:color w:val="1155CC"/>
            <w:u w:val="single"/>
          </w:rPr>
          <w:t>10.1016/j.matt.2026.102762</w:t>
        </w:r>
      </w:hyperlink>
    </w:p>
    <w:p>
      <w:pPr>
        <w:spacing w:before="0" w:after="120"/>
      </w:pPr>
      <w:r>
        <w:rPr>
          <w:b/>
        </w:rPr>
        <w:t xml:space="preserve">Notes: </w:t>
      </w:r>
      <w:r>
        <w:t>abstract_source=rss_cell</w:t>
      </w:r>
    </w:p>
    <w:p>
      <w:pPr>
        <w:spacing w:before="0" w:after="80" w:lineRule="auto" w:line="276"/>
      </w:pPr>
      <w:r>
        <w:rPr>
          <w:b/>
        </w:rPr>
        <w:t xml:space="preserve">摘要（ZH）: </w:t>
      </w:r>
      <w:r>
        <w:t>休眠的层状超晶格通常因受限的电荷传输而限制其功能性能。在此，通过缺陷-界面共功能化策略激活天然超晶格，整合硒空位和金属异质结，实现高效的层间电荷释放和在光诱导加热下增强的热电转换。增强的光热电场协同放大酶样催化和活性氧物质生成，实现有效的肿瘤抑制，并建立了将热电材料与催化纳米医学结合的一般框架。</w:t>
      </w:r>
    </w:p>
    <w:p>
      <w:pPr>
        <w:spacing w:before="0" w:after="200" w:lineRule="auto" w:line="276"/>
      </w:pPr>
      <w:r>
        <w:rPr>
          <w:b/>
        </w:rPr>
        <w:t xml:space="preserve">Abstract (EN): </w:t>
      </w:r>
      <w:r>
        <w:t>Dormant layered superlattices often suffer from confined charge transport that limits their functional performance. Here, a defect-interface cofunctionalization strategy activates a natural superlattice by integrating selenium vacancies and metal heterojunctions, enabling efficient interlayer charge release and enhanced thermoelectric conversion under light-induced heating. The strengthened photothermoelectric field synergistically amplifies enzyme-like catalysis and reactive oxygen species generation, achieving effective tumor suppression and establishing a general framework for coupling thermoelectric materials with catalytic nanomedicine.</w:t>
      </w:r>
    </w:p>
    <w:p>
      <w:pPr>
        <w:spacing w:before="120" w:after="120"/>
      </w:pPr>
      <w:r>
        <w:rPr>
          <w:sz w:val="18"/>
        </w:rPr>
        <w:t>——————————————————————————————————————————————————————————————————————</w:t>
      </w:r>
    </w:p>
    <w:p>
      <w:pPr>
        <w:spacing w:before="160" w:after="40" w:line="240" w:lineRule="auto"/>
      </w:pPr>
      <w:r>
        <w:rPr>
          <w:b/>
        </w:rPr>
        <w:t xml:space="preserve">[323] </w:t>
      </w:r>
      <w:hyperlink r:id="rId816">
        <w:r>
          <w:rPr>
            <w:color w:val="1155CC"/>
            <w:u w:val="single"/>
          </w:rPr>
          <w:t>具有动态空间依赖性的辐射多特征集成单元：一种用于沿海太阳辐照间隔预测的模型</w:t>
        </w:r>
      </w:hyperlink>
    </w:p>
    <w:p>
      <w:pPr>
        <w:spacing w:before="0" w:after="80"/>
      </w:pPr>
      <w:r>
        <w:rPr>
          <w:i/>
          <w:sz w:val="20"/>
        </w:rPr>
        <w:t>EN: Radiation multi-feature integration unit with dynamic spatial dependency: A model for coastal solar irradiance interval forecasting</w:t>
      </w:r>
    </w:p>
    <w:p>
      <w:pPr>
        <w:spacing w:before="0" w:after="120"/>
      </w:pPr>
      <w:r>
        <w:rPr>
          <w:b/>
        </w:rPr>
        <w:t xml:space="preserve">Source: </w:t>
      </w:r>
      <w:r>
        <w:t>ScienceDirect Publication: Applied Energy</w:t>
      </w:r>
      <w:r>
        <w:t xml:space="preserve">    </w:t>
      </w:r>
      <w:r>
        <w:rPr>
          <w:b/>
        </w:rPr>
        <w:t xml:space="preserve">Pub date: </w:t>
      </w:r>
      <w:r>
        <w:t>2026-04-01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[324] </w:t>
      </w:r>
      <w:hyperlink r:id="rId817">
        <w:r>
          <w:rPr>
            <w:color w:val="1155CC"/>
            <w:u w:val="single"/>
          </w:rPr>
          <w:t>使用大型开源数据集展示随机测量和验证在可切换控制改造中的可靠性</w:t>
        </w:r>
      </w:hyperlink>
    </w:p>
    <w:p>
      <w:pPr>
        <w:spacing w:before="0" w:after="80"/>
      </w:pPr>
      <w:r>
        <w:rPr>
          <w:i/>
          <w:sz w:val="20"/>
        </w:rPr>
        <w:t>EN: Demonstrating the reliability of randomized measurement and verification for switchable control retrofits using a large open-source dataset</w:t>
      </w:r>
    </w:p>
    <w:p>
      <w:pPr>
        <w:spacing w:before="0" w:after="120"/>
      </w:pPr>
      <w:r>
        <w:rPr>
          <w:b/>
        </w:rPr>
        <w:t xml:space="preserve">Source: </w:t>
      </w:r>
      <w:r>
        <w:t>ScienceDirect Publication: Applied Energy</w:t>
      </w:r>
      <w:r>
        <w:t xml:space="preserve">    </w:t>
      </w:r>
      <w:r>
        <w:rPr>
          <w:b/>
        </w:rPr>
        <w:t xml:space="preserve">Pub date: </w:t>
      </w:r>
      <w:r>
        <w:t>2026-04-01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[325] </w:t>
      </w:r>
      <w:hyperlink r:id="rId818">
        <w:r>
          <w:rPr>
            <w:color w:val="1155CC"/>
            <w:u w:val="single"/>
          </w:rPr>
          <w:t>库珀对密度调制状态的莫尔工程</w:t>
        </w:r>
      </w:hyperlink>
    </w:p>
    <w:p>
      <w:pPr>
        <w:spacing w:before="0" w:after="80"/>
      </w:pPr>
      <w:r>
        <w:rPr>
          <w:i/>
          <w:sz w:val="20"/>
        </w:rPr>
        <w:t>EN: Moiré engineering of Cooper-pair density modulation states</w:t>
      </w:r>
    </w:p>
    <w:p>
      <w:pPr>
        <w:spacing w:before="0" w:after="120"/>
      </w:pPr>
      <w:r>
        <w:rPr>
          <w:b/>
        </w:rPr>
        <w:t xml:space="preserve">Source: </w:t>
      </w:r>
      <w:r>
        <w:t>Nature</w:t>
      </w:r>
      <w:r>
        <w:t xml:space="preserve">    </w:t>
      </w:r>
      <w:r>
        <w:rPr>
          <w:b/>
        </w:rPr>
        <w:t xml:space="preserve">Pub date: </w:t>
      </w:r>
      <w:r>
        <w:t>2026-04-01 00:00:00+00:00</w:t>
      </w:r>
      <w:r>
        <w:t xml:space="preserve">    </w:t>
      </w:r>
      <w:r>
        <w:rPr>
          <w:b/>
        </w:rPr>
        <w:t xml:space="preserve">DOI: </w:t>
      </w:r>
      <w:hyperlink r:id="rId819">
        <w:r>
          <w:rPr>
            <w:color w:val="1155CC"/>
            <w:u w:val="single"/>
          </w:rPr>
          <w:t>10.1038/s41586-026-10325-w</w:t>
        </w:r>
      </w:hyperlink>
    </w:p>
    <w:p>
      <w:pPr>
        <w:spacing w:before="0" w:after="120"/>
      </w:pPr>
      <w:r>
        <w:rPr>
          <w:b/>
        </w:rPr>
        <w:t xml:space="preserve">Notes: </w:t>
      </w:r>
      <w:r>
        <w:t>abstract_source=nature_html</w:t>
      </w:r>
    </w:p>
    <w:p>
      <w:pPr>
        <w:spacing w:before="0" w:after="80" w:lineRule="auto" w:line="276"/>
      </w:pPr>
      <w:r>
        <w:rPr>
          <w:b/>
        </w:rPr>
        <w:t xml:space="preserve">摘要（ZH）: </w:t>
      </w:r>
      <w:r>
        <w:t>库珀对密度调制（CPDM）态是超导相，其中序参量在实空间中周期性变化而不破坏平移对称性1,2,3。层状材料中的莫尔超晶格4,5,6,7,8,9,10,11,12,13,14,15,16,17,18最近成为工程可调晶格对称性电荷密度的强大平台，提供了一种创造和控制CPDM态的新途径。在此，我们展示了通过外延堆叠一个拓扑绝缘体Sb2Te3的五层（1QL）与一个六单元胞（6UC）反铁磁FeTe层形成的双层异质结构中的莫尔诱导CPDM态。扫描隧道显微镜和光谱（STM/S）测量揭示了在Sb2Te3的六方碲晶格之间形成的莫尔超晶格</w:t>
      </w:r>
    </w:p>
    <w:p>
      <w:pPr>
        <w:spacing w:before="0" w:after="200" w:lineRule="auto" w:line="276"/>
      </w:pPr>
      <w:r>
        <w:rPr>
          <w:b/>
        </w:rPr>
        <w:t xml:space="preserve">Abstract (EN): </w:t>
      </w:r>
      <w:r>
        <w:t>Cooper-pair density modulation (CPDM) states are superconducting phases in which the order parameter varies periodically in real space without breaking translational symmetry1,2,3. Moiré superlattices in layered materials4,5,6,7,8,9,10,11,12,13,14,15,16,17,18 have recently emerged as powerful platforms for engineering charge density with tunable lattice symmetry, offering a new route to creating and controlling CPDM states. Here we demonstrate moiré-induced CPDM states in a bilayer heterostructure formed by epitaxially stacking one quintuple layer (1QL) of topological insulator Sb2Te3 on a six-unit-cell (6UC) antiferromagnetic FeTe layer. Scanning tunnelling microscopy and spectroscopy (STM/S) measurements reveal a moiré superlattice formed between the hexagonal tellurium lattice of Sb2Te3 and the square tellurium lattice of FeTe, which spatially modulates the two superconducting gaps of the 1QL Sb2Te3/6UC FeTe bilayer. Our Josephson STM/S measurements provide direct real-space imaging of the CPDM states with a wavelength corresponding to the periodicity of the moiré superlattice. By substituting Sb2Te3 with Bi2Te3, we achieve control over both the periodicity and magnitude of the CPDM states. Our work demonstrates an epitaxial strategy for synthesizing moiré superlattices from materials with different crystal symmetries and reveals a new mechanism for engineering CPDM states in designer bilayer heterostructures.</w:t>
      </w:r>
    </w:p>
    <w:p>
      <w:pPr>
        <w:spacing w:before="120" w:after="120"/>
      </w:pPr>
      <w:r>
        <w:rPr>
          <w:sz w:val="18"/>
        </w:rPr>
        <w:t>——————————————————————————————————————————————————————————————————————</w:t>
      </w:r>
    </w:p>
    <w:p>
      <w:pPr>
        <w:spacing w:before="160" w:after="40" w:line="240" w:lineRule="auto"/>
      </w:pPr>
      <w:r>
        <w:rPr>
          <w:b/>
        </w:rPr>
        <w:t xml:space="preserve">[326] </w:t>
      </w:r>
      <w:hyperlink r:id="rId820">
        <w:r>
          <w:rPr>
            <w:color w:val="1155CC"/>
            <w:u w:val="single"/>
          </w:rPr>
          <w:t>用于生物医学数据的流形拓扑深度学习</w:t>
        </w:r>
      </w:hyperlink>
    </w:p>
    <w:p>
      <w:pPr>
        <w:spacing w:before="0" w:after="80"/>
      </w:pPr>
      <w:r>
        <w:rPr>
          <w:i/>
          <w:sz w:val="20"/>
        </w:rPr>
        <w:t>EN: Manifold topological deep learning for biomedical data</w:t>
      </w:r>
    </w:p>
    <w:p>
      <w:pPr>
        <w:spacing w:before="0" w:after="120"/>
      </w:pPr>
      <w:r>
        <w:rPr>
          <w:b/>
        </w:rPr>
        <w:t xml:space="preserve">Source: </w:t>
      </w:r>
      <w:r>
        <w:t>Nature Communications</w:t>
      </w:r>
      <w:r>
        <w:t xml:space="preserve">    </w:t>
      </w:r>
      <w:r>
        <w:rPr>
          <w:b/>
        </w:rPr>
        <w:t xml:space="preserve">Pub date: </w:t>
      </w:r>
      <w:r>
        <w:t>2026-04-01 00:00:00+00:00</w:t>
      </w:r>
      <w:r>
        <w:t xml:space="preserve">    </w:t>
      </w:r>
      <w:r>
        <w:rPr>
          <w:b/>
        </w:rPr>
        <w:t xml:space="preserve">DOI: </w:t>
      </w:r>
      <w:hyperlink r:id="rId821">
        <w:r>
          <w:rPr>
            <w:color w:val="1155CC"/>
            <w:u w:val="single"/>
          </w:rPr>
          <w:t>10.1038/s41467-026-71392-1</w:t>
        </w:r>
      </w:hyperlink>
    </w:p>
    <w:p>
      <w:pPr>
        <w:spacing w:before="0" w:after="120"/>
      </w:pPr>
      <w:r>
        <w:rPr>
          <w:b/>
        </w:rPr>
        <w:t xml:space="preserve">Notes: </w:t>
      </w:r>
      <w:r>
        <w:t>abstract_source=nature_html</w:t>
      </w:r>
    </w:p>
    <w:p>
      <w:pPr>
        <w:spacing w:before="0" w:after="80" w:lineRule="auto" w:line="276"/>
      </w:pPr>
      <w:r>
        <w:rPr>
          <w:b/>
        </w:rPr>
        <w:t xml:space="preserve">摘要（ZH）: </w:t>
      </w:r>
      <w:r>
        <w:t>最近，拓扑深度学习（TDL），将代数拓扑与深度神经网络相结合，在处理点云数据方面取得了显著成功，并成为数据科学中一种有前途的范式。然而，由于微分拓扑引入的挑战，TDL尚未扩展到可微流形数据，包括图像。我们通过引入流形拓扑深度学习（MTDL）框架来解决这一挑战。为了应用Hodge理论，我们将其集成到MTDL框架中的简化卷积神经网络中。在此框架中，原始图像被表示为具有向量场的光滑流形，这些向量场根据Hodge理论分解为三个正交分量。然后将这些分量连接起来形成一个</w:t>
      </w:r>
    </w:p>
    <w:p>
      <w:pPr>
        <w:spacing w:before="0" w:after="200" w:lineRule="auto" w:line="276"/>
      </w:pPr>
      <w:r>
        <w:rPr>
          <w:b/>
        </w:rPr>
        <w:t xml:space="preserve">Abstract (EN): </w:t>
      </w:r>
      <w:r>
        <w:t>Recently, topological deep learning (TDL), which integrates algebraic topology with deep neural networks, has achieved significant success in processing point-cloud data and has emerged as a promising paradigm in data science. However, TDL has not been extended to differentiable-manifold data, including images, due to the challenges introduced by differential topology. We address this challenge by introducing a manifold topological deep learning (MTDL) framework. To apply Hodge theory, we integrate it into a streamlined convolutional neural network within the MTDL framework. In this framework, original images are represented as smooth manifolds with vector fields that are decomposed into three orthogonal components based on Hodge theory. These components are then concatenated to form an input image for the convolutional neural network architecture. The performance of MTDL is evaluated using the MedMNIST v2 benchmark database, which comprises 717,287 biomedical images from eleven 2D and six 3D datasets. MTDL significantly outperforms other competing methods, extending TDL to a wide range of data on smooth manifolds.</w:t>
      </w:r>
    </w:p>
    <w:p>
      <w:pPr>
        <w:spacing w:before="120" w:after="120"/>
      </w:pPr>
      <w:r>
        <w:rPr>
          <w:sz w:val="18"/>
        </w:rPr>
        <w:t>——————————————————————————————————————————————————————————————————————</w:t>
      </w:r>
    </w:p>
    <w:p>
      <w:pPr>
        <w:spacing w:before="160" w:after="40" w:line="240" w:lineRule="auto"/>
      </w:pPr>
      <w:r>
        <w:rPr>
          <w:b/>
        </w:rPr>
        <w:t xml:space="preserve">[327] </w:t>
      </w:r>
      <w:hyperlink r:id="rId822">
        <w:r>
          <w:rPr>
            <w:color w:val="1155CC"/>
            <w:u w:val="single"/>
          </w:rPr>
          <w:t>靶向β细胞的PD-1激动剂抑制胰腺组织切片中的细胞介导的自身免疫</w:t>
        </w:r>
      </w:hyperlink>
    </w:p>
    <w:p>
      <w:pPr>
        <w:spacing w:before="0" w:after="80"/>
      </w:pPr>
      <w:r>
        <w:rPr>
          <w:i/>
          <w:sz w:val="20"/>
        </w:rPr>
        <w:t>EN: Beta cell–targeted PD-1 agonist inhibits cell-mediated autoimmunity in pancreas tissue slices</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23">
        <w:r>
          <w:rPr>
            <w:color w:val="1155CC"/>
            <w:u w:val="single"/>
          </w:rPr>
          <w:t>10.1126/sciadv.aec9029</w:t>
        </w:r>
      </w:hyperlink>
    </w:p>
    <w:p>
      <w:pPr>
        <w:spacing w:before="0" w:after="120"/>
      </w:pPr>
      <w:r>
        <w:rPr>
          <w:b/>
        </w:rPr>
        <w:t xml:space="preserve">Notes: </w:t>
      </w:r>
      <w:r>
        <w:t>abstract_source=crossref</w:t>
      </w:r>
    </w:p>
    <w:p>
      <w:pPr>
        <w:spacing w:before="0" w:after="80" w:lineRule="auto" w:line="276"/>
      </w:pPr>
      <w:r>
        <w:rPr>
          <w:b/>
        </w:rPr>
        <w:t xml:space="preserve">摘要（ZH）: </w:t>
      </w:r>
      <w:r>
        <w:t>本研究评估了一种基于组织靶向免疫调节的治疗方法，具有广泛应用潜力，可用于治疗包括1型糖尿病（T1D）在内的自身免疫性疾病。我们生成了一种双特异性免疫激动剂，能够结合β细胞并抑制自反应性T细胞。这些称为免疫调节单克隆-T细胞受体（TCR）针对自身免疫性疾病（ImmTAAI）的双特异性分子，由人特异性TCR靶向域与程序性死亡-1激动剂融合而成。我们使用活体胰腺切片展示了ImmTAAI分子靶向人β细胞上的前胰岛素肽-HLA-A2复合物。ImmTAAI分子通过增加T细胞运动性和抑制效应分子和细胞因子分泌来保护β细胞免受T细胞杀伤。ImmTAAI治疗</w:t>
      </w:r>
    </w:p>
    <w:p>
      <w:pPr>
        <w:spacing w:before="0" w:after="200" w:lineRule="auto" w:line="276"/>
      </w:pPr>
      <w:r>
        <w:rPr>
          <w:b/>
        </w:rPr>
        <w:t xml:space="preserve">Abstract (EN): </w:t>
      </w:r>
      <w:r>
        <w:t>This research evaluates a therapeutic approach based on tissue-targeted immunomodulation with a potential broad application to treat autoimmune diseases including type 1 diabetes (T1D). We generated a bispecific immune agonist that binds beta cells and suppresses autoreactive T cells. These bispecific molecules called immune modulating monoclonal–T cell receptor (TCR) against autoimmune disease (ImmTAAI), consist of a human-specific TCR–targeting domain fused with a programmed death-1 agonist. We used live pancreas slices to demonstrate targeting of ImmTAAI molecules to preproinsulin peptide–HLA-A2 complexes on human beta cells. ImmTAAI molecules protected beta cells from T cell killing by increasing T cell motility and inhibiting effector molecule and cytokine secretion. ImmTAAI treatment also increased the motility of islet-infiltrating T cells in slices from a donor with recent-onset T1D and preserved insulin secretion in slices cocultured with T cell avatars transduced with diabetogenic TCRs. These data demonstrate that ImmTAAI molecules have the potential to limit T cell activity locally, making this an attractive platform to elicit targeted immunoregulation in T1D.</w:t>
      </w:r>
    </w:p>
    <w:p>
      <w:pPr>
        <w:spacing w:before="120" w:after="120"/>
      </w:pPr>
      <w:r>
        <w:rPr>
          <w:sz w:val="18"/>
        </w:rPr>
        <w:t>——————————————————————————————————————————————————————————————————————</w:t>
      </w:r>
    </w:p>
    <w:p>
      <w:pPr>
        <w:spacing w:before="160" w:after="40" w:line="240" w:lineRule="auto"/>
      </w:pPr>
      <w:r>
        <w:rPr>
          <w:b/>
        </w:rPr>
        <w:t xml:space="preserve">[328] </w:t>
      </w:r>
      <w:hyperlink r:id="rId824">
        <w:r>
          <w:rPr>
            <w:color w:val="1155CC"/>
            <w:u w:val="single"/>
          </w:rPr>
          <w:t>组织特异性炎症诱导细胞状态可塑性与粘膜黑色素瘤中的致癌成瘾</w:t>
        </w:r>
      </w:hyperlink>
    </w:p>
    <w:p>
      <w:pPr>
        <w:spacing w:before="0" w:after="80"/>
      </w:pPr>
      <w:r>
        <w:rPr>
          <w:i/>
          <w:sz w:val="20"/>
        </w:rPr>
        <w:t>EN: Tissue-specific inflammation induces cell state plasticity with oncogenic addiction in mucosal melanoma</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25">
        <w:r>
          <w:rPr>
            <w:color w:val="1155CC"/>
            <w:u w:val="single"/>
          </w:rPr>
          <w:t>10.1126/sciadv.ady4536</w:t>
        </w:r>
      </w:hyperlink>
    </w:p>
    <w:p>
      <w:pPr>
        <w:spacing w:before="0" w:after="120"/>
      </w:pPr>
      <w:r>
        <w:rPr>
          <w:b/>
        </w:rPr>
        <w:t xml:space="preserve">Notes: </w:t>
      </w:r>
      <w:r>
        <w:t>abstract_source=crossref</w:t>
      </w:r>
    </w:p>
    <w:p>
      <w:pPr>
        <w:spacing w:before="0" w:after="80" w:lineRule="auto" w:line="276"/>
      </w:pPr>
      <w:r>
        <w:rPr>
          <w:b/>
        </w:rPr>
        <w:t xml:space="preserve">摘要（ZH）: </w:t>
      </w:r>
      <w:r>
        <w:t>黏膜黑色素瘤（MM）是一种发生在黏膜组织中的侵袭性黑色素瘤亚型，对在皮肤黑色素瘤中有效的治疗显示出抵抗性。为了理解黏膜微环境如何导致治疗无反应性，我们对来源于口腔黏膜的黑色素瘤的单细胞和整体信使RNA测序数据进行了综合分析，揭示了黏膜特异性炎症通过COX2+巨噬细胞及其分泌物介导，诱导了低色素神经嵴样癌细胞的富集。癌细胞中这种炎症诱导的神经嵴样状态的维持依赖于HER2和HER3的激活。通过pan-HER抑制剂抑制HER2/3可以阻止细胞状态的可塑性并克服化疗耐药性。</w:t>
      </w:r>
    </w:p>
    <w:p>
      <w:pPr>
        <w:spacing w:before="0" w:after="200" w:lineRule="auto" w:line="276"/>
      </w:pPr>
      <w:r>
        <w:rPr>
          <w:b/>
        </w:rPr>
        <w:t xml:space="preserve">Abstract (EN): </w:t>
      </w:r>
      <w:r>
        <w:t>Mucosal melanoma (MM), an aggressive melanoma subtype arising in mucosal tissues, displays resistance to therapies effective in cutaneous melanoma. To understand how mucosal microenvironment contributes to treatment nonresponsiveness, we performed integrative analysis of single-cell and bulk messenger RNA sequencing data derived from oral mucosa–originated melanoma and revealed that mucosa-specific inflammation induces enrichment of low-pigmented neural crest–like cancer cell, mediated by COX2</w:t>
      </w:r>
      <w:r>
        <w:t xml:space="preserve"> </w:t>
      </w:r>
      <w:r>
        <w:t>+</w:t>
      </w:r>
      <w:r>
        <w:t xml:space="preserve"> </w:t>
      </w:r>
      <w:r>
        <w:t>macrophages and their secretome. Maintenance of this inflammation-induced neural crest–like state in cancer cells depends on HER2 and HER3 activation. Inhibition of HER2/3 by pan-HER inhibitors blocks cell state plasticity and overcomes chemoresistance in primary MM cell lines and patient-derived xenograft (PDX) models. These findings provide insights into how the tissue of origin determines cancer aggressiveness, highlight the role of mucosal inflammation in driving melanoma stemness and chemoresistance, and advance the identification of effective treatment options currently lacking for patients with MM.</w:t>
      </w:r>
    </w:p>
    <w:p>
      <w:pPr>
        <w:spacing w:before="120" w:after="120"/>
      </w:pPr>
      <w:r>
        <w:rPr>
          <w:sz w:val="18"/>
        </w:rPr>
        <w:t>——————————————————————————————————————————————————————————————————————</w:t>
      </w:r>
    </w:p>
    <w:p>
      <w:pPr>
        <w:spacing w:before="160" w:after="40" w:line="240" w:lineRule="auto"/>
      </w:pPr>
      <w:r>
        <w:rPr>
          <w:b/>
        </w:rPr>
        <w:t xml:space="preserve">[329] </w:t>
      </w:r>
      <w:hyperlink r:id="rId826">
        <w:r>
          <w:rPr>
            <w:color w:val="1155CC"/>
            <w:u w:val="single"/>
          </w:rPr>
          <w:t>聚焦于颜色：眼睛如何选择最佳可见波长</w:t>
        </w:r>
      </w:hyperlink>
    </w:p>
    <w:p>
      <w:pPr>
        <w:spacing w:before="0" w:after="80"/>
      </w:pPr>
      <w:r>
        <w:rPr>
          <w:i/>
          <w:sz w:val="20"/>
        </w:rPr>
        <w:t>EN: Focusing on color: How the eye chooses which wavelength to see best</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27">
        <w:r>
          <w:rPr>
            <w:color w:val="1155CC"/>
            <w:u w:val="single"/>
          </w:rPr>
          <w:t>10.1126/sciadv.aea5693</w:t>
        </w:r>
      </w:hyperlink>
    </w:p>
    <w:p>
      <w:pPr>
        <w:spacing w:before="0" w:after="120"/>
      </w:pPr>
      <w:r>
        <w:rPr>
          <w:b/>
        </w:rPr>
        <w:t xml:space="preserve">Notes: </w:t>
      </w:r>
      <w:r>
        <w:t>abstract_source=crossref</w:t>
      </w:r>
    </w:p>
    <w:p>
      <w:pPr>
        <w:spacing w:before="0" w:after="80" w:lineRule="auto" w:line="276"/>
      </w:pPr>
      <w:r>
        <w:rPr>
          <w:b/>
        </w:rPr>
        <w:t xml:space="preserve">摘要（ZH）: </w:t>
      </w:r>
      <w:r>
        <w:t>尽管人眼的光学系统一次只能聚焦于单一波长的光，人类仍能看到极其精细的细节。人眼究竟将哪个波长聚焦得最好仍是一个未解之谜。在此，我们研究了这个问题。我们使用定制的光学装置测量了眼睛对不同波长组成的刺激的聚焦反应（调节）。然后，我们开发了一个生物学上有依据的模型来解释测量的反应。传统观点认为调节是为了最大化视觉敏锐度，但我们的研究结果却提出了不同的看法。相反，我们的结果支持了调节是由色彩机制引导的，这些机制在颜色对立通道中最大化信号质量。我们的结果挑战了现有的观点。</w:t>
      </w:r>
    </w:p>
    <w:p>
      <w:pPr>
        <w:spacing w:before="0" w:after="200" w:lineRule="auto" w:line="276"/>
      </w:pPr>
      <w:r>
        <w:rPr>
          <w:b/>
        </w:rPr>
        <w:t xml:space="preserve">Abstract (EN): </w:t>
      </w:r>
      <w:r>
        <w:t>Humans can see in exquisite detail despite the fact that the eyes’ optics can only focus light at a single wavelength at a time. It remains an open question what wavelength is brought into best focus by the human eye. Here, we investigate this question. We used a custom optical apparatus to measure the eye’s focusing response (accommodation) to a range of stimuli with different wavelength compositions. We then developed a biologically informed model of the measured responses. Conventional wisdom holds that accommodation works to maximize visual acuity, but our findings suggest otherwise. Rather, our results support alternative lines of evidence that accommodation is guided by chromatic mechanisms that maximize signal quality in a color-opponent channel. Our results challenge prevailing views of oculomotor control and can inform therapeutic interventions for slowing the development and progression of myopia.</w:t>
      </w:r>
    </w:p>
    <w:p>
      <w:pPr>
        <w:spacing w:before="120" w:after="120"/>
      </w:pPr>
      <w:r>
        <w:rPr>
          <w:sz w:val="18"/>
        </w:rPr>
        <w:t>——————————————————————————————————————————————————————————————————————</w:t>
      </w:r>
    </w:p>
    <w:p>
      <w:pPr>
        <w:spacing w:before="160" w:after="40" w:line="240" w:lineRule="auto"/>
      </w:pPr>
      <w:r>
        <w:rPr>
          <w:b/>
        </w:rPr>
        <w:t xml:space="preserve">[330] </w:t>
      </w:r>
      <w:hyperlink r:id="rId828">
        <w:r>
          <w:rPr>
            <w:color w:val="1155CC"/>
            <w:u w:val="single"/>
          </w:rPr>
          <w:t>炎性关节炎irAE可能代表一种主要由T细胞驱动但可能不是自身抗体驱动的独特自身免疫性疾病</w:t>
        </w:r>
      </w:hyperlink>
    </w:p>
    <w:p>
      <w:pPr>
        <w:spacing w:before="0" w:after="80"/>
      </w:pPr>
      <w:r>
        <w:rPr>
          <w:i/>
          <w:sz w:val="20"/>
        </w:rPr>
        <w:t>EN: Inflammatory arthritis irAE may represent a unique autoimmune disease primarily driven by T cells but likely not autoantibodies</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29">
        <w:r>
          <w:rPr>
            <w:color w:val="1155CC"/>
            <w:u w:val="single"/>
          </w:rPr>
          <w:t>10.1126/sciadv.aea4262</w:t>
        </w:r>
      </w:hyperlink>
    </w:p>
    <w:p>
      <w:pPr>
        <w:spacing w:before="0" w:after="120"/>
      </w:pPr>
      <w:r>
        <w:rPr>
          <w:b/>
        </w:rPr>
        <w:t xml:space="preserve">Notes: </w:t>
      </w:r>
      <w:r>
        <w:t>abstract_source=crossref</w:t>
      </w:r>
    </w:p>
    <w:p>
      <w:pPr>
        <w:spacing w:before="0" w:after="80" w:lineRule="auto" w:line="276"/>
      </w:pPr>
      <w:r>
        <w:rPr>
          <w:b/>
        </w:rPr>
        <w:t xml:space="preserve">摘要（ZH）: </w:t>
      </w:r>
      <w:r>
        <w:t>炎性关节炎（IA）免疫相关不良事件（irAE）的潜在免疫病理机制仍不清楚。与类风湿性关节炎（RA）不同，后者的中心特征是自身抗体和B细胞功能障碍，体液免疫对IA-irAE的贡献尚不明确。在此，我们对IA-irAE患者的外周血进行了免疫表型分析，并与无irAE的免疫检查点抑制治疗患者、血清阴性RA患者和健康对照组进行了比较。IA-irAE表现为T细胞中细胞毒性基因表达和代谢激活增加，以及CD4+ T细胞中CXCR3和CCR6表达减少。与血清阴性RA相反，IA-irAE患者没有显示出自身抗体水平的显著升高。</w:t>
      </w:r>
    </w:p>
    <w:p>
      <w:pPr>
        <w:spacing w:before="0" w:after="200" w:lineRule="auto" w:line="276"/>
      </w:pPr>
      <w:r>
        <w:rPr>
          <w:b/>
        </w:rPr>
        <w:t xml:space="preserve">Abstract (EN): </w:t>
      </w:r>
      <w:r>
        <w:t>The underlying immunopathogenesis of inflammatory arthritis (IA) immune-related adverse event (irAE) remains obscure. Unlike rheumatoid arthritis (RA), where autoantibodies and B cell dysfunction are central features, the contribution of humoral immunity to IA-irAE is unclear. Here, we performed immunophenotyping of peripheral blood from patients with IA-irAE and compared them with patients with seronegative RA, immune checkpoint inhibition–treated patients without irAE, and healthy controls. IA-irAE was marked with increased cytotoxic gene expression and metabolic activation in T cells and reduced CXCR3 and CCR6 expression in CD4</w:t>
      </w:r>
      <w:r>
        <w:t xml:space="preserve"> </w:t>
      </w:r>
      <w:r>
        <w:t>+</w:t>
      </w:r>
      <w:r>
        <w:t xml:space="preserve"> </w:t>
      </w:r>
      <w:r>
        <w:t>T cells. Contrary to seronegative RA, patients with IA-irAE displayed no substantial elevation in autoantibody levels or atypical CD11c</w:t>
      </w:r>
      <w:r>
        <w:t xml:space="preserve"> </w:t>
      </w:r>
      <w:r>
        <w:t>+</w:t>
      </w:r>
      <w:r>
        <w:t xml:space="preserve"> </w:t>
      </w:r>
      <w:r>
        <w:t>CD21</w:t>
      </w:r>
      <w:r>
        <w:t xml:space="preserve"> </w:t>
      </w:r>
      <w:r>
        <w:t>−</w:t>
      </w:r>
      <w:r>
        <w:t>B cells. IA-irAE was further characterized by elevated levels of interleukin-6 (IL-6), IL-12, and type I interferon, which correlated with the T cell activation phenotypes. Together, our findings define IA-irAE as a disease with certain immunological features distinctive from RA, representing a potentially T cell–driven, autoantibody-independent autoimmunity. These results offer insights into immune tolerance breakdown and therapeutic targeting in irAEs.</w:t>
      </w:r>
    </w:p>
    <w:p>
      <w:pPr>
        <w:spacing w:before="120" w:after="120"/>
      </w:pPr>
      <w:r>
        <w:rPr>
          <w:sz w:val="18"/>
        </w:rPr>
        <w:t>——————————————————————————————————————————————————————————————————————</w:t>
      </w:r>
    </w:p>
    <w:p>
      <w:pPr>
        <w:spacing w:before="160" w:after="40" w:line="240" w:lineRule="auto"/>
      </w:pPr>
      <w:r>
        <w:rPr>
          <w:b/>
        </w:rPr>
        <w:t xml:space="preserve">[331] </w:t>
      </w:r>
      <w:hyperlink r:id="rId830">
        <w:r>
          <w:rPr>
            <w:color w:val="1155CC"/>
            <w:u w:val="single"/>
          </w:rPr>
          <w:t>无复位DNA逻辑电路用于实时输入处理和存储</w:t>
        </w:r>
      </w:hyperlink>
    </w:p>
    <w:p>
      <w:pPr>
        <w:spacing w:before="0" w:after="80"/>
      </w:pPr>
      <w:r>
        <w:rPr>
          <w:i/>
          <w:sz w:val="20"/>
        </w:rPr>
        <w:t>EN: Reset-free DNA logic circuits for real-time input processing and memory</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31">
        <w:r>
          <w:rPr>
            <w:color w:val="1155CC"/>
            <w:u w:val="single"/>
          </w:rPr>
          <w:t>10.1126/sciadv.aeb1699</w:t>
        </w:r>
      </w:hyperlink>
    </w:p>
    <w:p>
      <w:pPr>
        <w:spacing w:before="0" w:after="120"/>
      </w:pPr>
      <w:r>
        <w:rPr>
          <w:b/>
        </w:rPr>
        <w:t xml:space="preserve">Notes: </w:t>
      </w:r>
      <w:r>
        <w:t>abstract_source=crossref</w:t>
      </w:r>
    </w:p>
    <w:p>
      <w:pPr>
        <w:spacing w:before="0" w:after="80" w:lineRule="auto" w:line="276"/>
      </w:pPr>
      <w:r>
        <w:rPr>
          <w:b/>
        </w:rPr>
        <w:t xml:space="preserve">摘要（ZH）: </w:t>
      </w:r>
      <w:r>
        <w:t>DNA逻辑电路在生物兼容和可编程计算方面具有巨大潜力；然而，目前的设计需要重置过程，这限制了实时数据处理和存储功能。本研究提出了一种基于toehold介导链式反应（TCR）的无重置方法，该方法能够在双轨单元内实现连续和可逆的链迁移。通过将TCR组件定位在二维DNA折纸模板上，实现了各种组合逻辑门（例如，AND和OR门）和存储元件，包括设置-重置和数据锁存器，以及高级级联寄存器。这些电路在多次连续操作中持续处理新输入并保留输出。所提出的无重置TCR框架提供了一种机制</w:t>
      </w:r>
    </w:p>
    <w:p>
      <w:pPr>
        <w:spacing w:before="0" w:after="200" w:lineRule="auto" w:line="276"/>
      </w:pPr>
      <w:r>
        <w:rPr>
          <w:b/>
        </w:rPr>
        <w:t xml:space="preserve">Abstract (EN): </w:t>
      </w:r>
      <w:r>
        <w:t>DNA logic circuits have great potential for biocompatible and programmable computations; however, current designs require reset processes, which restrict real-time data processing and memory functionality. This study proposes a reset-free approach on the basis of toehold-mediated chain reaction (TCR), which enables continuous and reversible strand migration within dual-rail units. By localizing TCR components on two-dimensional DNA origami templates, various combinational logic gates (e.g., AND and OR gates) and memory elements were implemented, including set-reset and data latches, as well as advanced cascaded registers. These circuits consistently processed new inputs and retained outputs over multiple sequential operations. The proposed reset-free TCR framework offers a mechanism most analogous to electronic circuit operation and demonstrates considerable potential for practical applications in biosensing, diagnostics, and synthetic biology.</w:t>
      </w:r>
    </w:p>
    <w:p>
      <w:pPr>
        <w:spacing w:before="120" w:after="120"/>
      </w:pPr>
      <w:r>
        <w:rPr>
          <w:sz w:val="18"/>
        </w:rPr>
        <w:t>——————————————————————————————————————————————————————————————————————</w:t>
      </w:r>
    </w:p>
    <w:p>
      <w:pPr>
        <w:spacing w:before="160" w:after="40" w:line="240" w:lineRule="auto"/>
      </w:pPr>
      <w:r>
        <w:rPr>
          <w:b/>
        </w:rPr>
        <w:t xml:space="preserve">[332] </w:t>
      </w:r>
      <w:hyperlink r:id="rId832">
        <w:r>
          <w:rPr>
            <w:color w:val="1155CC"/>
            <w:u w:val="single"/>
          </w:rPr>
          <w:t>由白云母介导的氟和氯从俯冲带到深部地幔的通量</w:t>
        </w:r>
      </w:hyperlink>
    </w:p>
    <w:p>
      <w:pPr>
        <w:spacing w:before="0" w:after="80"/>
      </w:pPr>
      <w:r>
        <w:rPr>
          <w:i/>
          <w:sz w:val="20"/>
        </w:rPr>
        <w:t>EN: Phengite-mediated fluorine and chlorine fluxes from subduction zones to the deep mantle</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33">
        <w:r>
          <w:rPr>
            <w:color w:val="1155CC"/>
            <w:u w:val="single"/>
          </w:rPr>
          <w:t>10.1126/sciadv.aee6110</w:t>
        </w:r>
      </w:hyperlink>
    </w:p>
    <w:p>
      <w:pPr>
        <w:spacing w:before="0" w:after="120"/>
      </w:pPr>
      <w:r>
        <w:rPr>
          <w:b/>
        </w:rPr>
        <w:t xml:space="preserve">Notes: </w:t>
      </w:r>
      <w:r>
        <w:t>abstract_source=crossref</w:t>
      </w:r>
    </w:p>
    <w:p>
      <w:pPr>
        <w:spacing w:before="0" w:after="80" w:lineRule="auto" w:line="276"/>
      </w:pPr>
      <w:r>
        <w:rPr>
          <w:b/>
        </w:rPr>
        <w:t xml:space="preserve">摘要（ZH）: </w:t>
      </w:r>
      <w:r>
        <w:t>挥发物通过俯冲带的循环从根本上塑造了地球的化学演化，但氟（F）和氯（Cl）在深地幔中的处理方式仍然是个谜。在这里，我们使用高压实验（5到11吉帕斯卡和850°到1200°C）在改变的海洋地壳模拟物上追踪深层卤素行为。我们表明，白云母在11吉帕斯卡和1050°C下保持稳定，有效地将F和Cl运输到约330公里深度。在分解或熔化时，白云母强烈分馏这些卤素：Cl释放到流体或熔体中，而F则被隔离在残余相中，如KMgF</w:t>
      </w:r>
      <w:r>
        <w:rPr>
          <w:vertAlign w:val="subscript"/>
        </w:rPr>
        <w:t>3</w:t>
      </w:r>
      <w:r>
        <w:t>。产生的富Cl流体（9.6到19.9 wt % Cl）与钻石中的高密度流体包裹体密切匹配，暗示它们是</w:t>
      </w:r>
    </w:p>
    <w:p>
      <w:pPr>
        <w:spacing w:before="0" w:after="200" w:lineRule="auto" w:line="276"/>
      </w:pPr>
      <w:r>
        <w:rPr>
          <w:b/>
        </w:rPr>
        <w:t xml:space="preserve">Abstract (EN): </w:t>
      </w:r>
      <w:r>
        <w:t>The cycling of volatiles through subduction zones fundamentally shapes Earth’s chemical evolution, yet how fluorine (F) and chlorine (Cl) are processed in the deep mantle remains enigmatic. Here, we use high-pressure experiments (5 to 11 gigapascals and 850° to 1200°C) on altered oceanic crust analogs to track deep halogen behavior. We show that phengite remains stable to 11 gigapascals and 1050°C, efficiently transporting F and Cl to ~330-kilometer depth. Upon breakdown or melting, phengite strongly fractionates these halogens: Cl is released into fluids or melts, while F is sequestered in residual phases such as KMgF</w:t>
      </w:r>
      <w:r>
        <w:rPr>
          <w:vertAlign w:val="subscript"/>
        </w:rPr>
        <w:t>3</w:t>
      </w:r>
      <w:r>
        <w:t>. The Cl-rich fluids produced (9.6 to 19.9 wt % Cl) closely match high-density fluid inclusions in diamonds, implicating them as key agents of cratonic metasomatism. Our findings establish phengite as a critical carrier mediating postarc fluxes of F (1.7 × 10</w:t>
      </w:r>
      <w:r>
        <w:rPr>
          <w:vertAlign w:val="subscript"/>
        </w:rPr>
        <w:t>12</w:t>
      </w:r>
      <w:r>
        <w:t>to 2.6 × 10</w:t>
      </w:r>
      <w:r>
        <w:rPr>
          <w:vertAlign w:val="subscript"/>
        </w:rPr>
        <w:t>12</w:t>
      </w:r>
      <w:r>
        <w:t>grams per year) and Cl (0.52 × 10</w:t>
      </w:r>
      <w:r>
        <w:rPr>
          <w:vertAlign w:val="subscript"/>
        </w:rPr>
        <w:t>12</w:t>
      </w:r>
      <w:r>
        <w:t>to 1.1 × 10</w:t>
      </w:r>
      <w:r>
        <w:rPr>
          <w:vertAlign w:val="subscript"/>
        </w:rPr>
        <w:t>12</w:t>
      </w:r>
      <w:r>
        <w:t>grams per year), providing a major pathway for replenishing deep mantle halogen reservoirs.</w:t>
      </w:r>
    </w:p>
    <w:p>
      <w:pPr>
        <w:spacing w:before="120" w:after="120"/>
      </w:pPr>
      <w:r>
        <w:rPr>
          <w:sz w:val="18"/>
        </w:rPr>
        <w:t>——————————————————————————————————————————————————————————————————————</w:t>
      </w:r>
    </w:p>
    <w:p>
      <w:pPr>
        <w:spacing w:before="160" w:after="40" w:line="240" w:lineRule="auto"/>
      </w:pPr>
      <w:r>
        <w:rPr>
          <w:b/>
        </w:rPr>
        <w:t xml:space="preserve">[333] </w:t>
      </w:r>
      <w:hyperlink r:id="rId834">
        <w:r>
          <w:rPr>
            <w:color w:val="1155CC"/>
            <w:u w:val="single"/>
          </w:rPr>
          <w:t>用于糖尿病伤口愈合的自调节水凝胶：从动物模型到临床试点研究</w:t>
        </w:r>
      </w:hyperlink>
    </w:p>
    <w:p>
      <w:pPr>
        <w:spacing w:before="0" w:after="80"/>
      </w:pPr>
      <w:r>
        <w:rPr>
          <w:i/>
          <w:sz w:val="20"/>
        </w:rPr>
        <w:t>EN: Self-regulating hydrogel for diabetic wound healing: From animal models to a pilot clinical study</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35">
        <w:r>
          <w:rPr>
            <w:color w:val="1155CC"/>
            <w:u w:val="single"/>
          </w:rPr>
          <w:t>10.1126/sciadv.aed4981</w:t>
        </w:r>
      </w:hyperlink>
    </w:p>
    <w:p>
      <w:pPr>
        <w:spacing w:before="0" w:after="120"/>
      </w:pPr>
      <w:r>
        <w:rPr>
          <w:b/>
        </w:rPr>
        <w:t xml:space="preserve">Notes: </w:t>
      </w:r>
      <w:r>
        <w:t>abstract_source=crossref</w:t>
      </w:r>
    </w:p>
    <w:p>
      <w:pPr>
        <w:spacing w:before="0" w:after="80" w:lineRule="auto" w:line="276"/>
      </w:pPr>
      <w:r>
        <w:rPr>
          <w:b/>
        </w:rPr>
        <w:t xml:space="preserve">摘要（ZH）: </w:t>
      </w:r>
      <w:r>
        <w:t>慢性糖尿病伤口影响数百万人，并且由于感染、炎症和血管生成不良而常常无法愈合，导致高截肢率。目前的治疗方法对伤口微环境的控制有限。在这里，这项工作开发了GPP@ZnBG水凝胶，可以响应糖尿病伤口中的高葡萄糖和氧化应激，以自pH调节和顺序方式释放治疗离子。在早期阶段，该水凝胶在碱性条件下释放锌离子，提供抗菌活性，同时避免过量剂量的毒性。在后期阶段，水凝胶降解，并稳定释放锌、钙和硅酸盐离子，支持血管生成，减少炎症，并促进组织修复。在糖尿病小鼠中，GPP@Zn</w:t>
      </w:r>
    </w:p>
    <w:p>
      <w:pPr>
        <w:spacing w:before="0" w:after="200" w:lineRule="auto" w:line="276"/>
      </w:pPr>
      <w:r>
        <w:rPr>
          <w:b/>
        </w:rPr>
        <w:t xml:space="preserve">Abstract (EN): </w:t>
      </w:r>
      <w:r>
        <w:t>Chronic diabetic wounds affect millions and often fail to heal due to infection, inflammation, and poor angiogenesis, leading to high rates of amputation. Current treatments offer limited control over the wound microenvironment. Here, this work develops GPP@ZnBG hydrogels that can respond to elevated glucose and oxidative stress in diabetic wounds to release therapeutic ions in a self-pH–regulated and sequential manner. At an early stage, this hydrogel initiates a release of zinc ions under alkaline conditions, providing antibacterial activity while avoiding toxicity from excessive dosing. During the late stage, the hydrogel degrades, and it steadily releases zinc, calcium, and silicate ions that support angiogenesis, reduce inflammation, and promote tissue repair. In diabetic mice, GPP@ZnBG hydrogels improve neovascularization and enhance collagen deposition, leading to enhanced wound closure. Single-cell RNA sequencing results indicate that the hydrogel modulates fibroblast behavior, specifically fine-tuning NF-κB signaling to reduce detrimental inflammation and promote wound repair. A pilot clinical study demonstrates that topical GPP@ZnBG application showed a 94.57% relative reduction in a wound surface area within 4 weeks, with no adverse events reported. These findings establish a self-pH–driven ion delivery strategy that targets both infection and tissue regeneration, offering a promising therapeutic platform for chronic diabetic wound care.</w:t>
      </w:r>
    </w:p>
    <w:p>
      <w:pPr>
        <w:spacing w:before="120" w:after="120"/>
      </w:pPr>
      <w:r>
        <w:rPr>
          <w:sz w:val="18"/>
        </w:rPr>
        <w:t>——————————————————————————————————————————————————————————————————————</w:t>
      </w:r>
    </w:p>
    <w:p>
      <w:pPr>
        <w:spacing w:before="160" w:after="40" w:line="240" w:lineRule="auto"/>
      </w:pPr>
      <w:r>
        <w:rPr>
          <w:b/>
        </w:rPr>
        <w:t xml:space="preserve">[334] </w:t>
      </w:r>
      <w:hyperlink r:id="rId836">
        <w:r>
          <w:rPr>
            <w:color w:val="1155CC"/>
            <w:u w:val="single"/>
          </w:rPr>
          <w:t>一个周质蛋白复合物介导阿拉伯呋喃糖基转移酶活性和结核分枝杆菌的内在耐药性</w:t>
        </w:r>
      </w:hyperlink>
    </w:p>
    <w:p>
      <w:pPr>
        <w:spacing w:before="0" w:after="80"/>
      </w:pPr>
      <w:r>
        <w:rPr>
          <w:i/>
          <w:sz w:val="20"/>
        </w:rPr>
        <w:t>EN: A periplasmic protein complex mediates arabinofuranosyltransferase activity and intrinsic drug resistance in Mycobacterium tuberculosis</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37">
        <w:r>
          <w:rPr>
            <w:color w:val="1155CC"/>
            <w:u w:val="single"/>
          </w:rPr>
          <w:t>10.1126/sciadv.aec5100</w:t>
        </w:r>
      </w:hyperlink>
    </w:p>
    <w:p>
      <w:pPr>
        <w:spacing w:before="0" w:after="120"/>
      </w:pPr>
      <w:r>
        <w:rPr>
          <w:b/>
        </w:rPr>
        <w:t xml:space="preserve">Notes: </w:t>
      </w:r>
      <w:r>
        <w:t>abstract_source=crossref</w:t>
      </w:r>
    </w:p>
    <w:p>
      <w:pPr>
        <w:spacing w:before="0" w:after="80" w:lineRule="auto" w:line="276"/>
      </w:pPr>
      <w:r>
        <w:rPr>
          <w:b/>
        </w:rPr>
        <w:t xml:space="preserve">摘要（ZH）: </w:t>
      </w:r>
      <w:r>
        <w:t>结核分枝杆菌（Mtb）的固有耐药性是有效结核病（TB）治疗的主要障碍，主要是由于其复杂且不可渗透的细胞包膜。我们鉴定出一个由FecB和Rv3035组成的周质蛋白复合物，该复合物对于维持包膜完整性和介导Mtb的固有多药耐药性至关重要。FecB与Rv3035相互作用，形成一个稳定的异二聚体，与细胞包膜生物合成蛋白AftB结合。我们报告了Rv3035单独及与FecB复合的结构，并识别出复合物形成和功能的关键残基。共必需性和遗传相互作用分析支持FecB、Rv3035和AftB（一个阿拉伯呋喃糖基转移酶）之间的功能联系</w:t>
      </w:r>
    </w:p>
    <w:p>
      <w:pPr>
        <w:spacing w:before="0" w:after="200" w:lineRule="auto" w:line="276"/>
      </w:pPr>
      <w:r>
        <w:rPr>
          <w:b/>
        </w:rPr>
        <w:t xml:space="preserve">Abstract (EN): </w:t>
      </w:r>
      <w:r>
        <w:t>The intrinsic drug resistance of</w:t>
      </w:r>
      <w:r>
        <w:t xml:space="preserve"> </w:t>
      </w:r>
      <w:r>
        <w:t>Mycobacterium tuberculosis</w:t>
      </w:r>
      <w:r>
        <w:t xml:space="preserve"> </w:t>
      </w:r>
      <w:r>
        <w:t>(Mtb) is a major barrier to effective tuberculosis (TB) treatment and is largely due to its complex, impermeable cell envelope. We identified a periplasmic protein complex comprising FecB and Rv3035 that is essential for maintaining envelope integrity and mediating intrinsic multidrug resistance in Mtb. FecB interacts with Rv3035, forming a stable heterodimer that associates with the cell envelope biosynthesis protein AftB. We report the structures of Rv3035 alone and in complex with FecB and identify critical residues for complex formation and function. Coessentiality and genetic interaction analyses support a functional link between FecB, Rv3035, and AftB, an arabinofuranosyltransferase that synthesizes arabinogalactan and lipoarabinomannan. Loss of FecB or Rv3035 disrupted AftB-mediated arabinan synthesis, suggesting that these proteins support AftB’s enzymatic activity. FecB is required for Mtb virulence in mice, underscoring its physiological relevance. These findings highlight FecB, Rv3035, and AftB as promising therapeutic targets.</w:t>
      </w:r>
    </w:p>
    <w:p>
      <w:pPr>
        <w:spacing w:before="120" w:after="120"/>
      </w:pPr>
      <w:r>
        <w:rPr>
          <w:sz w:val="18"/>
        </w:rPr>
        <w:t>——————————————————————————————————————————————————————————————————————</w:t>
      </w:r>
    </w:p>
    <w:p>
      <w:pPr>
        <w:spacing w:before="160" w:after="40" w:line="240" w:lineRule="auto"/>
      </w:pPr>
      <w:r>
        <w:rPr>
          <w:b/>
        </w:rPr>
        <w:t xml:space="preserve">[335] </w:t>
      </w:r>
      <w:hyperlink r:id="rId838">
        <w:r>
          <w:rPr>
            <w:color w:val="1155CC"/>
            <w:u w:val="single"/>
          </w:rPr>
          <w:t>植物中淀粉合成所必需的异四聚体ADP-葡萄糖焦磷酸化酶的结构和机制</w:t>
        </w:r>
      </w:hyperlink>
    </w:p>
    <w:p>
      <w:pPr>
        <w:spacing w:before="0" w:after="80"/>
      </w:pPr>
      <w:r>
        <w:rPr>
          <w:i/>
          <w:sz w:val="20"/>
        </w:rPr>
        <w:t>EN: Structure and mechanism of the heterotetrameric ADP-glucose pyrophosphorylase essential for starch synthesis in plants</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39">
        <w:r>
          <w:rPr>
            <w:color w:val="1155CC"/>
            <w:u w:val="single"/>
          </w:rPr>
          <w:t>10.1126/sciadv.aeb6384</w:t>
        </w:r>
      </w:hyperlink>
    </w:p>
    <w:p>
      <w:pPr>
        <w:spacing w:before="0" w:after="120"/>
      </w:pPr>
      <w:r>
        <w:rPr>
          <w:b/>
        </w:rPr>
        <w:t xml:space="preserve">Notes: </w:t>
      </w:r>
      <w:r>
        <w:t>abstract_source=crossref</w:t>
      </w:r>
    </w:p>
    <w:p>
      <w:pPr>
        <w:spacing w:before="0" w:after="80" w:lineRule="auto" w:line="276"/>
      </w:pPr>
      <w:r>
        <w:rPr>
          <w:b/>
        </w:rPr>
        <w:t xml:space="preserve">摘要（ZH）: </w:t>
      </w:r>
      <w:r>
        <w:t>ADP-葡萄糖焦磷酸化酶（AGPase）催化葡萄糖-1-磷酸和腺苷5′-三磷酸（ATP）转化为ADP-葡萄糖（ADPG），这是植物中淀粉的专用前体。它是淀粉生物合成途径的限速酶，其活性与作物生产力密切相关。植物AGPase是由两种类型的亚基组成的异四聚体，其活性受光合作用代谢物的变构调节，3-磷酸甘油酸（3-PGA）作为激活剂，磷酸作为抑制剂。在此，我们报告了拟南芥异四聚体AGPase在apo、3-PGA结合、磷酸结合、ATP/3-PGA结合和ADPG/3-PGA结合状态下的冷冻电子显微镜结构。AGPase由两个小s</w:t>
      </w:r>
    </w:p>
    <w:p>
      <w:pPr>
        <w:spacing w:before="0" w:after="200" w:lineRule="auto" w:line="276"/>
      </w:pPr>
      <w:r>
        <w:rPr>
          <w:b/>
        </w:rPr>
        <w:t xml:space="preserve">Abstract (EN): </w:t>
      </w:r>
      <w:r>
        <w:t>ADP-glucose pyrophosphorylase (AGPase) catalyzes the conversion of glucose-1-phosphate and adenosine 5′-triphosphate (ATP) to ADP-glucose (ADPG), the dedicated precursor of starch in plants. It is a rate-limiting enzyme of the starch biosynthesis pathway, and its activity is closely linked to crop productivity. Plant AGPase is a heterotetramer composed of two types of subunits, and its activity is subject to allosteric regulation by photosynthetic metabolites, with 3-phosphoglycerate (3-PGA) acting as an activator and phosphate as an inhibitor. Here, we report the cryo–electron microscopy structures of</w:t>
      </w:r>
      <w:r>
        <w:t xml:space="preserve"> </w:t>
      </w:r>
      <w:r>
        <w:t>Arabidopsis</w:t>
      </w:r>
      <w:r>
        <w:t xml:space="preserve"> </w:t>
      </w:r>
      <w:r>
        <w:t>heterotetrameric AGPase in apo, 3-PGA–bound, phosphate-bound, ATP/3-PGA–bound, and ADPG/3-PGA–bound states. AGPase consists of two small subunits (APS1) and two large subunits (APL1), organized as a dimer of APS1-APL1 heterodimers. Both the small and large subunits comprise an N-terminal catalytic domain and a C-terminal left-handed β-helix domain. By combining structural analysis with functional characterization, we identified the binding sites of the allosteric modulators and substrate/product in the AGPase and elucidated the mechanism of allosteric regulation, which involves 3-PGA binding–induced conformational changes at the active site. These findings provide critical insights into ADPG synthesis by plant heterotetrameric AGPase and offer clues to engineer the AGPase to enhance starch production and increase crop yields.</w:t>
      </w:r>
    </w:p>
    <w:p>
      <w:pPr>
        <w:spacing w:before="120" w:after="120"/>
      </w:pPr>
      <w:r>
        <w:rPr>
          <w:sz w:val="18"/>
        </w:rPr>
        <w:t>——————————————————————————————————————————————————————————————————————</w:t>
      </w:r>
    </w:p>
    <w:p>
      <w:pPr>
        <w:spacing w:before="160" w:after="40" w:line="240" w:lineRule="auto"/>
      </w:pPr>
      <w:r>
        <w:rPr>
          <w:b/>
        </w:rPr>
        <w:t xml:space="preserve">[336] </w:t>
      </w:r>
      <w:hyperlink r:id="rId840">
        <w:r>
          <w:rPr>
            <w:color w:val="1155CC"/>
            <w:u w:val="single"/>
          </w:rPr>
          <w:t>赤血球膜中包裹水通道蛋白-1和尿素转运蛋白-B的Stomatin</w:t>
        </w:r>
      </w:hyperlink>
    </w:p>
    <w:p>
      <w:pPr>
        <w:spacing w:before="0" w:after="80"/>
      </w:pPr>
      <w:r>
        <w:rPr>
          <w:i/>
          <w:sz w:val="20"/>
        </w:rPr>
        <w:t>EN: Stomatin encapsulates aquaporin-1 and urea transporter–B in the erythrocyte membrane</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41">
        <w:r>
          <w:rPr>
            <w:color w:val="1155CC"/>
            <w:u w:val="single"/>
          </w:rPr>
          <w:t>10.1126/sciadv.aec1721</w:t>
        </w:r>
      </w:hyperlink>
    </w:p>
    <w:p>
      <w:pPr>
        <w:spacing w:before="0" w:after="120"/>
      </w:pPr>
      <w:r>
        <w:rPr>
          <w:b/>
        </w:rPr>
        <w:t xml:space="preserve">Notes: </w:t>
      </w:r>
      <w:r>
        <w:t>abstract_source=crossref</w:t>
      </w:r>
    </w:p>
    <w:p>
      <w:pPr>
        <w:spacing w:before="0" w:after="80" w:lineRule="auto" w:line="276"/>
      </w:pPr>
      <w:r>
        <w:rPr>
          <w:b/>
        </w:rPr>
        <w:t xml:space="preserve">摘要（ZH）: </w:t>
      </w:r>
      <w:r>
        <w:t>Stomatin是一种在红细胞中普遍存在且高度表达的蛋白质，它与质膜中富含胆固醇的微区结合，并已知调节多种离子通道和转运蛋白的活性，但与stomatin靶标结合的结构基础仍然未知。在此，我们描述了从人类红细胞膜中分离出的与内源性结合伙伴的多个stomatin复合物的高分辨率结构，揭示了stomatin特异性地与两个参与水运输和细胞体积调节的膜蛋白结合，即水通道蛋白-1和尿素转运蛋白SLC14A1。我们的结果揭示了stomatin寡聚化、膜结合和靶标招募的结构基础，并确定了stomatin的假定作用</w:t>
      </w:r>
    </w:p>
    <w:p>
      <w:pPr>
        <w:spacing w:before="0" w:after="200" w:lineRule="auto" w:line="276"/>
      </w:pPr>
      <w:r>
        <w:rPr>
          <w:b/>
        </w:rPr>
        <w:t xml:space="preserve">Abstract (EN): </w:t>
      </w:r>
      <w:r>
        <w:t>Stomatin is a ubiquitous and highly expressed protein in erythrocytes, which associates with cholesterol-rich microdomains in the plasma membrane and is known to regulate the activity of multiple ion channels and transporters, but the structural basis of association with stomatin targets remains unknown. Here, we describe high-resolution structures of multiple stomatin complexes with endogenous binding partners isolated from human erythrocyte membranes, revealing that stomatin specifically associates with two membrane proteins involved in water transport and cell volume regulation, aquaporin-1 and the urea transporter SLC14A1. Together, our results reveal the structural basis of stomatin oligomerization, membrane association, and target recruitment and identify a putative role for stomatin in the regulation of osmotic balance in the erythrocyte.</w:t>
      </w:r>
    </w:p>
    <w:p>
      <w:pPr>
        <w:spacing w:before="120" w:after="120"/>
      </w:pPr>
      <w:r>
        <w:rPr>
          <w:sz w:val="18"/>
        </w:rPr>
        <w:t>——————————————————————————————————————————————————————————————————————</w:t>
      </w:r>
    </w:p>
    <w:p>
      <w:pPr>
        <w:spacing w:before="160" w:after="40" w:line="240" w:lineRule="auto"/>
      </w:pPr>
      <w:r>
        <w:rPr>
          <w:b/>
        </w:rPr>
        <w:t xml:space="preserve">[337] </w:t>
      </w:r>
      <w:hyperlink r:id="rId842">
        <w:r>
          <w:rPr>
            <w:color w:val="1155CC"/>
            <w:u w:val="single"/>
          </w:rPr>
          <w:t>通过结构化光寻址在离子量子比特上实现可扩展的纠缠门</w:t>
        </w:r>
      </w:hyperlink>
    </w:p>
    <w:p>
      <w:pPr>
        <w:spacing w:before="0" w:after="80"/>
      </w:pPr>
      <w:r>
        <w:rPr>
          <w:i/>
          <w:sz w:val="20"/>
        </w:rPr>
        <w:t>EN: Scalable entangling gates on ion qubits via structured light addressing</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43">
        <w:r>
          <w:rPr>
            <w:color w:val="1155CC"/>
            <w:u w:val="single"/>
          </w:rPr>
          <w:t>10.1126/sciadv.aec0392</w:t>
        </w:r>
      </w:hyperlink>
    </w:p>
    <w:p>
      <w:pPr>
        <w:spacing w:before="0" w:after="120"/>
      </w:pPr>
      <w:r>
        <w:rPr>
          <w:b/>
        </w:rPr>
        <w:t xml:space="preserve">Notes: </w:t>
      </w:r>
      <w:r>
        <w:t>abstract_source=crossref</w:t>
      </w:r>
    </w:p>
    <w:p>
      <w:pPr>
        <w:spacing w:before="0" w:after="80" w:lineRule="auto" w:line="276"/>
      </w:pPr>
      <w:r>
        <w:rPr>
          <w:b/>
        </w:rPr>
        <w:t xml:space="preserve">摘要（ZH）: </w:t>
      </w:r>
      <w:r>
        <w:t>开发实用的量子处理器的一个核心挑战是保持低控制复杂性，同时扩展到大量量子比特。囚禁离子系统在小规模操作中表现出色，并通过长链架构支持快速量子比特扩展。然而，它们在较大系统中的性能受到径向运动模式中的频谱拥挤的限制，这个问题迫使依赖复杂的脉冲整形技术来维持门保真度。在此，我们通过开发一个具有单独寻址系统的囚禁离子处理器来克服这一挑战，该系统生成可操控的Hermite-Gaussian光束阵列。这些光束的横向梯度选择性地将量子比特耦合到稀疏的轴向运动模式，使得能够隔离单个或少数模式作为纠缠介质。利用</w:t>
      </w:r>
    </w:p>
    <w:p>
      <w:pPr>
        <w:spacing w:before="0" w:after="200" w:lineRule="auto" w:line="276"/>
      </w:pPr>
      <w:r>
        <w:rPr>
          <w:b/>
        </w:rPr>
        <w:t xml:space="preserve">Abstract (EN): </w:t>
      </w:r>
      <w:r>
        <w:t>A central challenge in developing practical quantum processors is maintaining low control complexity while scaling to large numbers of qubits. Trapped-ion systems excel in small-scale operations and support rapid qubit scaling via long-chain architectures. However, their performance in larger systems is hindered by spectral crowding in radial motional modes, a problem that forces reliance on intricate pulse-shaping techniques to maintain gate fidelities. Here, we overcome this challenge by developing a trapped-ion processor with an individual-addressing system that generates steerable Hermite-Gaussian beam arrays. The transversal gradient of these beams couples qubits selectively to sparse axial motional modes, enabling to isolate a single or few modes as entanglement mediator. Leveraging this capability, we demonstrate addressable two-qubit entangling gates in chains up to six ions, with Bell-state preparation fidelities consistently around 0.97, achieved without complex pulse shaping. Our method substantially reduces control overhead while preserving scalability, providing a crucial advance toward practical large-scale trapped-ion quantum computing.</w:t>
      </w:r>
    </w:p>
    <w:p>
      <w:pPr>
        <w:spacing w:before="120" w:after="120"/>
      </w:pPr>
      <w:r>
        <w:rPr>
          <w:sz w:val="18"/>
        </w:rPr>
        <w:t>——————————————————————————————————————————————————————————————————————</w:t>
      </w:r>
    </w:p>
    <w:p>
      <w:pPr>
        <w:spacing w:before="160" w:after="40" w:line="240" w:lineRule="auto"/>
      </w:pPr>
      <w:r>
        <w:rPr>
          <w:b/>
        </w:rPr>
        <w:t xml:space="preserve">[338] </w:t>
      </w:r>
      <w:hyperlink r:id="rId844">
        <w:r>
          <w:rPr>
            <w:color w:val="1155CC"/>
            <w:u w:val="single"/>
          </w:rPr>
          <w:t>表层海洋颗粒中的原核生物偏向</w:t>
        </w:r>
      </w:hyperlink>
    </w:p>
    <w:p>
      <w:pPr>
        <w:spacing w:before="0" w:after="80"/>
      </w:pPr>
      <w:r>
        <w:rPr>
          <w:i/>
          <w:sz w:val="20"/>
        </w:rPr>
        <w:t>EN: Prokaryotic bias in surface ocean particles</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845">
        <w:r>
          <w:rPr>
            <w:color w:val="1155CC"/>
            <w:u w:val="single"/>
          </w:rPr>
          <w:t>10.1073/pnas.2500624123</w:t>
        </w:r>
      </w:hyperlink>
    </w:p>
    <w:p>
      <w:pPr>
        <w:spacing w:before="0" w:after="120"/>
      </w:pPr>
      <w:r>
        <w:rPr>
          <w:b/>
        </w:rPr>
        <w:t xml:space="preserve">Notes: </w:t>
      </w:r>
      <w:r>
        <w:t>abstract_source=crossref</w:t>
      </w:r>
    </w:p>
    <w:p>
      <w:pPr>
        <w:spacing w:before="0" w:after="80" w:lineRule="auto" w:line="276"/>
      </w:pPr>
      <w:r>
        <w:rPr>
          <w:b/>
        </w:rPr>
        <w:t xml:space="preserve">摘要（ZH）: </w:t>
      </w:r>
      <w:r>
        <w:t>虽然海洋的光合作用有机物生产与陆地相当，但异养作用和下沉的结合阻止了颗粒有机物（POM）在开阔海洋表层水中的显著积累。海洋表层水中POM的起源和命运尚不清楚，部分原因是非生物、改变材料的主导地位。根据叶绿素及其降解产物的天然氮同位素组成，我们估计来自真核生物与原核生物浮游植物的颗粒比例。在亚热带环流和北太平洋东部边缘，颗粒中的真核生物与原核生物比例与活浮游植物相匹配。然而，在北大西洋的亚热带环流之外，颗粒的真核生物与原核生物比例较低</w:t>
      </w:r>
    </w:p>
    <w:p>
      <w:pPr>
        <w:spacing w:before="0" w:after="200" w:lineRule="auto" w:line="276"/>
      </w:pPr>
      <w:r>
        <w:rPr>
          <w:b/>
        </w:rPr>
        <w:t xml:space="preserve">Abstract (EN): </w:t>
      </w:r>
      <w:r>
        <w:t>While the ocean’s photosynthetic production of organic matter rivals that on land, a combination of heterotrophy and sinking prevents significant accumulation of particulate organic matter (POM) in open ocean surface waters. The origins and fates of POM in ocean surface waters are unclear, in part due to the dominance of nonliving, altered material. From the natural nitrogen isotopic composition of chlorophyll and its degradation products, we estimate the fraction of particles from eukaryotic vs. prokaryotic phytoplankton. In subtropical gyres and along the eastern North Pacific margin, the eukaryotic-to-prokaryotic ratio in particles matches that of living phytoplankton. However, in the North Atlantic outside its subtropical gyre, particles have a lower eukaryotic-to-prokaryotic ratio than do the living phytoplankton. This discrepancy at least partly arises from preferential sinking of eukaryotic biomass, consistent with the canonical but disputed paradigm that cyanobacteria disproportionately fulfill the energetic demands of the upper ocean microbial community while eukaryotes drive export production. The prokaryotic bias in surface ocean particles may also result from slow decomposition of specific components of prokaryotic biomass, a possible bottleneck in the ocean’s microbial loop. The different fates of organic matter produced by eukaryotic and prokaryotic phytoplankton affect the productivity of the surface ocean, carbon export to the interior, and the signals recorded in deep-sea sediments.</w:t>
      </w:r>
    </w:p>
    <w:p>
      <w:pPr>
        <w:spacing w:before="120" w:after="120"/>
      </w:pPr>
      <w:r>
        <w:rPr>
          <w:sz w:val="18"/>
        </w:rPr>
        <w:t>——————————————————————————————————————————————————————————————————————</w:t>
      </w:r>
    </w:p>
    <w:p>
      <w:pPr>
        <w:spacing w:before="160" w:after="40" w:line="240" w:lineRule="auto"/>
      </w:pPr>
      <w:r>
        <w:rPr>
          <w:b/>
        </w:rPr>
        <w:t xml:space="preserve">[339] </w:t>
      </w:r>
      <w:hyperlink r:id="rId846">
        <w:r>
          <w:rPr>
            <w:color w:val="1155CC"/>
            <w:u w:val="single"/>
          </w:rPr>
          <w:t>在遗传水平上保护细胞并通过生物黑客马拉松模拟未经授权的访问</w:t>
        </w:r>
      </w:hyperlink>
    </w:p>
    <w:p>
      <w:pPr>
        <w:spacing w:before="0" w:after="80"/>
      </w:pPr>
      <w:r>
        <w:rPr>
          <w:i/>
          <w:sz w:val="20"/>
        </w:rPr>
        <w:t>EN: Protecting cells at the genetic level and simulating unauthorized access via a biohackathon</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47">
        <w:r>
          <w:rPr>
            <w:color w:val="1155CC"/>
            <w:u w:val="single"/>
          </w:rPr>
          <w:t>10.1126/sciadv.aeb8556</w:t>
        </w:r>
      </w:hyperlink>
    </w:p>
    <w:p>
      <w:pPr>
        <w:spacing w:before="0" w:after="120"/>
      </w:pPr>
      <w:r>
        <w:rPr>
          <w:b/>
        </w:rPr>
        <w:t xml:space="preserve">Notes: </w:t>
      </w:r>
      <w:r>
        <w:t>abstract_source=crossref</w:t>
      </w:r>
    </w:p>
    <w:p>
      <w:pPr>
        <w:spacing w:before="0" w:after="80" w:lineRule="auto" w:line="276"/>
      </w:pPr>
      <w:r>
        <w:rPr>
          <w:b/>
        </w:rPr>
        <w:t xml:space="preserve">摘要（ZH）: </w:t>
      </w:r>
      <w:r>
        <w:t>高价值细胞系（资产）的保护依赖于通过限制样本访问的物理安全性。我们提出了一个受网络安全启发的平台，在遗传水平上保护生物资产。该技术使用了一种排列锁设计，其中资产只能通过由</w:t>
      </w:r>
      <w:r>
        <w:t xml:space="preserve"> </w:t>
      </w:r>
      <w:r>
        <w:t>n</w:t>
      </w:r>
      <w:r>
        <w:t xml:space="preserve"> </w:t>
      </w:r>
      <w:r>
        <w:t>个对象组成的搜索空间上的定义键盘上的认证代码</w:t>
      </w:r>
      <w:r>
        <w:t xml:space="preserve"> </w:t>
      </w:r>
      <w:r>
        <w:t>r</w:t>
      </w:r>
      <w:r>
        <w:t xml:space="preserve"> </w:t>
      </w:r>
      <w:r>
        <w:t>解密。在这里，遗传资产被设计为一个混乱的DNA序列，代码是小分子的时间模式，这些小分子调节重组酶的集合，可以将DNA序列解码为所需的最终序列。在这项工作中，“蓝队”设计并构建了一个加密（混乱）的DNA序列，而“红队”试图</w:t>
      </w:r>
    </w:p>
    <w:p>
      <w:pPr>
        <w:spacing w:before="0" w:after="200" w:lineRule="auto" w:line="276"/>
      </w:pPr>
      <w:r>
        <w:rPr>
          <w:b/>
        </w:rPr>
        <w:t xml:space="preserve">Abstract (EN): </w:t>
      </w:r>
      <w:r>
        <w:t>The protection of high-value cell lines (assets) relies on physical security by limiting access to samples. We present a cybersecurity-inspired platform that protects biological assets at the genetic level. This technology uses a permutation lock design where an asset can only be decrypted using an authentication code</w:t>
      </w:r>
      <w:r>
        <w:t xml:space="preserve"> </w:t>
      </w:r>
      <w:r>
        <w:t>r</w:t>
      </w:r>
      <w:r>
        <w:t xml:space="preserve"> </w:t>
      </w:r>
      <w:r>
        <w:t>from a search space composed of</w:t>
      </w:r>
      <w:r>
        <w:t xml:space="preserve"> </w:t>
      </w:r>
      <w:r>
        <w:t>n</w:t>
      </w:r>
      <w:r>
        <w:t xml:space="preserve"> </w:t>
      </w:r>
      <w:r>
        <w:t>objects on a defined keypad. Here, the genetic asset is designed as a scrambled DNA sequence, and the code is a temporal pattern of small molecules that regulate sets of recombinases that can unscramble a DNA sequence into the desired final sequence. In this work, a “blue team” designed and built an encrypted (scrambled) DNA sequence, and a “red team” sought to break the code through an ethical hacking exercise. Two iterations of testing revealed a 0.2% (2 in 990) chance of gaining access to the asset by random search, which is on par with the theoretical goal of 0.1% (1 in 990).</w:t>
      </w:r>
    </w:p>
    <w:p>
      <w:pPr>
        <w:spacing w:before="120" w:after="120"/>
      </w:pPr>
      <w:r>
        <w:rPr>
          <w:sz w:val="18"/>
        </w:rPr>
        <w:t>——————————————————————————————————————————————————————————————————————</w:t>
      </w:r>
    </w:p>
    <w:p>
      <w:pPr>
        <w:spacing w:before="160" w:after="40" w:line="240" w:lineRule="auto"/>
      </w:pPr>
      <w:r>
        <w:rPr>
          <w:b/>
        </w:rPr>
        <w:t xml:space="preserve">[340] </w:t>
      </w:r>
      <w:hyperlink r:id="rId848">
        <w:r>
          <w:rPr>
            <w:color w:val="1155CC"/>
            <w:u w:val="single"/>
          </w:rPr>
          <w:t>噬菌体劫持代谢的基因组规模模型中的协同作用和拮抗作用</w:t>
        </w:r>
      </w:hyperlink>
    </w:p>
    <w:p>
      <w:pPr>
        <w:spacing w:before="0" w:after="80"/>
      </w:pPr>
      <w:r>
        <w:rPr>
          <w:i/>
          <w:sz w:val="20"/>
        </w:rPr>
        <w:t>EN: Synergy and antagonism in a genome-scale model of metabolic hijacking by bacteriophages</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49">
        <w:r>
          <w:rPr>
            <w:color w:val="1155CC"/>
            <w:u w:val="single"/>
          </w:rPr>
          <w:t>10.1126/sciadv.aeb7646</w:t>
        </w:r>
      </w:hyperlink>
    </w:p>
    <w:p>
      <w:pPr>
        <w:spacing w:before="0" w:after="120"/>
      </w:pPr>
      <w:r>
        <w:rPr>
          <w:b/>
        </w:rPr>
        <w:t xml:space="preserve">Notes: </w:t>
      </w:r>
      <w:r>
        <w:t>abstract_source=crossref</w:t>
      </w:r>
    </w:p>
    <w:p>
      <w:pPr>
        <w:spacing w:before="0" w:after="80" w:lineRule="auto" w:line="276"/>
      </w:pPr>
      <w:r>
        <w:rPr>
          <w:b/>
        </w:rPr>
        <w:t xml:space="preserve">摘要（ZH）: </w:t>
      </w:r>
      <w:r>
        <w:t>噬菌体辅助代谢基因（AMGs）通过劫持反应改变宿主代谢，但以前的研究大多从注释中推断其作用，忽略了系统范围的影响和噬菌体的产生。在这里，我们将AMGs和噬菌体组装整合到感染P-HM2的</w:t>
      </w:r>
      <w:r>
        <w:t xml:space="preserve"> </w:t>
      </w:r>
      <w:r>
        <w:t>Prochlorococcus marinus</w:t>
      </w:r>
      <w:r>
        <w:t xml:space="preserve"> </w:t>
      </w:r>
      <w:r>
        <w:t>MED4的基因组规模代谢模型中。我们展示了17个直接劫持的反应显著影响了MED4代谢中超过30%的反应，包括碳固定、光合作用和核苷酸合成，将这些AMGs区分为噬菌体对齐——根据最大化噬菌体产生调整可行反应速度——或噬菌体反对齐。帕累托优化揭示了噬菌体对齐反应改变噬菌体-宿主生长</w:t>
      </w:r>
    </w:p>
    <w:p>
      <w:pPr>
        <w:spacing w:before="0" w:after="200" w:lineRule="auto" w:line="276"/>
      </w:pPr>
      <w:r>
        <w:rPr>
          <w:b/>
        </w:rPr>
        <w:t xml:space="preserve">Abstract (EN): </w:t>
      </w:r>
      <w:r>
        <w:t>Bacteriophage auxiliary metabolic genes (AMGs) alter host metabolism by hijacking reactions, but previous studies mostly inferred their roles from annotations, ignoring system-wide impacts and phage production. Here we integrate AMGs and phage assembly into a genome-scale metabolic model of</w:t>
      </w:r>
      <w:r>
        <w:t xml:space="preserve"> </w:t>
      </w:r>
      <w:r>
        <w:t>Prochloroccocus marinus</w:t>
      </w:r>
      <w:r>
        <w:t xml:space="preserve"> </w:t>
      </w:r>
      <w:r>
        <w:t>MED4 infected by P-HM2. We show that 17 directly hijacked reactions substantially affect more than 30% of the reactions in MED4 metabolism, including carbon fixation, photosynthesis, and nucleotide synthesis, distinguishing these AMGs as either phage aligned—shifting feasible reaction velocities in accordance with maximal phage production—or phage antialigned. Pareto optimization reveals that phage-aligned reactions alter phage-host growth trade-offs, while phage-antialigned reactions do not. We experimentally validate our predictions of system-level AMG impacts by measuring the N-dependent effect of P-HM2</w:t>
      </w:r>
      <w:r>
        <w:t xml:space="preserve"> </w:t>
      </w:r>
      <w:r>
        <w:t>cp12</w:t>
      </w:r>
      <w:r>
        <w:t xml:space="preserve"> </w:t>
      </w:r>
      <w:r>
        <w:t>expression on growth in a model relative of the genetically intractable MED4,</w:t>
      </w:r>
      <w:r>
        <w:t xml:space="preserve"> </w:t>
      </w:r>
      <w:r>
        <w:t>Synechococcus elongatus</w:t>
      </w:r>
      <w:r>
        <w:t xml:space="preserve"> </w:t>
      </w:r>
      <w:r>
        <w:t>. We also show that AMGs’ indirect impacts are synergistically and antagonistically coupled, providing systems-level insight into AMG perturbations and highlighting how nontrivial cascading effects shape host metabolism.</w:t>
      </w:r>
    </w:p>
    <w:p>
      <w:pPr>
        <w:spacing w:before="120" w:after="120"/>
      </w:pPr>
      <w:r>
        <w:rPr>
          <w:sz w:val="18"/>
        </w:rPr>
        <w:t>——————————————————————————————————————————————————————————————————————</w:t>
      </w:r>
    </w:p>
    <w:p>
      <w:pPr>
        <w:spacing w:before="160" w:after="40" w:line="240" w:lineRule="auto"/>
      </w:pPr>
      <w:r>
        <w:rPr>
          <w:b/>
        </w:rPr>
        <w:t xml:space="preserve">[341] </w:t>
      </w:r>
      <w:hyperlink r:id="rId850">
        <w:r>
          <w:rPr>
            <w:color w:val="1155CC"/>
            <w:u w:val="single"/>
          </w:rPr>
          <w:t>Lim等人的更正，神经发生过程中线粒体代谢的纵向转变</w:t>
        </w:r>
      </w:hyperlink>
    </w:p>
    <w:p>
      <w:pPr>
        <w:spacing w:before="0" w:after="80"/>
      </w:pPr>
      <w:r>
        <w:rPr>
          <w:i/>
          <w:sz w:val="20"/>
        </w:rPr>
        <w:t>EN: Correction for Lim et al., Longitudinal transformation of mitochondrial metabolism during neurogenesis</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851">
        <w:r>
          <w:rPr>
            <w:color w:val="1155CC"/>
            <w:u w:val="single"/>
          </w:rPr>
          <w:t>10.1073/pnas.2609041123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[342] </w:t>
      </w:r>
      <w:hyperlink r:id="rId852">
        <w:r>
          <w:rPr>
            <w:color w:val="1155CC"/>
            <w:u w:val="single"/>
          </w:rPr>
          <w:t>大型河流三角洲前河口下的多千年气候-淡水遗产</w:t>
        </w:r>
      </w:hyperlink>
    </w:p>
    <w:p>
      <w:pPr>
        <w:spacing w:before="0" w:after="80"/>
      </w:pPr>
      <w:r>
        <w:rPr>
          <w:i/>
          <w:sz w:val="20"/>
        </w:rPr>
        <w:t>EN: Multimillennial climate-freshwater legacy beneath a large-river delta-front estuary</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53">
        <w:r>
          <w:rPr>
            <w:color w:val="1155CC"/>
            <w:u w:val="single"/>
          </w:rPr>
          <w:t>10.1126/sciadv.aeb6352</w:t>
        </w:r>
      </w:hyperlink>
    </w:p>
    <w:p>
      <w:pPr>
        <w:spacing w:before="0" w:after="120"/>
      </w:pPr>
      <w:r>
        <w:rPr>
          <w:b/>
        </w:rPr>
        <w:t xml:space="preserve">Notes: </w:t>
      </w:r>
      <w:r>
        <w:t>abstract_source=crossref</w:t>
      </w:r>
    </w:p>
    <w:p>
      <w:pPr>
        <w:spacing w:before="0" w:after="80" w:lineRule="auto" w:line="276"/>
      </w:pPr>
      <w:r>
        <w:rPr>
          <w:b/>
        </w:rPr>
        <w:t xml:space="preserve">摘要（ZH）: </w:t>
      </w:r>
      <w:r>
        <w:t>近海相对淡水地下水（ORFG；&lt;10克每升）代表了解决全球淡水短缺的一个未充分探索的前沿，但其起源、持久性和脆弱性仍然受到限制。在这里，我们揭示了珠江口及其邻近大陆架下的一个由气候驱动的巨大淡水储层。通过整合水化学剖面、同位素追踪和地下水定年，我们证明了这种ORFG是古代大气降水补给的遗迹，在晚更新世海平面低位期形成，并在海底下保存了数万年。近海</w:t>
      </w:r>
      <w:r>
        <w:rPr>
          <w:vertAlign w:val="subscript"/>
        </w:rPr>
        <w:t>226</w:t>
      </w:r>
      <w:r>
        <w:t>Ra/</w:t>
      </w:r>
      <w:r>
        <w:rPr>
          <w:vertAlign w:val="subscript"/>
        </w:rPr>
        <w:t>230</w:t>
      </w:r>
      <w:r>
        <w:t>Th活度比的世俗平衡，与一致的</w:t>
      </w:r>
      <w:r>
        <w:rPr>
          <w:vertAlign w:val="subscript"/>
        </w:rPr>
        <w:t>14</w:t>
      </w:r>
      <w:r>
        <w:t>C年龄</w:t>
      </w:r>
    </w:p>
    <w:p>
      <w:pPr>
        <w:spacing w:before="0" w:after="200" w:lineRule="auto" w:line="276"/>
      </w:pPr>
      <w:r>
        <w:rPr>
          <w:b/>
        </w:rPr>
        <w:t xml:space="preserve">Abstract (EN): </w:t>
      </w:r>
      <w:r>
        <w:t>Offshore relatively fresh groundwater (ORFG; &amp;lt;10 grams per liter) represents an underexplored frontier in addressing global freshwater scarcity, yet its origin, persistence, and vulnerability remain poorly constrained. Here, we reveal a vast climate-driven freshwater reservoir beneath the Pearl River estuary and adjacent shelf. Integrating hydrochemical profiling, isotopic tracing, and groundwater dating, we demonstrate that this ORFG is a relic of ancient meteoric recharge, emplaced during Late Pleistocene sea-level lowstands and preserved beneath the seafloor for tens of millennia. Secular equilibrium in offshore</w:t>
      </w:r>
      <w:r>
        <w:rPr>
          <w:vertAlign w:val="subscript"/>
        </w:rPr>
        <w:t>226</w:t>
      </w:r>
      <w:r>
        <w:t>Ra/</w:t>
      </w:r>
      <w:r>
        <w:rPr>
          <w:vertAlign w:val="subscript"/>
        </w:rPr>
        <w:t>230</w:t>
      </w:r>
      <w:r>
        <w:t>Th activity ratios, consistent</w:t>
      </w:r>
      <w:r>
        <w:rPr>
          <w:vertAlign w:val="subscript"/>
        </w:rPr>
        <w:t>14</w:t>
      </w:r>
      <w:r>
        <w:t>C ages of 6 to 10 thousand years in onshore groundwater, and pronounced onshore-offshore contrasts in salinity and δ</w:t>
      </w:r>
      <w:r>
        <w:rPr>
          <w:vertAlign w:val="subscript"/>
        </w:rPr>
        <w:t>18</w:t>
      </w:r>
      <w:r>
        <w:t>O collectively confirm its fossil nature rather than slowly circulating modern groundwater. Numerical modeling further constrains the timescale of natural degradation, underscoring the system’s resilience. These findings establish ORFG as not only as a long-lived archive of paleohydrological cycles but also as a potential strategic freshwater reserve, with substantial implications for coastal water security in a changing climate.</w:t>
      </w:r>
    </w:p>
    <w:p>
      <w:pPr>
        <w:spacing w:before="120" w:after="120"/>
      </w:pPr>
      <w:r>
        <w:rPr>
          <w:sz w:val="18"/>
        </w:rPr>
        <w:t>——————————————————————————————————————————————————————————————————————</w:t>
      </w:r>
    </w:p>
    <w:p>
      <w:pPr>
        <w:spacing w:before="160" w:after="40" w:line="240" w:lineRule="auto"/>
      </w:pPr>
      <w:r>
        <w:rPr>
          <w:b/>
        </w:rPr>
        <w:t xml:space="preserve">[343] </w:t>
      </w:r>
      <w:hyperlink r:id="rId854">
        <w:r>
          <w:rPr>
            <w:color w:val="1155CC"/>
            <w:u w:val="single"/>
          </w:rPr>
          <w:t>NompC 门控弹簧的非线性刚度及其在机械转导中的意义</w:t>
        </w:r>
      </w:hyperlink>
    </w:p>
    <w:p>
      <w:pPr>
        <w:spacing w:before="0" w:after="80"/>
      </w:pPr>
      <w:r>
        <w:rPr>
          <w:i/>
          <w:sz w:val="20"/>
        </w:rPr>
        <w:t>EN: Nonlinear stiffness of NompC gating spring and its implication in mechanotransduction</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55">
        <w:r>
          <w:rPr>
            <w:color w:val="1155CC"/>
            <w:u w:val="single"/>
          </w:rPr>
          <w:t>10.1126/sciadv.aeb6165</w:t>
        </w:r>
      </w:hyperlink>
    </w:p>
    <w:p>
      <w:pPr>
        <w:spacing w:before="0" w:after="120"/>
      </w:pPr>
      <w:r>
        <w:rPr>
          <w:b/>
        </w:rPr>
        <w:t xml:space="preserve">Notes: </w:t>
      </w:r>
      <w:r>
        <w:t>abstract_source=crossref</w:t>
      </w:r>
    </w:p>
    <w:p>
      <w:pPr>
        <w:spacing w:before="0" w:after="80" w:lineRule="auto" w:line="276"/>
      </w:pPr>
      <w:r>
        <w:rPr>
          <w:b/>
        </w:rPr>
        <w:t xml:space="preserve">摘要（ZH）: </w:t>
      </w:r>
      <w:r>
        <w:t>细胞骨架锚定的机械敏感通道（MSCs）使用柔顺的门控弹簧将机械刺激转化为电信号，用于声音和触觉等感觉。这些门控弹簧的机械特性尚不清楚。我们使用趾扣介导的链置换方法研究了含有长锚蛋白重复域（ARDs）的同源四聚体NompC通道，以锚定单个膜蛋白。该方法允许使用光镊进行精确的力施加和延伸测量。我们的结果显示，当从一个ARD拉动时，单个NompC复合物的刚度约为0.7皮牛顿每纳米，分步展开始于约7皮牛顿，导致非线性刚度。ARD截断表明存在强烈的横向相互作用</w:t>
      </w:r>
    </w:p>
    <w:p>
      <w:pPr>
        <w:spacing w:before="0" w:after="200" w:lineRule="auto" w:line="276"/>
      </w:pPr>
      <w:r>
        <w:rPr>
          <w:b/>
        </w:rPr>
        <w:t xml:space="preserve">Abstract (EN): </w:t>
      </w:r>
      <w:r>
        <w:t>Cytoskeleton-tethered mechanosensitive channels (MSCs) use compliant gating springs to convert mechanical stimuli into electrical signals for sensations like sound and touch. The mechanical properties of these gating springs are poorly understood. We investigated the homotetrameric NompC channel, which contains long ankyrin-repeat domains (ARDs), using a toehold-mediated strand displacement method to tether single membrane proteins. This method allowed precise force application and extension measurement with optical tweezers. Our results show that a single NompC complex has a low stiffness of ~0.7 piconewtons per nanometer when pulled from one ARD, with stepwise unfolding beginning at ~7 piconewtons, leading to nonlinear stiffness. ARD truncation indicates strong lateral interactions between ARDs. Computational analyses suggest that this nonlinear, low stiffness may regulate NompC’s sensitivity, dynamic range, and kinetics in detecting mechanical stimuli. Our findings highlight the role of a compliant, unfolding-refolding gating spring in facilitating a graded response in MSC ion transduction across diverse mechanical stimuli.</w:t>
      </w:r>
    </w:p>
    <w:p>
      <w:pPr>
        <w:spacing w:before="120" w:after="120"/>
      </w:pPr>
      <w:r>
        <w:rPr>
          <w:sz w:val="18"/>
        </w:rPr>
        <w:t>——————————————————————————————————————————————————————————————————————</w:t>
      </w:r>
    </w:p>
    <w:p>
      <w:pPr>
        <w:spacing w:before="160" w:after="40" w:line="240" w:lineRule="auto"/>
      </w:pPr>
      <w:r>
        <w:rPr>
          <w:b/>
        </w:rPr>
        <w:t xml:space="preserve">[344] </w:t>
      </w:r>
      <w:hyperlink r:id="rId856">
        <w:r>
          <w:rPr>
            <w:color w:val="1155CC"/>
            <w:u w:val="single"/>
          </w:rPr>
          <w:t>植物中来自三个界的迷幻色胺类物质的完整生物合成</w:t>
        </w:r>
      </w:hyperlink>
    </w:p>
    <w:p>
      <w:pPr>
        <w:spacing w:before="0" w:after="80"/>
      </w:pPr>
      <w:r>
        <w:rPr>
          <w:i/>
          <w:sz w:val="20"/>
        </w:rPr>
        <w:t>EN: Complete biosynthesis of psychedelic tryptamines from three kingdoms in plants</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57">
        <w:r>
          <w:rPr>
            <w:color w:val="1155CC"/>
            <w:u w:val="single"/>
          </w:rPr>
          <w:t>10.1126/sciadv.aeb3034</w:t>
        </w:r>
      </w:hyperlink>
    </w:p>
    <w:p>
      <w:pPr>
        <w:spacing w:before="0" w:after="120"/>
      </w:pPr>
      <w:r>
        <w:rPr>
          <w:b/>
        </w:rPr>
        <w:t xml:space="preserve">Notes: </w:t>
      </w:r>
      <w:r>
        <w:t>abstract_source=crossref</w:t>
      </w:r>
    </w:p>
    <w:p>
      <w:pPr>
        <w:spacing w:before="0" w:after="80" w:lineRule="auto" w:line="276"/>
      </w:pPr>
      <w:r>
        <w:rPr>
          <w:b/>
        </w:rPr>
        <w:t xml:space="preserve">摘要（ZH）: </w:t>
      </w:r>
      <w:r>
        <w:t>具有治疗潜力的迷幻吲哚乙胺类化合物自然存在于植物、真菌和动物中。在此，我们阐明了传统上用于萨满仪式中精神治疗的致幻植物物种中的</w:t>
      </w:r>
      <w:r>
        <w:t xml:space="preserve"> </w:t>
      </w:r>
      <w:r>
        <w:t>N</w:t>
      </w:r>
      <w:r>
        <w:t xml:space="preserve"> </w:t>
      </w:r>
      <w:r>
        <w:t>,</w:t>
      </w:r>
      <w:r>
        <w:t xml:space="preserve"> </w:t>
      </w:r>
      <w:r>
        <w:t>N</w:t>
      </w:r>
      <w:r>
        <w:t xml:space="preserve"> </w:t>
      </w:r>
      <w:r>
        <w:t>-二甲基色胺（DMT）生物合成途径。利用其化学结构的相似性，我们在一种植物测定中重建了五种著名天然迷幻药的完整生物合成途径；在蘑菇中发现的裸盖菇素和裸盖菇素磷酸盐，植物中的DMT，以及由索诺兰沙漠蟾蜍分泌的5-甲氧基-DMT和布福他因。我们进一步设计了这些分子卤化的类似物，这些分子在植物中自然不存在，并表现出潜在的治疗</w:t>
      </w:r>
    </w:p>
    <w:p>
      <w:pPr>
        <w:spacing w:before="0" w:after="200" w:lineRule="auto" w:line="276"/>
      </w:pPr>
      <w:r>
        <w:rPr>
          <w:b/>
        </w:rPr>
        <w:t xml:space="preserve">Abstract (EN): </w:t>
      </w:r>
      <w:r>
        <w:t>Psychedelic indolethylamines with therapeutic potential are naturally produced in plants, fungi, and animals. Here, we elucidated the complete</w:t>
      </w:r>
      <w:r>
        <w:t xml:space="preserve"> </w:t>
      </w:r>
      <w:r>
        <w:t>N</w:t>
      </w:r>
      <w:r>
        <w:t xml:space="preserve"> </w:t>
      </w:r>
      <w:r>
        <w:t>,</w:t>
      </w:r>
      <w:r>
        <w:t xml:space="preserve"> </w:t>
      </w:r>
      <w:r>
        <w:t>N</w:t>
      </w:r>
      <w:r>
        <w:t xml:space="preserve"> </w:t>
      </w:r>
      <w:r>
        <w:t>-dimethyltryptamine (DMT) biosynthetic pathway in hallucinogenic plant species traditionally used in shamanic rituals for spiritual healing. Leveraging the similarities in their chemical structures, we reconstructed in one plant assay the full biosynthetic pathways of five renowned natural psychedelics; psilocin and psilocybin found in mushrooms, DMT from plants, and bufotenin and 5-methoxy-DMT secreted by the Sonoran Desert toad. We further engineered halogenated analogs of these molecules, which do not naturally occur in plants and exhibit prospective therapeutic potential for psychiatric conditions. Blending catalytic functions across the tree of life, coupled with metabolic engineering guided by rational protein design of mutant enzymes, enabled substantially more efficient in planta production of the indolethylamine components. This work establishes a versatile platform for concurrent biosynthesis and diversification of psychoactive indolethylamines, paving the way for their production in plants.</w:t>
      </w:r>
    </w:p>
    <w:p>
      <w:pPr>
        <w:spacing w:before="120" w:after="120"/>
      </w:pPr>
      <w:r>
        <w:rPr>
          <w:sz w:val="18"/>
        </w:rPr>
        <w:t>——————————————————————————————————————————————————————————————————————</w:t>
      </w:r>
    </w:p>
    <w:p>
      <w:pPr>
        <w:spacing w:before="160" w:after="40" w:line="240" w:lineRule="auto"/>
      </w:pPr>
      <w:r>
        <w:rPr>
          <w:b/>
        </w:rPr>
        <w:t xml:space="preserve">[345] </w:t>
      </w:r>
      <w:hyperlink r:id="rId858">
        <w:r>
          <w:rPr>
            <w:color w:val="1155CC"/>
            <w:u w:val="single"/>
          </w:rPr>
          <w:t>戊型肝炎病毒复制在肠隐窝内的增殖细胞中维持</w:t>
        </w:r>
      </w:hyperlink>
    </w:p>
    <w:p>
      <w:pPr>
        <w:spacing w:before="0" w:after="80"/>
      </w:pPr>
      <w:r>
        <w:rPr>
          <w:i/>
          <w:sz w:val="20"/>
        </w:rPr>
        <w:t>EN: Hepatitis E virus replication is maintained in proliferative cells within the intestinal crypt</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59">
        <w:r>
          <w:rPr>
            <w:color w:val="1155CC"/>
            <w:u w:val="single"/>
          </w:rPr>
          <w:t>10.1126/sciadv.aeb2333</w:t>
        </w:r>
      </w:hyperlink>
    </w:p>
    <w:p>
      <w:pPr>
        <w:spacing w:before="0" w:after="120"/>
      </w:pPr>
      <w:r>
        <w:rPr>
          <w:b/>
        </w:rPr>
        <w:t xml:space="preserve">Notes: </w:t>
      </w:r>
      <w:r>
        <w:t>abstract_source=crossref</w:t>
      </w:r>
    </w:p>
    <w:p>
      <w:pPr>
        <w:spacing w:before="0" w:after="80" w:lineRule="auto" w:line="276"/>
      </w:pPr>
      <w:r>
        <w:rPr>
          <w:b/>
        </w:rPr>
        <w:t xml:space="preserve">摘要（ZH）: </w:t>
      </w:r>
      <w:r>
        <w:t>戊型肝炎病毒（HEV）是全球急性肝炎的主要原因。尽管大多数感染是自限性的，但人畜共患的基因型可以在免疫功能低下的个体中持续存在。通过粪口途径传播，HEV被认为可以直接感染具有高再生能力的肠上皮组织。在此，我们证明HEV主要感染人多能干细胞衍生的肠类器官（hIOs）隐窝中的增殖性过渡放大细胞和肠干细胞。支持这一点的是，我们在HEV感染患者的肠隐窝中检测到了HEV RNA。我们进一步发现HEV感染通过细胞分裂传播，并在hIOs中维持超过40天，这与急性甲型肝炎病毒的感染形成对比，后者的感染</w:t>
      </w:r>
    </w:p>
    <w:p>
      <w:pPr>
        <w:spacing w:before="0" w:after="200" w:lineRule="auto" w:line="276"/>
      </w:pPr>
      <w:r>
        <w:rPr>
          <w:b/>
        </w:rPr>
        <w:t xml:space="preserve">Abstract (EN): </w:t>
      </w:r>
      <w:r>
        <w:t>The hepatitis E virus (HEV) is a leading cause of acute hepatitis worldwide. Although most infections are self-limiting, zoonotic genotypes can persist in immunocompromised individuals. Transmitted via the fecal-oral route, HEV has been suggested to directly infect the intestinal epithelium, a tissue with high regenerative capacity. Here, we demonstrate that HEV predominantly infects proliferative transit-amplifying and intestinal stem cells within the crypts of human pluripotent stem cell–derived intestinal organoids (hIOs). Supporting this, we detected HEV RNA in the intestinal crypts of an HEV-infected patient. We further found that HEV infection spreads through cell division and is maintained in hIOs for more than 40 days, contrasting with acute hepatitis A virus, whose infections are rapidly cleared from hIOs. Given the self-renewal ability and metabolic constraints of proliferative intestinal progenitor cells, our findings suggest that intestinal crypts could serve as reservoirs for chronic HEV infection and highlight the intestinal crypt as a primary target for viral infection in the gastrointestinal tract.</w:t>
      </w:r>
    </w:p>
    <w:p>
      <w:pPr>
        <w:spacing w:before="120" w:after="120"/>
      </w:pPr>
      <w:r>
        <w:rPr>
          <w:sz w:val="18"/>
        </w:rPr>
        <w:t>——————————————————————————————————————————————————————————————————————</w:t>
      </w:r>
    </w:p>
    <w:p>
      <w:pPr>
        <w:spacing w:before="160" w:after="40" w:line="240" w:lineRule="auto"/>
      </w:pPr>
      <w:r>
        <w:rPr>
          <w:b/>
        </w:rPr>
        <w:t xml:space="preserve">[346] </w:t>
      </w:r>
      <w:hyperlink r:id="rId860">
        <w:r>
          <w:rPr>
            <w:color w:val="1155CC"/>
            <w:u w:val="single"/>
          </w:rPr>
          <w:t>通过呼吸适应框定的解耦表型约束在陆地脊椎动物兴起中的作用</w:t>
        </w:r>
      </w:hyperlink>
    </w:p>
    <w:p>
      <w:pPr>
        <w:spacing w:before="0" w:after="80"/>
      </w:pPr>
      <w:r>
        <w:rPr>
          <w:i/>
          <w:sz w:val="20"/>
        </w:rPr>
        <w:t>EN: Decoupled phenotypic constraints framed by respiratory adaptation in the rise of land vertebrates</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61">
        <w:r>
          <w:rPr>
            <w:color w:val="1155CC"/>
            <w:u w:val="single"/>
          </w:rPr>
          <w:t>10.1126/sciadv.aeb0801</w:t>
        </w:r>
      </w:hyperlink>
    </w:p>
    <w:p>
      <w:pPr>
        <w:spacing w:before="0" w:after="120"/>
      </w:pPr>
      <w:r>
        <w:rPr>
          <w:b/>
        </w:rPr>
        <w:t xml:space="preserve">Notes: </w:t>
      </w:r>
      <w:r>
        <w:t>abstract_source=crossref</w:t>
      </w:r>
    </w:p>
    <w:p>
      <w:pPr>
        <w:spacing w:before="0" w:after="80" w:lineRule="auto" w:line="276"/>
      </w:pPr>
      <w:r>
        <w:rPr>
          <w:b/>
        </w:rPr>
        <w:t xml:space="preserve">摘要（ZH）: </w:t>
      </w:r>
      <w:r>
        <w:t>今天的陆地脊椎动物包括羊膜动物和现代两栖动物，它们具有截然不同的气体交换方式，以及不同的头骨形状和身体大小分布。一个关于四足动物进化的核心假设提出了这些特征在3.35亿年前初次分化时之间的联系。然而，这尚未在广泛的系统发育背景下进行测试。我们通过对一个包含344个物种的数据集进行定量分析，研究了从中泥盆纪到早二叠纪早期陆地脊椎动物的体型、头骨比例和呼吸特征的演变。我们发现，现代两栖动物的前体在体型上受到的限制比羊膜动物的始祖更强，而相对头骨高度的增加是通过对羊膜动物始祖谱系的限制放松而实现的。</w:t>
      </w:r>
    </w:p>
    <w:p>
      <w:pPr>
        <w:spacing w:before="0" w:after="200" w:lineRule="auto" w:line="276"/>
      </w:pPr>
      <w:r>
        <w:rPr>
          <w:b/>
        </w:rPr>
        <w:t xml:space="preserve">Abstract (EN): </w:t>
      </w:r>
      <w:r>
        <w:t>Land vertebrates today comprise amniotes and lissamphibians, which have highly different modes of gas exchange, and distinct skull shapes and body size distributions. A central hypothesis of tetrapod evolution proposes a connection between these traits during their initial divergence, 335 million years ago. However, this has yet to be tested in a broad phylogenetic context. We investigate the evolution of body size, skull proportions, and respiratory traits among early land vertebrates, from the Middle Devonian to Early Permian using quantitative analysis of a dataset incorporating 344 species. We find that lissamphibian precursors show stronger constraints on body size than stem amniotes and increases in relative skull height were facilitated by relaxed constraints on the amniote stem lineage. These differences can be explained by respiratory innovations. Dependence on cutaneous gas exchange constrained lissamphibians and their close relatives to small body sizes, whereas rib-based lung ventilation relaxed constraints on skull shape and maximum body size in terrestrial amniotes.</w:t>
      </w:r>
    </w:p>
    <w:p>
      <w:pPr>
        <w:spacing w:before="120" w:after="120"/>
      </w:pPr>
      <w:r>
        <w:rPr>
          <w:sz w:val="18"/>
        </w:rPr>
        <w:t>——————————————————————————————————————————————————————————————————————</w:t>
      </w:r>
    </w:p>
    <w:p>
      <w:pPr>
        <w:spacing w:before="160" w:after="40" w:line="240" w:lineRule="auto"/>
      </w:pPr>
      <w:r>
        <w:rPr>
          <w:b/>
        </w:rPr>
        <w:t xml:space="preserve">[347] </w:t>
      </w:r>
      <w:hyperlink r:id="rId862">
        <w:r>
          <w:rPr>
            <w:color w:val="1155CC"/>
            <w:u w:val="single"/>
          </w:rPr>
          <w:t>Elsler 等人的更正，鱼粉和水产养殖贸易流的全球营养公平性</w:t>
        </w:r>
      </w:hyperlink>
    </w:p>
    <w:p>
      <w:pPr>
        <w:spacing w:before="0" w:after="80"/>
      </w:pPr>
      <w:r>
        <w:rPr>
          <w:i/>
          <w:sz w:val="20"/>
        </w:rPr>
        <w:t>EN: Correction for Elsler et al., Global nutritional equity of fishmeal and aquaculture trade flows</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863">
        <w:r>
          <w:rPr>
            <w:color w:val="1155CC"/>
            <w:u w:val="single"/>
          </w:rPr>
          <w:t>10.1073/pnas.2609031123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[348] </w:t>
      </w:r>
      <w:hyperlink r:id="rId864">
        <w:r>
          <w:rPr>
            <w:color w:val="1155CC"/>
            <w:u w:val="single"/>
          </w:rPr>
          <w:t>关于 REDD+ 管辖区战略行为的潜力</w:t>
        </w:r>
      </w:hyperlink>
    </w:p>
    <w:p>
      <w:pPr>
        <w:spacing w:before="0" w:after="80"/>
      </w:pPr>
      <w:r>
        <w:rPr>
          <w:i/>
          <w:sz w:val="20"/>
        </w:rPr>
        <w:t>EN: On the potential for strategic behavior in jurisdictional REDD+</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865">
        <w:r>
          <w:rPr>
            <w:color w:val="1155CC"/>
            <w:u w:val="single"/>
          </w:rPr>
          <w:t>10.1073/pnas.2531612123</w:t>
        </w:r>
      </w:hyperlink>
    </w:p>
    <w:p>
      <w:pPr>
        <w:spacing w:before="0" w:after="120"/>
      </w:pPr>
      <w:r>
        <w:rPr>
          <w:b/>
        </w:rPr>
        <w:t xml:space="preserve">Notes: </w:t>
      </w:r>
      <w:r>
        <w:t>abstract_source=crossref</w:t>
      </w:r>
    </w:p>
    <w:p>
      <w:pPr>
        <w:spacing w:before="0" w:after="80" w:lineRule="auto" w:line="276"/>
      </w:pPr>
      <w:r>
        <w:rPr>
          <w:b/>
        </w:rPr>
        <w:t xml:space="preserve">摘要（ZH）: </w:t>
      </w:r>
      <w:r>
        <w:t>鉴于项目基础的避免砍伐森林信用的知名可信度问题以及在ART TREES下承诺的超过30亿美元的信用购买，自愿碳市场正日益转向以减少砍伐森林和森林退化（REDD+）为信用来源的司法管辖方法。我们测试现有的司法管辖REDD+方法是否会创造新的战略行为激励，从而削弱这些信用的附加性。利用来自所有符合自愿碳市场司法管辖REDD+项目的司法管辖区的全球遥感森林变化数据，我们检查现有的司法管辖基线方法。我们发现，司法管辖方法为司法管辖区创造了可预测的机会来生成信用。</w:t>
      </w:r>
    </w:p>
    <w:p>
      <w:pPr>
        <w:spacing w:before="0" w:after="200" w:lineRule="auto" w:line="276"/>
      </w:pPr>
      <w:r>
        <w:rPr>
          <w:b/>
        </w:rPr>
        <w:t xml:space="preserve">Abstract (EN): </w:t>
      </w:r>
      <w:r>
        <w:t>Given well-known credibility issues in project-based avoided-deforestation credits and over $3 billion in committed credit purchases under ART TREES, the voluntary carbon market is increasingly moving toward jurisdictional approaches to Reducing Emissions from Deforestation and Forest Degradation (REDD+) as a source of credits. We test whether existing approaches to jurisdictional REDD+ create new incentives for strategic behavior that could undermine the additionality of these credits. Using global remotely sensed forest change data from all jurisdictions eligible for jurisdictional REDD+ programs in the voluntary carbon market, we examine existing jurisdictional baseline approaches. We find that jurisdictional approaches create predictable opportunities for jurisdictions to generate credits without requiring new policy action, while discouraging the enrollment of jurisdictions with increasing rates of deforestation. We show that two simple metrics predict over 30% of baseline errors and that if jurisdictions condition their enrollment on such metrics, they could generate millions of nonadditional credits. Despite this, we do not find systematic evidence that jurisdictions have exploited this information thus far. However, approximately half of enrolled jurisdictions exhibit significant temporary increases in deforestation immediately before crediting begins. This suggests anticipatory forest clearing by private landowners expecting future restrictions with Jurisdictional REDD+ enrollment. As jurisdictional REDD+ credits account for a growing share of voluntary carbon markets, these findings reveal both reassuring governance outcomes and critical vulnerabilities requiring methodological reform.</w:t>
      </w:r>
    </w:p>
    <w:p>
      <w:pPr>
        <w:spacing w:before="120" w:after="120"/>
      </w:pPr>
      <w:r>
        <w:rPr>
          <w:sz w:val="18"/>
        </w:rPr>
        <w:t>——————————————————————————————————————————————————————————————————————</w:t>
      </w:r>
    </w:p>
    <w:p>
      <w:pPr>
        <w:spacing w:before="160" w:after="40" w:line="240" w:lineRule="auto"/>
      </w:pPr>
      <w:r>
        <w:rPr>
          <w:b/>
        </w:rPr>
        <w:t xml:space="preserve">[349] </w:t>
      </w:r>
      <w:hyperlink r:id="rId866">
        <w:r>
          <w:rPr>
            <w:color w:val="1155CC"/>
            <w:u w:val="single"/>
          </w:rPr>
          <w:t>孤独的黑洞为大质量恒星的命运提供了新的见解</w:t>
        </w:r>
      </w:hyperlink>
    </w:p>
    <w:p>
      <w:pPr>
        <w:spacing w:before="0" w:after="80"/>
      </w:pPr>
      <w:r>
        <w:rPr>
          <w:i/>
          <w:sz w:val="20"/>
        </w:rPr>
        <w:t>EN: Lone black holes promise fresh insights into the fates of massive stars</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867">
        <w:r>
          <w:rPr>
            <w:color w:val="1155CC"/>
            <w:u w:val="single"/>
          </w:rPr>
          <w:t>10.1073/pnas.2608698123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[350] </w:t>
      </w:r>
      <w:hyperlink r:id="rId868">
        <w:r>
          <w:rPr>
            <w:color w:val="1155CC"/>
            <w:u w:val="single"/>
          </w:rPr>
          <w:t>多途径病原体传播是不同的</w:t>
        </w:r>
      </w:hyperlink>
    </w:p>
    <w:p>
      <w:pPr>
        <w:spacing w:before="0" w:after="80"/>
      </w:pPr>
      <w:r>
        <w:rPr>
          <w:i/>
          <w:sz w:val="20"/>
        </w:rPr>
        <w:t>EN: Multiroute pathogen transmission is different</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69">
        <w:r>
          <w:rPr>
            <w:color w:val="1155CC"/>
            <w:u w:val="single"/>
          </w:rPr>
          <w:t>10.1126/sciadv.aeg9143</w:t>
        </w:r>
      </w:hyperlink>
    </w:p>
    <w:p>
      <w:pPr>
        <w:spacing w:before="0" w:after="120"/>
      </w:pPr>
      <w:r>
        <w:rPr>
          <w:b/>
        </w:rPr>
        <w:t xml:space="preserve">Notes: </w:t>
      </w:r>
      <w:r>
        <w:t>abstract_source=crossref</w:t>
      </w:r>
    </w:p>
    <w:p>
      <w:pPr>
        <w:spacing w:before="0" w:after="80" w:lineRule="auto" w:line="276"/>
      </w:pPr>
      <w:r>
        <w:rPr>
          <w:b/>
        </w:rPr>
        <w:t xml:space="preserve">摘要（ZH）: </w:t>
      </w:r>
      <w:r>
        <w:t>病原体可以通过多种传播途径传播。这类病原体的流行病学表现出丰富的复杂性，并产生反直觉的动态。</w:t>
      </w:r>
    </w:p>
    <w:p>
      <w:pPr>
        <w:spacing w:before="0" w:after="200" w:lineRule="auto" w:line="276"/>
      </w:pPr>
      <w:r>
        <w:rPr>
          <w:b/>
        </w:rPr>
        <w:t xml:space="preserve">Abstract (EN): </w:t>
      </w:r>
      <w:r>
        <w:t>Pathogens can spread via multiple transmission routes. The epidemiology of such pathogens exhibits rich complexity and produces counterintuitive dynamics.</w:t>
      </w:r>
    </w:p>
    <w:p>
      <w:pPr>
        <w:spacing w:before="120" w:after="120"/>
      </w:pPr>
      <w:r>
        <w:rPr>
          <w:sz w:val="18"/>
        </w:rPr>
        <w:t>——————————————————————————————————————————————————————————————————————</w:t>
      </w:r>
    </w:p>
    <w:p>
      <w:pPr>
        <w:spacing w:before="160" w:after="40" w:line="240" w:lineRule="auto"/>
      </w:pPr>
      <w:r>
        <w:rPr>
          <w:b/>
        </w:rPr>
        <w:t xml:space="preserve">[351] </w:t>
      </w:r>
      <w:hyperlink r:id="rId870">
        <w:r>
          <w:rPr>
            <w:color w:val="1155CC"/>
            <w:u w:val="single"/>
          </w:rPr>
          <w:t>通过自主代理平台连接电子显微镜和材料分析</w:t>
        </w:r>
      </w:hyperlink>
    </w:p>
    <w:p>
      <w:pPr>
        <w:spacing w:before="0" w:after="80"/>
      </w:pPr>
      <w:r>
        <w:rPr>
          <w:i/>
          <w:sz w:val="20"/>
        </w:rPr>
        <w:t>EN: Bridging electron microscopy and materials analysis with an autonomous agentic platform</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71">
        <w:r>
          <w:rPr>
            <w:color w:val="1155CC"/>
            <w:u w:val="single"/>
          </w:rPr>
          <w:t>10.1126/sciadv.aed0583</w:t>
        </w:r>
      </w:hyperlink>
    </w:p>
    <w:p>
      <w:pPr>
        <w:spacing w:before="0" w:after="120"/>
      </w:pPr>
      <w:r>
        <w:rPr>
          <w:b/>
        </w:rPr>
        <w:t xml:space="preserve">Notes: </w:t>
      </w:r>
      <w:r>
        <w:t>abstract_source=crossref</w:t>
      </w:r>
    </w:p>
    <w:p>
      <w:pPr>
        <w:spacing w:before="0" w:after="80" w:lineRule="auto" w:line="276"/>
      </w:pPr>
      <w:r>
        <w:rPr>
          <w:b/>
        </w:rPr>
        <w:t xml:space="preserve">摘要（ZH）: </w:t>
      </w:r>
      <w:r>
        <w:t>电子显微镜（EM）揭示了支撑催化、能量存储和半导体可靠性的原子级结构，但当前的工作流程在分割、晶体重建、属性建模和文献审查方面仍然是分散的，通常需要数周的专家努力。尽管最近的人工智能模型已经帮助了个别步骤，但EM模式和任务的多样性意味着现有方法仍然是孤立的，并且在复杂的多阶段工作流程中表现不佳。我们提出了EMSeek，一个模块化的、具有溯源功能的多代理平台，通过五个关键单元将EM与材料洞察连接：参考引导的一体化分割、从EM数据中进行的晶体结构的掩膜感知重建、专家混合属性预测器</w:t>
      </w:r>
    </w:p>
    <w:p>
      <w:pPr>
        <w:spacing w:before="0" w:after="200" w:lineRule="auto" w:line="276"/>
      </w:pPr>
      <w:r>
        <w:rPr>
          <w:b/>
        </w:rPr>
        <w:t xml:space="preserve">Abstract (EN): </w:t>
      </w:r>
      <w:r>
        <w:t>Electron microscopy (EM) reveals atomic-scale structures that underpin catalysis, energy storage, and semiconductor reliability, yet current workflows remain fragmented across segmentation, crystallographic reconstruction, property modeling, and literature review, often requiring weeks of expert effort. Although recent artificial intelligence models have assisted individual steps, the diversity of EM modalities and tasks means existing approaches remain siloed and perform poorly in complex multistage workflows. We present EMSeek, a modular, provenance-tracked multiagent platform that connects EM to materials insight through five key units: reference-guided one-for-all segmentation, mask-aware reconstruction of crystal structures from EM data, a gated mixture of experts property predictor with uncertainty calibration, literature retrieval with citation anchoring, and physical consistency checks with audit-ready reporting. These units are orchestrated by large language models (LLMs) that automatically plan, invoke, and execute tools, minimizing human intervention. On 20 material systems and five tasks, EMSeek delivers segmentation about twice as fast as Segment Anything with higher accuracy, achieves more than 90% structural similarity on STEM2Mat, and, with about 2% labeled calibration, matches or surpasses strong single experts on three out-of-distribution property benchmarks. A complete query runs in 2 to 5 minutes per image, roughly 50 times faster than expert workflows. Case studies on two-dimensional lattices and nanoparticles validate EMSeek’s ability to automate complex workflows, with integrated uncertainty calibration and audit signals that provide scientists with rigorous yet actionable guidance to accelerate materials discovery.</w:t>
      </w:r>
    </w:p>
    <w:p>
      <w:pPr>
        <w:spacing w:before="120" w:after="120"/>
      </w:pPr>
      <w:r>
        <w:rPr>
          <w:sz w:val="18"/>
        </w:rPr>
        <w:t>——————————————————————————————————————————————————————————————————————</w:t>
      </w:r>
    </w:p>
    <w:p>
      <w:pPr>
        <w:spacing w:before="160" w:after="40" w:line="240" w:lineRule="auto"/>
      </w:pPr>
      <w:r>
        <w:rPr>
          <w:b/>
        </w:rPr>
        <w:t xml:space="preserve">[352] </w:t>
      </w:r>
      <w:hyperlink r:id="rId872">
        <w:r>
          <w:rPr>
            <w:color w:val="1155CC"/>
            <w:u w:val="single"/>
          </w:rPr>
          <w:t>在具有性接触和非性接触网络中，Ib 类猴痘病毒的主要传播途径的动态转变</w:t>
        </w:r>
      </w:hyperlink>
    </w:p>
    <w:p>
      <w:pPr>
        <w:spacing w:before="0" w:after="80"/>
      </w:pPr>
      <w:r>
        <w:rPr>
          <w:i/>
          <w:sz w:val="20"/>
        </w:rPr>
        <w:t>EN: Dynamic shift in the dominant transmission route of clade Ib monkeypox virus across networks with sexual and nonsexual contacts</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73">
        <w:r>
          <w:rPr>
            <w:color w:val="1155CC"/>
            <w:u w:val="single"/>
          </w:rPr>
          <w:t>10.1126/sciadv.aec1931</w:t>
        </w:r>
      </w:hyperlink>
    </w:p>
    <w:p>
      <w:pPr>
        <w:spacing w:before="0" w:after="120"/>
      </w:pPr>
      <w:r>
        <w:rPr>
          <w:b/>
        </w:rPr>
        <w:t xml:space="preserve">Notes: </w:t>
      </w:r>
      <w:r>
        <w:t>abstract_source=crossref</w:t>
      </w:r>
    </w:p>
    <w:p>
      <w:pPr>
        <w:spacing w:before="0" w:after="80" w:lineRule="auto" w:line="276"/>
      </w:pPr>
      <w:r>
        <w:rPr>
          <w:b/>
        </w:rPr>
        <w:t xml:space="preserve">摘要（ZH）: </w:t>
      </w:r>
      <w:r>
        <w:t>刚果民主共和国新型猴痘病毒Ib分支的爆发加剧，引发了全球对更广泛流行病传播潜力的担忧。一些Ib分支猴痘爆发显示出一种独特的传播模式，其中与性接触和非性接触相关的传播共存。在此，我们在一个网络流行病模型中描述这些爆发，该模型结合了性接触和非性接触，并在广泛的情景下预测特定年龄和途径的传播潜力。我们的分析表明，主要传播途径可能会随着时间从性接触转向非性接触，从而导致更大的流行病。对整体感染和死亡率贡献最大的年龄组也会随着时间的推移而变化，表明</w:t>
      </w:r>
    </w:p>
    <w:p>
      <w:pPr>
        <w:spacing w:before="0" w:after="200" w:lineRule="auto" w:line="276"/>
      </w:pPr>
      <w:r>
        <w:rPr>
          <w:b/>
        </w:rPr>
        <w:t xml:space="preserve">Abstract (EN): </w:t>
      </w:r>
      <w:r>
        <w:t>The intensifying outbreaks of the novel monkeypox virus clade Ib in the Democratic Republic of the Congo have raised global concern about the potential for wider epidemic spread. Some clade Ib mpox outbreaks have shown a distinct transmission pattern in which transmission associated with both sexual and nonsexual contacts coexist. Here, we characterize these outbreaks in a network epidemic model, which incorporates sexual and nonsexual contacts, and project age- and route-specific transmission potentials under a wide range of scenarios. Our analyses suggest that the dominant route of transmission may shift over time from sexual to nonsexual contacts, which leads to larger epidemics. The age groups contributing most to overall infections and mortality also change over time, suggesting that target groups for intervention should be adjusted accordingly. For countries at risk of travel-associated mpox outbreaks, these findings highlight the importance of monitoring evolving monkeypox virus transmission patterns and interacting transmission routes to support timely and effective control measures.</w:t>
      </w:r>
    </w:p>
    <w:p>
      <w:pPr>
        <w:spacing w:before="120" w:after="120"/>
      </w:pPr>
      <w:r>
        <w:rPr>
          <w:sz w:val="18"/>
        </w:rPr>
        <w:t>——————————————————————————————————————————————————————————————————————</w:t>
      </w:r>
    </w:p>
    <w:p>
      <w:pPr>
        <w:spacing w:before="160" w:after="40" w:line="240" w:lineRule="auto"/>
      </w:pPr>
      <w:r>
        <w:rPr>
          <w:b/>
        </w:rPr>
        <w:t xml:space="preserve">[353] </w:t>
      </w:r>
      <w:hyperlink r:id="rId874">
        <w:r>
          <w:rPr>
            <w:color w:val="1155CC"/>
            <w:u w:val="single"/>
          </w:rPr>
          <w:t>全球深海探索目标：一种代表性的方法来视觉观察深海海底</w:t>
        </w:r>
      </w:hyperlink>
    </w:p>
    <w:p>
      <w:pPr>
        <w:spacing w:before="0" w:after="80"/>
      </w:pPr>
      <w:r>
        <w:rPr>
          <w:i/>
          <w:sz w:val="20"/>
        </w:rPr>
        <w:t>EN: The Global Deep Sea Exploration Goals: A representative approach to visually observing the deep seafloor</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75">
        <w:r>
          <w:rPr>
            <w:color w:val="1155CC"/>
            <w:u w:val="single"/>
          </w:rPr>
          <w:t>10.1126/sciadv.aea8731</w:t>
        </w:r>
      </w:hyperlink>
    </w:p>
    <w:p>
      <w:pPr>
        <w:spacing w:before="0" w:after="120"/>
      </w:pPr>
      <w:r>
        <w:rPr>
          <w:b/>
        </w:rPr>
        <w:t xml:space="preserve">Notes: </w:t>
      </w:r>
      <w:r>
        <w:t>abstract_source=crossref</w:t>
      </w:r>
    </w:p>
    <w:p>
      <w:pPr>
        <w:spacing w:before="0" w:after="80" w:lineRule="auto" w:line="276"/>
      </w:pPr>
      <w:r>
        <w:rPr>
          <w:b/>
        </w:rPr>
        <w:t xml:space="preserve">摘要（ZH）: </w:t>
      </w:r>
      <w:r>
        <w:t>全球深海探索目标战略是一种空间平衡、基于概率的可操作全球采样设计，确定了10,000个深海视觉观察（≥200米）的目标位置。这种采样方法整合了四种海底特征：地形、地貌、沉积物组成和颗粒有机碳通量，同时考虑了有记录的历史深潜部署。其目的是纠正历史观察偏差，涉及深度区域、海洋盆地、地貌和海事管辖区等因素。这些提议的目标将几乎使独特观察到的海底位置数量翻倍，建立一个更具地理和环境代表性的数据集。这种全球分布的采样设计还强调</w:t>
      </w:r>
    </w:p>
    <w:p>
      <w:pPr>
        <w:spacing w:before="0" w:after="200" w:lineRule="auto" w:line="276"/>
      </w:pPr>
      <w:r>
        <w:rPr>
          <w:b/>
        </w:rPr>
        <w:t xml:space="preserve">Abstract (EN): </w:t>
      </w:r>
      <w:r>
        <w:t>The Global Deep Sea Exploration Goals strategy is a spatially balanced, probability-based, actionable global sampling design identifying 10,000 target locations for deep-sea visual observation (≥200 m). This sampling approach integrates four seafloor characteristics: bathymetry, geomorphology, sediment composition, and particulate organic carbon flux, while accounting for documented historical deep-submergence deployments. It aims to correct for historical observational biases across factors such as depth zones, ocean basins, geomorphology, and maritime jurisdictions. These proposed targets will nearly double the number of unique observed seafloor locations, establishing a more geographically and environmentally representative dataset. This globally distributed sampling design also highlights critical scientific gaps in underexplored regions, guiding both exploration and capacity-building priorities. By aligning with and amplifying complementary global initiatives in mapping and sampling, this effort lays the foundation for a more inclusive, coordinated, and statistically representative approach to deep-ocean science, which is essential for informed policy and sustainable resource management.</w:t>
      </w:r>
    </w:p>
    <w:p>
      <w:pPr>
        <w:spacing w:before="120" w:after="120"/>
      </w:pPr>
      <w:r>
        <w:rPr>
          <w:sz w:val="18"/>
        </w:rPr>
        <w:t>——————————————————————————————————————————————————————————————————————</w:t>
      </w:r>
    </w:p>
    <w:p>
      <w:pPr>
        <w:spacing w:before="160" w:after="40" w:line="240" w:lineRule="auto"/>
      </w:pPr>
      <w:r>
        <w:rPr>
          <w:b/>
        </w:rPr>
        <w:t xml:space="preserve">[354] </w:t>
      </w:r>
      <w:hyperlink r:id="rId876">
        <w:r>
          <w:rPr>
            <w:color w:val="1155CC"/>
            <w:u w:val="single"/>
          </w:rPr>
          <w:t>为拓扑向列涡旋中的光分支编程混沌中心</w:t>
        </w:r>
      </w:hyperlink>
    </w:p>
    <w:p>
      <w:pPr>
        <w:spacing w:before="0" w:after="80"/>
      </w:pPr>
      <w:r>
        <w:rPr>
          <w:i/>
          <w:sz w:val="20"/>
        </w:rPr>
        <w:t>EN: Programming chaotic centers for shaping light branching in topological nematic vortices</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77">
        <w:r>
          <w:rPr>
            <w:color w:val="1155CC"/>
            <w:u w:val="single"/>
          </w:rPr>
          <w:t>10.1126/sciadv.aec5012</w:t>
        </w:r>
      </w:hyperlink>
    </w:p>
    <w:p>
      <w:pPr>
        <w:spacing w:before="0" w:after="120"/>
      </w:pPr>
      <w:r>
        <w:rPr>
          <w:b/>
        </w:rPr>
        <w:t xml:space="preserve">Notes: </w:t>
      </w:r>
      <w:r>
        <w:t>abstract_source=crossref</w:t>
      </w:r>
    </w:p>
    <w:p>
      <w:pPr>
        <w:spacing w:before="0" w:after="80" w:lineRule="auto" w:line="276"/>
      </w:pPr>
      <w:r>
        <w:rPr>
          <w:b/>
        </w:rPr>
        <w:t xml:space="preserve">摘要（ZH）: </w:t>
      </w:r>
      <w:r>
        <w:t>混沌行为，以蝴蝶效应为代表，小原因导致巨大后果，在光-物质相互作用中无处不在，但仍然难以定位，更难以设计。在此，我们展示并模拟了直接光与可编程混沌中心的相互作用——光刻液晶拓扑涡旋的核心——在这里混沌重塑为对称保护的光分支。通过共聚焦偏光显微镜和Landau–de Gennes自由能模拟，我们观察到核心在平面内分裂，同时跨越平面外。这种分裂模式和外围指向场决定了分支的数量，而缺陷引起的折射率变化与核心敏感的非线性动力学产生了独特的、空间映射的Lorenz-like attr</w:t>
      </w:r>
    </w:p>
    <w:p>
      <w:pPr>
        <w:spacing w:before="0" w:after="200" w:lineRule="auto" w:line="276"/>
      </w:pPr>
      <w:r>
        <w:rPr>
          <w:b/>
        </w:rPr>
        <w:t xml:space="preserve">Abstract (EN): </w:t>
      </w:r>
      <w:r>
        <w:t>Chaotic behaviors, epitomized by the butterfly effect where small causes have outsized consequences, are ubiquitous in light-matter interactions yet remain challenging to localize and even harder to engineer. Here, we demonstrate and model the direct light interacting with a programmable chaotic center—the core of photopatterning liquid-crystal topological vortices—where chaos reshapes into symmetry-protected light branching. Via confocal polarizing microscopy and Landau–de Gennes free-energy simulations, we observe the core splitting in-plane while spanning out-of-plane. This splitting pattern and peripherical director field dictate the branches number, while defect-induced refractive index variations with core-sensitive nonlinear dynamics yield distinct, spatially mapped Lorenz-like attractors. Applying a low-voltage field further allows us to reconfigure the splitting pattern and dynamically redirect the branching pathways. These findings potentially establish a versatile platform for on-chip topological photonics while serving as a laboratory analog for light scattering in extreme cosmological environments, such as near black holes.</w:t>
      </w:r>
    </w:p>
    <w:p>
      <w:pPr>
        <w:spacing w:before="120" w:after="120"/>
      </w:pPr>
      <w:r>
        <w:rPr>
          <w:sz w:val="18"/>
        </w:rPr>
        <w:t>——————————————————————————————————————————————————————————————————————</w:t>
      </w:r>
    </w:p>
    <w:p>
      <w:pPr>
        <w:spacing w:before="160" w:after="40" w:line="240" w:lineRule="auto"/>
      </w:pPr>
      <w:r>
        <w:rPr>
          <w:b/>
        </w:rPr>
        <w:t xml:space="preserve">[355] </w:t>
      </w:r>
      <w:hyperlink r:id="rId878">
        <w:r>
          <w:rPr>
            <w:color w:val="1155CC"/>
            <w:u w:val="single"/>
          </w:rPr>
          <w:t>离散状态的动态无序：断开的跃迁增强了CuInP2S6的非谐性</w:t>
        </w:r>
      </w:hyperlink>
    </w:p>
    <w:p>
      <w:pPr>
        <w:spacing w:before="0" w:after="80"/>
      </w:pPr>
      <w:r>
        <w:rPr>
          <w:i/>
          <w:sz w:val="20"/>
        </w:rPr>
        <w:t>EN: Dynamic disordering in discrete states: Disconnected hopping boosts anharmonicity in CuInP2S6</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79">
        <w:r>
          <w:rPr>
            <w:color w:val="1155CC"/>
            <w:u w:val="single"/>
          </w:rPr>
          <w:t>10.1126/sciadv.aee1289</w:t>
        </w:r>
      </w:hyperlink>
    </w:p>
    <w:p>
      <w:pPr>
        <w:spacing w:before="0" w:after="120"/>
      </w:pPr>
      <w:r>
        <w:rPr>
          <w:b/>
        </w:rPr>
        <w:t xml:space="preserve">Notes: </w:t>
      </w:r>
      <w:r>
        <w:t>abstract_source=crossref</w:t>
      </w:r>
    </w:p>
    <w:p>
      <w:pPr>
        <w:spacing w:before="0" w:after="80" w:lineRule="auto" w:line="276"/>
      </w:pPr>
      <w:r>
        <w:rPr>
          <w:b/>
        </w:rPr>
        <w:t xml:space="preserve">摘要（ZH）: </w:t>
      </w:r>
      <w:r>
        <w:t>物质划分为固体和流体（液体和气体）相是基于原子/分子聚集体的对比定位和流动性，流体相以这些实体的连接路径为特征。在此，我们展示了CuInP</w:t>
      </w:r>
      <w:r>
        <w:rPr>
          <w:vertAlign w:val="subscript"/>
        </w:rPr>
        <w:t>2</w:t>
      </w:r>
      <w:r>
        <w:t>S</w:t>
      </w:r>
      <w:r>
        <w:rPr>
          <w:vertAlign w:val="subscript"/>
        </w:rPr>
        <w:t>6</w:t>
      </w:r>
      <w:r>
        <w:t>，一种层状材料，表现为一种独特的系统，与固体和流体不同：它是固体但包含高度移动的Cu物种的断开路径。每条路径包括两个主要停靠点，促进Cu的快速站间跳跃，扰乱固定硫亚晶格的晶格波，从而引发强烈的声子非谐性。Cu</w:t>
      </w:r>
      <w:r>
        <w:t xml:space="preserve"> </w:t>
      </w:r>
      <w:r>
        <w:t>+</w:t>
      </w:r>
      <w:r>
        <w:t xml:space="preserve"> </w:t>
      </w:r>
      <w:r>
        <w:t>离子在低温下有序排列，</w:t>
      </w:r>
    </w:p>
    <w:p>
      <w:pPr>
        <w:spacing w:before="0" w:after="200" w:lineRule="auto" w:line="276"/>
      </w:pPr>
      <w:r>
        <w:rPr>
          <w:b/>
        </w:rPr>
        <w:t xml:space="preserve">Abstract (EN): </w:t>
      </w:r>
      <w:r>
        <w:t>Delineation of matter into solid and fluid (liquid and gas) phases is grounded in the contrasting localization and mobility of atomic/molecular aggregates, with the fluid phase distinguished by connected pathways for these entities. Here, we demonstrate that CuInP</w:t>
      </w:r>
      <w:r>
        <w:rPr>
          <w:vertAlign w:val="subscript"/>
        </w:rPr>
        <w:t>2</w:t>
      </w:r>
      <w:r>
        <w:t>S</w:t>
      </w:r>
      <w:r>
        <w:rPr>
          <w:vertAlign w:val="subscript"/>
        </w:rPr>
        <w:t>6</w:t>
      </w:r>
      <w:r>
        <w:t>, a layered material, manifests as a unique system differing from both solid and fluid: It is solid but contains disconnected pathways of highly mobile Cu species. Each pathway comprises two main docking sites, facilitating rapid intersite hopping of Cu that disrupts lattice waves of the immobilized sulfur sublattice, thereby inducing strong phonon anharmonicity. The Cu</w:t>
      </w:r>
      <w:r>
        <w:t xml:space="preserve"> </w:t>
      </w:r>
      <w:r>
        <w:t>+</w:t>
      </w:r>
      <w:r>
        <w:t xml:space="preserve"> </w:t>
      </w:r>
      <w:r>
        <w:t>ions, ordered at low temperatures, become highly activated and dynamically disordered even at room temperature. This suppresses the virial contribution, a dominant heat conduction mechanism in conventional solids, while inducing a moderate liquid-like convective mode of heat transfer. Identifying analogous systems featuring disconnected pathways and dynamical disordering states offers a promising route for increased anharmonicity.</w:t>
      </w:r>
    </w:p>
    <w:p>
      <w:pPr>
        <w:spacing w:before="120" w:after="120"/>
      </w:pPr>
      <w:r>
        <w:rPr>
          <w:sz w:val="18"/>
        </w:rPr>
        <w:t>——————————————————————————————————————————————————————————————————————</w:t>
      </w:r>
    </w:p>
    <w:p>
      <w:pPr>
        <w:spacing w:before="160" w:after="40" w:line="240" w:lineRule="auto"/>
      </w:pPr>
      <w:r>
        <w:rPr>
          <w:b/>
        </w:rPr>
        <w:t xml:space="preserve">[356] </w:t>
      </w:r>
      <w:hyperlink r:id="rId880">
        <w:r>
          <w:rPr>
            <w:color w:val="1155CC"/>
            <w:u w:val="single"/>
          </w:rPr>
          <w:t>Deridoux等人的更正，管足动力学驱动海星运动的适应性</w:t>
        </w:r>
      </w:hyperlink>
    </w:p>
    <w:p>
      <w:pPr>
        <w:spacing w:before="0" w:after="80"/>
      </w:pPr>
      <w:r>
        <w:rPr>
          <w:i/>
          <w:sz w:val="20"/>
        </w:rPr>
        <w:t>EN: Correction for Deridoux et al., Tube feet dynamics drive adaptation in sea star locomotion</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881">
        <w:r>
          <w:rPr>
            <w:color w:val="1155CC"/>
            <w:u w:val="single"/>
          </w:rPr>
          <w:t>10.1073/pnas.2608879123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[357] </w:t>
      </w:r>
      <w:hyperlink r:id="rId882">
        <w:r>
          <w:rPr>
            <w:color w:val="1155CC"/>
            <w:u w:val="single"/>
          </w:rPr>
          <w:t>在晚泥盆纪弗拉斯尼-法门尼亚大灭绝期间，大规模野火伴随海洋缺氧事件</w:t>
        </w:r>
      </w:hyperlink>
    </w:p>
    <w:p>
      <w:pPr>
        <w:spacing w:before="0" w:after="80"/>
      </w:pPr>
      <w:r>
        <w:rPr>
          <w:i/>
          <w:sz w:val="20"/>
        </w:rPr>
        <w:t>EN: Massive wildfires followed oceanic anoxic events during the Late Devonian Frasnian-Famennian mass extinction</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83">
        <w:r>
          <w:rPr>
            <w:color w:val="1155CC"/>
            <w:u w:val="single"/>
          </w:rPr>
          <w:t>10.1126/sciadv.ady4534</w:t>
        </w:r>
      </w:hyperlink>
    </w:p>
    <w:p>
      <w:pPr>
        <w:spacing w:before="0" w:after="120"/>
      </w:pPr>
      <w:r>
        <w:rPr>
          <w:b/>
        </w:rPr>
        <w:t xml:space="preserve">Notes: </w:t>
      </w:r>
      <w:r>
        <w:t>abstract_source=crossref</w:t>
      </w:r>
    </w:p>
    <w:p>
      <w:pPr>
        <w:spacing w:before="0" w:after="80" w:lineRule="auto" w:line="276"/>
      </w:pPr>
      <w:r>
        <w:rPr>
          <w:b/>
        </w:rPr>
        <w:t xml:space="preserve">摘要（ZH）: </w:t>
      </w:r>
      <w:r>
        <w:t>广泛的野火深刻影响地球系统反馈，并可能导致主要生态系统扰动，但其在晚泥盆纪弗拉斯尼-法门尼（F-F）大灭绝中的时间和作用仍不清楚。为了确定野火是同时期海洋缺氧事件（OAEs）的驱动因素还是结果，我们从美国东南部的查塔努加页岩中提供了高时间分辨率的多代理记录（生物标志物、微化石和痕量金属）。火成PAHs和惰性体显微组分在δ</w:t>
      </w:r>
      <w:r>
        <w:rPr>
          <w:vertAlign w:val="subscript"/>
        </w:rPr>
        <w:t>13</w:t>
      </w:r>
      <w:r>
        <w:t>C</w:t>
      </w:r>
      <w:r>
        <w:t xml:space="preserve"> </w:t>
      </w:r>
      <w:r>
        <w:t>org</w:t>
      </w:r>
      <w:r>
        <w:t xml:space="preserve"> </w:t>
      </w:r>
      <w:r>
        <w:t>和氧化还原敏感代理峰值后增加，表明野火活动在后OAEs氧气上升后加强，而不是引发缺氧。全球δ</w:t>
      </w:r>
    </w:p>
    <w:p>
      <w:pPr>
        <w:spacing w:before="0" w:after="200" w:lineRule="auto" w:line="276"/>
      </w:pPr>
      <w:r>
        <w:rPr>
          <w:b/>
        </w:rPr>
        <w:t xml:space="preserve">Abstract (EN): </w:t>
      </w:r>
      <w:r>
        <w:t>Extensive wildfire profoundly influences Earth system feedback and can drive major ecosystem disturbances, yet its timing and role in the Late Devonian Frasnian-Famennian (F-F) mass extinction remain unclear. To determine whether wildfires were a driver or consequence of contemporaneous oceanic anoxic events (OAEs), we present a high temporal resolution multiproxy record (biomarkers, microfossils, and trace metals) from the Chattanooga Shale in the southeastern United States. Pyrogenic PAHs and inertinite macerals increased after peaks in δ</w:t>
      </w:r>
      <w:r>
        <w:rPr>
          <w:vertAlign w:val="subscript"/>
        </w:rPr>
        <w:t>13</w:t>
      </w:r>
      <w:r>
        <w:t>C</w:t>
      </w:r>
      <w:r>
        <w:t xml:space="preserve"> </w:t>
      </w:r>
      <w:r>
        <w:t>org</w:t>
      </w:r>
      <w:r>
        <w:t xml:space="preserve"> </w:t>
      </w:r>
      <w:r>
        <w:t>and redox-sensitive proxies, indicating that wildfire activity intensified in response to post-OAEs oxygen rise rather than triggering anoxia. Modeling of global δ</w:t>
      </w:r>
      <w:r>
        <w:rPr>
          <w:vertAlign w:val="subscript"/>
        </w:rPr>
        <w:t>13</w:t>
      </w:r>
      <w:r>
        <w:t>C records reveals that the lag between OAEs/organic carbon burial and wildfire onset reflects the time required for atmospheric oxygen to accumulate to levels sustaining widespread combustion. Together, these results provide the first high-resolution dataset capable of resolving the temporal sequence between OAEs and wildfire activity, enabling the establishment of their causal linkage during the catastrophic F-F environmental disruptions.</w:t>
      </w:r>
    </w:p>
    <w:p>
      <w:pPr>
        <w:spacing w:before="120" w:after="120"/>
      </w:pPr>
      <w:r>
        <w:rPr>
          <w:sz w:val="18"/>
        </w:rPr>
        <w:t>——————————————————————————————————————————————————————————————————————</w:t>
      </w:r>
    </w:p>
    <w:p>
      <w:pPr>
        <w:spacing w:before="160" w:after="40" w:line="240" w:lineRule="auto"/>
      </w:pPr>
      <w:r>
        <w:rPr>
          <w:b/>
        </w:rPr>
        <w:t xml:space="preserve">[358] </w:t>
      </w:r>
      <w:hyperlink r:id="rId884">
        <w:r>
          <w:rPr>
            <w:color w:val="1155CC"/>
            <w:u w:val="single"/>
          </w:rPr>
          <w:t>细胞-基质接触点的动态切换使滑动硅藻能够调节其路径的曲率</w:t>
        </w:r>
      </w:hyperlink>
    </w:p>
    <w:p>
      <w:pPr>
        <w:spacing w:before="0" w:after="80"/>
      </w:pPr>
      <w:r>
        <w:rPr>
          <w:i/>
          <w:sz w:val="20"/>
        </w:rPr>
        <w:t>EN: Dynamic switching of cell–substrate contact sites allows gliding diatoms to modulate the curvature of their paths</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885">
        <w:r>
          <w:rPr>
            <w:color w:val="1155CC"/>
            <w:u w:val="single"/>
          </w:rPr>
          <w:t>10.1073/pnas.2506122123</w:t>
        </w:r>
      </w:hyperlink>
    </w:p>
    <w:p>
      <w:pPr>
        <w:spacing w:before="0" w:after="120"/>
      </w:pPr>
      <w:r>
        <w:rPr>
          <w:b/>
        </w:rPr>
        <w:t xml:space="preserve">Notes: </w:t>
      </w:r>
      <w:r>
        <w:t>abstract_source=crossref</w:t>
      </w:r>
    </w:p>
    <w:p>
      <w:pPr>
        <w:spacing w:before="0" w:after="80" w:lineRule="auto" w:line="276"/>
      </w:pPr>
      <w:r>
        <w:rPr>
          <w:b/>
        </w:rPr>
        <w:t xml:space="preserve">摘要（ZH）: </w:t>
      </w:r>
      <w:r>
        <w:t>单细胞生物的定向运动对于其生存和生态成功至关重要，但使得具有刚性细胞壁的硅藻能够动态重新定向并改变其轨迹形状的机制仍然知之甚少。在此，我们研究了</w:t>
      </w:r>
      <w:r>
        <w:t xml:space="preserve"> </w:t>
      </w:r>
      <w:r>
        <w:t>Craspedostauros australis</w:t>
      </w:r>
      <w:r>
        <w:t xml:space="preserve"> </w:t>
      </w:r>
      <w:r>
        <w:t>的滑动运动，这是一种快速在浸没表面移动的有缝羽纹硅藻，利用细胞内肌动蛋白-肌球蛋白运动复合体和通过称为缝隙的开口分泌粘附性细胞外聚合物（EPS）链。通过高精度单细胞追踪、扫描电子显微镜（SEM）、干涉反射显微镜（IRM）和数学建模，我们揭示了硅藻如何实现多样的路径曲率</w:t>
      </w:r>
    </w:p>
    <w:p>
      <w:pPr>
        <w:spacing w:before="0" w:after="200" w:lineRule="auto" w:line="276"/>
      </w:pPr>
      <w:r>
        <w:rPr>
          <w:b/>
        </w:rPr>
        <w:t xml:space="preserve">Abstract (EN): </w:t>
      </w:r>
      <w:r>
        <w:t>The directed motility of unicellular organisms is critical for their survival and ecological success, yet the mechanisms that enable rigid-walled diatoms to dynamically reorient and alter the shape of their trajectories remain poorly understood. Here, we investigate the gliding motility of</w:t>
      </w:r>
      <w:r>
        <w:t xml:space="preserve"> </w:t>
      </w:r>
      <w:r>
        <w:t>Craspedostauros australis</w:t>
      </w:r>
      <w:r>
        <w:t xml:space="preserve"> </w:t>
      </w:r>
      <w:r>
        <w:t>, a raphid pennate diatom that moves rapidly across submerged surfaces using an intracellular actomyosin motility complex and the secretion of adhesive extracellular polymeric substances (EPS) strands through slit-like openings termed raphes. Using high-precision single-cell tracking, scanning electron microscopy (SEM), interference reflection microscopy (IRM), and mathematical modeling, we reveal how diatoms achieve diverse path curvatures by dynamically modulating the location of raphe–substrate contact and switching between one- and two-raphe branch contact gliding. Our results indicate that local curvature variations along the raphes dictate trajectory shapes, with one-raphe branch contact gliding producing highly curved paths, while two-raphe branch contact gliding results in paths of lower curvature. IRM imaging further confirms that transitions between these gliding modes underlie abrupt changes in path curvature and cell reorientation. This dynamic raphe-switching mechanism is conserved across cell sizes and correctly predicts the increased path curvatures observed in smaller cells according to their more pronounced local raphe curvature. By quantitatively linking raphe geometry, cell–substrate attachment dynamics and motility patterns, our study provides insights into the motility mechanism that allows diatoms to adapt their movement to complex environments.</w:t>
      </w:r>
    </w:p>
    <w:p>
      <w:pPr>
        <w:spacing w:before="120" w:after="120"/>
      </w:pPr>
      <w:r>
        <w:rPr>
          <w:sz w:val="18"/>
        </w:rPr>
        <w:t>——————————————————————————————————————————————————————————————————————</w:t>
      </w:r>
    </w:p>
    <w:p>
      <w:pPr>
        <w:spacing w:before="160" w:after="40" w:line="240" w:lineRule="auto"/>
      </w:pPr>
      <w:r>
        <w:rPr>
          <w:b/>
        </w:rPr>
        <w:t xml:space="preserve">[359] </w:t>
      </w:r>
      <w:hyperlink r:id="rId886">
        <w:r>
          <w:rPr>
            <w:color w:val="1155CC"/>
            <w:u w:val="single"/>
          </w:rPr>
          <w:t>附着在固体表面的冰的突然喷发不稳定性</w:t>
        </w:r>
      </w:hyperlink>
    </w:p>
    <w:p>
      <w:pPr>
        <w:spacing w:before="0" w:after="80"/>
      </w:pPr>
      <w:r>
        <w:rPr>
          <w:i/>
          <w:sz w:val="20"/>
        </w:rPr>
        <w:t>EN: Abrupt eruptive instability of ice adhered to solid surfaces</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887">
        <w:r>
          <w:rPr>
            <w:color w:val="1155CC"/>
            <w:u w:val="single"/>
          </w:rPr>
          <w:t>10.1126/sciadv.adz8663</w:t>
        </w:r>
      </w:hyperlink>
    </w:p>
    <w:p>
      <w:pPr>
        <w:spacing w:before="0" w:after="120"/>
      </w:pPr>
      <w:r>
        <w:rPr>
          <w:b/>
        </w:rPr>
        <w:t xml:space="preserve">Notes: </w:t>
      </w:r>
      <w:r>
        <w:t>abstract_source=crossref</w:t>
      </w:r>
    </w:p>
    <w:p>
      <w:pPr>
        <w:spacing w:before="0" w:after="80" w:lineRule="auto" w:line="276"/>
      </w:pPr>
      <w:r>
        <w:rPr>
          <w:b/>
        </w:rPr>
        <w:t xml:space="preserve">摘要（ZH）: </w:t>
      </w:r>
      <w:r>
        <w:t>剧烈的冰裂事件常常引发快速的气候或地貌变化，包括南极冰架崩塌、冰川爆发和霜震。现有的顺序裂缝传播模型无法充分解释自然事件中观察到的突然、爆炸性特征。在此，我们揭示了一种先前未识别的冰在准静态冷却时粘附于固体表面发生的爆发性断裂，这甚至可能导致基底的破碎。这种爆炸性冰不稳定性取决于冰的内部晶粒尺寸阈值。超过此阈值，断裂以渐进的、能量主导的模式进行，而低于此阈值，冰则经历突然的、应变主导的断裂。我们发现粘附冰的表观抗拉强度范围为39至58兆帕，</w:t>
      </w:r>
    </w:p>
    <w:p>
      <w:pPr>
        <w:spacing w:before="0" w:after="200" w:lineRule="auto" w:line="276"/>
      </w:pPr>
      <w:r>
        <w:rPr>
          <w:b/>
        </w:rPr>
        <w:t xml:space="preserve">Abstract (EN): </w:t>
      </w:r>
      <w:r>
        <w:t>Violent ice fracture events often trigger rapid climatic or geomorphic changes, including Antarctic ice shelf collapse, glacial outbursts, and frost quakes. Existing models of sequential crack propagation inadequately explain the sudden, explosive nature observed in natural events. Here, we uncover a previously unidentified eruptive fracture of ice adhered to solid surfaces upon quasistatic cooling, which can even cause the underlying substrate fragmentation. This explosive ice instability depends on the threshold internal grain size of the ice. Above this threshold, fracture proceeds in a progressive, energy-dominated mode, whereas below it the ice undergoes an abrupt, strain-dominated fracture. We found that the apparent tensile strength of adhered ice ranges from 39 to 58 megapascals, over an order of magnitude higher than the typical value of ice (0.7 to 3.1 megapascals). This work provides a mechanistic framework for understanding and predicting abrupt cryospheric fracture events and points toward rational strategies for designing self-actuating deicing systems that exploit thermomechanical instabilities.</w:t>
      </w:r>
    </w:p>
    <w:p>
      <w:pPr>
        <w:spacing w:before="120" w:after="120"/>
      </w:pPr>
      <w:r>
        <w:rPr>
          <w:sz w:val="18"/>
        </w:rPr>
        <w:t>——————————————————————————————————————————————————————————————————————</w:t>
      </w:r>
    </w:p>
    <w:p>
      <w:pPr>
        <w:spacing w:before="160" w:after="40" w:line="240" w:lineRule="auto"/>
      </w:pPr>
      <w:r>
        <w:rPr>
          <w:b/>
        </w:rPr>
        <w:t xml:space="preserve">[360] </w:t>
      </w:r>
      <w:hyperlink r:id="rId888">
        <w:r>
          <w:rPr>
            <w:color w:val="1155CC"/>
            <w:u w:val="single"/>
          </w:rPr>
          <w:t>通过光遗传学揭示的感觉诱发高伽马和低频ECoG信号的不同层起源</w:t>
        </w:r>
      </w:hyperlink>
    </w:p>
    <w:p>
      <w:pPr>
        <w:spacing w:before="0" w:after="80"/>
      </w:pPr>
      <w:r>
        <w:rPr>
          <w:i/>
          <w:sz w:val="20"/>
        </w:rPr>
        <w:t>EN: Distinct laminar origins of sensory-evoked high-gamma and low-frequency ECoG signals revealed by optogenetics</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889">
        <w:r>
          <w:rPr>
            <w:color w:val="1155CC"/>
            <w:u w:val="single"/>
          </w:rPr>
          <w:t>10.1073/pnas.2516293123</w:t>
        </w:r>
      </w:hyperlink>
    </w:p>
    <w:p>
      <w:pPr>
        <w:spacing w:before="0" w:after="120"/>
      </w:pPr>
      <w:r>
        <w:rPr>
          <w:b/>
        </w:rPr>
        <w:t xml:space="preserve">Notes: </w:t>
      </w:r>
      <w:r>
        <w:t>abstract_source=crossref</w:t>
      </w:r>
    </w:p>
    <w:p>
      <w:pPr>
        <w:spacing w:before="0" w:after="80" w:lineRule="auto" w:line="276"/>
      </w:pPr>
      <w:r>
        <w:rPr>
          <w:b/>
        </w:rPr>
        <w:t xml:space="preserve">摘要（ZH）: </w:t>
      </w:r>
      <w:r>
        <w:t>皮层脑电图（ECoG）提供了人类和动物皮层活动（皮层表面电位，CSEPs）的高时空分辨率测量。CSEP的高伽马频段（Hγ，65至170 Hz）与柱状空间尺度的神经元发放率相关，并被广泛用作局部活动的生物标志。Hγ是否报告柱状处理的所有阶段、L2/3的中间处理（靠近ECoG电极）或L5的主要柱状输出，尚不清楚。我们通过在小鼠体感皮层的微ECoG记录期间光遗传抑制L2/3或L5锥体细胞，解开了Hγ和其他ECoG频段的层起源。胡须偏转引发了瞬态、拓扑定位的CSEPs。L5光遗传抑制最强烈地减少</w:t>
      </w:r>
    </w:p>
    <w:p>
      <w:pPr>
        <w:spacing w:before="0" w:after="200" w:lineRule="auto" w:line="276"/>
      </w:pPr>
      <w:r>
        <w:rPr>
          <w:b/>
        </w:rPr>
        <w:t xml:space="preserve">Abstract (EN): </w:t>
      </w:r>
      <w:r>
        <w:t>Electrocorticography (ECoG) provides a high-spatiotemporal-resolution measure of cortical activity (cortical surface electrical potentials, CSEPs) in humans and animals. The CSEP high-gamma band (Hγ, 65 to 170 Hz) correlates with neuronal firing rates at the columnar spatial scale and is widely used as a biomarker of local activity. Whether Hγ reports all stages of columnar processing, intermediate processing in L2/3 (close to the ECoG electrode), or the main columnar output in L5, is unknown. We disentangled the laminar origins of Hγ and other ECoG bands by optogenetically suppressing L2/3 or L5 pyramidal cells during micro-ECoG recording in the mouse somatosensory cortex. Whisker deflections evoked transient, topographically localized CSEPs. L5 optogenetic suppression most strongly reduced 65 to 450 Hz (Hγ-uHγ) bands in sensory-evoked ECoG signals, whereas L2/3 suppression most strongly reduced 4 to 27 Hz (θ-β) bands. Thus, different CSEP frequency bands reflect layer-specific activity and are biomarkers of distinct stages of sensory-evoked columnar processing.</w:t>
      </w:r>
    </w:p>
    <w:p>
      <w:pPr>
        <w:spacing w:before="120" w:after="120"/>
      </w:pPr>
      <w:r>
        <w:rPr>
          <w:sz w:val="18"/>
        </w:rPr>
        <w:t>——————————————————————————————————————————————————————————————————————</w:t>
      </w:r>
    </w:p>
    <w:p>
      <w:pPr>
        <w:spacing w:before="160" w:after="40" w:line="240" w:lineRule="auto"/>
      </w:pPr>
      <w:r>
        <w:rPr>
          <w:b/>
        </w:rPr>
        <w:t xml:space="preserve">[361] </w:t>
      </w:r>
      <w:hyperlink r:id="rId890">
        <w:r>
          <w:rPr>
            <w:color w:val="1155CC"/>
            <w:u w:val="single"/>
          </w:rPr>
          <w:t>Q[math]噬菌体准种的分层基因型网络和初期生态物种形成</w:t>
        </w:r>
      </w:hyperlink>
    </w:p>
    <w:p>
      <w:pPr>
        <w:spacing w:before="0" w:after="80"/>
      </w:pPr>
      <w:r>
        <w:rPr>
          <w:i/>
          <w:sz w:val="20"/>
        </w:rPr>
        <w:t>EN: Hierarchical genotype networks and incipient ecological speciation in Q[math] phage quasispecies</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891">
        <w:r>
          <w:rPr>
            <w:color w:val="1155CC"/>
            <w:u w:val="single"/>
          </w:rPr>
          <w:t>10.1073/pnas.2512150123</w:t>
        </w:r>
      </w:hyperlink>
    </w:p>
    <w:p>
      <w:pPr>
        <w:spacing w:before="0" w:after="120"/>
      </w:pPr>
      <w:r>
        <w:rPr>
          <w:b/>
        </w:rPr>
        <w:t xml:space="preserve">Notes: </w:t>
      </w:r>
      <w:r>
        <w:t>abstract_source=crossref</w:t>
      </w:r>
    </w:p>
    <w:p>
      <w:pPr>
        <w:spacing w:before="0" w:after="80" w:lineRule="auto" w:line="276"/>
      </w:pPr>
      <w:r>
        <w:rPr>
          <w:b/>
        </w:rPr>
        <w:t xml:space="preserve">摘要（ZH）: </w:t>
      </w:r>
      <w:r>
        <w:t>理解病毒突变体谱如何组织和探索基因型空间对于阐明驱动分子进化的机制至关重要。在此，我们使用RNA噬菌体Qβ的A2蛋白扩增子的深度测序数据重建了由数万个单倍型组成的基因型网络。对在不同温度条件下进化的种群的研究揭示了由序列空间的基本几何图案和种群动态之间的相互作用产生的稳健且可重复的模式。突变群体表现出一种自相似的分层组织，其中序列围绕高度连接的中心聚集。</w:t>
      </w:r>
    </w:p>
    <w:p>
      <w:pPr>
        <w:spacing w:before="0" w:after="200" w:lineRule="auto" w:line="276"/>
      </w:pPr>
      <w:r>
        <w:rPr>
          <w:b/>
        </w:rPr>
        <w:t xml:space="preserve">Abstract (EN): </w:t>
      </w:r>
      <w:r>
        <w:t>Understanding how viral mutant spectra organize and explore genotype space is essential for elucidating the mechanisms that drive molecular evolution. Here, we use deep-sequencing data of an amplicon in the A2 protein of the RNA bacteriophage Q</w:t>
      </w:r>
      <w:r>
        <w:t xml:space="preserve"> </w:t>
      </w:r>
      <w:r>
        <w:t>β</w:t>
      </w:r>
      <w:r>
        <w:t xml:space="preserve"> </w:t>
      </w:r>
      <w:r>
        <w:t>to reconstruct genotype networks comprising tens of thousands of haplotypes. The study of populations evolved under different temperature regimes reveals robust and reproducible patterns that arise from the interplay between fundamental geometrical motifs of sequence spaces and population dynamics. Mutant swarms exhibit a self-similar, hierarchical organization in which sequences cluster around highly connected, abundant cores that continuously regenerate diversity during evolution. The immediate neighborhood of these cores is rapidly rebuilt and extensively sampled, while a few mutations away sampling becomes dynamical and sparse. This population structure emerges from a dynamic, out-of-equilibrium balance between replication and mutational exploration and suggests that Q</w:t>
      </w:r>
      <w:r>
        <w:t xml:space="preserve"> </w:t>
      </w:r>
      <w:r>
        <w:t>β</w:t>
      </w:r>
      <w:r>
        <w:t xml:space="preserve"> </w:t>
      </w:r>
      <w:r>
        <w:t>populations do not rely primarily on neutral networks to navigate genotype space or to generate diversity. Combining genotype networks from populations adapted to different temperatures reveals early evolutionary divergence, with partially overlapping yet distinct populations that remain connected through short mutational paths. Even at the time scale of these experiments, evolutionary trajectories remain multiple, preventing the backward reconstruction of unique trajectories once mutations have been fixed. Together, this analysis provides a detailed view of the fine-scale processes shaping the evolution of heterogeneous viral populations and establishes genotype networks as a powerful framework for visualizing and interpreting the organization and diversification of viral quasispecies.</w:t>
      </w:r>
    </w:p>
    <w:p>
      <w:pPr>
        <w:spacing w:before="120" w:after="120"/>
      </w:pPr>
      <w:r>
        <w:rPr>
          <w:sz w:val="18"/>
        </w:rPr>
        <w:t>——————————————————————————————————————————————————————————————————————</w:t>
      </w:r>
    </w:p>
    <w:p>
      <w:pPr>
        <w:spacing w:before="160" w:after="40" w:line="240" w:lineRule="auto"/>
      </w:pPr>
      <w:r>
        <w:rPr>
          <w:b/>
        </w:rPr>
        <w:t xml:space="preserve">[362] </w:t>
      </w:r>
      <w:hyperlink r:id="rId892">
        <w:r>
          <w:rPr>
            <w:color w:val="1155CC"/>
            <w:u w:val="single"/>
          </w:rPr>
          <w:t>空气-水界面的微异质单线态氧生成</w:t>
        </w:r>
      </w:hyperlink>
    </w:p>
    <w:p>
      <w:pPr>
        <w:spacing w:before="0" w:after="80"/>
      </w:pPr>
      <w:r>
        <w:rPr>
          <w:i/>
          <w:sz w:val="20"/>
        </w:rPr>
        <w:t>EN: Microheterogeneous singlet oxygen generation at air–water interfaces</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893">
        <w:r>
          <w:rPr>
            <w:color w:val="1155CC"/>
            <w:u w:val="single"/>
          </w:rPr>
          <w:t>10.1073/pnas.2534956123</w:t>
        </w:r>
      </w:hyperlink>
    </w:p>
    <w:p>
      <w:pPr>
        <w:spacing w:before="0" w:after="120"/>
      </w:pPr>
      <w:r>
        <w:rPr>
          <w:b/>
        </w:rPr>
        <w:t xml:space="preserve">Notes: </w:t>
      </w:r>
      <w:r>
        <w:t>abstract_source=crossref</w:t>
      </w:r>
    </w:p>
    <w:p>
      <w:pPr>
        <w:spacing w:before="0" w:after="80" w:lineRule="auto" w:line="276"/>
      </w:pPr>
      <w:r>
        <w:rPr>
          <w:b/>
        </w:rPr>
        <w:t xml:space="preserve">摘要（ZH）: </w:t>
      </w:r>
      <w:r>
        <w:t>单线态氧（1O2）是一种短命且高度活跃的氧化剂，推动自然元素循环，但其在复杂多相系统中的空间分布仍然知之甚少。在此，我们展示了含有有机碳（OC）的水微滴的辐照导致1O2的界面富集，这由光敏化OC的表面积累驱动。结合荧光成像和反应-扩散动力学模型，我们解决了空气-水边界上的陡峭1O2梯度：在一个1 µm半径的微滴中，</w:t>
      </w:r>
    </w:p>
    <w:p>
      <w:pPr>
        <w:spacing w:before="0" w:after="200" w:lineRule="auto" w:line="276"/>
      </w:pPr>
      <w:r>
        <w:rPr>
          <w:b/>
        </w:rPr>
        <w:t xml:space="preserve">Abstract (EN): </w:t>
      </w:r>
      <w:r>
        <w:t>Singlet oxygen (</w:t>
      </w:r>
      <w:r>
        <w:rPr>
          <w:vertAlign w:val="subscript"/>
        </w:rPr>
        <w:t>1</w:t>
      </w:r>
      <w:r>
        <w:t>O</w:t>
      </w:r>
      <w:r>
        <w:rPr>
          <w:vertAlign w:val="subscript"/>
        </w:rPr>
        <w:t>2</w:t>
      </w:r>
      <w:r>
        <w:t>) is a short-lived, highly reactive oxidant driving natural element cycles, yet its spatial distribution in complex multiphase systems remains poorly understood. Here, we show that irradiation of organic carbon (OC)-containing aqueous microdroplets leads to pronounced interfacial enrichment of</w:t>
      </w:r>
      <w:r>
        <w:rPr>
          <w:vertAlign w:val="subscript"/>
        </w:rPr>
        <w:t>1</w:t>
      </w:r>
      <w:r>
        <w:t>O</w:t>
      </w:r>
      <w:r>
        <w:rPr>
          <w:vertAlign w:val="subscript"/>
        </w:rPr>
        <w:t>2</w:t>
      </w:r>
      <w:r>
        <w:t>, driven by the surface accumulation of photosensitizing OC. Combining fluorescence imaging with a reaction–diffusion kinetic model, we resolve steep</w:t>
      </w:r>
      <w:r>
        <w:rPr>
          <w:vertAlign w:val="subscript"/>
        </w:rPr>
        <w:t>1</w:t>
      </w:r>
      <w:r>
        <w:t>O</w:t>
      </w:r>
      <w:r>
        <w:rPr>
          <w:vertAlign w:val="subscript"/>
        </w:rPr>
        <w:t>2</w:t>
      </w:r>
      <w:r>
        <w:t>gradients across the air–water boundary: In a 1 µm-radius droplet,</w:t>
      </w:r>
      <w:r>
        <w:rPr>
          <w:vertAlign w:val="subscript"/>
        </w:rPr>
        <w:t>1</w:t>
      </w:r>
      <w:r>
        <w:t>O</w:t>
      </w:r>
      <w:r>
        <w:rPr>
          <w:vertAlign w:val="subscript"/>
        </w:rPr>
        <w:t>2</w:t>
      </w:r>
      <w:r>
        <w:t>levels drop by 90% within 10 µm from the interface into the gaseous phase, and within 230 nm from the interface into the aqueous phase. Tailored peptide probes reveal that molecules residing at the interface undergo substantially faster</w:t>
      </w:r>
      <w:r>
        <w:rPr>
          <w:vertAlign w:val="subscript"/>
        </w:rPr>
        <w:t>1</w:t>
      </w:r>
      <w:r>
        <w:t>O</w:t>
      </w:r>
      <w:r>
        <w:rPr>
          <w:vertAlign w:val="subscript"/>
        </w:rPr>
        <w:t>2</w:t>
      </w:r>
      <w:r>
        <w:t>-mediated transformation than their bulk counterparts. These findings identify the air–water interface as a privileged site for</w:t>
      </w:r>
      <w:r>
        <w:rPr>
          <w:vertAlign w:val="subscript"/>
        </w:rPr>
        <w:t>1</w:t>
      </w:r>
      <w:r>
        <w:t>O</w:t>
      </w:r>
      <w:r>
        <w:rPr>
          <w:vertAlign w:val="subscript"/>
        </w:rPr>
        <w:t>2</w:t>
      </w:r>
      <w:r>
        <w:t>photochemistry that strongly accelerates redox processes in aerosols, sea spray, and the ocean–atmosphere boundary.</w:t>
      </w:r>
    </w:p>
    <w:p>
      <w:pPr>
        <w:spacing w:before="120" w:after="120"/>
      </w:pPr>
      <w:r>
        <w:rPr>
          <w:sz w:val="18"/>
        </w:rPr>
        <w:t>——————————————————————————————————————————————————————————————————————</w:t>
      </w:r>
    </w:p>
    <w:p>
      <w:pPr>
        <w:spacing w:before="160" w:after="40" w:line="240" w:lineRule="auto"/>
      </w:pPr>
      <w:r>
        <w:rPr>
          <w:b/>
        </w:rPr>
        <w:t xml:space="preserve">[363] </w:t>
      </w:r>
      <w:hyperlink r:id="rId894">
        <w:r>
          <w:rPr>
            <w:color w:val="1155CC"/>
            <w:u w:val="single"/>
          </w:rPr>
          <w:t>ClpP2调节ClpXP组装以促进铜绿假单胞菌的多种致病表型</w:t>
        </w:r>
      </w:hyperlink>
    </w:p>
    <w:p>
      <w:pPr>
        <w:spacing w:before="0" w:after="80"/>
      </w:pPr>
      <w:r>
        <w:rPr>
          <w:i/>
          <w:sz w:val="20"/>
        </w:rPr>
        <w:t>EN: ClpP2 modulates ClpXP assembly to promote multiple pathogenic phenotypes in Pseudomonas aeruginosa</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895">
        <w:r>
          <w:rPr>
            <w:color w:val="1155CC"/>
            <w:u w:val="single"/>
          </w:rPr>
          <w:t>10.1073/pnas.2532651123</w:t>
        </w:r>
      </w:hyperlink>
    </w:p>
    <w:p>
      <w:pPr>
        <w:spacing w:before="0" w:after="120"/>
      </w:pPr>
      <w:r>
        <w:rPr>
          <w:b/>
        </w:rPr>
        <w:t xml:space="preserve">Notes: </w:t>
      </w:r>
      <w:r>
        <w:t>abstract_source=crossref</w:t>
      </w:r>
    </w:p>
    <w:p>
      <w:pPr>
        <w:spacing w:before="0" w:after="80" w:lineRule="auto" w:line="276"/>
      </w:pPr>
      <w:r>
        <w:rPr>
          <w:b/>
        </w:rPr>
        <w:t xml:space="preserve">摘要（ZH）: </w:t>
      </w:r>
      <w:r>
        <w:t>在机会性病原体铜绿假单胞菌（Pseudomonas aeruginosa，Pa）中，ClpXP蛋白酶选择性降解关键转录调节因子（TRs），从而实现对促进致病性和毒力的表型的动态控制。在此，我们报告一种天然Pa变体通过自发的低功能突变调节ClpXP组装动态，从而激活多种致病表型，该突变发生在经典蛋白酶亚基ClpP1（ClpP1 P6L）中，并通过非典型蛋白酶亚基ClpP2的协同激活。遗传学、基于细胞的报告分析和生化分析揭示了ClpP1</w:t>
      </w:r>
    </w:p>
    <w:p>
      <w:pPr>
        <w:spacing w:before="0" w:after="200" w:lineRule="auto" w:line="276"/>
      </w:pPr>
      <w:r>
        <w:rPr>
          <w:b/>
        </w:rPr>
        <w:t xml:space="preserve">Abstract (EN): </w:t>
      </w:r>
      <w:r>
        <w:t>In the opportunistic pathogen</w:t>
      </w:r>
      <w:r>
        <w:t xml:space="preserve"> </w:t>
      </w:r>
      <w:r>
        <w:t>Pseudomonas aeruginosa</w:t>
      </w:r>
      <w:r>
        <w:t xml:space="preserve"> </w:t>
      </w:r>
      <w:r>
        <w:t>(</w:t>
      </w:r>
      <w:r>
        <w:t xml:space="preserve"> </w:t>
      </w:r>
      <w:r>
        <w:t>Pa</w:t>
      </w:r>
      <w:r>
        <w:t xml:space="preserve"> </w:t>
      </w:r>
      <w:r>
        <w:t>), ClpXP proteases selectively degrade key transcriptional regulators (TRs), enabling dynamic control over phenotypes that promote pathogenesis and virulence. Here, we report that a natural</w:t>
      </w:r>
      <w:r>
        <w:t xml:space="preserve"> </w:t>
      </w:r>
      <w:r>
        <w:t>Pa</w:t>
      </w:r>
      <w:r>
        <w:t xml:space="preserve"> </w:t>
      </w:r>
      <w:r>
        <w:t>variant activates multiple pathogenic phenotypes by modulating ClpXP assembly dynamics through a spontaneous hypomorphic mutation in the canonical peptidase subunit ClpP1 (ClpP1</w:t>
      </w:r>
      <w:r>
        <w:t xml:space="preserve"> </w:t>
      </w:r>
      <w:r>
        <w:t>P6L</w:t>
      </w:r>
      <w:r>
        <w:t xml:space="preserve"> </w:t>
      </w:r>
      <w:r>
        <w:t>) and its synergistic activation by the atypical peptidase subunit ClpP2. Genetics, cell-based reporter assays, and biochemical analyses reveal that ClpP1</w:t>
      </w:r>
      <w:r>
        <w:t xml:space="preserve"> </w:t>
      </w:r>
      <w:r>
        <w:t>P6L</w:t>
      </w:r>
      <w:r>
        <w:t xml:space="preserve"> </w:t>
      </w:r>
      <w:r>
        <w:t>impairs ClpXP-complex formation, but that this defect is partially suppressed upon heterooligomerization with ClpP2. Consequently, ClpX, ClpP1</w:t>
      </w:r>
      <w:r>
        <w:t xml:space="preserve"> </w:t>
      </w:r>
      <w:r>
        <w:t>P6L</w:t>
      </w:r>
      <w:r>
        <w:t xml:space="preserve"> </w:t>
      </w:r>
      <w:r>
        <w:t>, and ClpP2 combine to catalyze sufficient proteolysis to trigger mucoid conversion, a virulence-associated phenotype characterized by alginate overproduction. Further, ClpP1</w:t>
      </w:r>
      <w:r>
        <w:t xml:space="preserve"> </w:t>
      </w:r>
      <w:r>
        <w:t>P6L</w:t>
      </w:r>
      <w:r>
        <w:t xml:space="preserve"> </w:t>
      </w:r>
      <w:r>
        <w:t>also triggers premature</w:t>
      </w:r>
      <w:r>
        <w:t xml:space="preserve"> </w:t>
      </w:r>
      <w:r>
        <w:t>rhl</w:t>
      </w:r>
      <w:r>
        <w:t xml:space="preserve"> </w:t>
      </w:r>
      <w:r>
        <w:t>quorum sensing, thereby upregulating the expression of additional virulence factors. These findings demonstrate that by encoding two ClpP paralogs (ClpP1 and ClpP2),</w:t>
      </w:r>
      <w:r>
        <w:t xml:space="preserve"> </w:t>
      </w:r>
      <w:r>
        <w:t>Pa</w:t>
      </w:r>
      <w:r>
        <w:t xml:space="preserve"> </w:t>
      </w:r>
      <w:r>
        <w:t>can adaptively modulate ClpXP assembly dynamics to adjust proteolysis and expand its phenotypic versatility. We propose that organisms that encode multiple ClpP subunits can exert finer control over regulated substrate degradation and thereby optimize their display of pathogenic traits that support opportunistic infections.</w:t>
      </w:r>
    </w:p>
    <w:p>
      <w:pPr>
        <w:spacing w:before="120" w:after="120"/>
      </w:pPr>
      <w:r>
        <w:rPr>
          <w:sz w:val="18"/>
        </w:rPr>
        <w:t>——————————————————————————————————————————————————————————————————————</w:t>
      </w:r>
    </w:p>
    <w:p>
      <w:pPr>
        <w:spacing w:before="160" w:after="40" w:line="240" w:lineRule="auto"/>
      </w:pPr>
      <w:r>
        <w:rPr>
          <w:b/>
        </w:rPr>
        <w:t xml:space="preserve">[364] </w:t>
      </w:r>
      <w:hyperlink r:id="rId896">
        <w:r>
          <w:rPr>
            <w:color w:val="1155CC"/>
            <w:u w:val="single"/>
          </w:rPr>
          <w:t>检测基因-环境相互作用以指导个性化干预：提升多基因评分的分布回归</w:t>
        </w:r>
      </w:hyperlink>
    </w:p>
    <w:p>
      <w:pPr>
        <w:spacing w:before="0" w:after="80"/>
      </w:pPr>
      <w:r>
        <w:rPr>
          <w:i/>
          <w:sz w:val="20"/>
        </w:rPr>
        <w:t>EN: Detecting gene–environment interactions to guide personalized intervention: Boosting distributional regression for polygenic scores</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897">
        <w:r>
          <w:rPr>
            <w:color w:val="1155CC"/>
            <w:u w:val="single"/>
          </w:rPr>
          <w:t>10.1073/pnas.2529164123</w:t>
        </w:r>
      </w:hyperlink>
    </w:p>
    <w:p>
      <w:pPr>
        <w:spacing w:before="0" w:after="120"/>
      </w:pPr>
      <w:r>
        <w:rPr>
          <w:b/>
        </w:rPr>
        <w:t xml:space="preserve">Notes: </w:t>
      </w:r>
      <w:r>
        <w:t>abstract_source=crossref</w:t>
      </w:r>
    </w:p>
    <w:p>
      <w:pPr>
        <w:spacing w:before="0" w:after="80" w:lineRule="auto" w:line="276"/>
      </w:pPr>
      <w:r>
        <w:rPr>
          <w:b/>
        </w:rPr>
        <w:t xml:space="preserve">摘要（ZH）: </w:t>
      </w:r>
      <w:r>
        <w:t>多基因风险评分可用于模拟人类性状的个体遗传责任。目前的方法主要集中于模拟表型的均值，而忽略了方差。然而，与表型方差相关的遗传变异可以为基因-环境相互作用研究提供重要的见解。我们提出了snpboostlss，这是一种用于高斯位置-尺度模型的循环梯度提升算法，用于联合推导定量表型均值和方差的稀疏多基因模型。为了提高在高维和大规模基因型数据（大</w:t>
      </w:r>
      <w:r>
        <w:t xml:space="preserve"> </w:t>
      </w:r>
      <w:r>
        <w:t>n</w:t>
      </w:r>
      <w:r>
        <w:t xml:space="preserve"> </w:t>
      </w:r>
      <w:r>
        <w:t>和大</w:t>
      </w:r>
    </w:p>
    <w:p>
      <w:pPr>
        <w:spacing w:before="0" w:after="200" w:lineRule="auto" w:line="276"/>
      </w:pPr>
      <w:r>
        <w:rPr>
          <w:b/>
        </w:rPr>
        <w:t xml:space="preserve">Abstract (EN): </w:t>
      </w:r>
      <w:r>
        <w:t>Polygenic risk scores can be used to model the individual genetic liability for human traits. Current methods primarily focus on modeling the mean of a phenotype while neglecting the variance. However, genetic variants associated with phenotypic variance can provide important insights into gene–environment interaction studies. We propose snpboostlss, a cyclical gradient boosting algorithm for a Gaussian location-scale model to jointly derive sparse polygenic models for both the mean and the variance of a quantitative phenotype. To improve computational efficiency on high-dimensional and large-scale genotype data (large</w:t>
      </w:r>
      <w:r>
        <w:t xml:space="preserve"> </w:t>
      </w:r>
      <w:r>
        <w:t>n</w:t>
      </w:r>
      <w:r>
        <w:t xml:space="preserve"> </w:t>
      </w:r>
      <w:r>
        <w:t>and large</w:t>
      </w:r>
      <w:r>
        <w:t xml:space="preserve"> </w:t>
      </w:r>
      <w:r>
        <w:t>p</w:t>
      </w:r>
      <w:r>
        <w:t xml:space="preserve"> </w:t>
      </w:r>
      <w:r>
        <w:t>), we only consider a batch of most relevant variants in each boosting step. We investigate the effect of statins therapy (the environmental factor) on low-density lipoprotein in the UK Biobank cohort using the snpboostlss algorithm. We find evidence of an interaction between statins usage and the polygenic risk scores for phenotypic variance in both cross-sectional and longitudinal analyses. Particularly, following the spirit of target trial emulation, we observe that the treatment effect of statins was more substantial in people with higher polygenic risk scores for phenotypic variance, indicating gene–environment interaction. When applying to body mass index, the newly constructed polygenic risk scores for variance show significant interaction with physical activity and sedentary behavior. Therefore, the polygenic risk scores for phenotypic variance derived by snpboostlss have potential to identify individuals that could benefit more from environmental changes (e.g. medical intervention and lifestyle changes).</w:t>
      </w:r>
    </w:p>
    <w:p>
      <w:pPr>
        <w:spacing w:before="120" w:after="120"/>
      </w:pPr>
      <w:r>
        <w:rPr>
          <w:sz w:val="18"/>
        </w:rPr>
        <w:t>——————————————————————————————————————————————————————————————————————</w:t>
      </w:r>
    </w:p>
    <w:p>
      <w:pPr>
        <w:spacing w:before="160" w:after="40" w:line="240" w:lineRule="auto"/>
      </w:pPr>
      <w:r>
        <w:rPr>
          <w:b/>
        </w:rPr>
        <w:t xml:space="preserve">[365] </w:t>
      </w:r>
      <w:hyperlink r:id="rId898">
        <w:r>
          <w:rPr>
            <w:color w:val="1155CC"/>
            <w:u w:val="single"/>
          </w:rPr>
          <w:t>Wang等人的更正，门控蛋白InvE的寡聚组装协调沙门氏菌的三级蛋白分泌</w:t>
        </w:r>
      </w:hyperlink>
    </w:p>
    <w:p>
      <w:pPr>
        <w:spacing w:before="0" w:after="80"/>
      </w:pPr>
      <w:r>
        <w:rPr>
          <w:i/>
          <w:sz w:val="20"/>
        </w:rPr>
        <w:t>EN: Correction for Wang et al., Oligomeric assembly of the gatekeeper InvE orchestrates hierarchical type III protein secretion in Salmonella Typhimurium</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899">
        <w:r>
          <w:rPr>
            <w:color w:val="1155CC"/>
            <w:u w:val="single"/>
          </w:rPr>
          <w:t>10.1073/pnas.2608202123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[366] </w:t>
      </w:r>
      <w:hyperlink r:id="rId900">
        <w:r>
          <w:rPr>
            <w:color w:val="1155CC"/>
            <w:u w:val="single"/>
          </w:rPr>
          <w:t>通过挖掘癌症基因组的拷贝数变异识别糖基化酶作为致癌驱动因子</w:t>
        </w:r>
      </w:hyperlink>
    </w:p>
    <w:p>
      <w:pPr>
        <w:spacing w:before="0" w:after="80"/>
      </w:pPr>
      <w:r>
        <w:rPr>
          <w:i/>
          <w:sz w:val="20"/>
        </w:rPr>
        <w:t>EN: Mining cancer genomes for copy number alterations identifies glycosylation enzymes as oncogenic drivers</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901">
        <w:r>
          <w:rPr>
            <w:color w:val="1155CC"/>
            <w:u w:val="single"/>
          </w:rPr>
          <w:t>10.1073/pnas.2521848123</w:t>
        </w:r>
      </w:hyperlink>
    </w:p>
    <w:p>
      <w:pPr>
        <w:spacing w:before="0" w:after="120"/>
      </w:pPr>
      <w:r>
        <w:rPr>
          <w:b/>
        </w:rPr>
        <w:t xml:space="preserve">Notes: </w:t>
      </w:r>
      <w:r>
        <w:t>abstract_source=crossref</w:t>
      </w:r>
    </w:p>
    <w:p>
      <w:pPr>
        <w:spacing w:before="0" w:after="80" w:lineRule="auto" w:line="276"/>
      </w:pPr>
      <w:r>
        <w:rPr>
          <w:b/>
        </w:rPr>
        <w:t xml:space="preserve">摘要（ZH）: </w:t>
      </w:r>
      <w:r>
        <w:t>改变的细胞表面糖基是已知的癌症生物标志物，但在糖基生物合成机制中尚未发现致癌基因。这代表了一个关键的空白，因为将基因定义为真正的致癌基因，而不仅仅是致癌途径的组成部分，可以揭示可靶向的依赖性，从而改善临床决策。迄今为止，在糖基基因中尚未检测到功能获得性突变，并且对这种突变的搜索基本上已达到饱和。为了解决这一空白，我们开发了一个生物信息学-实验管道，以识别基于拷贝数变异（CNA）的驱动基因，克服了乘客基因的噪音。该方法恢复了已知的致癌基因和肿瘤抑制基因，同时揭示了新的候选基因，包括糖基致癌基因。我们专注于糖鞘脂（GSL）</w:t>
      </w:r>
    </w:p>
    <w:p>
      <w:pPr>
        <w:spacing w:before="0" w:after="200" w:lineRule="auto" w:line="276"/>
      </w:pPr>
      <w:r>
        <w:rPr>
          <w:b/>
        </w:rPr>
        <w:t xml:space="preserve">Abstract (EN): </w:t>
      </w:r>
      <w:r>
        <w:t>Altered cell-surface glycans are established cancer biomarkers, yet no oncogenes have been identified within glycan biosynthesis machinery. This represents a critical gap, as defining a gene as a true oncogene, rather than merely a component of an oncogenic pathway, reveals targetable dependencies that can improve clinical decisions. To date, no gain-of-function mutations have been detected in glycogenes, and the search for such mutations is largely saturated. To address this gap, we developed a bioinformatic–experimental pipeline to identify copy number alteration (CNA)-based driver genes, overcoming noise from passenger genes. The approach recovered known oncogenes and tumor suppressors, while revealing novel candidates, including glyco-oncogenes. Focusing on the glycosphingolipid (GSL) biosynthetic pathway, we validated</w:t>
      </w:r>
      <w:r>
        <w:t xml:space="preserve"> </w:t>
      </w:r>
      <w:r>
        <w:t>B4GALT5</w:t>
      </w:r>
      <w:r>
        <w:t xml:space="preserve"> </w:t>
      </w:r>
      <w:r>
        <w:t>as a bona fide glyco-oncogene whose genomic amplification drives proliferation, oncogene addiction, and poor prognosis, effects that can be reversed by targeted pathway inhibition. Mechanistic studies show that B4GALT5 promotes cancer cell survival via integrin-Src signaling under anchorage-independent conditions. Collectively, these findings establish glycosylation enzymes as a druggable oncogene class and provide a resource of high-confidence CNA-based cancer regulatory genes.</w:t>
      </w:r>
    </w:p>
    <w:p>
      <w:pPr>
        <w:spacing w:before="120" w:after="120"/>
      </w:pPr>
      <w:r>
        <w:rPr>
          <w:sz w:val="18"/>
        </w:rPr>
        <w:t>——————————————————————————————————————————————————————————————————————</w:t>
      </w:r>
    </w:p>
    <w:p>
      <w:pPr>
        <w:spacing w:before="160" w:after="40" w:line="240" w:lineRule="auto"/>
      </w:pPr>
      <w:r>
        <w:rPr>
          <w:b/>
        </w:rPr>
        <w:t xml:space="preserve">[367] </w:t>
      </w:r>
      <w:hyperlink r:id="rId902">
        <w:r>
          <w:rPr>
            <w:color w:val="1155CC"/>
            <w:u w:val="single"/>
          </w:rPr>
          <w:t>高质量的周围景观缓解了森林残余地带的鸟类灭绝</w:t>
        </w:r>
      </w:hyperlink>
    </w:p>
    <w:p>
      <w:pPr>
        <w:spacing w:before="0" w:after="80"/>
      </w:pPr>
      <w:r>
        <w:rPr>
          <w:i/>
          <w:sz w:val="20"/>
        </w:rPr>
        <w:t>EN: High-quality surrounding landscapes mitigate avian extirpations from forest remnants</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903">
        <w:r>
          <w:rPr>
            <w:color w:val="1155CC"/>
            <w:u w:val="single"/>
          </w:rPr>
          <w:t>10.1073/pnas.2521783123</w:t>
        </w:r>
      </w:hyperlink>
    </w:p>
    <w:p>
      <w:pPr>
        <w:spacing w:before="0" w:after="120"/>
      </w:pPr>
      <w:r>
        <w:rPr>
          <w:b/>
        </w:rPr>
        <w:t xml:space="preserve">Notes: </w:t>
      </w:r>
      <w:r>
        <w:t>abstract_source=crossref</w:t>
      </w:r>
    </w:p>
    <w:p>
      <w:pPr>
        <w:spacing w:before="0" w:after="80" w:lineRule="auto" w:line="276"/>
      </w:pPr>
      <w:r>
        <w:rPr>
          <w:b/>
        </w:rPr>
        <w:t xml:space="preserve">摘要（ZH）: </w:t>
      </w:r>
      <w:r>
        <w:t>物种-面积关系（SAR）长期以来被用于预测栖息地丧失导致的灭绝率，但这些率不仅取决于栖息地面积，还取决于周围的景观和物种的栖息地专化性。我们收集了由河流筑坝形成的森林岛屿和由清除砍伐造成的森林碎片的全球数据，以研究基质类型（水生或陆地）和树木覆盖对鸟类SAR的影响。与通常已有数百万年历史的海洋岛屿不同，人为的森林岛屿提供了一个当代的森林碎片类比，以理解基质效应对SAR的影响，并作为森林碎片化最坏情况的基线。我们的数据库包括来自热带和亚热带地区的45项研究的50个数据集，t</w:t>
      </w:r>
    </w:p>
    <w:p>
      <w:pPr>
        <w:spacing w:before="0" w:after="200" w:lineRule="auto" w:line="276"/>
      </w:pPr>
      <w:r>
        <w:rPr>
          <w:b/>
        </w:rPr>
        <w:t xml:space="preserve">Abstract (EN): </w:t>
      </w:r>
      <w:r>
        <w:t>The species–area relationship (SAR) has long been used to predict extirpation rates from habitat loss, but these rates depend not only on habitat area but also on the surrounding landscape and species’ habitat specialization. We collated global data from forest islands created by river damming and forest fragments resulting from clear-cut deforestation to examine the effects of matrix type (aquatic or terrestrial) and tree cover on avian SARs. Unlike oceanic islands, which are often millions of years old, anthropogenic forest islands provide a contemporary analog to forest fragments to understand matrix effects on SARs and serve as a baseline for worst-case scenarios of forest fragmentation. Our database comprises 50 datasets from 45 studies conducted in tropical and subtropical regions, totaling 1,954 bird species detected through 39,197 incidence records from 336 forest islands and 669 forest fragments. We found that bird extirpation rates were lower in fragments than on islands, especially for forest-dependent species compared to all species. Species losses were further reduced by increasing tree cover around forest remnants at local landscape scales of 300 m, highlighting the importance of small-scale conservation strategies. Moreover, even small forest fragments with greater nearby tree cover held high conservation value, emphasizing the crucial role of the surrounding landscape in mitigating avian extirpations from forest remnants. Beyond protecting forest remnants themselves, area-based conservation efforts would therefore be greatly enhanced by improving matrix quality and expanding tree cover in otherwise hostile landscapes.</w:t>
      </w:r>
    </w:p>
    <w:p>
      <w:pPr>
        <w:spacing w:before="120" w:after="120"/>
      </w:pPr>
      <w:r>
        <w:rPr>
          <w:sz w:val="18"/>
        </w:rPr>
        <w:t>——————————————————————————————————————————————————————————————————————</w:t>
      </w:r>
    </w:p>
    <w:p>
      <w:pPr>
        <w:spacing w:before="160" w:after="40" w:line="240" w:lineRule="auto"/>
      </w:pPr>
      <w:r>
        <w:rPr>
          <w:b/>
        </w:rPr>
        <w:t xml:space="preserve">[368] </w:t>
      </w:r>
      <w:hyperlink r:id="rId904">
        <w:r>
          <w:rPr>
            <w:color w:val="1155CC"/>
            <w:u w:val="single"/>
          </w:rPr>
          <w:t>免费信息甚至扰乱了贝叶斯人群</w:t>
        </w:r>
      </w:hyperlink>
    </w:p>
    <w:p>
      <w:pPr>
        <w:spacing w:before="0" w:after="80"/>
      </w:pPr>
      <w:r>
        <w:rPr>
          <w:i/>
          <w:sz w:val="20"/>
        </w:rPr>
        <w:t>EN: Free information disrupts even Bayesian crowds</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905">
        <w:r>
          <w:rPr>
            <w:color w:val="1155CC"/>
            <w:u w:val="single"/>
          </w:rPr>
          <w:t>10.1073/pnas.2518472123</w:t>
        </w:r>
      </w:hyperlink>
    </w:p>
    <w:p>
      <w:pPr>
        <w:spacing w:before="0" w:after="120"/>
      </w:pPr>
      <w:r>
        <w:rPr>
          <w:b/>
        </w:rPr>
        <w:t xml:space="preserve">Notes: </w:t>
      </w:r>
      <w:r>
        <w:t>abstract_source=crossref</w:t>
      </w:r>
    </w:p>
    <w:p>
      <w:pPr>
        <w:spacing w:before="0" w:after="80" w:lineRule="auto" w:line="276"/>
      </w:pPr>
      <w:r>
        <w:rPr>
          <w:b/>
        </w:rPr>
        <w:t xml:space="preserve">摘要（ZH）: </w:t>
      </w:r>
      <w:r>
        <w:t>当代信息网络（如社交媒体平台）概念的一个核心原则是，用户在关于某一特定主题的信息交换中不应受到限制。通过计算机代理模型，我们展示了即使在拥有完美信息处理能力的寻求真相和合作的代理群体中，不受限制的信息交换也可能对群体信念的正确性产生不利影响。如果即使在如此理想化的代理之间不受限制的信息交换也可能有害，那么在实践中也可能如此。因此，我们认为在设计通信网络时，应仔细考虑信息流的限制。</w:t>
      </w:r>
    </w:p>
    <w:p>
      <w:pPr>
        <w:spacing w:before="0" w:after="200" w:lineRule="auto" w:line="276"/>
      </w:pPr>
      <w:r>
        <w:rPr>
          <w:b/>
        </w:rPr>
        <w:t xml:space="preserve">Abstract (EN): </w:t>
      </w:r>
      <w:r>
        <w:t>A core tenet underpinning the conception of contemporary information networks, such as social media platforms, is that users should not be constrained in the amount of information they can freely and willingly exchange with one another about a given topic. By means of a computational agent-based model, we show how even in groups of truth-seeking and cooperative agents with perfect information-processing abilities, unconstrained information exchange may lead to detrimental effects on the correctness of the group’s beliefs. If unconstrained information exchange can be detrimental even among such idealized agents, it is prudent to assume it can also be so in practice. We therefore argue that constraints on information flow should be carefully considered in the design of communication networks with substantial societal impact, such as social media platforms.</w:t>
      </w:r>
    </w:p>
    <w:p>
      <w:pPr>
        <w:spacing w:before="120" w:after="120"/>
      </w:pPr>
      <w:r>
        <w:rPr>
          <w:sz w:val="18"/>
        </w:rPr>
        <w:t>——————————————————————————————————————————————————————————————————————</w:t>
      </w:r>
    </w:p>
    <w:p>
      <w:pPr>
        <w:spacing w:before="160" w:after="40" w:line="240" w:lineRule="auto"/>
      </w:pPr>
      <w:r>
        <w:rPr>
          <w:b/>
        </w:rPr>
        <w:t xml:space="preserve">[369] </w:t>
      </w:r>
      <w:hyperlink r:id="rId906">
        <w:r>
          <w:rPr>
            <w:color w:val="1155CC"/>
            <w:u w:val="single"/>
          </w:rPr>
          <w:t>C类MERS-CoV骆驼毒株在病毒进入过程中蛋白酶利用率不同</w:t>
        </w:r>
      </w:hyperlink>
    </w:p>
    <w:p>
      <w:pPr>
        <w:spacing w:before="0" w:after="80"/>
      </w:pPr>
      <w:r>
        <w:rPr>
          <w:i/>
          <w:sz w:val="20"/>
        </w:rPr>
        <w:t>EN: Clade C MERS-CoV camel strains vary in protease utilization during viral entry</w:t>
      </w:r>
    </w:p>
    <w:p>
      <w:pPr>
        <w:spacing w:before="0" w:after="120"/>
      </w:pPr>
      <w:r>
        <w:rPr>
          <w:b/>
        </w:rPr>
        <w:t xml:space="preserve">Source: </w:t>
      </w:r>
      <w:r>
        <w:t>Proceedings of the National Academy of Sciences: Keyword search for query</w:t>
      </w:r>
      <w:r>
        <w:t xml:space="preserve">    </w:t>
      </w:r>
      <w:r>
        <w:rPr>
          <w:b/>
        </w:rPr>
        <w:t xml:space="preserve">Pub date: </w:t>
      </w:r>
      <w:r>
        <w:t>2026-04-01 07:00:00+00:00</w:t>
      </w:r>
      <w:r>
        <w:t xml:space="preserve">    </w:t>
      </w:r>
      <w:r>
        <w:rPr>
          <w:b/>
        </w:rPr>
        <w:t xml:space="preserve">DOI: </w:t>
      </w:r>
      <w:hyperlink r:id="rId907">
        <w:r>
          <w:rPr>
            <w:color w:val="1155CC"/>
            <w:u w:val="single"/>
          </w:rPr>
          <w:t>10.1073/pnas.2525313123</w:t>
        </w:r>
      </w:hyperlink>
    </w:p>
    <w:p>
      <w:pPr>
        <w:spacing w:before="0" w:after="120"/>
      </w:pPr>
      <w:r>
        <w:rPr>
          <w:b/>
        </w:rPr>
        <w:t xml:space="preserve">Notes: </w:t>
      </w:r>
      <w:r>
        <w:t>abstract_source=crossref</w:t>
      </w:r>
    </w:p>
    <w:p>
      <w:pPr>
        <w:spacing w:before="0" w:after="80" w:lineRule="auto" w:line="276"/>
      </w:pPr>
      <w:r>
        <w:rPr>
          <w:b/>
        </w:rPr>
        <w:t xml:space="preserve">摘要（ZH）: </w:t>
      </w:r>
      <w:r>
        <w:t>中东呼吸综合征冠状病毒（MERS-CoV）是一种具有大流行潜力的致命病原体。自2012年起，A和B类MERS-CoV病毒在中东引发了疫情，当时它们最初从骆驼传播到人类。然而，C类病毒仅在非洲的骆驼中发现，这些病毒的溢出潜力似乎低于A/B类毒株，但仍需充分了解。在此，我们报告C类刺突蛋白在S1/S2边界的切割程度低于A或B类病毒刺突蛋白，并且大多数C类刺突蛋白诱导的合胞体形成减少。此外，我们证明了几个东非C类毒株在细胞系和原代鼻上皮细胞中利用TMPRSS2介导的病毒进入途径的能力较弱。</w:t>
      </w:r>
    </w:p>
    <w:p>
      <w:pPr>
        <w:spacing w:before="0" w:after="200" w:lineRule="auto" w:line="276"/>
      </w:pPr>
      <w:r>
        <w:rPr>
          <w:b/>
        </w:rPr>
        <w:t xml:space="preserve">Abstract (EN): </w:t>
      </w:r>
      <w:r>
        <w:t>Middle East Respiratory Syndrome coronavirus (MERS-CoV) is a lethal pathogen with pandemic potential. Clade A and B MERS-CoV viruses have caused outbreaks in the Middle East since 2012 when they initially spilled over from camels to humans. Clade C viruses, however, are only found in camels across Africa and the spillover potential of these viruses seems to be lower than for clade A/B strains but remains to be fully understood. Here, we report that clade C spikes are less well-cleaved at the S1/S2 boundary than clade A or B viral spikes and that most clade C spikes induce reduced syncytium formation. Additionally, we demonstrate that several East African clade C strains are less able to utilize the TMPRSS2-mediated pathway for viral entry in both cell lines and primary nasal epithelial cultures. We map the molecular basis of this reduced TMPRSS2 usage to the N-terminal domain and subdomain 2 of East African clade C MERS-CoV. We suggest that reduced usage of the TMPRSS2-mediated entry pathway may underlie the reduced replication of East African clade C strains in humans, while the reduced replication of West African strains remains to be further investigated. Altered protease usage may contribute to differential tropism of East African clade C strains and indicate geographically distinct selection pressures on spike between MERS-CoV strains circulating in camels.</w:t>
      </w:r>
    </w:p>
    <w:p>
      <w:pPr>
        <w:spacing w:before="120" w:after="120"/>
      </w:pPr>
      <w:r>
        <w:rPr>
          <w:sz w:val="18"/>
        </w:rPr>
        <w:t>——————————————————————————————————————————————————————————————————————</w:t>
      </w:r>
    </w:p>
    <w:p>
      <w:pPr>
        <w:spacing w:before="160" w:after="40" w:line="240" w:lineRule="auto"/>
      </w:pPr>
      <w:r>
        <w:rPr>
          <w:b/>
        </w:rPr>
        <w:t xml:space="preserve">[370] </w:t>
      </w:r>
      <w:hyperlink r:id="rId908">
        <w:r>
          <w:rPr>
            <w:color w:val="1155CC"/>
            <w:u w:val="single"/>
          </w:rPr>
          <w:t>铜缺乏通过线粒体自噬和mTOR抑制影响ASD中少突胶质细胞的成熟和社会行为</w:t>
        </w:r>
      </w:hyperlink>
    </w:p>
    <w:p>
      <w:pPr>
        <w:spacing w:before="0" w:after="80"/>
      </w:pPr>
      <w:r>
        <w:rPr>
          <w:i/>
          <w:sz w:val="20"/>
        </w:rPr>
        <w:t>EN: Copper deficiency impairs oligodendrocyte maturation and social behavior via mitophagy and mTOR suppression in ASD</w:t>
      </w:r>
    </w:p>
    <w:p>
      <w:pPr>
        <w:spacing w:before="0" w:after="120"/>
      </w:pPr>
      <w:r>
        <w:rPr>
          <w:b/>
        </w:rPr>
        <w:t xml:space="preserve">Source: </w:t>
      </w:r>
      <w:r>
        <w:t>AAAS: Science Advances: Table of Contents</w:t>
      </w:r>
      <w:r>
        <w:t xml:space="preserve">    </w:t>
      </w:r>
      <w:r>
        <w:rPr>
          <w:b/>
        </w:rPr>
        <w:t xml:space="preserve">Pub date: </w:t>
      </w:r>
      <w:r>
        <w:t>2026-04-01 07:00:00+00:00</w:t>
      </w:r>
      <w:r>
        <w:t xml:space="preserve">    </w:t>
      </w:r>
      <w:r>
        <w:rPr>
          <w:b/>
        </w:rPr>
        <w:t xml:space="preserve">DOI: </w:t>
      </w:r>
      <w:hyperlink r:id="rId909">
        <w:r>
          <w:rPr>
            <w:color w:val="1155CC"/>
            <w:u w:val="single"/>
          </w:rPr>
          <w:t>10.1126/sciadv.adz3398</w:t>
        </w:r>
      </w:hyperlink>
    </w:p>
    <w:p>
      <w:pPr>
        <w:spacing w:before="0" w:after="120"/>
      </w:pPr>
      <w:r>
        <w:rPr>
          <w:b/>
        </w:rPr>
        <w:t xml:space="preserve">Notes: </w:t>
      </w:r>
      <w:r>
        <w:t>abstract_source=crossref</w:t>
      </w:r>
    </w:p>
    <w:p>
      <w:pPr>
        <w:spacing w:before="0" w:after="80" w:lineRule="auto" w:line="276"/>
      </w:pPr>
      <w:r>
        <w:rPr>
          <w:b/>
        </w:rPr>
        <w:t xml:space="preserve">摘要（ZH）: </w:t>
      </w:r>
      <w:r>
        <w:t>自闭症谱系障碍（ASD）是一种神经发育状况，其特征是社交沟通障碍和重复性行为受限，但微量元素的贡献仍未明确。我们在ASD个体中分析了21种微量元素，发现铜水平显著降低，并与社交症状严重程度呈负相关。磁共振成像显示ASD的白质体积减少，这也与社交障碍相关。为探索机制，我们生成了铜缺乏的小鼠模型，表现出ASD样行为和受损的少突胶质细胞（OL）发育。铜缺乏破坏了缺氧诱导因子1α（HIF1α）依赖的血管生成和胚胎大脑中的代谢调节，导致氧化。</w:t>
      </w:r>
    </w:p>
    <w:p>
      <w:pPr>
        <w:spacing w:before="0" w:after="200" w:lineRule="auto" w:line="276"/>
      </w:pPr>
      <w:r>
        <w:rPr>
          <w:b/>
        </w:rPr>
        <w:t xml:space="preserve">Abstract (EN): </w:t>
      </w:r>
      <w:r>
        <w:t>Autism spectrum disorder (ASD) is a neurodevelopmental condition characterized by impaired social communication and restricted repetitive behaviors, yet the contribution of trace elements remains poorly defined. We profiled 21 trace elements in individuals with ASD and identified significantly reduced copper levels, which negatively correlated with social symptom severity. Magnetic resonance imaging revealed decreased white matter volume in ASD, which also correlated with social impairment. To explore the mechanisms, we generated a copper-deficient mouse model that displayed ASD-like behaviors and impaired oligodendrocyte (OL) development. Copper deficiency disrupted hypoxia-inducible factor 1α (HIF1α)–dependent angiogenesis and metabolic regulation in the embryonic brain, leading to oxidative stress, mitochondrial dysfunction, and BCL2 interacting protein 3 (BNIP3)-mediated mitophagy in oligodendrocyte progenitor cells. These processes suppressed mechanistic target of rapamycin kinase (mTOR) signaling, reduced OL-lineage cells, and caused hypomyelination. Restoring mTOR activity rescued OL maturation and improved social behavior in copper-deficient mice. These findings identify a copper-HIF1α-BNIP3-mTOR signaling axis that links trace element imbalance to glial dysfunction and ASD-relevant behavioral phenotypes, providing mechanistic insight into neurodevelopment.</w:t>
      </w:r>
    </w:p>
    <w:p>
      <w:pPr>
        <w:spacing w:before="120" w:after="120"/>
      </w:pPr>
      <w:r>
        <w:rPr>
          <w:sz w:val="18"/>
        </w:rPr>
        <w:t>——————————————————————————————————————————————————————————————————————</w:t>
      </w:r>
    </w:p>
    <w:p>
      <w:pPr>
        <w:spacing w:before="160" w:after="40" w:line="240" w:lineRule="auto"/>
      </w:pPr>
      <w:r>
        <w:rPr>
          <w:b/>
        </w:rPr>
        <w:t xml:space="preserve">[371] </w:t>
      </w:r>
      <w:hyperlink r:id="rId910">
        <w:r>
          <w:rPr>
            <w:color w:val="1155CC"/>
            <w:u w:val="single"/>
          </w:rPr>
          <w:t>有机合成中的后期氧化：从固有反应性到复杂环境中的定向选择性</w:t>
        </w:r>
      </w:hyperlink>
    </w:p>
    <w:p>
      <w:pPr>
        <w:spacing w:before="0" w:after="80"/>
      </w:pPr>
      <w:r>
        <w:rPr>
          <w:i/>
          <w:sz w:val="20"/>
        </w:rPr>
        <w:t>EN: Late‐Stage Oxygenation in Organic Synthesis: From Innate Reactivity to Directed Selectivity in Complex Settings</w:t>
      </w:r>
    </w:p>
    <w:p>
      <w:pPr>
        <w:spacing w:before="0" w:after="120"/>
      </w:pPr>
      <w:r>
        <w:rPr>
          <w:b/>
        </w:rPr>
        <w:t xml:space="preserve">Source: </w:t>
      </w:r>
      <w:r>
        <w:t>Wiley: Angewandte Chemie International Edition: Table of Contents</w:t>
      </w:r>
      <w:r>
        <w:t xml:space="preserve">    </w:t>
      </w:r>
      <w:r>
        <w:rPr>
          <w:b/>
        </w:rPr>
        <w:t xml:space="preserve">Pub date: </w:t>
      </w:r>
      <w:r>
        <w:t>2026-04-01 07:11:26+00:00</w:t>
      </w:r>
      <w:r>
        <w:t xml:space="preserve">    </w:t>
      </w:r>
      <w:r>
        <w:rPr>
          <w:b/>
        </w:rPr>
        <w:t xml:space="preserve">DOI: </w:t>
      </w:r>
      <w:hyperlink r:id="rId911">
        <w:r>
          <w:rPr>
            <w:color w:val="1155CC"/>
            <w:u w:val="single"/>
          </w:rPr>
          <w:t>10.1002/anie.202521362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后期氧化（LSO）已成为现代合成化学中的一种变革性策略，使得复杂、功能密集的分子能够被精确修饰。由于制药、农用化学品和材料科学中对高效、选择性和可持续方法的需求不断增长，最近的进展扩大了这种方法的范围和实用性。在选择性氧化剂、生物催化平台和光氧化还原方法的设计方面的突破重新定义了在高级合成阶段进行分子多样化和功能化的可能性。这篇综述整合了LSO的概念基础与化学和酶领域的前沿发展，强调了其实用应用</w:t>
      </w:r>
    </w:p>
    <w:p>
      <w:pPr>
        <w:spacing w:before="0" w:after="200" w:lineRule="auto" w:line="276"/>
      </w:pPr>
      <w:r>
        <w:rPr>
          <w:b/>
        </w:rPr>
        <w:t xml:space="preserve">Abstract (EN): </w:t>
      </w:r>
      <w:r>
        <w:t>Late‐stage oxygenation (LSO) has emerged as a transformative strategy in modern synthetic chemistry, enabling the precise modification of complex, densely functionalized molecules. Driven by the growing demand for efficient, selective, and sustainable methods in pharmaceutical, agrochemical, and materials science, recent advances have expanded the scope and utility of this approach. Breakthroughs in the design of selective oxidants, biocatalytic platforms, and photoredox methodologies have redefined the possibilities for molecular diversification and functionalization at advanced synthetic stages. This review consolidates the conceptual foundations of LSO with cutting‐edge developments across chemical and enzymatic domains, highlighting both practical applications and mechanistic insights. By integrating these perspectives, we aim to provide a comprehensive resource that will guide practitioners across disciplines, from those newly entering the field to experts seeking to harness the latest innovations.</w:t>
      </w:r>
    </w:p>
    <w:p>
      <w:pPr>
        <w:spacing w:before="120" w:after="120"/>
      </w:pPr>
      <w:r>
        <w:rPr>
          <w:sz w:val="18"/>
        </w:rPr>
        <w:t>——————————————————————————————————————————————————————————————————————</w:t>
      </w:r>
    </w:p>
    <w:p>
      <w:pPr>
        <w:spacing w:before="160" w:after="40" w:line="240" w:lineRule="auto"/>
      </w:pPr>
      <w:r>
        <w:rPr>
          <w:b/>
        </w:rPr>
        <w:t xml:space="preserve">[372] </w:t>
      </w:r>
      <w:hyperlink r:id="rId912">
        <w:r>
          <w:rPr>
            <w:color w:val="1155CC"/>
            <w:u w:val="single"/>
          </w:rPr>
          <w:t>通过离子液体解决磁活性和电活性聚合物复合材料的复杂多尺度结构</w:t>
        </w:r>
      </w:hyperlink>
    </w:p>
    <w:p>
      <w:pPr>
        <w:spacing w:before="0" w:after="80"/>
      </w:pPr>
      <w:r>
        <w:rPr>
          <w:i/>
          <w:sz w:val="20"/>
        </w:rPr>
        <w:t>EN: Resolving Complex Multiscale Structure of Magneto‐ and Electroactive Polymer Composites With an Ionic Liquid</w:t>
      </w:r>
    </w:p>
    <w:p>
      <w:pPr>
        <w:spacing w:before="0" w:after="120"/>
      </w:pPr>
      <w:r>
        <w:rPr>
          <w:b/>
        </w:rPr>
        <w:t xml:space="preserve">Source: </w:t>
      </w:r>
      <w:r>
        <w:t>Wiley: Advanced Materials: Table of Contents</w:t>
      </w:r>
      <w:r>
        <w:t xml:space="preserve">    </w:t>
      </w:r>
      <w:r>
        <w:rPr>
          <w:b/>
        </w:rPr>
        <w:t xml:space="preserve">Pub date: </w:t>
      </w:r>
      <w:r>
        <w:t>2026-04-01 07:45:05+00:00</w:t>
      </w:r>
      <w:r>
        <w:t xml:space="preserve">    </w:t>
      </w:r>
      <w:r>
        <w:rPr>
          <w:b/>
        </w:rPr>
        <w:t xml:space="preserve">DOI: </w:t>
      </w:r>
      <w:hyperlink r:id="rId913">
        <w:r>
          <w:rPr>
            <w:color w:val="1155CC"/>
            <w:u w:val="single"/>
          </w:rPr>
          <w:t>10.1002/adma.202516835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离子凝胶结构的多尺度理解——不含纳米颗粒的聚合物复合材料结合离子液体——对于增强其宏观功能特性和释放其在能源存储、传感和驱动等关键应用中的潜力至关重要。我们通过结合中子散射与低温扫描电子断层成像、聚焦离子束铣削和低温透射电子显微镜的元素分析，建立了在实际相关的电活性共聚物聚（偏二氟乙烯‐</w:t>
      </w:r>
      <w:r>
        <w:t xml:space="preserve"> </w:t>
      </w:r>
      <w:r>
        <w:t>co</w:t>
      </w:r>
      <w:r>
        <w:t xml:space="preserve"> </w:t>
      </w:r>
      <w:r>
        <w:t>‐三氟乙烯）基质中离子液体的纳米和微观结构的完整图景。我们展示了离子液体</w:t>
      </w:r>
    </w:p>
    <w:p>
      <w:pPr>
        <w:spacing w:before="0" w:after="200" w:lineRule="auto" w:line="276"/>
      </w:pPr>
      <w:r>
        <w:rPr>
          <w:b/>
        </w:rPr>
        <w:t xml:space="preserve">Abstract (EN): </w:t>
      </w:r>
      <w:r>
        <w:t>A multiscale understanding of the structure of ionogels – nanoparticle‐free polymer composites incorporating ionic liquids – is essential for enhancing their macroscopic functional properties and unlocking their potential in critical applications such as energy storage, sensing, and actuation. We establish a complete picture of the nano‐ and microstructuration of an ionic liquid within the matrix of a practically relevant electroactive copolymer poly(vinylidenefluoride‐</w:t>
      </w:r>
      <w:r>
        <w:t xml:space="preserve"> </w:t>
      </w:r>
      <w:r>
        <w:t>co</w:t>
      </w:r>
      <w:r>
        <w:t xml:space="preserve"> </w:t>
      </w:r>
      <w:r>
        <w:t>‐trifluoroethylene), by combining neutron scattering with cryogenic scanning electron tomography assisted by focused ion beam milling and cryogenic transmission electron microscopy with elemental analysis. We show that the ionic liquid is primarily located in the polymer amorphous phase and forms nanostructures with 10–12 nm size. It does not penetrate into the crystalline lamellae or the polymer amorphous phase confined between them, and it does not affect the polymer degree of crystallinity nor its complete crystallization in the highly electroactive β‐phase. Saturation of the unconfined amorphous phase with ionic liquid is identified as the key factor enabling high ionic conductivity while preserving mechanical integrity. At high ionic liquid concentrations, its excess microphase‐separates during the composite processing and accumulates in predominantly interconnected micrometer‐sized pores, providing the magnetoelectric response and further increasing the ionic conductivity.</w:t>
      </w:r>
    </w:p>
    <w:p>
      <w:pPr>
        <w:spacing w:before="120" w:after="120"/>
      </w:pPr>
      <w:r>
        <w:rPr>
          <w:sz w:val="18"/>
        </w:rPr>
        <w:t>——————————————————————————————————————————————————————————————————————</w:t>
      </w:r>
    </w:p>
    <w:p>
      <w:pPr>
        <w:spacing w:before="160" w:after="40" w:line="240" w:lineRule="auto"/>
      </w:pPr>
      <w:r>
        <w:rPr>
          <w:b/>
        </w:rPr>
        <w:t xml:space="preserve">[373] </w:t>
      </w:r>
      <w:hyperlink r:id="rId914">
        <w:r>
          <w:rPr>
            <w:color w:val="1155CC"/>
            <w:u w:val="single"/>
          </w:rPr>
          <w:t>用于机器人仿生皮肤的三维可拉伸触觉传感器</w:t>
        </w:r>
      </w:hyperlink>
    </w:p>
    <w:p>
      <w:pPr>
        <w:spacing w:before="0" w:after="80"/>
      </w:pPr>
      <w:r>
        <w:rPr>
          <w:i/>
          <w:sz w:val="20"/>
        </w:rPr>
        <w:t>EN: Three‐Dimensional Stretchable Tactile Sensors for Robotic Bionic Skin</w:t>
      </w:r>
    </w:p>
    <w:p>
      <w:pPr>
        <w:spacing w:before="0" w:after="120"/>
      </w:pPr>
      <w:r>
        <w:rPr>
          <w:b/>
        </w:rPr>
        <w:t xml:space="preserve">Source: </w:t>
      </w:r>
      <w:r>
        <w:t>Wiley: Advanced Materials: Table of Contents</w:t>
      </w:r>
      <w:r>
        <w:t xml:space="preserve">    </w:t>
      </w:r>
      <w:r>
        <w:rPr>
          <w:b/>
        </w:rPr>
        <w:t xml:space="preserve">Pub date: </w:t>
      </w:r>
      <w:r>
        <w:t>2026-04-01 07:51:04+00:00</w:t>
      </w:r>
      <w:r>
        <w:t xml:space="preserve">    </w:t>
      </w:r>
      <w:r>
        <w:rPr>
          <w:b/>
        </w:rPr>
        <w:t xml:space="preserve">DOI: </w:t>
      </w:r>
      <w:hyperlink r:id="rId915">
        <w:r>
          <w:rPr>
            <w:color w:val="1155CC"/>
            <w:u w:val="single"/>
          </w:rPr>
          <w:t>10.1002/adma.202522250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拉伸触觉传感器对于机器人皮肤至关重要；然而，传统的平面集成方法难以适应复杂的几何形状，从而限制了高级传感应用。现有的制造方法（例如转移印刷）也由于依赖于预组装的平面结构而面临可扩展性挑战。受生物系统的启发，我们提出了一种新颖的3D制造策略，该策略结合了3D打印、材料创新和激光直接写入技术，直接在3D基板上构建可拉伸的触觉传感器阵列，实现无缝的多层互连。模仿鳄鱼皮的3D折叠表皮，所提出的仿生结构表现出超越人类皮肤的性能优势。</w:t>
      </w:r>
    </w:p>
    <w:p>
      <w:pPr>
        <w:spacing w:before="0" w:after="200" w:lineRule="auto" w:line="276"/>
      </w:pPr>
      <w:r>
        <w:rPr>
          <w:b/>
        </w:rPr>
        <w:t xml:space="preserve">Abstract (EN): </w:t>
      </w:r>
      <w:r>
        <w:t>Stretchable tactile sensors are essential for robotic skin; however, conventional planar integration methods struggle to accommodate complex geometries, thereby limiting advanced sensing applications. Existing fabrication approaches (e.g., transfer printing) also face scalability challenges due to their reliance on preassembled planar structures. Inspired by biological systems, we propose a novel 3D fabrication strategy that integrates 3D printing, material innovation, and laser direct writing to directly construct stretchable tactile sensor arrays on 3D substrates, enabling seamless multilayer interconnections. Mimicking the 3D folded epidermis of crocodile skin, the proposed biomimetic structure exhibits performance advantages beyond those of human skin. The proof‐of‐concept sensor arrays demonstrate high responsiveness, with an amplitude response time of less than 0.5 ms and a maximum operating frequency of 473.33 Hz, along with a frequency resolution of 0.35 Hz and an angular resolution of 1°. Notably, 900 sensors were integrated onto a sub‐meter‐scale film, achieving 100% accuracy in complex pattern recognition tasks via deep learning. This approach enables a transition from 2D to scalable 3D fabrication and provides a versatile platform for next‐generation robotic bionic skin and intelligent sensing systems.</w:t>
      </w:r>
    </w:p>
    <w:p>
      <w:pPr>
        <w:spacing w:before="120" w:after="120"/>
      </w:pPr>
      <w:r>
        <w:rPr>
          <w:sz w:val="18"/>
        </w:rPr>
        <w:t>——————————————————————————————————————————————————————————————————————</w:t>
      </w:r>
    </w:p>
    <w:p>
      <w:pPr>
        <w:spacing w:before="160" w:after="40" w:line="240" w:lineRule="auto"/>
      </w:pPr>
      <w:r>
        <w:rPr>
          <w:b/>
        </w:rPr>
        <w:t xml:space="preserve">[374] </w:t>
      </w:r>
      <w:hyperlink r:id="rId916">
        <w:r>
          <w:rPr>
            <w:color w:val="1155CC"/>
            <w:u w:val="single"/>
          </w:rPr>
          <w:t>用于光免疫治疗的纳米医学和生物材料平台</w:t>
        </w:r>
      </w:hyperlink>
    </w:p>
    <w:p>
      <w:pPr>
        <w:spacing w:before="0" w:after="80"/>
      </w:pPr>
      <w:r>
        <w:rPr>
          <w:i/>
          <w:sz w:val="20"/>
        </w:rPr>
        <w:t>EN: Nanomedicine and Biomaterial Platforms for Photoimmunotherapy</w:t>
      </w:r>
    </w:p>
    <w:p>
      <w:pPr>
        <w:spacing w:before="0" w:after="120"/>
      </w:pPr>
      <w:r>
        <w:rPr>
          <w:b/>
        </w:rPr>
        <w:t xml:space="preserve">Source: </w:t>
      </w:r>
      <w:r>
        <w:t>Wiley: Angewandte Chemie International Edition: Table of Contents</w:t>
      </w:r>
      <w:r>
        <w:t xml:space="preserve">    </w:t>
      </w:r>
      <w:r>
        <w:rPr>
          <w:b/>
        </w:rPr>
        <w:t xml:space="preserve">Pub date: </w:t>
      </w:r>
      <w:r>
        <w:t>2026-04-01 07:56:05+00:00</w:t>
      </w:r>
      <w:r>
        <w:t xml:space="preserve">    </w:t>
      </w:r>
      <w:r>
        <w:rPr>
          <w:b/>
        </w:rPr>
        <w:t xml:space="preserve">DOI: </w:t>
      </w:r>
      <w:hyperlink r:id="rId917">
        <w:r>
          <w:rPr>
            <w:color w:val="1155CC"/>
            <w:u w:val="single"/>
          </w:rPr>
          <w:t>10.1002/anie.2667102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免疫治疗是一种创新的癌症治疗策略，将光动力/光热疗法与免疫调节相结合，近年来取得了显著进展。目前，光免疫治疗中的纳米医学和生物材料设计已从简单的药物载体发展为集成成像、光疗、免疫激活，甚至肿瘤微环境调节功能的智能系统，能够有效消除原发性肿瘤，同时激活全身抗肿瘤免疫以抑制远处转移和肿瘤复发。在这篇小综述中，我们将讨论各种纳米医学和生物材料平台，包括无机纳米颗粒、聚合物纳米颗粒和水凝胶，以及不同的生物衍生物。</w:t>
      </w:r>
    </w:p>
    <w:p>
      <w:pPr>
        <w:spacing w:before="0" w:after="200" w:lineRule="auto" w:line="276"/>
      </w:pPr>
      <w:r>
        <w:rPr>
          <w:b/>
        </w:rPr>
        <w:t xml:space="preserve">Abstract (EN): </w:t>
      </w:r>
      <w:r>
        <w:t>Photoimmunotherapy, an innovative cancer treatment strategy that integrates photodynamic/photothermal therapy with immune modulation, has achieved significant advances in recent years. Currently, nanomedicine and biomaterial designs in photoimmunotherapy have evolved from simple drug carriers to intelligent systems integrating imaging, phototherapy, immune activation, and even tumor microenvironment modulation functions, capable of effectively eradicating primary tumors while activating systemic antitumor immunity to inhibit distant metastasis and tumor recurrence. In this minireview, we will discuss various nanomedicine and biomaterial platforms, including inorganic nanoparticles, polymeric nanoparticles, and hydrogels, as well as different biologically derived materials, for applications in different types of light‐triggered immunotherapies. Afterward, we will discuss design principles by which these materials enable light‐triggered tumor killing, activate tumor‐specific immune responses, and respond to and modulate the immunosuppressive tumor microenvironment so as to synergistically improve therapeutic outcomes. The potential and challenges associated with using nanomedicine and biomaterial systems for photoimmunotherapy will also be discussed.</w:t>
      </w:r>
    </w:p>
    <w:p>
      <w:pPr>
        <w:spacing w:before="120" w:after="120"/>
      </w:pPr>
      <w:r>
        <w:rPr>
          <w:sz w:val="18"/>
        </w:rPr>
        <w:t>——————————————————————————————————————————————————————————————————————</w:t>
      </w:r>
    </w:p>
    <w:p>
      <w:pPr>
        <w:spacing w:before="160" w:after="40" w:line="240" w:lineRule="auto"/>
      </w:pPr>
      <w:r>
        <w:rPr>
          <w:b/>
        </w:rPr>
        <w:t xml:space="preserve">[375] </w:t>
      </w:r>
      <w:hyperlink r:id="rId918">
        <w:r>
          <w:rPr>
            <w:color w:val="1155CC"/>
            <w:u w:val="single"/>
          </w:rPr>
          <w:t>通过同时晶体生长和Menshutkin反应解锁金属卤化物中的有机阳离子多样性，并展示了闪烁效应</w:t>
        </w:r>
      </w:hyperlink>
    </w:p>
    <w:p>
      <w:pPr>
        <w:spacing w:before="0" w:after="80"/>
      </w:pPr>
      <w:r>
        <w:rPr>
          <w:i/>
          <w:sz w:val="20"/>
        </w:rPr>
        <w:t>EN: Unlocking Organic Cation Diversity in Metal Halides via Concurrent Crystal Growth and Menshutkin Reaction With Demonstrated Scintillation</w:t>
      </w:r>
    </w:p>
    <w:p>
      <w:pPr>
        <w:spacing w:before="0" w:after="120"/>
      </w:pPr>
      <w:r>
        <w:rPr>
          <w:b/>
        </w:rPr>
        <w:t xml:space="preserve">Source: </w:t>
      </w:r>
      <w:r>
        <w:t>Wiley: Angewandte Chemie International Edition: Table of Contents</w:t>
      </w:r>
      <w:r>
        <w:t xml:space="preserve">    </w:t>
      </w:r>
      <w:r>
        <w:rPr>
          <w:b/>
        </w:rPr>
        <w:t xml:space="preserve">Pub date: </w:t>
      </w:r>
      <w:r>
        <w:t>2026-04-01 08:01:33+00:00</w:t>
      </w:r>
      <w:r>
        <w:t xml:space="preserve">    </w:t>
      </w:r>
      <w:r>
        <w:rPr>
          <w:b/>
        </w:rPr>
        <w:t xml:space="preserve">DOI: </w:t>
      </w:r>
      <w:hyperlink r:id="rId919">
        <w:r>
          <w:rPr>
            <w:color w:val="1155CC"/>
            <w:u w:val="single"/>
          </w:rPr>
          <w:t>10.1002/anie.9721346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无机杂化金属卤化物（OIMHs）因其在光电子学应用中的潜力而备受关注。然而，OIMHs的合成主要局限于使用预合成的商业有机阳离子，严重限制了结构多样性和功能探索。在此，我们提出了一种突破性的原位合成范式，该范式在单一步骤中同时执行Menshutkin反应和晶体生长。这种一锅策略无缝结合了有机前体的现场定制季铵化与金属卤化物框架（如Mn/Zn/Sb卤化物）的结晶。通过将合成与商业阳离子来源分离，该方法提供了无与伦比的自由度来结合大量的</w:t>
      </w:r>
    </w:p>
    <w:p>
      <w:pPr>
        <w:spacing w:before="0" w:after="200" w:lineRule="auto" w:line="276"/>
      </w:pPr>
      <w:r>
        <w:rPr>
          <w:b/>
        </w:rPr>
        <w:t xml:space="preserve">Abstract (EN): </w:t>
      </w:r>
      <w:r>
        <w:t>Organic‐inorganic hybrid metal halides (OIMHs) have garnered great attention for optoelectronics applications. However, the synthesis of OIMHs has been largely confined to the use of pre‐synthesized, commercial organic cations, severely limiting structural diversity and functional exploration. Herein, we present a groundbreaking in situ synthetic paradigm that concurrently executes the Menshutkin reaction and crystal growth in a single step. This one‐pot strategy seamlessly couples the on‐site custom quaternization of organic precursors with the crystallization of metal halide frameworks (such as Mn/Zn/Sb halides). By decoupling the synthesis from commercial cation sources, this method provides unparalleled freedom to incorporate a vast array of tailored cations, including those with long‐chain, multi‐aryl, and sophisticated geometric motifs (e.g., boat, chair, wing, bowl, and cyclic architectures). The power of this approach is exemplified by a novel Mn‐based OIMH,</w:t>
      </w:r>
      <w:r>
        <w:t xml:space="preserve"> </w:t>
      </w:r>
      <w:r>
        <w:t>Py‐2</w:t>
      </w:r>
      <w:r>
        <w:t xml:space="preserve"> </w:t>
      </w:r>
      <w:r>
        <w:t>([B(3‐Br‐PyCH</w:t>
      </w:r>
      <w:r>
        <w:rPr>
          <w:vertAlign w:val="subscript"/>
        </w:rPr>
        <w:t>2</w:t>
      </w:r>
      <w:r>
        <w:t>)Ph]</w:t>
      </w:r>
      <w:r>
        <w:rPr>
          <w:vertAlign w:val="subscript"/>
        </w:rPr>
        <w:t>3</w:t>
      </w:r>
      <w:r>
        <w:t>[MnBr</w:t>
      </w:r>
      <w:r>
        <w:rPr>
          <w:vertAlign w:val="subscript"/>
        </w:rPr>
        <w:t>4</w:t>
      </w:r>
      <w:r>
        <w:t>]</w:t>
      </w:r>
      <w:r>
        <w:rPr>
          <w:vertAlign w:val="subscript"/>
        </w:rPr>
        <w:t>2</w:t>
      </w:r>
      <w:r>
        <w:t>·2Br), which acts as an exceptional X‐ray scintillator with a high light yield of 60,000 photons/MeV—2.4 times that of commercial LuAG:Ce. A flexible scintillator screen fabricated from</w:t>
      </w:r>
      <w:r>
        <w:t xml:space="preserve"> </w:t>
      </w:r>
      <w:r>
        <w:t>Py‐2</w:t>
      </w:r>
      <w:r>
        <w:t xml:space="preserve"> </w:t>
      </w:r>
      <w:r>
        <w:t>further demonstrates a high spatial resolution of 12.77 lp mm</w:t>
      </w:r>
      <w:r>
        <w:t xml:space="preserve"> </w:t>
      </w:r>
      <w:r>
        <w:t>−</w:t>
      </w:r>
      <w:r>
        <w:rPr>
          <w:vertAlign w:val="subscript"/>
        </w:rPr>
        <w:t>1</w:t>
      </w:r>
      <w:r>
        <w:t>, enabling high‐resolution X‐ray imaging. This work establishes a transformative in situ crystallization platform that opens a new dimension for the bespoke design of functional hybrid materials.</w:t>
      </w:r>
    </w:p>
    <w:p>
      <w:pPr>
        <w:spacing w:before="120" w:after="120"/>
      </w:pPr>
      <w:r>
        <w:rPr>
          <w:sz w:val="18"/>
        </w:rPr>
        <w:t>——————————————————————————————————————————————————————————————————————</w:t>
      </w:r>
    </w:p>
    <w:p>
      <w:pPr>
        <w:spacing w:before="160" w:after="40" w:line="240" w:lineRule="auto"/>
      </w:pPr>
      <w:r>
        <w:rPr>
          <w:b/>
        </w:rPr>
        <w:t xml:space="preserve">[376] </w:t>
      </w:r>
      <w:hyperlink r:id="rId920">
        <w:r>
          <w:rPr>
            <w:color w:val="1155CC"/>
            <w:u w:val="single"/>
          </w:rPr>
          <w:t>超越磁热极限：AMF增强的OER催化中的电子驱动结构调节</w:t>
        </w:r>
      </w:hyperlink>
    </w:p>
    <w:p>
      <w:pPr>
        <w:spacing w:before="0" w:after="80"/>
      </w:pPr>
      <w:r>
        <w:rPr>
          <w:i/>
          <w:sz w:val="20"/>
        </w:rPr>
        <w:t>EN: Transcending the Magnetothermal Limit: Electron‐Driven Structural Regulation in AMF‐Enhanced OER Catalysis</w:t>
      </w:r>
    </w:p>
    <w:p>
      <w:pPr>
        <w:spacing w:before="0" w:after="120"/>
      </w:pPr>
      <w:r>
        <w:rPr>
          <w:b/>
        </w:rPr>
        <w:t xml:space="preserve">Source: </w:t>
      </w:r>
      <w:r>
        <w:t>Wiley: Angewandte Chemie International Edition: Table of Contents</w:t>
      </w:r>
      <w:r>
        <w:t xml:space="preserve">    </w:t>
      </w:r>
      <w:r>
        <w:rPr>
          <w:b/>
        </w:rPr>
        <w:t xml:space="preserve">Pub date: </w:t>
      </w:r>
      <w:r>
        <w:t>2026-04-01 08:02:05+00:00</w:t>
      </w:r>
      <w:r>
        <w:t xml:space="preserve">    </w:t>
      </w:r>
      <w:r>
        <w:rPr>
          <w:b/>
        </w:rPr>
        <w:t xml:space="preserve">DOI: </w:t>
      </w:r>
      <w:hyperlink r:id="rId921">
        <w:r>
          <w:rPr>
            <w:color w:val="1155CC"/>
            <w:u w:val="single"/>
          </w:rPr>
          <w:t>10.1002/anie.5144736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作为一种新颖的调控维度，交变磁场（AMF）在增强氧析出反应（OER）方面具有显著潜力。然而，传统的AMF增强主要依赖于次优的磁热效应，该效应会引起非选择性的整体加热，无法为催化剂提供有针对性的驱动力，从而严重限制了OER性能的提升。在此，展示了一种新颖的策略，通过为催化剂构建能量耗散通道，将AMF能量从低效的热耗散精确引导至电子驱动的结构调控，从而实现从磁热催化到电子驱动催化的机制转变。典型地，以Fe为例</w:t>
      </w:r>
    </w:p>
    <w:p>
      <w:pPr>
        <w:spacing w:before="0" w:after="200" w:lineRule="auto" w:line="276"/>
      </w:pPr>
      <w:r>
        <w:rPr>
          <w:b/>
        </w:rPr>
        <w:t xml:space="preserve">Abstract (EN): </w:t>
      </w:r>
      <w:r>
        <w:t>As a novel regulatory dimension, the alternating magnetic field (AMF) holds significant potential in enhancing the oxygen evolution reaction (OER). However, conventional AMF enhancements primarily rely on the suboptimal magnetothermal effect, which induces nonselective bulk heating and fails to provide targeted driving forces for catalysts, thereby severely limiting OER performance improvements. Here, a novel strategy has been demonstrated to precisely guide AMF energy from inefficient thermal dissipation to electron‐driven structural regulation by constructing energy dissipation channels for catalysts, which leads to the mechanism transformation from magnetothermal catalysis to electron‐driven catalysis. Typically, taking Fe</w:t>
      </w:r>
      <w:r>
        <w:rPr>
          <w:vertAlign w:val="subscript"/>
        </w:rPr>
        <w:t>2</w:t>
      </w:r>
      <w:r>
        <w:t>O</w:t>
      </w:r>
      <w:r>
        <w:rPr>
          <w:vertAlign w:val="subscript"/>
        </w:rPr>
        <w:t>3</w:t>
      </w:r>
      <w:r>
        <w:t>@CNTs as the research model, AMF induces localized electric fields that energize intrinsic charge carriers within Fe</w:t>
      </w:r>
      <w:r>
        <w:rPr>
          <w:vertAlign w:val="subscript"/>
        </w:rPr>
        <w:t>2</w:t>
      </w:r>
      <w:r>
        <w:t>O</w:t>
      </w:r>
      <w:r>
        <w:rPr>
          <w:vertAlign w:val="subscript"/>
        </w:rPr>
        <w:t>3</w:t>
      </w:r>
      <w:r>
        <w:t>. These energized electrons are then rapidly extracted by the carbon nanotubes (CNTs) network before they can undergo thermal relaxation. This efficient charge separation generates a high density of electron‐deficient, highly valent Fe sites on the Fe</w:t>
      </w:r>
      <w:r>
        <w:rPr>
          <w:vertAlign w:val="subscript"/>
        </w:rPr>
        <w:t>2</w:t>
      </w:r>
      <w:r>
        <w:t>O</w:t>
      </w:r>
      <w:r>
        <w:rPr>
          <w:vertAlign w:val="subscript"/>
        </w:rPr>
        <w:t>3</w:t>
      </w:r>
      <w:r>
        <w:t>surface, creating a potent localized chemical potential that drives deep structural reconstruction. Notably, the observed Duplex</w:t>
      </w:r>
      <w:r>
        <w:t xml:space="preserve"> </w:t>
      </w:r>
      <w:r>
        <w:t>α/β</w:t>
      </w:r>
      <w:r>
        <w:t xml:space="preserve"> </w:t>
      </w:r>
      <w:r>
        <w:t>‐FeOOH phase is highly active, lowering the overpotential by 73 mV (∼22%) at 100 mA cm</w:t>
      </w:r>
      <w:r>
        <w:t xml:space="preserve"> </w:t>
      </w:r>
      <w:r>
        <w:t>−2</w:t>
      </w:r>
      <w:r>
        <w:t xml:space="preserve"> </w:t>
      </w:r>
      <w:r>
        <w:t>. This work provides novel insight into magneto‐electrocatalysis and demonstrates that constructing energy dissipation channels is an efficient strategy for enhanced OER activity.</w:t>
      </w:r>
    </w:p>
    <w:p>
      <w:pPr>
        <w:spacing w:before="120" w:after="120"/>
      </w:pPr>
      <w:r>
        <w:rPr>
          <w:sz w:val="18"/>
        </w:rPr>
        <w:t>——————————————————————————————————————————————————————————————————————</w:t>
      </w:r>
    </w:p>
    <w:p>
      <w:pPr>
        <w:spacing w:before="160" w:after="40" w:line="240" w:lineRule="auto"/>
      </w:pPr>
      <w:r>
        <w:rPr>
          <w:b/>
        </w:rPr>
        <w:t xml:space="preserve">[377] </w:t>
      </w:r>
      <w:hyperlink r:id="rId922">
        <w:r>
          <w:rPr>
            <w:color w:val="1155CC"/>
            <w:u w:val="single"/>
          </w:rPr>
          <w:t>有机光响应材料中激发的三重态和双重态之间的动态演化过程</w:t>
        </w:r>
      </w:hyperlink>
    </w:p>
    <w:p>
      <w:pPr>
        <w:spacing w:before="0" w:after="80"/>
      </w:pPr>
      <w:r>
        <w:rPr>
          <w:i/>
          <w:sz w:val="20"/>
        </w:rPr>
        <w:t>EN: Dynamic Evolution Processes Between Excited Triplet and Doublet States in Organic Photo‐Responsive Materials</w:t>
      </w:r>
    </w:p>
    <w:p>
      <w:pPr>
        <w:spacing w:before="0" w:after="120"/>
      </w:pPr>
      <w:r>
        <w:rPr>
          <w:b/>
        </w:rPr>
        <w:t xml:space="preserve">Source: </w:t>
      </w:r>
      <w:r>
        <w:t>Wiley: Angewandte Chemie International Edition: Table of Contents</w:t>
      </w:r>
      <w:r>
        <w:t xml:space="preserve">    </w:t>
      </w:r>
      <w:r>
        <w:rPr>
          <w:b/>
        </w:rPr>
        <w:t xml:space="preserve">Pub date: </w:t>
      </w:r>
      <w:r>
        <w:t>2026-04-01 08:03:06+00:00</w:t>
      </w:r>
      <w:r>
        <w:t xml:space="preserve">    </w:t>
      </w:r>
      <w:r>
        <w:rPr>
          <w:b/>
        </w:rPr>
        <w:t xml:space="preserve">DOI: </w:t>
      </w:r>
      <w:hyperlink r:id="rId923">
        <w:r>
          <w:rPr>
            <w:color w:val="1155CC"/>
            <w:u w:val="single"/>
          </w:rPr>
          <w:t>10.1002/anie.9313527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有机光响应材料，特别是那些涉及激发多重态（即T</w:t>
      </w:r>
      <w:r>
        <w:rPr>
          <w:vertAlign w:val="subscript"/>
        </w:rPr>
        <w:t>1</w:t>
      </w:r>
      <w:r>
        <w:t>和D</w:t>
      </w:r>
      <w:r>
        <w:rPr>
          <w:vertAlign w:val="subscript"/>
        </w:rPr>
        <w:t>1</w:t>
      </w:r>
      <w:r>
        <w:t>）的材料，由于其广泛的潜在应用而受到广泛关注。然而，这类材料部分源于激发三重态和双重态之间不明确的演化过程，仍然相对稀少。在此，我们成功开发了一种新的光响应系统，通过优化三芳胺衍生物的π-共轭结构和分子对称性，在一个分子中共存光致变色和室温磷光特性，并清晰揭示了协同调控机制</w:t>
      </w:r>
    </w:p>
    <w:p>
      <w:pPr>
        <w:spacing w:before="0" w:after="200" w:lineRule="auto" w:line="276"/>
      </w:pPr>
      <w:r>
        <w:rPr>
          <w:b/>
        </w:rPr>
        <w:t xml:space="preserve">Abstract (EN): </w:t>
      </w:r>
      <w:r>
        <w:t>Organic photo‐responsive materials, especially those involving excited multiple states (i.e., T</w:t>
      </w:r>
      <w:r>
        <w:rPr>
          <w:vertAlign w:val="subscript"/>
        </w:rPr>
        <w:t>1</w:t>
      </w:r>
      <w:r>
        <w:t>and D</w:t>
      </w:r>
      <w:r>
        <w:rPr>
          <w:vertAlign w:val="subscript"/>
        </w:rPr>
        <w:t>1</w:t>
      </w:r>
      <w:r>
        <w:t>), have garnered significant attention for their wide potential applications. However, this class of materials, which partially originates from the unclear evolution processes between excited triplet and doublet states, is still relatively rare. Herein, we successfully developed a new photo‐responsive system with coexisting photochromic and room‐temperature phosphorescence properties in one molecule through optimizing the π‐conjugation structure and molecular symmetry of triarylamine derivatives, and clearly uncovered the synergistic regulation mechanism of triplet exciton evolution and radical generation through femtosecond transient absorption (fs‐TA) spectroscopy. Specifically, the evolution process of “S</w:t>
      </w:r>
      <w:r>
        <w:rPr>
          <w:vertAlign w:val="subscript"/>
        </w:rPr>
        <w:t>1</w:t>
      </w:r>
      <w:r>
        <w:t>→T</w:t>
      </w:r>
      <w:r>
        <w:rPr>
          <w:vertAlign w:val="subscript"/>
        </w:rPr>
        <w:t>1</w:t>
      </w:r>
      <w:r>
        <w:t>→D</w:t>
      </w:r>
      <w:r>
        <w:rPr>
          <w:vertAlign w:val="subscript"/>
        </w:rPr>
        <w:t>1</w:t>
      </w:r>
      <w:r>
        <w:t>” was monitored, providing an efficient way to develop multifunctional photo‐responsive materials involving both triplet and doublet states.</w:t>
      </w:r>
    </w:p>
    <w:p>
      <w:pPr>
        <w:spacing w:before="120" w:after="120"/>
      </w:pPr>
      <w:r>
        <w:rPr>
          <w:sz w:val="18"/>
        </w:rPr>
        <w:t>——————————————————————————————————————————————————————————————————————</w:t>
      </w:r>
    </w:p>
    <w:p>
      <w:pPr>
        <w:spacing w:before="160" w:after="40" w:line="240" w:lineRule="auto"/>
      </w:pPr>
      <w:r>
        <w:rPr>
          <w:b/>
        </w:rPr>
        <w:t xml:space="preserve">[378] </w:t>
      </w:r>
      <w:hyperlink r:id="rId924">
        <w:r>
          <w:rPr>
            <w:color w:val="1155CC"/>
            <w:u w:val="single"/>
          </w:rPr>
          <w:t>[ASAP] 锰模板非平凡结构用于MRI和治疗</w:t>
        </w:r>
      </w:hyperlink>
    </w:p>
    <w:p>
      <w:pPr>
        <w:spacing w:before="0" w:after="80"/>
      </w:pPr>
      <w:r>
        <w:rPr>
          <w:i/>
          <w:sz w:val="20"/>
        </w:rPr>
        <w:t>EN: [ASAP] Manganese-Templated Nontrivial Structures for MRI and Therapy</w:t>
      </w:r>
    </w:p>
    <w:p>
      <w:pPr>
        <w:spacing w:before="0" w:after="120"/>
      </w:pPr>
      <w:r>
        <w:rPr>
          <w:b/>
        </w:rPr>
        <w:t xml:space="preserve">Source: </w:t>
      </w:r>
      <w:r>
        <w:t>Journal of the American Chemical Society: Latest Articles (ACS Publications)</w:t>
      </w:r>
      <w:r>
        <w:t xml:space="preserve">    </w:t>
      </w:r>
      <w:r>
        <w:rPr>
          <w:b/>
        </w:rPr>
        <w:t xml:space="preserve">Pub date: </w:t>
      </w:r>
      <w:r>
        <w:t>2026-04-01 08:11:54+00:00</w:t>
      </w:r>
      <w:r>
        <w:t xml:space="preserve">    </w:t>
      </w:r>
      <w:r>
        <w:rPr>
          <w:b/>
        </w:rPr>
        <w:t xml:space="preserve">DOI: </w:t>
      </w:r>
      <w:hyperlink r:id="rId925">
        <w:r>
          <w:rPr>
            <w:color w:val="1155CC"/>
            <w:u w:val="single"/>
          </w:rPr>
          <w:t>10.1021/jacs.5c19016</w:t>
        </w:r>
      </w:hyperlink>
    </w:p>
    <w:p>
      <w:pPr>
        <w:spacing w:before="0" w:after="120"/>
      </w:pPr>
      <w:r>
        <w:rPr>
          <w:b/>
        </w:rPr>
        <w:t xml:space="preserve">Notes: </w:t>
      </w:r>
      <w:r>
        <w:t>abstract_source=pubmed</w:t>
      </w:r>
    </w:p>
    <w:p>
      <w:pPr>
        <w:spacing w:before="0" w:after="80" w:lineRule="auto" w:line="276"/>
      </w:pPr>
      <w:r>
        <w:rPr>
          <w:b/>
        </w:rPr>
        <w:t xml:space="preserve">摘要（ZH）: </w:t>
      </w:r>
      <w:r>
        <w:t>锰（Mn）基金属有机结构为在单一分子平台上整合磁共振成像（MRI）和癌症治疗提供了独特途径。我们报告了三种拓扑结构不同的Mn模板结构─Mn-[2]Catenate（Mn-[2]C）、Mn-Trefoil Knot（Mn-TK）和Mn-Borromean Rings（Mn-BR），它们结合了高弛豫率和肿瘤选择性细胞毒性。设计利用了它们的几何复杂性和电正性、pH不稳定的配位框架，以确保在生理pH下的动力学稳定性和亲脂性，同时在酸性肿瘤微环境中释放Mn2+。在这三者中，Mn-BR和Mn-TK表现出优越的纵向弛豫率（r1 = 10.1和6.8 mM-1.s-1在3 T）并产生超过Gd-DTPA的明亮T1加权对比</w:t>
      </w:r>
    </w:p>
    <w:p>
      <w:pPr>
        <w:spacing w:before="0" w:after="200" w:lineRule="auto" w:line="276"/>
      </w:pPr>
      <w:r>
        <w:rPr>
          <w:b/>
        </w:rPr>
        <w:t xml:space="preserve">Abstract (EN): </w:t>
      </w:r>
      <w:r>
        <w:t>Manganese (Mn)-based metal-organic architectures offer a unique avenue for integrating magnetic resonance imaging (MRI) and cancer therapy within a single molecular platform. We report three topologically distinct Mn-templated structures─Mn-[2]Catenate (Mn-[2]C), Mn-Trefoil Knot (Mn-TK), and Mn-Borromean Rings (Mn-BR)─that combine high relaxivity with tumor-selective cytotoxicity. The design leverages their geometrical complexity and electropositive, pH-labile coordination framework to ensure kinetic stability and lipophilicity at physiological pH while enabling Mn2+ release in the acidic tumor microenvironment. Among the three, Mn-BR and Mn-TK exhibit superior longitudinal relaxivities (r1 = 10.1 and 6.8 mM-1.s-1 at 3 T) and produce bright T1-weighted contrast exceeding that of Gd-DTPA and Mn-DPDP. In vitro, they show high cancer selectivity and potency in glioblastoma (U251-MG) cells, with IC50 values of 3.0 ± 0.9 μM (Mn-BR) and 5.6 ± 1.9 μM (Mn-TK), outperforming cisplatin (12.7 ± 2.5 μM) while sparing normal cells (SI &gt; 3.9 for Mn-TK; SI &gt; 9.4 for Mn-BR). Mechanistically, their uptake proceeds via energy-dependent endocytosis─caveolae-mediated for Mn-TK and clathrin/macropinocytosis-driven for Mn-BR─culminating in lysosomal acidification, pH-triggered disassembly, Mn2+ release, ROS accumulation, and caspase-dependent apoptosis. In vivo, Mn-TK and Mn-BR achieve tumor-specific accumulation, strong MRI contrast, and pronounced growth inhibition in subcutaneous glioblastoma models, while Mn-[2]C shows minimal selectivity and higher systemic toxicity. Importantly, in a spontaneous orthotopic glioblastoma model, both Mn-TK and Mn-BR provided robust BBB permeability and persistent, tumor-specific MRI enhancement, confirming their potential for precise MRI-guided tumor visualization. This research marks a major leap forward in medical nanotechnology, unveiling a new class of metal-organic structures that seamlessly integrates imaging and therapy. By unlocking their full potential, these structures promise to revolutionize MRI diagnostics, precision medicine, and next-generation cancer treatments, paving the way for unparalleled clinical outcomes.</w:t>
      </w:r>
    </w:p>
    <w:p>
      <w:pPr>
        <w:spacing w:before="120" w:after="120"/>
      </w:pPr>
      <w:r>
        <w:rPr>
          <w:sz w:val="18"/>
        </w:rPr>
        <w:t>——————————————————————————————————————————————————————————————————————</w:t>
      </w:r>
    </w:p>
    <w:p>
      <w:pPr>
        <w:spacing w:before="160" w:after="40" w:line="240" w:lineRule="auto"/>
      </w:pPr>
      <w:r>
        <w:rPr>
          <w:b/>
        </w:rPr>
        <w:t xml:space="preserve">[379] </w:t>
      </w:r>
      <w:hyperlink r:id="rId926">
        <w:r>
          <w:rPr>
            <w:color w:val="1155CC"/>
            <w:u w:val="single"/>
          </w:rPr>
          <w:t>通过4d-4f相互作用在掺杂卤化物钙钛矿中的自旋翻转上转换发光和可调谐下移近红外发射</w:t>
        </w:r>
      </w:hyperlink>
    </w:p>
    <w:p>
      <w:pPr>
        <w:spacing w:before="0" w:after="80"/>
      </w:pPr>
      <w:r>
        <w:rPr>
          <w:i/>
          <w:sz w:val="20"/>
        </w:rPr>
        <w:t>EN: Spin‐Flip Upconversion Luminescence and Tunable Downshifting Near‐Infrared Emissions via 4d‐4f Interaction in Doped Halide Perovskite</w:t>
      </w:r>
    </w:p>
    <w:p>
      <w:pPr>
        <w:spacing w:before="0" w:after="120"/>
      </w:pPr>
      <w:r>
        <w:rPr>
          <w:b/>
        </w:rPr>
        <w:t xml:space="preserve">Source: </w:t>
      </w:r>
      <w:r>
        <w:t>Wiley: Angewandte Chemie International Edition: Table of Contents</w:t>
      </w:r>
      <w:r>
        <w:t xml:space="preserve">    </w:t>
      </w:r>
      <w:r>
        <w:rPr>
          <w:b/>
        </w:rPr>
        <w:t xml:space="preserve">Pub date: </w:t>
      </w:r>
      <w:r>
        <w:t>2026-04-01 08:12:58+00:00</w:t>
      </w:r>
      <w:r>
        <w:t xml:space="preserve">    </w:t>
      </w:r>
      <w:r>
        <w:rPr>
          <w:b/>
        </w:rPr>
        <w:t xml:space="preserve">DOI: </w:t>
      </w:r>
      <w:hyperlink r:id="rId927">
        <w:r>
          <w:rPr>
            <w:color w:val="1155CC"/>
            <w:u w:val="single"/>
          </w:rPr>
          <w:t>10.1002/anie.7420770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近红外（NIR）到可见光上转换（UC）和NIR下转换光致发光（PL）的成功主要归因于镧系离子对的4f-4f能量转移（ET）相互作用。这个概念后来被扩展到3d-4f离子对，其中Cr3+通过内构型自旋翻转（ICSF）跃迁实现了UC PL。有趣的是，最近的研究表明，较重的过渡金属离子如Mo3+（4d）可以表现出多个ICSF发射，跨越N</w:t>
      </w:r>
    </w:p>
    <w:p>
      <w:pPr>
        <w:spacing w:before="0" w:after="200" w:lineRule="auto" w:line="276"/>
      </w:pPr>
      <w:r>
        <w:rPr>
          <w:b/>
        </w:rPr>
        <w:t xml:space="preserve">Abstract (EN): </w:t>
      </w:r>
      <w:r>
        <w:t>The success of near‐infrared (NIR) to visible upconversion (UC) and NIR downshifting photoluminescence (PL) is mainly due to 4</w:t>
      </w:r>
      <w:r>
        <w:t xml:space="preserve"> </w:t>
      </w:r>
      <w:r>
        <w:t>f</w:t>
      </w:r>
      <w:r>
        <w:t xml:space="preserve"> </w:t>
      </w:r>
      <w:r>
        <w:t>‐4</w:t>
      </w:r>
      <w:r>
        <w:t xml:space="preserve"> </w:t>
      </w:r>
      <w:r>
        <w:t>f</w:t>
      </w:r>
      <w:r>
        <w:t xml:space="preserve"> </w:t>
      </w:r>
      <w:r>
        <w:t>energy transfer (ET) interactions of lanthanide ion pairs. This concept was later extended to 3</w:t>
      </w:r>
      <w:r>
        <w:t xml:space="preserve"> </w:t>
      </w:r>
      <w:r>
        <w:t>d</w:t>
      </w:r>
      <w:r>
        <w:t xml:space="preserve"> </w:t>
      </w:r>
      <w:r>
        <w:t>‐4</w:t>
      </w:r>
      <w:r>
        <w:t xml:space="preserve"> </w:t>
      </w:r>
      <w:r>
        <w:t>f</w:t>
      </w:r>
      <w:r>
        <w:t xml:space="preserve"> </w:t>
      </w:r>
      <w:r>
        <w:t>ion pairs, where Cr</w:t>
      </w:r>
      <w:r>
        <w:t xml:space="preserve"> </w:t>
      </w:r>
      <w:r>
        <w:t>3+</w:t>
      </w:r>
      <w:r>
        <w:t xml:space="preserve"> </w:t>
      </w:r>
      <w:r>
        <w:t>enabled UC PL via intra‐configurational spin‐flip (ICSF) transition. Interestingly, recent studies reveal that heavier transition‐metal ions such as Mo</w:t>
      </w:r>
      <w:r>
        <w:t xml:space="preserve"> </w:t>
      </w:r>
      <w:r>
        <w:t>3+</w:t>
      </w:r>
      <w:r>
        <w:t xml:space="preserve"> </w:t>
      </w:r>
      <w:r>
        <w:t>(4</w:t>
      </w:r>
      <w:r>
        <w:t xml:space="preserve"> </w:t>
      </w:r>
      <w:r>
        <w:t>d</w:t>
      </w:r>
      <w:r>
        <w:t xml:space="preserve"> </w:t>
      </w:r>
      <w:r>
        <w:t>) can exhibit multiple ICSF emissions spanning the NIR‐I and NIR‐II regions. This finding raises a key question: can a 4</w:t>
      </w:r>
      <w:r>
        <w:t xml:space="preserve"> </w:t>
      </w:r>
      <w:r>
        <w:t>d</w:t>
      </w:r>
      <w:r>
        <w:t xml:space="preserve"> </w:t>
      </w:r>
      <w:r>
        <w:t>‐4</w:t>
      </w:r>
      <w:r>
        <w:t xml:space="preserve"> </w:t>
      </w:r>
      <w:r>
        <w:t>f</w:t>
      </w:r>
      <w:r>
        <w:t xml:space="preserve"> </w:t>
      </w:r>
      <w:r>
        <w:t>ion pair be designed to achieve multimode downshifting NIR and UC PL by combining</w:t>
      </w:r>
      <w:r>
        <w:t xml:space="preserve"> </w:t>
      </w:r>
      <w:r>
        <w:t>f</w:t>
      </w:r>
      <w:r>
        <w:t xml:space="preserve"> </w:t>
      </w:r>
      <w:r>
        <w:t>‐</w:t>
      </w:r>
      <w:r>
        <w:t xml:space="preserve"> </w:t>
      </w:r>
      <w:r>
        <w:t>f</w:t>
      </w:r>
      <w:r>
        <w:t xml:space="preserve"> </w:t>
      </w:r>
      <w:r>
        <w:t>and ICSF</w:t>
      </w:r>
      <w:r>
        <w:t xml:space="preserve"> </w:t>
      </w:r>
      <w:r>
        <w:t>d</w:t>
      </w:r>
      <w:r>
        <w:t xml:space="preserve"> </w:t>
      </w:r>
      <w:r>
        <w:t>‐</w:t>
      </w:r>
      <w:r>
        <w:t xml:space="preserve"> </w:t>
      </w:r>
      <w:r>
        <w:t>d</w:t>
      </w:r>
      <w:r>
        <w:t xml:space="preserve"> </w:t>
      </w:r>
      <w:r>
        <w:t>transitions? Herein, we report the first synthesis of Mo</w:t>
      </w:r>
      <w:r>
        <w:t xml:space="preserve"> </w:t>
      </w:r>
      <w:r>
        <w:t>3+</w:t>
      </w:r>
      <w:r>
        <w:t xml:space="preserve"> </w:t>
      </w:r>
      <w:r>
        <w:t>/Er</w:t>
      </w:r>
      <w:r>
        <w:t xml:space="preserve"> </w:t>
      </w:r>
      <w:r>
        <w:t>3+</w:t>
      </w:r>
      <w:r>
        <w:t xml:space="preserve"> </w:t>
      </w:r>
      <w:r>
        <w:t>‐codoped Cs</w:t>
      </w:r>
      <w:r>
        <w:rPr>
          <w:vertAlign w:val="subscript"/>
        </w:rPr>
        <w:t>2</w:t>
      </w:r>
      <w:r>
        <w:t>NaInCl</w:t>
      </w:r>
      <w:r>
        <w:rPr>
          <w:vertAlign w:val="subscript"/>
        </w:rPr>
        <w:t>6</w:t>
      </w:r>
      <w:r>
        <w:t>double perovskite, exhibiting tunable NIR‐II downshifting emissions at 1095 nm (Mo</w:t>
      </w:r>
      <w:r>
        <w:t xml:space="preserve"> </w:t>
      </w:r>
      <w:r>
        <w:t>3+</w:t>
      </w:r>
      <w:r>
        <w:t xml:space="preserve"> </w:t>
      </w:r>
      <w:r>
        <w:t>) and 1540 nm (Er</w:t>
      </w:r>
      <w:r>
        <w:t xml:space="preserve"> </w:t>
      </w:r>
      <w:r>
        <w:t>3+</w:t>
      </w:r>
      <w:r>
        <w:t xml:space="preserve"> </w:t>
      </w:r>
      <w:r>
        <w:t>). Both emissions can be achieved by excitation of either Mo</w:t>
      </w:r>
      <w:r>
        <w:t xml:space="preserve"> </w:t>
      </w:r>
      <w:r>
        <w:t>3+</w:t>
      </w:r>
      <w:r>
        <w:t xml:space="preserve"> </w:t>
      </w:r>
      <w:r>
        <w:t>d</w:t>
      </w:r>
      <w:r>
        <w:t xml:space="preserve"> </w:t>
      </w:r>
      <w:r>
        <w:t>‐electrons or Er</w:t>
      </w:r>
      <w:r>
        <w:t xml:space="preserve"> </w:t>
      </w:r>
      <w:r>
        <w:t>3+</w:t>
      </w:r>
      <w:r>
        <w:t xml:space="preserve"> </w:t>
      </w:r>
      <w:r>
        <w:t>f</w:t>
      </w:r>
      <w:r>
        <w:t xml:space="preserve"> </w:t>
      </w:r>
      <w:r>
        <w:t>‐electrons through efficient 4</w:t>
      </w:r>
      <w:r>
        <w:t xml:space="preserve"> </w:t>
      </w:r>
      <w:r>
        <w:t>d</w:t>
      </w:r>
      <w:r>
        <w:t xml:space="preserve"> </w:t>
      </w:r>
      <w:r>
        <w:t>‐4</w:t>
      </w:r>
      <w:r>
        <w:t xml:space="preserve"> </w:t>
      </w:r>
      <w:r>
        <w:t>f</w:t>
      </w:r>
      <w:r>
        <w:t xml:space="preserve"> </w:t>
      </w:r>
      <w:r>
        <w:t>ET, as established by temperature‐dependent (300–6.3 K) PL. Furthermore, this 4</w:t>
      </w:r>
      <w:r>
        <w:t xml:space="preserve"> </w:t>
      </w:r>
      <w:r>
        <w:t>d</w:t>
      </w:r>
      <w:r>
        <w:t xml:space="preserve"> </w:t>
      </w:r>
      <w:r>
        <w:t>‐4</w:t>
      </w:r>
      <w:r>
        <w:t xml:space="preserve"> </w:t>
      </w:r>
      <w:r>
        <w:t>f</w:t>
      </w:r>
      <w:r>
        <w:t xml:space="preserve"> </w:t>
      </w:r>
      <w:r>
        <w:t>interaction enables the demonstration of two‐photon UC PL from Mo</w:t>
      </w:r>
      <w:r>
        <w:t xml:space="preserve"> </w:t>
      </w:r>
      <w:r>
        <w:t>3+</w:t>
      </w:r>
      <w:r>
        <w:t xml:space="preserve"> </w:t>
      </w:r>
      <w:r>
        <w:t>d</w:t>
      </w:r>
      <w:r>
        <w:t xml:space="preserve"> </w:t>
      </w:r>
      <w:r>
        <w:t>‐electrons at 700 nm upon Er</w:t>
      </w:r>
      <w:r>
        <w:t xml:space="preserve"> </w:t>
      </w:r>
      <w:r>
        <w:t>3+</w:t>
      </w:r>
      <w:r>
        <w:t xml:space="preserve"> </w:t>
      </w:r>
      <w:r>
        <w:t>f</w:t>
      </w:r>
      <w:r>
        <w:t xml:space="preserve"> </w:t>
      </w:r>
      <w:r>
        <w:t>‐electrons excitation at 980 nm. This finding establishes 4</w:t>
      </w:r>
      <w:r>
        <w:t xml:space="preserve"> </w:t>
      </w:r>
      <w:r>
        <w:t>d</w:t>
      </w:r>
      <w:r>
        <w:t xml:space="preserve"> </w:t>
      </w:r>
      <w:r>
        <w:t>‐4</w:t>
      </w:r>
      <w:r>
        <w:t xml:space="preserve"> </w:t>
      </w:r>
      <w:r>
        <w:t>f</w:t>
      </w:r>
      <w:r>
        <w:t xml:space="preserve"> </w:t>
      </w:r>
      <w:r>
        <w:t>interaction as a strategy to simultaneously tune downshifting and UC pathways, opening a new opportunity to tailor optical and optoelectronic materials.</w:t>
      </w:r>
    </w:p>
    <w:p>
      <w:pPr>
        <w:spacing w:before="120" w:after="120"/>
      </w:pPr>
      <w:r>
        <w:rPr>
          <w:sz w:val="18"/>
        </w:rPr>
        <w:t>——————————————————————————————————————————————————————————————————————</w:t>
      </w:r>
    </w:p>
    <w:p>
      <w:pPr>
        <w:spacing w:before="160" w:after="40" w:line="240" w:lineRule="auto"/>
      </w:pPr>
      <w:r>
        <w:rPr>
          <w:b/>
        </w:rPr>
        <w:t xml:space="preserve">[380] </w:t>
      </w:r>
      <w:hyperlink r:id="rId928">
        <w:r>
          <w:rPr>
            <w:color w:val="1155CC"/>
            <w:u w:val="single"/>
          </w:rPr>
          <w:t>[ASAP] 混乱阴离子通过重塑界面溶剂化促进电化学C–C键形成</w:t>
        </w:r>
      </w:hyperlink>
    </w:p>
    <w:p>
      <w:pPr>
        <w:spacing w:before="0" w:after="80"/>
      </w:pPr>
      <w:r>
        <w:rPr>
          <w:i/>
          <w:sz w:val="20"/>
        </w:rPr>
        <w:t>EN: [ASAP] Chaotropic Anions Promote Electrochemical C–C Bond Formation by Reshaping Interfacial Solvation</w:t>
      </w:r>
    </w:p>
    <w:p>
      <w:pPr>
        <w:spacing w:before="0" w:after="120"/>
      </w:pPr>
      <w:r>
        <w:rPr>
          <w:b/>
        </w:rPr>
        <w:t xml:space="preserve">Source: </w:t>
      </w:r>
      <w:r>
        <w:t>Journal of the American Chemical Society: Latest Articles (ACS Publications)</w:t>
      </w:r>
      <w:r>
        <w:t xml:space="preserve">    </w:t>
      </w:r>
      <w:r>
        <w:rPr>
          <w:b/>
        </w:rPr>
        <w:t xml:space="preserve">Pub date: </w:t>
      </w:r>
      <w:r>
        <w:t>2026-04-01 08:15:06+00:00</w:t>
      </w:r>
      <w:r>
        <w:t xml:space="preserve">    </w:t>
      </w:r>
      <w:r>
        <w:rPr>
          <w:b/>
        </w:rPr>
        <w:t xml:space="preserve">DOI: </w:t>
      </w:r>
      <w:hyperlink r:id="rId929">
        <w:r>
          <w:rPr>
            <w:color w:val="1155CC"/>
            <w:u w:val="single"/>
          </w:rPr>
          <w:t>10.1021/jacs.5c21082</w:t>
        </w:r>
      </w:hyperlink>
    </w:p>
    <w:p>
      <w:pPr>
        <w:spacing w:before="0" w:after="120"/>
      </w:pPr>
      <w:r>
        <w:rPr>
          <w:b/>
        </w:rPr>
        <w:t xml:space="preserve">Notes: </w:t>
      </w:r>
      <w:r>
        <w:t>abstract_source=openalex</w:t>
      </w:r>
    </w:p>
    <w:p>
      <w:pPr>
        <w:spacing w:before="0" w:after="80" w:lineRule="auto" w:line="276"/>
      </w:pPr>
      <w:r>
        <w:rPr>
          <w:b/>
        </w:rPr>
        <w:t xml:space="preserve">摘要（ZH）: </w:t>
      </w:r>
      <w:r>
        <w:t>虽然已知阴离子会影响CO和CO2的电化学还原，但其潜在机制尚未明确界定。我们提出，它们通过改变界面溶剂化来控制反应性。这个假设受到化学生物学中霍夫迈斯特系列的启发，该系列根据离子通过改变水结构使蛋白质溶解或析出的能力对离子进行排序。造影阴离子加强氢键并促进水的有序化，而混乱阴离子则破坏它。我们研究了该系列中的四种代表性阴离子：CH3COO–、Cl–、CF3SO3–和ClO4–。最具混乱性的阴离子ClO4–相对于CH3COO–增强了C2+产物的形成3.7倍，在相对于标准氢电极的-1.50 V下实现了-782 ± 34 mA cm–2的总电流密度</w:t>
      </w:r>
    </w:p>
    <w:p>
      <w:pPr>
        <w:spacing w:before="0" w:after="200" w:lineRule="auto" w:line="276"/>
      </w:pPr>
      <w:r>
        <w:rPr>
          <w:b/>
        </w:rPr>
        <w:t xml:space="preserve">Abstract (EN): </w:t>
      </w:r>
      <w:r>
        <w:t>Although anions are known to affect CO and CO2 electroreduction, the underlying mechanisms have not been clearly defined. We propose that they control the reactivity by altering the interfacial solvation. This hypothesis is informed by the Hofmeister series from chemical biology, which ranks ions by their ability to salt proteins in or out of solution through alteration of the water structure. Kosmotropic anions strengthen hydrogen bonding and promote water ordering, while chaotropic anions disrupt it. We examined four representative anions from this series: CH3COO–, Cl–, CF3SO3–, and ClO4–. The most chaotropic anion, ClO4–, enhanced C2+ product formation by 3.7 times relative to CH3COO–, achieving a total current density of −782 ± 34 mA cm–2 at −1.50 V versus the Normal Hydrogen Electrode. Temperature-dependent measurements showed that chaotropic anions increase the activation entropy, consistent with greater interfacial water disorder observed by in situ Raman spectroscopy. These results highlight anion-driven water structuring as a powerful lever to enhance multicarbon product formation.</w:t>
      </w:r>
    </w:p>
    <w:p>
      <w:pPr>
        <w:spacing w:before="120" w:after="120"/>
      </w:pPr>
      <w:r>
        <w:rPr>
          <w:sz w:val="18"/>
        </w:rPr>
        <w:t>——————————————————————————————————————————————————————————————————————</w:t>
      </w:r>
    </w:p>
    <w:p>
      <w:pPr>
        <w:spacing w:before="160" w:after="40" w:line="240" w:lineRule="auto"/>
      </w:pPr>
      <w:r>
        <w:rPr>
          <w:b/>
        </w:rPr>
        <w:t xml:space="preserve">[381] </w:t>
      </w:r>
      <w:hyperlink r:id="rId930">
        <w:r>
          <w:rPr>
            <w:color w:val="1155CC"/>
            <w:u w:val="single"/>
          </w:rPr>
          <w:t>[ASAP] 光诱导钯催化实现动态动力学不对称烯丙基亚胺化</w:t>
        </w:r>
      </w:hyperlink>
    </w:p>
    <w:p>
      <w:pPr>
        <w:spacing w:before="0" w:after="80"/>
      </w:pPr>
      <w:r>
        <w:rPr>
          <w:i/>
          <w:sz w:val="20"/>
        </w:rPr>
        <w:t>EN: [ASAP] Photoinduced Palladium Catalysis Enables Dynamic Kinetic Asymmetric Allylic Imidation</w:t>
      </w:r>
    </w:p>
    <w:p>
      <w:pPr>
        <w:spacing w:before="0" w:after="120"/>
      </w:pPr>
      <w:r>
        <w:rPr>
          <w:b/>
        </w:rPr>
        <w:t xml:space="preserve">Source: </w:t>
      </w:r>
      <w:r>
        <w:t>Journal of the American Chemical Society: Latest Articles (ACS Publications)</w:t>
      </w:r>
      <w:r>
        <w:t xml:space="preserve">    </w:t>
      </w:r>
      <w:r>
        <w:rPr>
          <w:b/>
        </w:rPr>
        <w:t xml:space="preserve">Pub date: </w:t>
      </w:r>
      <w:r>
        <w:t>2026-04-01 08:38:26+00:00</w:t>
      </w:r>
      <w:r>
        <w:t xml:space="preserve">    </w:t>
      </w:r>
      <w:r>
        <w:rPr>
          <w:b/>
        </w:rPr>
        <w:t xml:space="preserve">DOI: </w:t>
      </w:r>
      <w:hyperlink r:id="rId931">
        <w:r>
          <w:rPr>
            <w:color w:val="1155CC"/>
            <w:u w:val="single"/>
          </w:rPr>
          <w:t>10.1021/jacs.5c17281</w:t>
        </w:r>
      </w:hyperlink>
    </w:p>
    <w:p>
      <w:pPr>
        <w:spacing w:before="0" w:after="120"/>
      </w:pPr>
      <w:r>
        <w:rPr>
          <w:b/>
        </w:rPr>
        <w:t xml:space="preserve">Notes: </w:t>
      </w:r>
      <w:r>
        <w:t>abstract_source=pubmed</w:t>
      </w:r>
    </w:p>
    <w:p>
      <w:pPr>
        <w:spacing w:before="0" w:after="80" w:lineRule="auto" w:line="276"/>
      </w:pPr>
      <w:r>
        <w:rPr>
          <w:b/>
        </w:rPr>
        <w:t xml:space="preserve">摘要（ZH）: </w:t>
      </w:r>
      <w:r>
        <w:t>钯 (Pd) 催化的动态动力学不对称转化 (DYKAT) 提供了一种获得富含对映体分子的方法。尽管对于单取代和对称的1,3-二取代烯丙基底物已经有很好的研究，但不对称1,3-二取代体系的DYKAT仍然是一个重大挑战，报道的通用解决方案很少。在此，我们提出了一种光诱导的Pd催化DYKAT，能够高区域选择性和对映选择性地对不对称1,3-二取代烯丙基电亲试剂进行酰胺化，包括烯丙基酯、乙烯环氧化物和乙烯碳酸酯。该方法提供了手性烯丙胺和氨基醇，区域选择性比率高达&gt;20:1，对映体过量高达99%。机理研究表明，可见光激发促进了</w:t>
      </w:r>
    </w:p>
    <w:p>
      <w:pPr>
        <w:spacing w:before="0" w:after="200" w:lineRule="auto" w:line="276"/>
      </w:pPr>
      <w:r>
        <w:rPr>
          <w:b/>
        </w:rPr>
        <w:t xml:space="preserve">Abstract (EN): </w:t>
      </w:r>
      <w:r>
        <w:t>Palladium (Pd)-catalyzed dynamic kinetic asymmetric transformation (DYKAT) provides a powerful approach to enantiomerically enriched molecules. Although well-established for monosubstituted and symmetric 1,3-disubstituted allylic substrates, the DYKAT of unsymmetrical 1,3-disubstituted systems remains a substantial challenge, with few general solutions reported. Here, we present a photoinduced Pd-catalyzed DYKAT that enables highly regio- and enantioselective imidation of unsymmetrical 1,3-disubstituted allylic electrophiles, including allyl esters, vinyl epoxides, and vinyl carbonates. This method delivers chiral allylamines and amino alcohols with up to &gt;20:1 regioselectivity ratio and up to 99% enantiomeric excess. Mechanistic investigations reveal that visible-light excitation promotes rapid interconversion of two diastereomeric π-allyl Pd(II) intermediates. This process involves a key equilibrium between a Pd species and an allyl radical, which is essential for achieving enantioconvergent conversion under mild conditions.</w:t>
      </w:r>
    </w:p>
    <w:p>
      <w:pPr>
        <w:spacing w:before="120" w:after="120"/>
      </w:pPr>
      <w:r>
        <w:rPr>
          <w:sz w:val="18"/>
        </w:rPr>
        <w:t>——————————————————————————————————————————————————————————————————————</w:t>
      </w:r>
    </w:p>
    <w:p>
      <w:pPr>
        <w:spacing w:before="160" w:after="40" w:line="240" w:lineRule="auto"/>
      </w:pPr>
      <w:r>
        <w:rPr>
          <w:b/>
        </w:rPr>
        <w:t xml:space="preserve">[382] </w:t>
      </w:r>
      <w:hyperlink r:id="rId932">
        <w:r>
          <w:rPr>
            <w:color w:val="1155CC"/>
            <w:u w:val="single"/>
          </w:rPr>
          <w:t>撤回：通过分子定义的炔基锂钯催化剂实现芳基氯化物与锂亲核试剂的偶联</w:t>
        </w:r>
      </w:hyperlink>
    </w:p>
    <w:p>
      <w:pPr>
        <w:spacing w:before="0" w:after="80"/>
      </w:pPr>
      <w:r>
        <w:rPr>
          <w:i/>
          <w:sz w:val="20"/>
        </w:rPr>
        <w:t>EN: RETRACTION: Coupling of Aryl Chlorides With Lithium Nucleophiles Enabled by Molecularly Defined Alkynyllithium Palladium Catalysts</w:t>
      </w:r>
    </w:p>
    <w:p>
      <w:pPr>
        <w:spacing w:before="0" w:after="120"/>
      </w:pPr>
      <w:r>
        <w:rPr>
          <w:b/>
        </w:rPr>
        <w:t xml:space="preserve">Source: </w:t>
      </w:r>
      <w:r>
        <w:t>Wiley: Angewandte Chemie International Edition: Table of Contents</w:t>
      </w:r>
      <w:r>
        <w:t xml:space="preserve">    </w:t>
      </w:r>
      <w:r>
        <w:rPr>
          <w:b/>
        </w:rPr>
        <w:t xml:space="preserve">Pub date: </w:t>
      </w:r>
      <w:r>
        <w:t>2026-04-01 09:19:25+00:00</w:t>
      </w:r>
      <w:r>
        <w:t xml:space="preserve">    </w:t>
      </w:r>
      <w:r>
        <w:rPr>
          <w:b/>
        </w:rPr>
        <w:t xml:space="preserve">DOI: </w:t>
      </w:r>
      <w:hyperlink r:id="rId933">
        <w:r>
          <w:rPr>
            <w:color w:val="1155CC"/>
            <w:u w:val="single"/>
          </w:rPr>
          <w:t>10.1002/anie.2026-m1803062000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[383] </w:t>
      </w:r>
      <w:hyperlink r:id="rId934">
        <w:r>
          <w:rPr>
            <w:color w:val="1155CC"/>
            <w:u w:val="single"/>
          </w:rPr>
          <w:t>反钙钛矿基氮化物AE3PnN和亚胺AE5Pn2(NH)2中的带隙可调性（AE = Ca, Sr; Pn = As, Sb, Bi）</w:t>
        </w:r>
      </w:hyperlink>
    </w:p>
    <w:p>
      <w:pPr>
        <w:spacing w:before="0" w:after="80"/>
      </w:pPr>
      <w:r>
        <w:rPr>
          <w:i/>
          <w:sz w:val="20"/>
        </w:rPr>
        <w:t>EN: Band Gap Tuneability in Antiperovskite‐Based Nitrides AE3PnN and Imides AE5Pn2(NH)2 (AE = Ca, Sr; Pn = As, Sb, Bi)</w:t>
      </w:r>
    </w:p>
    <w:p>
      <w:pPr>
        <w:spacing w:before="0" w:after="120"/>
      </w:pPr>
      <w:r>
        <w:rPr>
          <w:b/>
        </w:rPr>
        <w:t xml:space="preserve">Source: </w:t>
      </w:r>
      <w:r>
        <w:t>Wiley: Angewandte Chemie International Edition: Table of Contents</w:t>
      </w:r>
      <w:r>
        <w:t xml:space="preserve">    </w:t>
      </w:r>
      <w:r>
        <w:rPr>
          <w:b/>
        </w:rPr>
        <w:t xml:space="preserve">Pub date: </w:t>
      </w:r>
      <w:r>
        <w:t>2026-04-01 09:29:21+00:00</w:t>
      </w:r>
      <w:r>
        <w:t xml:space="preserve">    </w:t>
      </w:r>
      <w:r>
        <w:rPr>
          <w:b/>
        </w:rPr>
        <w:t xml:space="preserve">DOI: </w:t>
      </w:r>
      <w:hyperlink r:id="rId935">
        <w:r>
          <w:rPr>
            <w:color w:val="1155CC"/>
            <w:u w:val="single"/>
          </w:rPr>
          <w:t>10.1002/anie.1423389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无机反钙钛矿，化学式为</w:t>
      </w:r>
      <w:r>
        <w:t xml:space="preserve"> </w:t>
      </w:r>
      <w:r>
        <w:t>X</w:t>
      </w:r>
      <w:r>
        <w:rPr>
          <w:vertAlign w:val="subscript"/>
        </w:rPr>
        <w:t>3</w:t>
      </w:r>
      <w:r>
        <w:t>A</w:t>
      </w:r>
      <w:r>
        <w:t xml:space="preserve"> </w:t>
      </w:r>
      <w:r>
        <w:t>N (</w:t>
      </w:r>
      <w:r>
        <w:t xml:space="preserve"> </w:t>
      </w:r>
      <w:r>
        <w:t>X</w:t>
      </w:r>
      <w:r>
        <w:t xml:space="preserve"> </w:t>
      </w:r>
      <w:r>
        <w:t>= Ba, Sr, Ca, Mg;</w:t>
      </w:r>
      <w:r>
        <w:t xml:space="preserve"> </w:t>
      </w:r>
      <w:r>
        <w:t>A</w:t>
      </w:r>
      <w:r>
        <w:t xml:space="preserve"> </w:t>
      </w:r>
      <w:r>
        <w:t>= As, Sb)，最近被报道表现出优异的光电性能，包括小的载流子有效质量、合适的直接带隙、高光吸收系数以及在带边缘的允许光学跃迁。使用氨热法，我们合成了亚胺反钙钛矿</w:t>
      </w:r>
      <w:r>
        <w:t xml:space="preserve"> </w:t>
      </w:r>
      <w:r>
        <w:t>AE</w:t>
      </w:r>
      <w:r>
        <w:rPr>
          <w:vertAlign w:val="subscript"/>
        </w:rPr>
        <w:t>5</w:t>
      </w:r>
      <w:r>
        <w:t>Pn</w:t>
      </w:r>
      <w:r>
        <w:rPr>
          <w:vertAlign w:val="subscript"/>
        </w:rPr>
        <w:t>2</w:t>
      </w:r>
      <w:r>
        <w:t>(NH)</w:t>
      </w:r>
      <w:r>
        <w:rPr>
          <w:vertAlign w:val="subscript"/>
        </w:rPr>
        <w:t>2</w:t>
      </w:r>
      <w:r>
        <w:t>(</w:t>
      </w:r>
      <w:r>
        <w:t xml:space="preserve"> </w:t>
      </w:r>
      <w:r>
        <w:t>AE</w:t>
      </w:r>
    </w:p>
    <w:p>
      <w:pPr>
        <w:spacing w:before="0" w:after="200" w:lineRule="auto" w:line="276"/>
      </w:pPr>
      <w:r>
        <w:rPr>
          <w:b/>
        </w:rPr>
        <w:t xml:space="preserve">Abstract (EN): </w:t>
      </w:r>
      <w:r>
        <w:t>Inorganic antiperovskites with the formula</w:t>
      </w:r>
      <w:r>
        <w:t xml:space="preserve"> </w:t>
      </w:r>
      <w:r>
        <w:t>X</w:t>
      </w:r>
      <w:r>
        <w:rPr>
          <w:vertAlign w:val="subscript"/>
        </w:rPr>
        <w:t>3</w:t>
      </w:r>
      <w:r>
        <w:t>A</w:t>
      </w:r>
      <w:r>
        <w:t xml:space="preserve"> </w:t>
      </w:r>
      <w:r>
        <w:t>N (</w:t>
      </w:r>
      <w:r>
        <w:t xml:space="preserve"> </w:t>
      </w:r>
      <w:r>
        <w:t>X</w:t>
      </w:r>
      <w:r>
        <w:t xml:space="preserve"> </w:t>
      </w:r>
      <w:r>
        <w:t>= Ba, Sr, Ca, Mg;</w:t>
      </w:r>
      <w:r>
        <w:t xml:space="preserve"> </w:t>
      </w:r>
      <w:r>
        <w:t>A</w:t>
      </w:r>
      <w:r>
        <w:t xml:space="preserve"> </w:t>
      </w:r>
      <w:r>
        <w:t>= As, Sb) have recently been reported to exhibit excellent optoelectronic properties including small carrier effective masses, suitable direct bandgaps, high optical absorption coefficients as well as allowed optical transitions at the band edges. Using the ammonothermal method, we have synthesized the imide antiperovskites</w:t>
      </w:r>
      <w:r>
        <w:t xml:space="preserve"> </w:t>
      </w:r>
      <w:r>
        <w:t>AE</w:t>
      </w:r>
      <w:r>
        <w:rPr>
          <w:vertAlign w:val="subscript"/>
        </w:rPr>
        <w:t>5</w:t>
      </w:r>
      <w:r>
        <w:t>Pn</w:t>
      </w:r>
      <w:r>
        <w:rPr>
          <w:vertAlign w:val="subscript"/>
        </w:rPr>
        <w:t>2</w:t>
      </w:r>
      <w:r>
        <w:t>(NH)</w:t>
      </w:r>
      <w:r>
        <w:rPr>
          <w:vertAlign w:val="subscript"/>
        </w:rPr>
        <w:t>2</w:t>
      </w:r>
      <w:r>
        <w:t>(</w:t>
      </w:r>
      <w:r>
        <w:t xml:space="preserve"> </w:t>
      </w:r>
      <w:r>
        <w:t>AE</w:t>
      </w:r>
      <w:r>
        <w:t xml:space="preserve"> </w:t>
      </w:r>
      <w:r>
        <w:t>= Ca, Sr;</w:t>
      </w:r>
      <w:r>
        <w:t xml:space="preserve"> </w:t>
      </w:r>
      <w:r>
        <w:t>Pn</w:t>
      </w:r>
      <w:r>
        <w:t xml:space="preserve"> </w:t>
      </w:r>
      <w:r>
        <w:t>= As, Sb, Bi). The crystal structures of</w:t>
      </w:r>
      <w:r>
        <w:t xml:space="preserve"> </w:t>
      </w:r>
      <w:r>
        <w:t>AE</w:t>
      </w:r>
      <w:r>
        <w:rPr>
          <w:vertAlign w:val="subscript"/>
        </w:rPr>
        <w:t>5</w:t>
      </w:r>
      <w:r>
        <w:t>Pn</w:t>
      </w:r>
      <w:r>
        <w:rPr>
          <w:vertAlign w:val="subscript"/>
        </w:rPr>
        <w:t>2</w:t>
      </w:r>
      <w:r>
        <w:t>(NH)</w:t>
      </w:r>
      <w:r>
        <w:rPr>
          <w:vertAlign w:val="subscript"/>
        </w:rPr>
        <w:t>2</w:t>
      </w:r>
      <w:r>
        <w:t>were solved and refined in the orthorhombic space group</w:t>
      </w:r>
      <w:r>
        <w:t xml:space="preserve"> </w:t>
      </w:r>
      <w:r>
        <w:t>Pbam</w:t>
      </w:r>
      <w:r>
        <w:t xml:space="preserve"> </w:t>
      </w:r>
      <w:r>
        <w:t>by single‐crystal x‐ray diffraction (scXRD), and further confirmed using powder X‐ray diffraction (pXRD) and Raman spectroscopy. Depending on the ion size ratio between</w:t>
      </w:r>
      <w:r>
        <w:t xml:space="preserve"> </w:t>
      </w:r>
      <w:r>
        <w:t>AE</w:t>
      </w:r>
      <w:r>
        <w:t xml:space="preserve"> </w:t>
      </w:r>
      <w:r>
        <w:t>2+</w:t>
      </w:r>
      <w:r>
        <w:t xml:space="preserve"> </w:t>
      </w:r>
      <w:r>
        <w:t>and</w:t>
      </w:r>
      <w:r>
        <w:t xml:space="preserve"> </w:t>
      </w:r>
      <w:r>
        <w:t>Pn</w:t>
      </w:r>
      <w:r>
        <w:t xml:space="preserve"> </w:t>
      </w:r>
      <w:r>
        <w:t>3–</w:t>
      </w:r>
      <w:r>
        <w:t xml:space="preserve"> </w:t>
      </w:r>
      <w:r>
        <w:t>, different degrees of octahedral tilting can be observed. Soft X‐ray spectroscopy was used to study the band gap and electronic structure, and revealed the presence of oxygen impurities. The</w:t>
      </w:r>
      <w:r>
        <w:t xml:space="preserve"> </w:t>
      </w:r>
      <w:r>
        <w:t>AE</w:t>
      </w:r>
      <w:r>
        <w:rPr>
          <w:vertAlign w:val="subscript"/>
        </w:rPr>
        <w:t>5</w:t>
      </w:r>
      <w:r>
        <w:t>Pn</w:t>
      </w:r>
      <w:r>
        <w:rPr>
          <w:vertAlign w:val="subscript"/>
        </w:rPr>
        <w:t>2</w:t>
      </w:r>
      <w:r>
        <w:t>(NH)</w:t>
      </w:r>
      <w:r>
        <w:rPr>
          <w:vertAlign w:val="subscript"/>
        </w:rPr>
        <w:t>2</w:t>
      </w:r>
      <w:r>
        <w:t>compounds can further react to form the ternary antiperovskites</w:t>
      </w:r>
      <w:r>
        <w:t xml:space="preserve"> </w:t>
      </w:r>
      <w:r>
        <w:t>AE</w:t>
      </w:r>
      <w:r>
        <w:rPr>
          <w:vertAlign w:val="subscript"/>
        </w:rPr>
        <w:t>3</w:t>
      </w:r>
      <w:r>
        <w:t>Pn</w:t>
      </w:r>
      <w:r>
        <w:t xml:space="preserve"> </w:t>
      </w:r>
      <w:r>
        <w:t>N. Density functional theory calculations reveal favorable transport and optical properties. Narrow direct band gaps in the range of 0.87–1.76 eV could be verified experimentally, making</w:t>
      </w:r>
      <w:r>
        <w:t xml:space="preserve"> </w:t>
      </w:r>
      <w:r>
        <w:t>AE</w:t>
      </w:r>
      <w:r>
        <w:rPr>
          <w:vertAlign w:val="subscript"/>
        </w:rPr>
        <w:t>5</w:t>
      </w:r>
      <w:r>
        <w:t>Pn</w:t>
      </w:r>
      <w:r>
        <w:rPr>
          <w:vertAlign w:val="subscript"/>
        </w:rPr>
        <w:t>2</w:t>
      </w:r>
      <w:r>
        <w:t>(NH)</w:t>
      </w:r>
      <w:r>
        <w:rPr>
          <w:vertAlign w:val="subscript"/>
        </w:rPr>
        <w:t>2</w:t>
      </w:r>
      <w:r>
        <w:t>not only suitable as precursor materials for the corresponding</w:t>
      </w:r>
      <w:r>
        <w:t xml:space="preserve"> </w:t>
      </w:r>
      <w:r>
        <w:t>AE</w:t>
      </w:r>
      <w:r>
        <w:rPr>
          <w:vertAlign w:val="subscript"/>
        </w:rPr>
        <w:t>3</w:t>
      </w:r>
      <w:r>
        <w:t>Pn</w:t>
      </w:r>
      <w:r>
        <w:t xml:space="preserve"> </w:t>
      </w:r>
      <w:r>
        <w:t>N antiperovskites, but also as promising candidates for solar cell absorber materials.</w:t>
      </w:r>
    </w:p>
    <w:p>
      <w:pPr>
        <w:spacing w:before="120" w:after="120"/>
      </w:pPr>
      <w:r>
        <w:rPr>
          <w:sz w:val="18"/>
        </w:rPr>
        <w:t>——————————————————————————————————————————————————————————————————————</w:t>
      </w:r>
    </w:p>
    <w:p>
      <w:pPr>
        <w:spacing w:before="160" w:after="40" w:line="240" w:lineRule="auto"/>
      </w:pPr>
      <w:r>
        <w:rPr>
          <w:b/>
        </w:rPr>
        <w:t xml:space="preserve">[384] </w:t>
      </w:r>
      <w:hyperlink r:id="rId936">
        <w:r>
          <w:rPr>
            <w:color w:val="1155CC"/>
            <w:u w:val="single"/>
          </w:rPr>
          <w:t>多组分合金中铂位点的对称破坏调制用于高效氧还原反应</w:t>
        </w:r>
      </w:hyperlink>
    </w:p>
    <w:p>
      <w:pPr>
        <w:spacing w:before="0" w:after="80"/>
      </w:pPr>
      <w:r>
        <w:rPr>
          <w:i/>
          <w:sz w:val="20"/>
        </w:rPr>
        <w:t>EN: Symmetry‐Breaking Modulation of Platinum Sites in Multicomponent Alloy for Efficient Oxygen Reduction Reaction</w:t>
      </w:r>
    </w:p>
    <w:p>
      <w:pPr>
        <w:spacing w:before="0" w:after="120"/>
      </w:pPr>
      <w:r>
        <w:rPr>
          <w:b/>
        </w:rPr>
        <w:t xml:space="preserve">Source: </w:t>
      </w:r>
      <w:r>
        <w:t>Wiley: Angewandte Chemie International Edition: Table of Contents</w:t>
      </w:r>
      <w:r>
        <w:t xml:space="preserve">    </w:t>
      </w:r>
      <w:r>
        <w:rPr>
          <w:b/>
        </w:rPr>
        <w:t xml:space="preserve">Pub date: </w:t>
      </w:r>
      <w:r>
        <w:t>2026-04-01 09:33:50+00:00</w:t>
      </w:r>
      <w:r>
        <w:t xml:space="preserve">    </w:t>
      </w:r>
      <w:r>
        <w:rPr>
          <w:b/>
        </w:rPr>
        <w:t xml:space="preserve">DOI: </w:t>
      </w:r>
      <w:hyperlink r:id="rId937">
        <w:r>
          <w:rPr>
            <w:color w:val="1155CC"/>
            <w:u w:val="single"/>
          </w:rPr>
          <w:t>10.1002/anie.5938299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理解和控制多组分合金中的原子级相互作用为推动多步串联催化提供了一个有前途的途径。在此，我们开发了一种原子对称性破坏的PtFeCoCu多组分合金，它破坏了长程有序性和局部配位均匀性，并确定了其在氧还原反应（ORR）中增强性能的本质。故意的对称性破坏，以异质局部配位和各向异性应变为特征，丰富了Pt环境中的额外过渡金属邻居。这些畸变激活了多组分相互作用并调节了Pt的电子结构，促进了ORR中间体的转化，同时抑制了组分的溶解。因此，PtFeCoCu</w:t>
      </w:r>
    </w:p>
    <w:p>
      <w:pPr>
        <w:spacing w:before="0" w:after="200" w:lineRule="auto" w:line="276"/>
      </w:pPr>
      <w:r>
        <w:rPr>
          <w:b/>
        </w:rPr>
        <w:t xml:space="preserve">Abstract (EN): </w:t>
      </w:r>
      <w:r>
        <w:t>Understanding and controlling atomic‐level interactions within multicomponent alloys provides a promising avenue to drive multistep tandem catalysis. Herein, we develop an atomic symmetry‐breaking PtFeCoCu multicomponent alloy that disrupts long‐range order and local coordination homogeneity and identify the nature of its enhanced performance for oxygen reduction reaction (ORR). The deliberate symmetry breaking, featured by heterogeneous local coordination and anisotropic strain, enriches the Pt environment with additional transition‐metal neighbors. These distortions activate multicomponent interactions and tune the Pt electronic structure, promoting ORR intermediate conversion while suppressing component dissolution. Consequently, PtFeCoCu reaches a half‐wave potential of 0.95 V</w:t>
      </w:r>
      <w:r>
        <w:t xml:space="preserve"> </w:t>
      </w:r>
      <w:r>
        <w:t>RHE</w:t>
      </w:r>
      <w:r>
        <w:t xml:space="preserve"> </w:t>
      </w:r>
      <w:r>
        <w:t>and a mass activity of 3.53 A mg</w:t>
      </w:r>
      <w:r>
        <w:t xml:space="preserve"> </w:t>
      </w:r>
      <w:r>
        <w:t>Pt</w:t>
      </w:r>
      <w:r>
        <w:t xml:space="preserve"> </w:t>
      </w:r>
      <w:r>
        <w:t>−1</w:t>
      </w:r>
      <w:r>
        <w:t xml:space="preserve"> </w:t>
      </w:r>
      <w:r>
        <w:t>at 0.9 V</w:t>
      </w:r>
      <w:r>
        <w:t xml:space="preserve"> </w:t>
      </w:r>
      <w:r>
        <w:t>RHE</w:t>
      </w:r>
      <w:r>
        <w:t xml:space="preserve"> </w:t>
      </w:r>
      <w:r>
        <w:t>in ORR. In an H</w:t>
      </w:r>
      <w:r>
        <w:rPr>
          <w:vertAlign w:val="subscript"/>
        </w:rPr>
        <w:t>2</w:t>
      </w:r>
      <w:r>
        <w:t>‐O</w:t>
      </w:r>
      <w:r>
        <w:rPr>
          <w:vertAlign w:val="subscript"/>
        </w:rPr>
        <w:t>2</w:t>
      </w:r>
      <w:r>
        <w:t>fuel cell, it delivers a high mass activity of 1.63 A mg</w:t>
      </w:r>
      <w:r>
        <w:t xml:space="preserve"> </w:t>
      </w:r>
      <w:r>
        <w:t>Pt</w:t>
      </w:r>
      <w:r>
        <w:t xml:space="preserve"> </w:t>
      </w:r>
      <w:r>
        <w:t>−1</w:t>
      </w:r>
      <w:r>
        <w:t xml:space="preserve"> </w:t>
      </w:r>
      <w:r>
        <w:t>at 0.9 V</w:t>
      </w:r>
      <w:r>
        <w:t xml:space="preserve"> </w:t>
      </w:r>
      <w:r>
        <w:t>iR‐free</w:t>
      </w:r>
      <w:r>
        <w:t xml:space="preserve"> </w:t>
      </w:r>
      <w:r>
        <w:t>, retaining 87.7% of its initial mass activity after 30,000 cycles. Our findings highlight symmetry breaking as a key driver with broad implications across multicomponent alloys.</w:t>
      </w:r>
    </w:p>
    <w:p>
      <w:pPr>
        <w:spacing w:before="120" w:after="120"/>
      </w:pPr>
      <w:r>
        <w:rPr>
          <w:sz w:val="18"/>
        </w:rPr>
        <w:t>——————————————————————————————————————————————————————————————————————</w:t>
      </w:r>
    </w:p>
    <w:p>
      <w:pPr>
        <w:spacing w:before="160" w:after="40" w:line="240" w:lineRule="auto"/>
      </w:pPr>
      <w:r>
        <w:rPr>
          <w:b/>
        </w:rPr>
        <w:t xml:space="preserve">[385] </w:t>
      </w:r>
      <w:hyperlink r:id="rId938">
        <w:r>
          <w:rPr>
            <w:color w:val="1155CC"/>
            <w:u w:val="single"/>
          </w:rPr>
          <w:t>通过阴离子-稀释剂动力学驱动的加速动力学的全面理解，实现双离子电池在宽温度范围内的操作（Adv. Mater. 19/2026）</w:t>
        </w:r>
      </w:hyperlink>
    </w:p>
    <w:p>
      <w:pPr>
        <w:spacing w:before="0" w:after="80"/>
      </w:pPr>
      <w:r>
        <w:rPr>
          <w:i/>
          <w:sz w:val="20"/>
        </w:rPr>
        <w:t>EN: Comprehensive Understanding of Accelerated Kinetics Driven by Anion–Diluent Dynamics Enabling Wide Temp Operation in Dual‐Ion Batteries (Adv. Mater. 19/2026)</w:t>
      </w:r>
    </w:p>
    <w:p>
      <w:pPr>
        <w:spacing w:before="0" w:after="120"/>
      </w:pPr>
      <w:r>
        <w:rPr>
          <w:b/>
        </w:rPr>
        <w:t xml:space="preserve">Source: </w:t>
      </w:r>
      <w:r>
        <w:t>Wiley: Advanced Materials: Table of Contents</w:t>
      </w:r>
      <w:r>
        <w:t xml:space="preserve">    </w:t>
      </w:r>
      <w:r>
        <w:rPr>
          <w:b/>
        </w:rPr>
        <w:t xml:space="preserve">Pub date: </w:t>
      </w:r>
      <w:r>
        <w:t>2026-04-01 09:34:07+00:00</w:t>
      </w:r>
      <w:r>
        <w:t xml:space="preserve">    </w:t>
      </w:r>
      <w:r>
        <w:rPr>
          <w:b/>
        </w:rPr>
        <w:t xml:space="preserve">DOI: </w:t>
      </w:r>
      <w:hyperlink r:id="rId939">
        <w:r>
          <w:rPr>
            <w:color w:val="1155CC"/>
            <w:u w:val="single"/>
          </w:rPr>
          <w:t>10.1002/adma.72897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[386] </w:t>
      </w:r>
      <w:hyperlink r:id="rId940">
        <w:r>
          <w:rPr>
            <w:color w:val="1155CC"/>
            <w:u w:val="single"/>
          </w:rPr>
          <w:t>释放混合相四方铁电多层中的铁弹性畴重组的机电响应（Adv. Mater. 19/2026）</w:t>
        </w:r>
      </w:hyperlink>
    </w:p>
    <w:p>
      <w:pPr>
        <w:spacing w:before="0" w:after="80"/>
      </w:pPr>
      <w:r>
        <w:rPr>
          <w:i/>
          <w:sz w:val="20"/>
        </w:rPr>
        <w:t>EN: Unleashing the Electromechanical Response of Ferroelastic Domain Reorganization in Mixed‐Phase Tetragonal Ferroelectric Multilayers (Adv. Mater. 19/2026)</w:t>
      </w:r>
    </w:p>
    <w:p>
      <w:pPr>
        <w:spacing w:before="0" w:after="120"/>
      </w:pPr>
      <w:r>
        <w:rPr>
          <w:b/>
        </w:rPr>
        <w:t xml:space="preserve">Source: </w:t>
      </w:r>
      <w:r>
        <w:t>Wiley: Advanced Materials: Table of Contents</w:t>
      </w:r>
      <w:r>
        <w:t xml:space="preserve">    </w:t>
      </w:r>
      <w:r>
        <w:rPr>
          <w:b/>
        </w:rPr>
        <w:t xml:space="preserve">Pub date: </w:t>
      </w:r>
      <w:r>
        <w:t>2026-04-01 09:34:07+00:00</w:t>
      </w:r>
      <w:r>
        <w:t xml:space="preserve">    </w:t>
      </w:r>
      <w:r>
        <w:rPr>
          <w:b/>
        </w:rPr>
        <w:t xml:space="preserve">DOI: </w:t>
      </w:r>
      <w:hyperlink r:id="rId941">
        <w:r>
          <w:rPr>
            <w:color w:val="1155CC"/>
            <w:u w:val="single"/>
          </w:rPr>
          <w:t>10.1002/adma.72898</w:t>
        </w:r>
      </w:hyperlink>
    </w:p>
    <w:p>
      <w:pPr>
        <w:spacing w:before="0" w:after="120"/>
      </w:pPr>
      <w:r>
        <w:rPr>
          <w:b/>
        </w:rPr>
        <w:t xml:space="preserve">Notes: </w:t>
      </w:r>
      <w:r>
        <w:t>abstract_source=openalex</w:t>
      </w:r>
    </w:p>
    <w:p>
      <w:pPr>
        <w:spacing w:before="0" w:after="80" w:lineRule="auto" w:line="276"/>
      </w:pPr>
      <w:r>
        <w:rPr>
          <w:b/>
        </w:rPr>
        <w:t xml:space="preserve">摘要（ZH）: </w:t>
      </w:r>
      <w:r>
        <w:t>小材料产生大应变 在他们的研究文章（DOI: 10.1002/adma.202518417）中，Lane W. Martin及其合作者克服了薄膜电机响应中的基板诱导限制。通过生产基于域工程铁电体如PbZr0.2Ti0.8O3的多层异质结构，可以产生增强的压电系数和最大电机应变，即使在亚100纳米薄膜中，其性能也超过了块状压电陶瓷。</w:t>
      </w:r>
    </w:p>
    <w:p>
      <w:pPr>
        <w:spacing w:before="0" w:after="200" w:lineRule="auto" w:line="276"/>
      </w:pPr>
      <w:r>
        <w:rPr>
          <w:b/>
        </w:rPr>
        <w:t xml:space="preserve">Abstract (EN): </w:t>
      </w:r>
      <w:r>
        <w:t>Large Strains from Small Materials In their Research Article (DOI: 10.1002/adma.202518417), Lane W. Martin and co-authors overcome substrate-induced limitations in the electromechanical response of thin films. By producing multilayer heterostructures based on domain-engineered ferroelectrics like PbZr0.2Ti0.8O3 it is possible to produce enhanced piezoelectric coefficients and maximum electromechanical strains that surpass the performance of bulk piezoceramics even in sub-100-nm films.</w:t>
      </w:r>
    </w:p>
    <w:p>
      <w:pPr>
        <w:spacing w:before="120" w:after="120"/>
      </w:pPr>
      <w:r>
        <w:rPr>
          <w:sz w:val="18"/>
        </w:rPr>
        <w:t>——————————————————————————————————————————————————————————————————————</w:t>
      </w:r>
    </w:p>
    <w:p>
      <w:pPr>
        <w:spacing w:before="160" w:after="40" w:line="240" w:lineRule="auto"/>
      </w:pPr>
      <w:r>
        <w:rPr>
          <w:b/>
        </w:rPr>
        <w:t xml:space="preserve">[387] </w:t>
      </w:r>
      <w:hyperlink r:id="rId942">
        <w:r>
          <w:rPr>
            <w:color w:val="1155CC"/>
            <w:u w:val="single"/>
          </w:rPr>
          <w:t>富钼Mo0.5Ru0.5O2纳米颗粒用于高效和稳定的氧析出反应（Adv. Mater. 19/2026）</w:t>
        </w:r>
      </w:hyperlink>
    </w:p>
    <w:p>
      <w:pPr>
        <w:spacing w:before="0" w:after="80"/>
      </w:pPr>
      <w:r>
        <w:rPr>
          <w:i/>
          <w:sz w:val="20"/>
        </w:rPr>
        <w:t>EN: Molybdenum‐Enriched Mo0.5Ru0.5O2 Nanoparticles for Efficient and Stable Oxygen Evolution Reaction (Adv. Mater. 19/2026)</w:t>
      </w:r>
    </w:p>
    <w:p>
      <w:pPr>
        <w:spacing w:before="0" w:after="120"/>
      </w:pPr>
      <w:r>
        <w:rPr>
          <w:b/>
        </w:rPr>
        <w:t xml:space="preserve">Source: </w:t>
      </w:r>
      <w:r>
        <w:t>Wiley: Advanced Materials: Table of Contents</w:t>
      </w:r>
      <w:r>
        <w:t xml:space="preserve">    </w:t>
      </w:r>
      <w:r>
        <w:rPr>
          <w:b/>
        </w:rPr>
        <w:t xml:space="preserve">Pub date: </w:t>
      </w:r>
      <w:r>
        <w:t>2026-04-01 09:34:07+00:00</w:t>
      </w:r>
      <w:r>
        <w:t xml:space="preserve">    </w:t>
      </w:r>
      <w:r>
        <w:rPr>
          <w:b/>
        </w:rPr>
        <w:t xml:space="preserve">DOI: </w:t>
      </w:r>
      <w:hyperlink r:id="rId943">
        <w:r>
          <w:rPr>
            <w:color w:val="1155CC"/>
            <w:u w:val="single"/>
          </w:rPr>
          <w:t>10.1002/adma.72896</w:t>
        </w:r>
      </w:hyperlink>
    </w:p>
    <w:p>
      <w:pPr>
        <w:spacing w:before="0" w:after="120"/>
      </w:pPr>
      <w:r>
        <w:rPr>
          <w:b/>
        </w:rPr>
        <w:t xml:space="preserve">Notes: </w:t>
      </w:r>
      <w:r>
        <w:t>abstract_source=openalex</w:t>
      </w:r>
    </w:p>
    <w:p>
      <w:pPr>
        <w:spacing w:before="0" w:after="80" w:lineRule="auto" w:line="276"/>
      </w:pPr>
      <w:r>
        <w:rPr>
          <w:b/>
        </w:rPr>
        <w:t xml:space="preserve">摘要（ZH）: </w:t>
      </w:r>
      <w:r>
        <w:t>热冲击稳定的Mo0.5Ru0.5O2作为耐用催化剂 Mo0.5Ru0.5O2纳米颗粒催化剂通过氧气中的热冲击合成。该过程均匀地将Mo掺入RuO2晶格中，抑制了相分离、Ru过氧化和结构退化，在酸性氧气演化过程中，使催化剂保持高活性，同时显著提高耐久性。更多细节可以在Liangbing Hu、Litao Yan及其合作者的研究文章中找到（DOI: 10.1002/adma.202520210）。</w:t>
      </w:r>
    </w:p>
    <w:p>
      <w:pPr>
        <w:spacing w:before="0" w:after="200" w:lineRule="auto" w:line="276"/>
      </w:pPr>
      <w:r>
        <w:rPr>
          <w:b/>
        </w:rPr>
        <w:t xml:space="preserve">Abstract (EN): </w:t>
      </w:r>
      <w:r>
        <w:t>Thermal Shock-Stabilized Mo0.5Ru0.5O2 as a Durable Catalyst A Mo0.5Ru0.5O2 nanoparticle catalyst is synthesized via thermal shock in oxygen. This process uniformly incorporates Mo into the RuO2 lattice, suppressing phase separation, Ru over-oxidation, and structural degradation during acidic oxygen evolution, enabling the catalyst to retain high activity while substantially enhancing durability. More details can be found in the Research Article by Liangbing Hu, Litao Yan, and co-workers (DOI: 10.1002/adma.202520210).</w:t>
      </w:r>
    </w:p>
    <w:p>
      <w:pPr>
        <w:spacing w:before="120" w:after="120"/>
      </w:pPr>
      <w:r>
        <w:rPr>
          <w:sz w:val="18"/>
        </w:rPr>
        <w:t>——————————————————————————————————————————————————————————————————————</w:t>
      </w:r>
    </w:p>
    <w:p>
      <w:pPr>
        <w:spacing w:before="160" w:after="40" w:line="240" w:lineRule="auto"/>
      </w:pPr>
      <w:r>
        <w:rPr>
          <w:b/>
        </w:rPr>
        <w:t xml:space="preserve">[388] </w:t>
      </w:r>
      <w:hyperlink r:id="rId944">
        <w:r>
          <w:rPr>
            <w:color w:val="1155CC"/>
            <w:u w:val="single"/>
          </w:rPr>
          <w:t>集成水凝胶光纤电子器件与机械稳健界面实现同步电生理记录和光遗传调控（Adv. Mater. 19/2026）</w:t>
        </w:r>
      </w:hyperlink>
    </w:p>
    <w:p>
      <w:pPr>
        <w:spacing w:before="0" w:after="80"/>
      </w:pPr>
      <w:r>
        <w:rPr>
          <w:i/>
          <w:sz w:val="20"/>
        </w:rPr>
        <w:t>EN: Integrated Hydrogel Optical Fiber Electronics with Mechanically Robust Interfaces Enable Simultaneous Electrophysiological Recording and Optogenetic Modulation (Adv. Mater. 19/2026)</w:t>
      </w:r>
    </w:p>
    <w:p>
      <w:pPr>
        <w:spacing w:before="0" w:after="120"/>
      </w:pPr>
      <w:r>
        <w:rPr>
          <w:b/>
        </w:rPr>
        <w:t xml:space="preserve">Source: </w:t>
      </w:r>
      <w:r>
        <w:t>Wiley: Advanced Materials: Table of Contents</w:t>
      </w:r>
      <w:r>
        <w:t xml:space="preserve">    </w:t>
      </w:r>
      <w:r>
        <w:rPr>
          <w:b/>
        </w:rPr>
        <w:t xml:space="preserve">Pub date: </w:t>
      </w:r>
      <w:r>
        <w:t>2026-04-01 09:34:07+00:00</w:t>
      </w:r>
      <w:r>
        <w:t xml:space="preserve">    </w:t>
      </w:r>
      <w:r>
        <w:rPr>
          <w:b/>
        </w:rPr>
        <w:t xml:space="preserve">DOI: </w:t>
      </w:r>
      <w:hyperlink r:id="rId945">
        <w:r>
          <w:rPr>
            <w:color w:val="1155CC"/>
            <w:u w:val="single"/>
          </w:rPr>
          <w:t>10.1002/adma.72893</w:t>
        </w:r>
      </w:hyperlink>
    </w:p>
    <w:p>
      <w:pPr>
        <w:spacing w:before="0" w:after="120"/>
      </w:pPr>
      <w:r>
        <w:rPr>
          <w:b/>
        </w:rPr>
        <w:t xml:space="preserve">Notes: </w:t>
      </w:r>
      <w:r>
        <w:t>abstract_source=openalex</w:t>
      </w:r>
    </w:p>
    <w:p>
      <w:pPr>
        <w:spacing w:before="0" w:after="80" w:lineRule="auto" w:line="276"/>
      </w:pPr>
      <w:r>
        <w:rPr>
          <w:b/>
        </w:rPr>
        <w:t xml:space="preserve">摘要（ZH）: </w:t>
      </w:r>
      <w:r>
        <w:t>集成水凝胶光纤电子学 一种多功能水凝胶纤维基生物电子学，由具有完美阶跃折射率的水凝胶芯和用于电生理记录的导电水凝胶包层组成，能够在同一区域内同时进行电生理记录和光调制。更多详细信息可以在Yi Lu、Ji Liu及其合作者的研究文章中找到（DOI: 10.1002/adma.202517771）。</w:t>
      </w:r>
    </w:p>
    <w:p>
      <w:pPr>
        <w:spacing w:before="0" w:after="200" w:lineRule="auto" w:line="276"/>
      </w:pPr>
      <w:r>
        <w:rPr>
          <w:b/>
        </w:rPr>
        <w:t xml:space="preserve">Abstract (EN): </w:t>
      </w:r>
      <w:r>
        <w:t>Integrated Hydrogel Optical Fiber Electronics A multi-functional hydrogel fiber-based bioelectronics, consisting of a hydrogel core with perfect step-index and a conducting hydrogel cladding for electrophysiological recording, enables the simultaneous electrophysiological recording and optical modulation in behaving mice at the same region. More details can be found in the Research Article by Yi Lu, Ji Liu, and co-workers (DOI: 10.1002/adma.202517771).</w:t>
      </w:r>
    </w:p>
    <w:p>
      <w:pPr>
        <w:spacing w:before="120" w:after="120"/>
      </w:pPr>
      <w:r>
        <w:rPr>
          <w:sz w:val="18"/>
        </w:rPr>
        <w:t>——————————————————————————————————————————————————————————————————————</w:t>
      </w:r>
    </w:p>
    <w:p>
      <w:pPr>
        <w:spacing w:before="160" w:after="40" w:line="240" w:lineRule="auto"/>
      </w:pPr>
      <w:r>
        <w:rPr>
          <w:b/>
        </w:rPr>
        <w:t xml:space="preserve">[389] </w:t>
      </w:r>
      <w:hyperlink r:id="rId946">
        <w:r>
          <w:rPr>
            <w:color w:val="1155CC"/>
            <w:u w:val="single"/>
          </w:rPr>
          <w:t>在混合锑卤化物中跨越前所未有的压力范围的持续二次谐波生成增强</w:t>
        </w:r>
      </w:hyperlink>
    </w:p>
    <w:p>
      <w:pPr>
        <w:spacing w:before="0" w:after="80"/>
      </w:pPr>
      <w:r>
        <w:rPr>
          <w:i/>
          <w:sz w:val="20"/>
        </w:rPr>
        <w:t>EN: Persistent Second‐Harmonic Generation Enhancement Across an Unprecedented Pressure Range in a Hybrid Antimony Halide</w:t>
      </w:r>
    </w:p>
    <w:p>
      <w:pPr>
        <w:spacing w:before="0" w:after="120"/>
      </w:pPr>
      <w:r>
        <w:rPr>
          <w:b/>
        </w:rPr>
        <w:t xml:space="preserve">Source: </w:t>
      </w:r>
      <w:r>
        <w:t>Wiley: Angewandte Chemie International Edition: Table of Contents</w:t>
      </w:r>
      <w:r>
        <w:t xml:space="preserve">    </w:t>
      </w:r>
      <w:r>
        <w:rPr>
          <w:b/>
        </w:rPr>
        <w:t xml:space="preserve">Pub date: </w:t>
      </w:r>
      <w:r>
        <w:t>2026-04-01 09:38:06+00:00</w:t>
      </w:r>
      <w:r>
        <w:t xml:space="preserve">    </w:t>
      </w:r>
      <w:r>
        <w:rPr>
          <w:b/>
        </w:rPr>
        <w:t xml:space="preserve">DOI: </w:t>
      </w:r>
      <w:hyperlink r:id="rId947">
        <w:r>
          <w:rPr>
            <w:color w:val="1155CC"/>
            <w:u w:val="single"/>
          </w:rPr>
          <w:t>10.1002/anie.202521358</w:t>
        </w:r>
      </w:hyperlink>
    </w:p>
    <w:p>
      <w:pPr>
        <w:spacing w:before="0" w:after="120"/>
      </w:pPr>
      <w:r>
        <w:rPr>
          <w:b/>
        </w:rPr>
        <w:t xml:space="preserve">Notes: </w:t>
      </w:r>
      <w:r>
        <w:t>abstract_source=crossref</w:t>
      </w:r>
    </w:p>
    <w:p>
      <w:pPr>
        <w:spacing w:before="0" w:after="80" w:lineRule="auto" w:line="276"/>
      </w:pPr>
      <w:r>
        <w:rPr>
          <w:b/>
        </w:rPr>
        <w:t xml:space="preserve">摘要（ZH）: </w:t>
      </w:r>
      <w:r>
        <w:t>摘要 有机-无机杂化固体结合了化学可调性和晶格柔性，使其成为通过外部刺激调节光学非线性的理想平台。传统上，孤对电子（LPEs）的立体化学活性、结构畸变和二次谐波产生（SHG）响应是正相关的。在大多数含有立体化学活性LPEs的卤化物及相关系统中，压缩通过增加阳离子配位来抑制LPEs活性，因此SHG强度随压力呈穹顶形依赖性，限制了在约2.5 GPa以下的连续增强。在此，我们报告了一个显著的例外：零维杂化卤化物（TMP）2（Sb</w:t>
      </w:r>
    </w:p>
    <w:p>
      <w:pPr>
        <w:spacing w:before="0" w:after="200" w:lineRule="auto" w:line="276"/>
      </w:pPr>
      <w:r>
        <w:rPr>
          <w:b/>
        </w:rPr>
        <w:t xml:space="preserve">Abstract (EN): </w:t>
      </w:r>
      <w:r>
        <w:t>Organic‐inorganic hybrid solids combine chemical tunability and lattice flexibility, making them ideal platforms for modulating optical nonlinearities through external stimulus. Conventionally, the stereochemical activity of lone‐pair electrons (LPEs), structural distortion, and second‐harmonic generation (SHG) response are positively correlated. In most halide and related systems that contain stereochemically active LPEs, compression suppresses LPEs activity by increasing cation coordination, and SHG intensities consequently follow a dome‐shaped pressure dependence that limits continuous enhancement below ∼2.5 GPa. Herein, we report a remarkable exception: the zero‐dimensional hybrid halide (TMP)</w:t>
      </w:r>
      <w:r>
        <w:rPr>
          <w:vertAlign w:val="subscript"/>
        </w:rPr>
        <w:t>2</w:t>
      </w:r>
      <w:r>
        <w:t>(SbBr</w:t>
      </w:r>
      <w:r>
        <w:rPr>
          <w:vertAlign w:val="subscript"/>
        </w:rPr>
        <w:t>5</w:t>
      </w:r>
      <w:r>
        <w:t>)(SbBr</w:t>
      </w:r>
      <w:r>
        <w:rPr>
          <w:vertAlign w:val="subscript"/>
        </w:rPr>
        <w:t>3</w:t>
      </w:r>
      <w:r>
        <w:t>) (TMP = thiomorpholine, (CH</w:t>
      </w:r>
      <w:r>
        <w:rPr>
          <w:vertAlign w:val="subscript"/>
        </w:rPr>
        <w:t>2</w:t>
      </w:r>
      <w:r>
        <w:t>)</w:t>
      </w:r>
      <w:r>
        <w:rPr>
          <w:vertAlign w:val="subscript"/>
        </w:rPr>
        <w:t>4</w:t>
      </w:r>
      <w:r>
        <w:t>NH</w:t>
      </w:r>
      <w:r>
        <w:rPr>
          <w:vertAlign w:val="subscript"/>
        </w:rPr>
        <w:t>2</w:t>
      </w:r>
      <w:r>
        <w:t>S</w:t>
      </w:r>
      <w:r>
        <w:t xml:space="preserve"> </w:t>
      </w:r>
      <w:r>
        <w:t>+</w:t>
      </w:r>
      <w:r>
        <w:t xml:space="preserve"> </w:t>
      </w:r>
      <w:r>
        <w:t>) exhibits a continuous 2.1‐fold SHG enhancement over an unusually wide pressure range of 0–8.88 GPa. The net enhancement persists through an isostructural 0D→1D phase transition at ∼3.5 GPa. Our combined structural, spectroscopic, and DFT analyses show that the formation of new Sb‒S bonds linking SbBr</w:t>
      </w:r>
      <w:r>
        <w:rPr>
          <w:vertAlign w:val="subscript"/>
        </w:rPr>
        <w:t>3</w:t>
      </w:r>
      <w:r>
        <w:t>trigonal pyramids to adjacent TMP</w:t>
      </w:r>
      <w:r>
        <w:t xml:space="preserve"> </w:t>
      </w:r>
      <w:r>
        <w:t>+</w:t>
      </w:r>
      <w:r>
        <w:t xml:space="preserve"> </w:t>
      </w:r>
      <w:r>
        <w:t>cations, together with the assembly of SbBr</w:t>
      </w:r>
      <w:r>
        <w:rPr>
          <w:vertAlign w:val="subscript"/>
        </w:rPr>
        <w:t>5</w:t>
      </w:r>
      <w:r>
        <w:t>square pyramids into 1D zigzag chains, increases Sb–Br and Sb–S orbital hybridization and electron delocalization. This enhanced hybridization amplifies the dominant</w:t>
      </w:r>
      <w:r>
        <w:t xml:space="preserve"> </w:t>
      </w:r>
      <w:r>
        <w:t>d</w:t>
      </w:r>
      <w:r>
        <w:rPr>
          <w:vertAlign w:val="subscript"/>
        </w:rPr>
        <w:t>33</w:t>
      </w:r>
      <w:r>
        <w:t>tensor component and overwhelms the concurrent reduction in Sb 5</w:t>
      </w:r>
      <w:r>
        <w:t xml:space="preserve"> </w:t>
      </w:r>
      <w:r>
        <w:t>s</w:t>
      </w:r>
      <w:r>
        <w:rPr>
          <w:vertAlign w:val="subscript"/>
        </w:rPr>
        <w:t>2</w:t>
      </w:r>
      <w:r>
        <w:t>LPEs expression; accordingly, changes in connectivity and hybridization are the primary drivers of the sustained SHG increase.</w:t>
      </w:r>
    </w:p>
    <w:p>
      <w:pPr>
        <w:spacing w:before="120" w:after="120"/>
      </w:pPr>
      <w:r>
        <w:rPr>
          <w:sz w:val="18"/>
        </w:rPr>
        <w:t>——————————————————————————————————————————————————————————————————————</w:t>
      </w:r>
    </w:p>
    <w:p>
      <w:pPr>
        <w:spacing w:before="160" w:after="40" w:line="240" w:lineRule="auto"/>
      </w:pPr>
      <w:r>
        <w:rPr>
          <w:b/>
        </w:rPr>
        <w:t xml:space="preserve">[390] </w:t>
      </w:r>
      <w:hyperlink r:id="rId948">
        <w:r>
          <w:rPr>
            <w:color w:val="1155CC"/>
            <w:u w:val="single"/>
          </w:rPr>
          <w:t>通过协同铜/胺催化的连续[3 + 3]/[4 + 2]环加成反应对异喹诺克啶类似物进行对映选择性合成</w:t>
        </w:r>
      </w:hyperlink>
    </w:p>
    <w:p>
      <w:pPr>
        <w:spacing w:before="0" w:after="80"/>
      </w:pPr>
      <w:r>
        <w:rPr>
          <w:i/>
          <w:sz w:val="20"/>
        </w:rPr>
        <w:t>EN: Enantioselective Synthesis of Isoquinuclidine Analogs by Synergistic Copper/Amine‐Catalyzed Sequential [3 + 3]/[4 + 2] Cycloaddition</w:t>
      </w:r>
    </w:p>
    <w:p>
      <w:pPr>
        <w:spacing w:before="0" w:after="120"/>
      </w:pPr>
      <w:r>
        <w:rPr>
          <w:b/>
        </w:rPr>
        <w:t xml:space="preserve">Source: </w:t>
      </w:r>
      <w:r>
        <w:t>Wiley: Angewandte Chemie International Edition: Table of Contents</w:t>
      </w:r>
      <w:r>
        <w:t xml:space="preserve">    </w:t>
      </w:r>
      <w:r>
        <w:rPr>
          <w:b/>
        </w:rPr>
        <w:t xml:space="preserve">Pub date: </w:t>
      </w:r>
      <w:r>
        <w:t>2026-04-01 09:39:50+00:00</w:t>
      </w:r>
      <w:r>
        <w:t xml:space="preserve">    </w:t>
      </w:r>
      <w:r>
        <w:rPr>
          <w:b/>
        </w:rPr>
        <w:t xml:space="preserve">DOI: </w:t>
      </w:r>
      <w:hyperlink r:id="rId949">
        <w:r>
          <w:rPr>
            <w:color w:val="1155CC"/>
            <w:u w:val="single"/>
          </w:rPr>
          <w:t>10.1002/anie.7058246</w:t>
        </w:r>
      </w:hyperlink>
    </w:p>
    <w:p>
      <w:pPr>
        <w:spacing w:before="0" w:after="120"/>
      </w:pPr>
      <w:r>
        <w:rPr>
          <w:b/>
        </w:rPr>
        <w:t xml:space="preserve">Notes: </w:t>
      </w:r>
      <w:r>
        <w:t>abstract_source=crossref</w:t>
      </w:r>
    </w:p>
    <w:p>
      <w:pPr>
        <w:spacing w:before="0" w:after="80" w:lineRule="auto" w:line="276"/>
      </w:pPr>
      <w:r>
        <w:rPr>
          <w:b/>
        </w:rPr>
        <w:t xml:space="preserve">摘要（ZH）: </w:t>
      </w:r>
      <w:r>
        <w:t>摘要 开发高效简洁的方法从易得的平面分子构建手性三维异喹啉（2-氮杂双环[2.2.2]辛烷）类似物，对于药物发现具有高度价值。尽管1,2-二氢吡啶（1,2-DHPs）与烯烃的[4+2]环加成已被广泛研究用于合成异喹啉类似物，但3,4-二氢吡啶（3,4-DHPs），一种潜在有用的氮杂二烯类，在此背景下仍然基本未被研究，这严重限制了异喹啉类似物的结构类型。在此，我们报告了一种协同铜/胺催化的环合组装策略，用于从易得的肟构建手性3,4-DHPs</w:t>
      </w:r>
    </w:p>
    <w:p>
      <w:pPr>
        <w:spacing w:before="0" w:after="200" w:lineRule="auto" w:line="276"/>
      </w:pPr>
      <w:r>
        <w:rPr>
          <w:b/>
        </w:rPr>
        <w:t xml:space="preserve">Abstract (EN): </w:t>
      </w:r>
      <w:r>
        <w:t>The development of efficient and concise methods for the construction of chiral three‐dimensional isoquinuclidine (2‐azabicyclo[2.2.2]octane) analogs from readily available flat molecules would be highly valuable for drug discovery. Although the [4+2] cycloaddition of 1,2‐dihydropyridines (1,2‐DHPs) with alkenes has been extensively studied for the synthesis of isoquinuclidine analogs, 3,4‐dihydropyridines (3,4‐DHPs), a potentially useful class of azadienes, have remained largely unexamined in this context, which has seriously restricted the structural type of the isoquinuclidine analogs. Herein, we report a synergistic copper/amine‐catalyzed annulative assembly strategy for the construction of chiral 3,4‐DHPs from readily accessible oximes and enals. The copper catalyst reduces the N─O bond to afford a nucleophilic species, and the amine catalyst activates the enals via iminium activation. The in situ formed 3,4‐DHPs can undergo enantioselective [4+2] cycloaddition for the synthesis of a series of chiral isoquinuclidine analogs. In these reactions, 2‐</w:t>
      </w:r>
      <w:r>
        <w:t xml:space="preserve"> </w:t>
      </w:r>
      <w:r>
        <w:t>tert</w:t>
      </w:r>
      <w:r>
        <w:t xml:space="preserve"> </w:t>
      </w:r>
      <w:r>
        <w:t>‐butylhydroquinone was exploited as a mild reductant to reduce in situ formed Cu(II) species, thus suppressing oxidative aromatization of 3,4‐DHPs and oxidative decomposition of amine catalyst. This method displays broad substrate scope and good functional group compatibility, and affords the products containing four stereocenters with up to two vicinal quaternary carbon centers in generally good yields with excellent diastereoselectivity and good enantioselectivity.</w:t>
      </w:r>
    </w:p>
    <w:p>
      <w:pPr>
        <w:spacing w:before="120" w:after="120"/>
      </w:pPr>
      <w:r>
        <w:rPr>
          <w:sz w:val="18"/>
        </w:rPr>
        <w:t>——————————————————————————————————————————————————————————————————————</w:t>
      </w:r>
    </w:p>
    <w:p>
      <w:pPr>
        <w:spacing w:before="160" w:after="40" w:line="240" w:lineRule="auto"/>
      </w:pPr>
      <w:r>
        <w:rPr>
          <w:b/>
        </w:rPr>
        <w:t xml:space="preserve">[391] </w:t>
      </w:r>
      <w:hyperlink r:id="rId950">
        <w:r>
          <w:rPr>
            <w:color w:val="1155CC"/>
            <w:u w:val="single"/>
          </w:rPr>
          <w:t>锌-Salen锚定的多齿二维金属有机框架用于氧和苄胺的光氧化还原耦合</w:t>
        </w:r>
      </w:hyperlink>
    </w:p>
    <w:p>
      <w:pPr>
        <w:spacing w:before="0" w:after="80"/>
      </w:pPr>
      <w:r>
        <w:rPr>
          <w:i/>
          <w:sz w:val="20"/>
        </w:rPr>
        <w:t>EN: Zinc–Salen Anchored Multidentate Two‐Dimensional Metal–Organic Framework for Coupling Photoredox of Oxygen and Benzylamine</w:t>
      </w:r>
    </w:p>
    <w:p>
      <w:pPr>
        <w:spacing w:before="0" w:after="120"/>
      </w:pPr>
      <w:r>
        <w:rPr>
          <w:b/>
        </w:rPr>
        <w:t xml:space="preserve">Source: </w:t>
      </w:r>
      <w:r>
        <w:t>Wiley: Angewandte Chemie International Edition: Table of Contents</w:t>
      </w:r>
      <w:r>
        <w:t xml:space="preserve">    </w:t>
      </w:r>
      <w:r>
        <w:rPr>
          <w:b/>
        </w:rPr>
        <w:t xml:space="preserve">Pub date: </w:t>
      </w:r>
      <w:r>
        <w:t>2026-04-01 09:45:04+00:00</w:t>
      </w:r>
      <w:r>
        <w:t xml:space="preserve">    </w:t>
      </w:r>
      <w:r>
        <w:rPr>
          <w:b/>
        </w:rPr>
        <w:t xml:space="preserve">DOI: </w:t>
      </w:r>
      <w:hyperlink r:id="rId951">
        <w:r>
          <w:rPr>
            <w:color w:val="1155CC"/>
            <w:u w:val="single"/>
          </w:rPr>
          <w:t>10.1002/anie.4601691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二维π共轭金属有机框架（2D MOFs）是有前景的太阳能驱动催化剂，但由于缺乏足够强的电子受体，常常面临缓慢的电荷分离问题。为了解决这一问题，构建了两个同构异孔的2D MOFs，Zn-HTT和Zn-HTD，它们由多齿Zn─O</w:t>
      </w:r>
      <w:r>
        <w:rPr>
          <w:vertAlign w:val="subscript"/>
        </w:rPr>
        <w:t>4</w:t>
      </w:r>
      <w:r>
        <w:t>节点连接，但在活性位点设计上有所不同。Zn-HTT整合了锚定的螯合Zn─N</w:t>
      </w:r>
      <w:r>
        <w:rPr>
          <w:vertAlign w:val="subscript"/>
        </w:rPr>
        <w:t>2</w:t>
      </w:r>
      <w:r>
        <w:t>O</w:t>
      </w:r>
      <w:r>
        <w:rPr>
          <w:vertAlign w:val="subscript"/>
        </w:rPr>
        <w:t>2</w:t>
      </w:r>
      <w:r>
        <w:t>Salen基团和Zn─O</w:t>
      </w:r>
      <w:r>
        <w:rPr>
          <w:vertAlign w:val="subscript"/>
        </w:rPr>
        <w:t>4</w:t>
      </w:r>
      <w:r>
        <w:t>单元，而Zn-HTD仅包含Zn─O</w:t>
      </w:r>
      <w:r>
        <w:rPr>
          <w:vertAlign w:val="subscript"/>
        </w:rPr>
        <w:t>4</w:t>
      </w:r>
      <w:r>
        <w:t>节点。Zn-HTT中的Zn–Salen单元将带隙缩小至1.99 eV。</w:t>
      </w:r>
    </w:p>
    <w:p>
      <w:pPr>
        <w:spacing w:before="0" w:after="200" w:lineRule="auto" w:line="276"/>
      </w:pPr>
      <w:r>
        <w:rPr>
          <w:b/>
        </w:rPr>
        <w:t xml:space="preserve">Abstract (EN): </w:t>
      </w:r>
      <w:r>
        <w:t>Two‐dimensional π‐conjugated metal–organic frameworks (2D MOFs) are promising solar‐driven catalysts, but often suffer from sluggish charge separation due to insufficient strong electron acceptors. To overcome this, two isostructural and heteroporous 2D MOFs, Zn‐HTT, and Zn‐HTD were built from multidentate Zn─O</w:t>
      </w:r>
      <w:r>
        <w:rPr>
          <w:vertAlign w:val="subscript"/>
        </w:rPr>
        <w:t>4</w:t>
      </w:r>
      <w:r>
        <w:t>node linkages but differed in active‐site design. Zn‐HTT integrates anchored chelating Zn─N</w:t>
      </w:r>
      <w:r>
        <w:rPr>
          <w:vertAlign w:val="subscript"/>
        </w:rPr>
        <w:t>2</w:t>
      </w:r>
      <w:r>
        <w:t>O</w:t>
      </w:r>
      <w:r>
        <w:rPr>
          <w:vertAlign w:val="subscript"/>
        </w:rPr>
        <w:t>2</w:t>
      </w:r>
      <w:r>
        <w:t>Salen moieties and Zn─O</w:t>
      </w:r>
      <w:r>
        <w:rPr>
          <w:vertAlign w:val="subscript"/>
        </w:rPr>
        <w:t>4</w:t>
      </w:r>
      <w:r>
        <w:t>units, whereas Zn‐HTD contains only Zn─O</w:t>
      </w:r>
      <w:r>
        <w:rPr>
          <w:vertAlign w:val="subscript"/>
        </w:rPr>
        <w:t>4</w:t>
      </w:r>
      <w:r>
        <w:t>nodes. The Zn–Salen units in Zn‐HTT narrow the bandgap to 1.99 eV and establish a stronger intramolecular donor–acceptor architecture that drives efficient spatial charge separation. Consequently, Zn‐HTT achieves a high hydrogen peroxide (H</w:t>
      </w:r>
      <w:r>
        <w:rPr>
          <w:vertAlign w:val="subscript"/>
        </w:rPr>
        <w:t>2</w:t>
      </w:r>
      <w:r>
        <w:t>O</w:t>
      </w:r>
      <w:r>
        <w:rPr>
          <w:vertAlign w:val="subscript"/>
        </w:rPr>
        <w:t>2</w:t>
      </w:r>
      <w:r>
        <w:t>) photosynthesis rate of 21.9 mmol g</w:t>
      </w:r>
      <w:r>
        <w:t xml:space="preserve"> </w:t>
      </w:r>
      <w:r>
        <w:t>−1</w:t>
      </w:r>
      <w:r>
        <w:t xml:space="preserve"> </w:t>
      </w:r>
      <w:r>
        <w:t>h</w:t>
      </w:r>
      <w:r>
        <w:t xml:space="preserve"> </w:t>
      </w:r>
      <w:r>
        <w:t>−1</w:t>
      </w:r>
      <w:r>
        <w:t xml:space="preserve"> </w:t>
      </w:r>
      <w:r>
        <w:t>and delivers 94.5% yield of N‐benzylbenzaldimine from the benzylamine photooxidation, significantly outperforming Zn‐HTD (14.2 mmol g</w:t>
      </w:r>
      <w:r>
        <w:t xml:space="preserve"> </w:t>
      </w:r>
      <w:r>
        <w:t>−1</w:t>
      </w:r>
      <w:r>
        <w:t xml:space="preserve"> </w:t>
      </w:r>
      <w:r>
        <w:t>h</w:t>
      </w:r>
      <w:r>
        <w:t xml:space="preserve"> </w:t>
      </w:r>
      <w:r>
        <w:t>−1</w:t>
      </w:r>
      <w:r>
        <w:t xml:space="preserve"> </w:t>
      </w:r>
      <w:r>
        <w:t>; 85.6% yield). Mechanistic studies confirm that the Zn–Salen sites serve as superior electron‐accepting and O</w:t>
      </w:r>
      <w:r>
        <w:rPr>
          <w:vertAlign w:val="subscript"/>
        </w:rPr>
        <w:t>2</w:t>
      </w:r>
      <w:r>
        <w:t>‐activating centers, enabling strong *OO intermediate adsorption and highly selective two‐electron oxygen reduction to H</w:t>
      </w:r>
      <w:r>
        <w:rPr>
          <w:vertAlign w:val="subscript"/>
        </w:rPr>
        <w:t>2</w:t>
      </w:r>
      <w:r>
        <w:t>O</w:t>
      </w:r>
      <w:r>
        <w:rPr>
          <w:vertAlign w:val="subscript"/>
        </w:rPr>
        <w:t>2</w:t>
      </w:r>
      <w:r>
        <w:t>. Moreover, Zn‐HTT exhibits better stability, retaining &amp;gt;91% activity over 10 cycles and showing enhanced thermal resilience, attributable to the robust chelating Zn–Salen linkages. This work demonstrates that integrating metallo–Salen motifs into multidentate 2D MOFs is a viable strategy to boost photocatalytic activity, selectivity, and durability in solar‐driven synthesis.</w:t>
      </w:r>
    </w:p>
    <w:p>
      <w:pPr>
        <w:spacing w:before="120" w:after="120"/>
      </w:pPr>
      <w:r>
        <w:rPr>
          <w:sz w:val="18"/>
        </w:rPr>
        <w:t>——————————————————————————————————————————————————————————————————————</w:t>
      </w:r>
    </w:p>
    <w:p>
      <w:pPr>
        <w:spacing w:before="160" w:after="40" w:line="240" w:lineRule="auto"/>
      </w:pPr>
      <w:r>
        <w:rPr>
          <w:b/>
        </w:rPr>
        <w:t xml:space="preserve">[392] </w:t>
      </w:r>
      <w:hyperlink r:id="rId952">
        <w:r>
          <w:rPr>
            <w:color w:val="1155CC"/>
            <w:u w:val="single"/>
          </w:rPr>
          <w:t>解读高熵合金催化中的鸡尾酒效应机制</w:t>
        </w:r>
      </w:hyperlink>
    </w:p>
    <w:p>
      <w:pPr>
        <w:spacing w:before="0" w:after="80"/>
      </w:pPr>
      <w:r>
        <w:rPr>
          <w:i/>
          <w:sz w:val="20"/>
        </w:rPr>
        <w:t>EN: Deciphering Mechanism of Cocktail Effect in High‐Entropy Alloy Catalysis</w:t>
      </w:r>
    </w:p>
    <w:p>
      <w:pPr>
        <w:spacing w:before="0" w:after="120"/>
      </w:pPr>
      <w:r>
        <w:rPr>
          <w:b/>
        </w:rPr>
        <w:t xml:space="preserve">Source: </w:t>
      </w:r>
      <w:r>
        <w:t>Wiley: Advanced Materials: Table of Contents</w:t>
      </w:r>
      <w:r>
        <w:t xml:space="preserve">    </w:t>
      </w:r>
      <w:r>
        <w:rPr>
          <w:b/>
        </w:rPr>
        <w:t xml:space="preserve">Pub date: </w:t>
      </w:r>
      <w:r>
        <w:t>2026-04-01 10:12:56+00:00</w:t>
      </w:r>
      <w:r>
        <w:t xml:space="preserve">    </w:t>
      </w:r>
      <w:r>
        <w:rPr>
          <w:b/>
        </w:rPr>
        <w:t xml:space="preserve">DOI: </w:t>
      </w:r>
      <w:hyperlink r:id="rId953">
        <w:r>
          <w:rPr>
            <w:color w:val="1155CC"/>
            <w:u w:val="single"/>
          </w:rPr>
          <w:t>10.1002/adma.72971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多组分的特殊协同作用产生的鸡尾酒效应，高熵合金（HEAs）催化剂越来越多地被研究以解决电化学转化过程中的缓慢动力学。然而，由于各组分之间复杂的相互作用，鸡尾酒效应的起源及其如何影响催化性能仍然难以捉摸且理解不足。在此，我们将HEAs中用于HER催化的鸡尾酒效应解耦为晶格和配位两个主要方面。灵活的量子理论方法结合原位光谱研究揭示，晶格效应通过修改活性位点的3d带结构贡献了较大调节范围的粗调，而配位效应则</w:t>
      </w:r>
    </w:p>
    <w:p>
      <w:pPr>
        <w:spacing w:before="0" w:after="200" w:lineRule="auto" w:line="276"/>
      </w:pPr>
      <w:r>
        <w:rPr>
          <w:b/>
        </w:rPr>
        <w:t xml:space="preserve">Abstract (EN): </w:t>
      </w:r>
      <w:r>
        <w:t>With cocktail effect from the special synergism of multiple components, high‐entropy alloys (HEAs) catalysts are increasingly being investigated to address the sluggish kinetics of electrochemical conversion processes. However, the origin of the cocktail effect and how it affects the catalytic performance is elusive and poorly understood due to complicated interaction between each component. Herein, we decouple the cocktail effect into lattice and coordination two main aspects in HEAs for HER catalysis. Flexible quantum theoretical methods coupled with in situ spectra investigations disclose that the lattice effect contributes to a coarse modulation with a larger tuning range through modification of 3d band structures in active sites, while coordination effect functions as a fine tailor to further optimize electronic structure by adjusting electron occupancy in 3d bands. This work elucidates the intrinsic origin of the cocktail effect in HEAs, providing a guideline for the rational design of catalysts targeting extraordinary properties.</w:t>
      </w:r>
    </w:p>
    <w:p>
      <w:pPr>
        <w:spacing w:before="120" w:after="120"/>
      </w:pPr>
      <w:r>
        <w:rPr>
          <w:sz w:val="18"/>
        </w:rPr>
        <w:t>——————————————————————————————————————————————————————————————————————</w:t>
      </w:r>
    </w:p>
    <w:p>
      <w:pPr>
        <w:spacing w:before="160" w:after="40" w:line="240" w:lineRule="auto"/>
      </w:pPr>
      <w:r>
        <w:rPr>
          <w:b/>
        </w:rPr>
        <w:t xml:space="preserve">[393] </w:t>
      </w:r>
      <w:hyperlink r:id="rId954">
        <w:r>
          <w:rPr>
            <w:color w:val="1155CC"/>
            <w:u w:val="single"/>
          </w:rPr>
          <w:t>[ASAP] 钒基对映选择性电光催化C(sp3)-H键</w:t>
        </w:r>
      </w:hyperlink>
    </w:p>
    <w:p>
      <w:pPr>
        <w:spacing w:before="0" w:after="80"/>
      </w:pPr>
      <w:r>
        <w:rPr>
          <w:i/>
          <w:sz w:val="20"/>
        </w:rPr>
        <w:t>EN: [ASAP] Vanadium-Based Enantioselective Electrophotocatalysis of Protic C(sp3)-H Bonds</w:t>
      </w:r>
    </w:p>
    <w:p>
      <w:pPr>
        <w:spacing w:before="0" w:after="120"/>
      </w:pPr>
      <w:r>
        <w:rPr>
          <w:b/>
        </w:rPr>
        <w:t xml:space="preserve">Source: </w:t>
      </w:r>
      <w:r>
        <w:t>Journal of the American Chemical Society: Latest Articles (ACS Publications)</w:t>
      </w:r>
      <w:r>
        <w:t xml:space="preserve">    </w:t>
      </w:r>
      <w:r>
        <w:rPr>
          <w:b/>
        </w:rPr>
        <w:t xml:space="preserve">Pub date: </w:t>
      </w:r>
      <w:r>
        <w:t>2026-04-01 10:52:11+00:00</w:t>
      </w:r>
      <w:r>
        <w:t xml:space="preserve">    </w:t>
      </w:r>
      <w:r>
        <w:rPr>
          <w:b/>
        </w:rPr>
        <w:t xml:space="preserve">DOI: </w:t>
      </w:r>
      <w:hyperlink r:id="rId955">
        <w:r>
          <w:rPr>
            <w:color w:val="1155CC"/>
            <w:u w:val="single"/>
          </w:rPr>
          <w:t>10.1021/jacs.6c03336</w:t>
        </w:r>
      </w:hyperlink>
    </w:p>
    <w:p>
      <w:pPr>
        <w:spacing w:before="0" w:after="120"/>
      </w:pPr>
      <w:r>
        <w:rPr>
          <w:b/>
        </w:rPr>
        <w:t xml:space="preserve">Notes: </w:t>
      </w:r>
      <w:r>
        <w:t>abstract_source=pubmed</w:t>
      </w:r>
    </w:p>
    <w:p>
      <w:pPr>
        <w:spacing w:before="0" w:after="80" w:lineRule="auto" w:line="276"/>
      </w:pPr>
      <w:r>
        <w:rPr>
          <w:b/>
        </w:rPr>
        <w:t xml:space="preserve">摘要（ZH）: </w:t>
      </w:r>
      <w:r>
        <w:t>从易于处理的稳定大宗化学品构建有价值的3D分子结构一直是化学界的目标。然而，原位生成的高活性中间体对实现对映选择性控制构成了重大挑战。为应对这些挑战，必须开发新型催化剂。本报告描述了一种多功能钒电光催化剂，作为光敏剂和C(sp3)-H活化催化剂前体以激活质子C(sp3)-H键。值得注意的是，它还作为手性金属催化剂以实现对映选择性控制。优化的方案能够耐受多种易得的原料（如丙酮、乙腈、二氯甲烷）及其各种官能团，并能对映选择性地结合</w:t>
      </w:r>
    </w:p>
    <w:p>
      <w:pPr>
        <w:spacing w:before="0" w:after="200" w:lineRule="auto" w:line="276"/>
      </w:pPr>
      <w:r>
        <w:rPr>
          <w:b/>
        </w:rPr>
        <w:t xml:space="preserve">Abstract (EN): </w:t>
      </w:r>
      <w:r>
        <w:t>The construction of valuable 3D molecular architectures from easy-to-handle stable bulk chemicals has long been a target in chemical society. However, the highly reactive intermediates generated in situ pose significant challenges for achieving enantioselective control. To address these challenges, novel catalysts must be developed. This report describes a multifunctional vanadium electrophotocatalyst that serves as a photosensitizer and C(sp3)-H activation catalyst precursor to activate protic C(sp3)-H bonds. Notably, it also acts as a chiral metal catalyst to enable enantioselective control. The optimized protocol tolerates a diverse array of readily available feedstocks (e.g., acetone, acetonitrile, dichloromethane) with various functional groups, which can be enantioselectively incorporated onto a C═C double bond at looxidation potential (around 0.40 V vs Ag/AgCl). The nonclassical toolkit described herein is characterized by high sustainability, diverse protic C(sp3)-H compounds, and excellent enantioselectivity without requiring external chemical oxidants, thus opening new synthetic routes via unique reactivities.</w:t>
      </w:r>
    </w:p>
    <w:p>
      <w:pPr>
        <w:spacing w:before="120" w:after="120"/>
      </w:pPr>
      <w:r>
        <w:rPr>
          <w:sz w:val="18"/>
        </w:rPr>
        <w:t>——————————————————————————————————————————————————————————————————————</w:t>
      </w:r>
    </w:p>
    <w:p>
      <w:pPr>
        <w:spacing w:before="160" w:after="40" w:line="240" w:lineRule="auto"/>
      </w:pPr>
      <w:r>
        <w:rPr>
          <w:b/>
        </w:rPr>
        <w:t xml:space="preserve">[394] </w:t>
      </w:r>
      <w:hyperlink r:id="rId956">
        <w:r>
          <w:rPr>
            <w:color w:val="1155CC"/>
            <w:u w:val="single"/>
          </w:rPr>
          <w:t>柠檬衍生的细胞外囊泡工程化口服胶囊，通过机械应力诱导的肠上皮屏障开放增强结直肠癌化疗</w:t>
        </w:r>
      </w:hyperlink>
    </w:p>
    <w:p>
      <w:pPr>
        <w:spacing w:before="0" w:after="80"/>
      </w:pPr>
      <w:r>
        <w:rPr>
          <w:i/>
          <w:sz w:val="20"/>
        </w:rPr>
        <w:t>EN: Lemon‐Derived Extracellular Vesicles Engineered Oral Capsules for Enhanced Colorectal Cancer Chemotherapy by Mechanical Stress‐Induced Intestinal Epithelial Barrier Opening</w:t>
      </w:r>
    </w:p>
    <w:p>
      <w:pPr>
        <w:spacing w:before="0" w:after="120"/>
      </w:pPr>
      <w:r>
        <w:rPr>
          <w:b/>
        </w:rPr>
        <w:t xml:space="preserve">Source: </w:t>
      </w:r>
      <w:r>
        <w:t>Wiley: Advanced Materials: Table of Contents</w:t>
      </w:r>
      <w:r>
        <w:t xml:space="preserve">    </w:t>
      </w:r>
      <w:r>
        <w:rPr>
          <w:b/>
        </w:rPr>
        <w:t xml:space="preserve">Pub date: </w:t>
      </w:r>
      <w:r>
        <w:t>2026-04-01 11:10:04+00:00</w:t>
      </w:r>
      <w:r>
        <w:t xml:space="preserve">    </w:t>
      </w:r>
      <w:r>
        <w:rPr>
          <w:b/>
        </w:rPr>
        <w:t xml:space="preserve">DOI: </w:t>
      </w:r>
      <w:hyperlink r:id="rId957">
        <w:r>
          <w:rPr>
            <w:color w:val="1155CC"/>
            <w:u w:val="single"/>
          </w:rPr>
          <w:t>10.1002/adma.72981</w:t>
        </w:r>
      </w:hyperlink>
    </w:p>
    <w:p>
      <w:pPr>
        <w:spacing w:before="0" w:after="120"/>
      </w:pPr>
      <w:r>
        <w:rPr>
          <w:b/>
        </w:rPr>
        <w:t xml:space="preserve">Notes: </w:t>
      </w:r>
      <w:r>
        <w:t>abstract_source=crossref</w:t>
      </w:r>
    </w:p>
    <w:p>
      <w:pPr>
        <w:spacing w:before="0" w:after="80" w:lineRule="auto" w:line="276"/>
      </w:pPr>
      <w:r>
        <w:rPr>
          <w:b/>
        </w:rPr>
        <w:t xml:space="preserve">摘要（ZH）: </w:t>
      </w:r>
      <w:r>
        <w:t>摘要 结直肠癌（CRC）治疗的有效性由于肠上皮屏障导致的药物递送效率有限而受到限制。尽管固体纳米颗粒介导的药物递送系统可以增强药物渗透，但大多数被消化并排出体外，只有一小部分成功穿过肠上皮屏障。在此，我们展示了柠檬来源的细胞外囊泡（EVs）工程化的口服胶囊，装载了卡培他滨（EVOC），使其能够通过机械应力触发肠上皮屏障的暂时开放，从而大大提高药物递送效率。EVOC使其能够在肠内诱导细胞应激反应</w:t>
      </w:r>
    </w:p>
    <w:p>
      <w:pPr>
        <w:spacing w:before="0" w:after="200" w:lineRule="auto" w:line="276"/>
      </w:pPr>
      <w:r>
        <w:rPr>
          <w:b/>
        </w:rPr>
        <w:t xml:space="preserve">Abstract (EN): </w:t>
      </w:r>
      <w:r>
        <w:t>The effectiveness of colorectal cancer (CRC) treatment remains constrained due to the limited drug delivery efficiency resulting from the intestinal epithelial barriers. Although solid nanoparticle‐mediated drug delivery systems can enhance drug penetration, most of them are digested and excreted from the body, with only a small portion successfully crossing the intestinal epithelial barrier. Herein, we demonstrated lemon‐derived extracellular vesicles (EVs)‐engineered oral capsules loaded with capecitabine (EVOC), enabling them to trigger temporary opening of the intestinal epithelial barrier as a result of mechanical stress and thereby greatly enhancing the drug delivery efficiency. The EVOC enabled them to induce cellular stress responses within the intestinal epithelial barrier due to their much larger dimensions than cells, resulting in cytoskeleton relaxation and thereby breaking the original balance of tight junctions among cells. This cellular stress response could temporarily open the intestinal epithelial barrier, allowing highly efficient drug penetration into tumor tissues. The concentration of 5‐fluorouracil (metabolite of capecitabine) accumulated in tumor tissues within the EVOC group was approximately 13‐fold higher than that in the free capecitabine group and 6‐fold higher than that in the capecitabine@EV nanodrugs. As expected, the EVOC group significantly enhanced the chemotherapy efficiency of CRC.</w:t>
      </w:r>
    </w:p>
    <w:p>
      <w:pPr>
        <w:spacing w:before="120" w:after="120"/>
      </w:pPr>
      <w:r>
        <w:rPr>
          <w:sz w:val="18"/>
        </w:rPr>
        <w:t>——————————————————————————————————————————————————————————————————————</w:t>
      </w:r>
    </w:p>
    <w:p>
      <w:pPr>
        <w:spacing w:before="160" w:after="40" w:line="240" w:lineRule="auto"/>
      </w:pPr>
      <w:r>
        <w:rPr>
          <w:b/>
        </w:rPr>
        <w:t xml:space="preserve">[395] </w:t>
      </w:r>
      <w:hyperlink r:id="rId958">
        <w:r>
          <w:rPr>
            <w:color w:val="1155CC"/>
            <w:u w:val="single"/>
          </w:rPr>
          <w:t>利用混合囊泡-脂质体平台破坏KAT8液-液相分离以增强PD-L1阻断治疗</w:t>
        </w:r>
      </w:hyperlink>
    </w:p>
    <w:p>
      <w:pPr>
        <w:spacing w:before="0" w:after="80"/>
      </w:pPr>
      <w:r>
        <w:rPr>
          <w:i/>
          <w:sz w:val="20"/>
        </w:rPr>
        <w:t>EN: Disrupting KAT8 Liquid–Liquid Phase Separation with Hybrid Vesicle–Liposome Platform for Enhanced PD‐L1 Blockade Treatment</w:t>
      </w:r>
    </w:p>
    <w:p>
      <w:pPr>
        <w:spacing w:before="0" w:after="120"/>
      </w:pPr>
      <w:r>
        <w:rPr>
          <w:b/>
        </w:rPr>
        <w:t xml:space="preserve">Source: </w:t>
      </w:r>
      <w:r>
        <w:t>Wiley: Advanced Materials: Table of Contents</w:t>
      </w:r>
      <w:r>
        <w:t xml:space="preserve">    </w:t>
      </w:r>
      <w:r>
        <w:rPr>
          <w:b/>
        </w:rPr>
        <w:t xml:space="preserve">Pub date: </w:t>
      </w:r>
      <w:r>
        <w:t>2026-04-01 11:13:15+00:00</w:t>
      </w:r>
      <w:r>
        <w:t xml:space="preserve">    </w:t>
      </w:r>
      <w:r>
        <w:rPr>
          <w:b/>
        </w:rPr>
        <w:t xml:space="preserve">DOI: </w:t>
      </w:r>
      <w:hyperlink r:id="rId959">
        <w:r>
          <w:rPr>
            <w:color w:val="1155CC"/>
            <w:u w:val="single"/>
          </w:rPr>
          <w:t>10.1002/adma.202523584</w:t>
        </w:r>
      </w:hyperlink>
    </w:p>
    <w:p>
      <w:pPr>
        <w:spacing w:before="0" w:after="120"/>
      </w:pPr>
      <w:r>
        <w:rPr>
          <w:b/>
        </w:rPr>
        <w:t xml:space="preserve">Notes: </w:t>
      </w:r>
      <w:r>
        <w:t>abstract_source=crossref</w:t>
      </w:r>
    </w:p>
    <w:p>
      <w:pPr>
        <w:spacing w:before="0" w:after="80" w:lineRule="auto" w:line="276"/>
      </w:pPr>
      <w:r>
        <w:rPr>
          <w:b/>
        </w:rPr>
        <w:t xml:space="preserve">摘要（ZH）: </w:t>
      </w:r>
      <w:r>
        <w:t>摘要 程序性细胞死亡蛋白1/其配体1（PD‐1/PD‐L1）阻断已革新癌症免疫疗法，但其疗效因检查点抑制不完全和持续的PD‐L1转录而受到限制。在这项工作中，赖氨酸乙酰转移酶8（KAT8）被确定为液-液相分离（LLPS）介导的凝聚体的成核因子，这些凝聚体集中转录因子以驱动持续的PD‐L1转录并促进免疫抵抗。利用这一机制，开发了一种PD‐1功能化的混合囊泡-脂质体平台（PD‐1‐HVL–siKAT8），用于递送靶向KAT8的小干扰RNA（siRNA）以调节LLPS并增强癌症免疫疗法。在该平台中，PD‐1呈现的囊泡实现肿瘤积累和PD‐L1阻断，</w:t>
      </w:r>
    </w:p>
    <w:p>
      <w:pPr>
        <w:spacing w:before="0" w:after="200" w:lineRule="auto" w:line="276"/>
      </w:pPr>
      <w:r>
        <w:rPr>
          <w:b/>
        </w:rPr>
        <w:t xml:space="preserve">Abstract (EN): </w:t>
      </w:r>
      <w:r>
        <w:t>Programmed cell death protein 1/its ligand 1 (PD‐1/PD‐L1) blockade has revolutionized cancer immunotherapy, yet its efficacy is limited by incomplete checkpoint inhibition and persistent PD‐L1 transcription. In this work, lysine acetyltransferase 8 (KAT8) is identified as a nucleator of liquid–liquid phase separation (LLPS)‐mediated condensates that concentrate transcription factors to drive sustained PD‐L1 transcription and promote immune resistance. Leveraging this mechanism, a PD‐1‐functionalized hybrid vesicle–liposome platform (PD‐1‐HVL–siKAT8) is developed to deliver small interfering RNA (siRNA) targeting KAT8 for LLPS modulation and enhanced cancer immunotherapy. In this platform, the PD‐1‐presenting vesicles enable tumor accumulation and PD‐L1 blockade, while the fused liposomes provide efficient siRNA encapsulation and cytosolic release, leading to potent KAT8 silencing and condensate dissolution. This LLPS modulator platform markedly suppresses PD‐L1 expression and reshapes the tumor immune microenvironment, augmenting type I interferon signaling, dendritic cell maturation, cytotoxic T‐cell activation, and M1‐like macrophage polarization. In subcutaneous and recurrent hepatocellular carcinoma models, PD‐1‐HVL–siKAT8 significantly inhibits tumor growth, prevents recurrence, and extends survival with negligible toxicity. Collectively, this approach integrates PD‐L1 blockade with disruption of LLPS‐dependent transcription for durable immunotherapy.</w:t>
      </w:r>
    </w:p>
    <w:p>
      <w:pPr>
        <w:spacing w:before="120" w:after="120"/>
      </w:pPr>
      <w:r>
        <w:rPr>
          <w:sz w:val="18"/>
        </w:rPr>
        <w:t>——————————————————————————————————————————————————————————————————————</w:t>
      </w:r>
    </w:p>
    <w:p>
      <w:pPr>
        <w:spacing w:before="160" w:after="40" w:line="240" w:lineRule="auto"/>
      </w:pPr>
      <w:r>
        <w:rPr>
          <w:b/>
        </w:rPr>
        <w:t xml:space="preserve">[396] </w:t>
      </w:r>
      <w:hyperlink r:id="rId960">
        <w:r>
          <w:rPr>
            <w:color w:val="1155CC"/>
            <w:u w:val="single"/>
          </w:rPr>
          <w:t>局部微溶剂场工程用于高效且可重复的准量子点钙钛矿发光二极管</w:t>
        </w:r>
      </w:hyperlink>
    </w:p>
    <w:p>
      <w:pPr>
        <w:spacing w:before="0" w:after="80"/>
      </w:pPr>
      <w:r>
        <w:rPr>
          <w:i/>
          <w:sz w:val="20"/>
        </w:rPr>
        <w:t>EN: Localized Micro‐Solvent Field Engineering for Efficient and Reproducible Quasi‐Quantum‐Dot Perovskite Light‐Emitting Diodes</w:t>
      </w:r>
    </w:p>
    <w:p>
      <w:pPr>
        <w:spacing w:before="0" w:after="120"/>
      </w:pPr>
      <w:r>
        <w:rPr>
          <w:b/>
        </w:rPr>
        <w:t xml:space="preserve">Source: </w:t>
      </w:r>
      <w:r>
        <w:t>Wiley: Advanced Materials: Table of Contents</w:t>
      </w:r>
      <w:r>
        <w:t xml:space="preserve">    </w:t>
      </w:r>
      <w:r>
        <w:rPr>
          <w:b/>
        </w:rPr>
        <w:t xml:space="preserve">Pub date: </w:t>
      </w:r>
      <w:r>
        <w:t>2026-04-01 11:14:00+00:00</w:t>
      </w:r>
      <w:r>
        <w:t xml:space="preserve">    </w:t>
      </w:r>
      <w:r>
        <w:rPr>
          <w:b/>
        </w:rPr>
        <w:t xml:space="preserve">DOI: </w:t>
      </w:r>
      <w:hyperlink r:id="rId961">
        <w:r>
          <w:rPr>
            <w:color w:val="1155CC"/>
            <w:u w:val="single"/>
          </w:rPr>
          <w:t>10.1002/adma.202522323</w:t>
        </w:r>
      </w:hyperlink>
    </w:p>
    <w:p>
      <w:pPr>
        <w:spacing w:before="0" w:after="120"/>
      </w:pPr>
      <w:r>
        <w:rPr>
          <w:b/>
        </w:rPr>
        <w:t xml:space="preserve">Notes: </w:t>
      </w:r>
      <w:r>
        <w:t>abstract_source=crossref</w:t>
      </w:r>
    </w:p>
    <w:p>
      <w:pPr>
        <w:spacing w:before="0" w:after="80" w:lineRule="auto" w:line="276"/>
      </w:pPr>
      <w:r>
        <w:rPr>
          <w:b/>
        </w:rPr>
        <w:t xml:space="preserve">摘要（ZH）: </w:t>
      </w:r>
      <w:r>
        <w:t>摘要 钙钛矿发光二极管（PeLEDs）是下一代显示和照明技术的有前途的候选者。然而，传统的形貌和晶体结构控制策略通常面临诸如载流子传输效率低和批次间可重复性差等挑战，主要是由于长有机配体的存在和结晶动力学对环境的敏感性。在此，我们提出了一种局部微溶剂场工程策略，同时提高了器件效率和可重复性。通过施加氮气微气流，我们获得了清洁的氮气环境和较低的基板温度以进行后续的薄膜涂覆。通过将低沸点溶剂乙腈引入p</w:t>
      </w:r>
    </w:p>
    <w:p>
      <w:pPr>
        <w:spacing w:before="0" w:after="200" w:lineRule="auto" w:line="276"/>
      </w:pPr>
      <w:r>
        <w:rPr>
          <w:b/>
        </w:rPr>
        <w:t xml:space="preserve">Abstract (EN): </w:t>
      </w:r>
      <w:r>
        <w:t>Perovskite light‐emitting diodes (PeLEDs) are promising candidates for next‐generation display and lighting technologies. However, conventional strategies for controlling morphology and crystalline structure often face challenges such as inefficient carrier transport and poor batch‐to‐batch reproducibility, primarily due to the presence of long organic ligands and the environment‐sensitive nature of crystallization dynamics. Here, we present a localized micro‐solvent field engineering strategy that simultaneously enhances device efficiency and reproducibility. By applying a nitrogen micro‐gas flow, we obtain a clean nitrogen atmosphere and a lower substrate temperature for subsequent film coating. By incorporating low‐boiling‐point solvent acetonitrile into the precursor solution as a nucleation promoter, we precisely control the nucleation and growth kinetics. This synergistic approach, which avoids chemical hot‐injection synthesis and insulating long‐chain ligands, produces uniform quasi‐quantum‐dot perovskite films with the grain size (7–15 nm) approaching the exciton Bohr diameter with higher exciton binding energy. PeLEDs fabricated using this method demonstrate a peak external quantum efficiency of 33.79%, an average efficiency approaching 31%, excellent batch‐to‐batch consistency, and successful integration in pixel array devices. This strategy not only overcomes critical limitations in efficiency and reproducibility for solution‐processed PeLEDs but also provides a broadly applicable framework to advance the performance and scalability of other perovskite optoelectronic devices.</w:t>
      </w:r>
    </w:p>
    <w:p>
      <w:pPr>
        <w:spacing w:before="120" w:after="120"/>
      </w:pPr>
      <w:r>
        <w:rPr>
          <w:sz w:val="18"/>
        </w:rPr>
        <w:t>——————————————————————————————————————————————————————————————————————</w:t>
      </w:r>
    </w:p>
    <w:p>
      <w:pPr>
        <w:spacing w:before="160" w:after="40" w:line="240" w:lineRule="auto"/>
      </w:pPr>
      <w:r>
        <w:rPr>
          <w:b/>
        </w:rPr>
        <w:t xml:space="preserve">[397] </w:t>
      </w:r>
      <w:hyperlink r:id="rId962">
        <w:r>
          <w:rPr>
            <w:color w:val="1155CC"/>
            <w:u w:val="single"/>
          </w:rPr>
          <w:t>通过蒸汽辅助转化快速结晶氟化共价有机框架用于Xe/Kr分离</w:t>
        </w:r>
      </w:hyperlink>
    </w:p>
    <w:p>
      <w:pPr>
        <w:spacing w:before="0" w:after="80"/>
      </w:pPr>
      <w:r>
        <w:rPr>
          <w:i/>
          <w:sz w:val="20"/>
        </w:rPr>
        <w:t>EN: Fast Crystallization of Fluorinated Covalent Organic Frameworks via a Steam‐Assisted Conversion for Xe/Kr Separation</w:t>
      </w:r>
    </w:p>
    <w:p>
      <w:pPr>
        <w:spacing w:before="0" w:after="120"/>
      </w:pPr>
      <w:r>
        <w:rPr>
          <w:b/>
        </w:rPr>
        <w:t xml:space="preserve">Source: </w:t>
      </w:r>
      <w:r>
        <w:t>Wiley: Angewandte Chemie International Edition: Table of Contents</w:t>
      </w:r>
      <w:r>
        <w:t xml:space="preserve">    </w:t>
      </w:r>
      <w:r>
        <w:rPr>
          <w:b/>
        </w:rPr>
        <w:t xml:space="preserve">Pub date: </w:t>
      </w:r>
      <w:r>
        <w:t>2026-04-01 11:21:30+00:00</w:t>
      </w:r>
      <w:r>
        <w:t xml:space="preserve">    </w:t>
      </w:r>
      <w:r>
        <w:rPr>
          <w:b/>
        </w:rPr>
        <w:t xml:space="preserve">DOI: </w:t>
      </w:r>
      <w:hyperlink r:id="rId963">
        <w:r>
          <w:rPr>
            <w:color w:val="1155CC"/>
            <w:u w:val="single"/>
          </w:rPr>
          <w:t>10.1002/anie.8671876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新型共价有机框架（COFs）的发展是当代材料科学中的一个重要研究热点和前沿，具有在催化和分离应用中推进的巨大潜力。然而，传统溶剂热合成中的严重限制，包括高反应能垒、长反应时间和严格的实验条件，限制了发现新结构的潜力，特别是具有挑战性的氟化共价有机框架（FCOFs）。因此，我们提出了一种创新的蒸汽辅助转化（SAC）策略，以解决这一关键瓶颈，并充分释放FCOFs的应用潜力。一系列氟化COFs（4F‐LZU‐1‐COF、4F‐SHTA‐Pa‐COF和4F‐DHTA‐Pa</w:t>
      </w:r>
    </w:p>
    <w:p>
      <w:pPr>
        <w:spacing w:before="0" w:after="200" w:lineRule="auto" w:line="276"/>
      </w:pPr>
      <w:r>
        <w:rPr>
          <w:b/>
        </w:rPr>
        <w:t xml:space="preserve">Abstract (EN): </w:t>
      </w:r>
      <w:r>
        <w:t>The development of novel covalent organic frameworks (COFs) represents a crucial research hotspot and frontier in contemporary materials science, offering immense potential for advancing applications in catalysis and separation. However, severe restrictions in conventional solvothermal synthesis, including high reaction energy barriers, long reaction times, and stringent experimental conditions, constrain the potential for uncovering novel structures, particularly challenging fluorinated covalent organic frameworks (FCOFs). Consequently, we propose an innovative steam‐assisted conversion (SAC) strategy to address this critical bottleneck and fully unlock the application potential of FCOFs. A series of fluorinated COFs (4F‐LZU‐1‐COF, 4F‐SHTA‐Pa‐COF, and 4F‐DHTA‐Pa‐COF) have been successfully synthesized. Real‐space imaging of FCOFs using ultralow‐dose high‐resolution transmission electron microscopy confirmed their superior crystallinity. Notably, our SAC strategy offers a remarkably mild, rapid, and environmentally friendly synthetic route, which effectively addressing the limitations of the traditional solvothermal approach. These materials demonstrate efficient Xe/Kr separation performance due to the presence of the fluorine sites. Most importantly, FCOFs can tolerate high‐intensity  γ‐irradiation, making them outstanding candidates for the treatment of radioactive effluent gases. These intriguing findings highlight our SAC strategy as a viable and scalable route for the synthesis of robust FCOFs, broadening the scope of COF fabrication, and opens new avenues for their applications.</w:t>
      </w:r>
    </w:p>
    <w:p>
      <w:pPr>
        <w:spacing w:before="120" w:after="120"/>
      </w:pPr>
      <w:r>
        <w:rPr>
          <w:sz w:val="18"/>
        </w:rPr>
        <w:t>——————————————————————————————————————————————————————————————————————</w:t>
      </w:r>
    </w:p>
    <w:p>
      <w:pPr>
        <w:spacing w:before="160" w:after="40" w:line="240" w:lineRule="auto"/>
      </w:pPr>
      <w:r>
        <w:rPr>
          <w:b/>
        </w:rPr>
        <w:t xml:space="preserve">[398] </w:t>
      </w:r>
      <w:hyperlink r:id="rId964">
        <w:r>
          <w:rPr>
            <w:color w:val="1155CC"/>
            <w:u w:val="single"/>
          </w:rPr>
          <w:t>[ASAP] 表面附近的电双层现象不可逆地触发Tau蛋白的组装</w:t>
        </w:r>
      </w:hyperlink>
    </w:p>
    <w:p>
      <w:pPr>
        <w:spacing w:before="0" w:after="80"/>
      </w:pPr>
      <w:r>
        <w:rPr>
          <w:i/>
          <w:sz w:val="20"/>
        </w:rPr>
        <w:t>EN: [ASAP] Electric Double Layer Phenomena Near Surfaces Irreversibly Trigger Assembly of Tau Protein</w:t>
      </w:r>
    </w:p>
    <w:p>
      <w:pPr>
        <w:spacing w:before="0" w:after="120"/>
      </w:pPr>
      <w:r>
        <w:rPr>
          <w:b/>
        </w:rPr>
        <w:t xml:space="preserve">Source: </w:t>
      </w:r>
      <w:r>
        <w:t>Journal of the American Chemical Society: Latest Articles (ACS Publications)</w:t>
      </w:r>
      <w:r>
        <w:t xml:space="preserve">    </w:t>
      </w:r>
      <w:r>
        <w:rPr>
          <w:b/>
        </w:rPr>
        <w:t xml:space="preserve">Pub date: </w:t>
      </w:r>
      <w:r>
        <w:t>2026-04-01 11:43:24+00:00</w:t>
      </w:r>
      <w:r>
        <w:t xml:space="preserve">    </w:t>
      </w:r>
      <w:r>
        <w:rPr>
          <w:b/>
        </w:rPr>
        <w:t xml:space="preserve">DOI: </w:t>
      </w:r>
      <w:hyperlink r:id="rId965">
        <w:r>
          <w:rPr>
            <w:color w:val="1155CC"/>
            <w:u w:val="single"/>
          </w:rPr>
          <w:t>10.1021/jacs.5c23171</w:t>
        </w:r>
      </w:hyperlink>
    </w:p>
    <w:p>
      <w:pPr>
        <w:spacing w:before="0" w:after="120"/>
      </w:pPr>
      <w:r>
        <w:rPr>
          <w:b/>
        </w:rPr>
        <w:t xml:space="preserve">Notes: </w:t>
      </w:r>
      <w:r>
        <w:t>abstract_source=openalex</w:t>
      </w:r>
    </w:p>
    <w:p>
      <w:pPr>
        <w:spacing w:before="0" w:after="80" w:lineRule="auto" w:line="276"/>
      </w:pPr>
      <w:r>
        <w:rPr>
          <w:b/>
        </w:rPr>
        <w:t xml:space="preserve">摘要（ZH）: </w:t>
      </w:r>
      <w:r>
        <w:t>人脑蛋白tau的可逆折叠和组装通过有限和可逆的磷酸化进行电荷中和调节，使tau能够结合微管蛋白并维持神经元微管的结构完整性。然而，在阿尔茨海默病和相关的tau病等神经退行性疾病中，tau变得过度磷酸化，从微管蛋白上脱离，并不可逆地组装成负责神经元死亡的β结构淀粉样纤维。在之前的工作中，我们展示了通过tau和其他本质无序蛋白中的阳离子残基的法拉第电还原进行电荷中和可以模拟磷酸化以触发蛋白质凝聚、折叠和组装。在这里，我们证明即使是非法拉第效应─包括大的电场</w:t>
      </w:r>
    </w:p>
    <w:p>
      <w:pPr>
        <w:spacing w:before="0" w:after="200" w:lineRule="auto" w:line="276"/>
      </w:pPr>
      <w:r>
        <w:rPr>
          <w:b/>
        </w:rPr>
        <w:t xml:space="preserve">Abstract (EN): </w:t>
      </w:r>
      <w:r>
        <w:t>The reversible folding and assembly of the human brain protein tau are regulated by charge neutralization through limited and reversible phosphorylation, enabling tau to bind tubulin and maintain the structural integrity of neuronal microtubules. However, in neurodegenerative diseases like Alzheimer’s and related tauopathies, tau becomes hyperphosphorylated, detaches from tubulin, and irreversibly assembles into β-structured amyloid filaments responsible for neuronal death. In previous work, we showed that charge neutralization via Faradaic electroreduction of cationic residues in tau and other intrinsically disordered proteins can mimic phosphorylation to trigger protein condensation, folding, and assembly. Here, we demonstrate that even non-Faradaic effects─including large electric fields and concentration gradients in the electric double layer, together with spatial ordering of ions at the solution–electrode interface─can induce folding and assembly of tau, its microtubule-binding region K18, and a 19-residue tau peptide (jR2R3 P301L) containing a mutation known to induce early aggregation in vitro and in vivo. Assembly occurs on different electrode materials at identical effective electric fields, demonstrating independence from the electrode hydrophobicity and electronic structure. Surface-enhanced infrared absorption and plasmon resonance spectroscopies show that near-surface electric fields of ∼1 MV/cm trigger K18 folding and assembly. Ion ordering and charge screening near electrodes at higher salt concentrations (50 vs 1 mM) also reduce Coulombic repulsion between protein monomers and their cationic residues, promoting folding and assembly. Overall, these results show that interfacial electric fields and other non-Faradaic processes can reveal and drive protein misfolding and aggregation, hallmarks of tauopathies and prion-related neurodegenerative diseases.</w:t>
      </w:r>
    </w:p>
    <w:p>
      <w:pPr>
        <w:spacing w:before="120" w:after="120"/>
      </w:pPr>
      <w:r>
        <w:rPr>
          <w:sz w:val="18"/>
        </w:rPr>
        <w:t>——————————————————————————————————————————————————————————————————————</w:t>
      </w:r>
    </w:p>
    <w:p>
      <w:pPr>
        <w:spacing w:before="160" w:after="40" w:line="240" w:lineRule="auto"/>
      </w:pPr>
      <w:r>
        <w:rPr>
          <w:b/>
        </w:rPr>
        <w:t xml:space="preserve">[399] </w:t>
      </w:r>
      <w:hyperlink r:id="rId966">
        <w:r>
          <w:rPr>
            <w:color w:val="1155CC"/>
            <w:u w:val="single"/>
          </w:rPr>
          <w:t>[ASAP] 通过正无标签学习在偏置数据集中预测有机反应的产率</w:t>
        </w:r>
      </w:hyperlink>
    </w:p>
    <w:p>
      <w:pPr>
        <w:spacing w:before="0" w:after="80"/>
      </w:pPr>
      <w:r>
        <w:rPr>
          <w:i/>
          <w:sz w:val="20"/>
        </w:rPr>
        <w:t>EN: [ASAP] Yield Prediction of Organic Reactions in Biased Data Sets via Positive-Unlabeled Learning</w:t>
      </w:r>
    </w:p>
    <w:p>
      <w:pPr>
        <w:spacing w:before="0" w:after="120"/>
      </w:pPr>
      <w:r>
        <w:rPr>
          <w:b/>
        </w:rPr>
        <w:t xml:space="preserve">Source: </w:t>
      </w:r>
      <w:r>
        <w:t>Journal of the American Chemical Society: Latest Articles (ACS Publications)</w:t>
      </w:r>
      <w:r>
        <w:t xml:space="preserve">    </w:t>
      </w:r>
      <w:r>
        <w:rPr>
          <w:b/>
        </w:rPr>
        <w:t xml:space="preserve">Pub date: </w:t>
      </w:r>
      <w:r>
        <w:t>2026-04-01 11:44:32+00:00</w:t>
      </w:r>
      <w:r>
        <w:t xml:space="preserve">    </w:t>
      </w:r>
      <w:r>
        <w:rPr>
          <w:b/>
        </w:rPr>
        <w:t xml:space="preserve">DOI: </w:t>
      </w:r>
      <w:hyperlink r:id="rId967">
        <w:r>
          <w:rPr>
            <w:color w:val="1155CC"/>
            <w:u w:val="single"/>
          </w:rPr>
          <w:t>10.1021/jacs.6c00127</w:t>
        </w:r>
      </w:hyperlink>
    </w:p>
    <w:p>
      <w:pPr>
        <w:spacing w:before="0" w:after="120"/>
      </w:pPr>
      <w:r>
        <w:rPr>
          <w:b/>
        </w:rPr>
        <w:t xml:space="preserve">Notes: </w:t>
      </w:r>
      <w:r>
        <w:t>abstract_source=openalex</w:t>
      </w:r>
    </w:p>
    <w:p>
      <w:pPr>
        <w:spacing w:before="0" w:after="80" w:lineRule="auto" w:line="276"/>
      </w:pPr>
      <w:r>
        <w:rPr>
          <w:b/>
        </w:rPr>
        <w:t xml:space="preserve">摘要（ZH）: </w:t>
      </w:r>
      <w:r>
        <w:t>科学文献中的大量反应数据是训练预测性机器学习模型的丰富资源。然而，这一资源因普遍的选择和报告偏差而受到根本性损害，导致数据集不平衡。在这项工作中，我们引入了“Positivity is All You Need”（PAYN），这是一种机器学习框架，通过直接从偏倚的、仅正向数据中学习来解决这一数据稀缺问题。PAYN利用基于间谍的正无标签（PU）学习策略，将报告的高产反应视为“正”类，而将广阔的、未探索的化学空间视为“无标签”类。为了验证我们的方法，我们模拟了文献偏差在完全标记的高通量实验（HTE）数据集上，包括Ni催化的硼化</w:t>
      </w:r>
    </w:p>
    <w:p>
      <w:pPr>
        <w:spacing w:before="0" w:after="200" w:lineRule="auto" w:line="276"/>
      </w:pPr>
      <w:r>
        <w:rPr>
          <w:b/>
        </w:rPr>
        <w:t xml:space="preserve">Abstract (EN): </w:t>
      </w:r>
      <w:r>
        <w:t>The vast reaction data within scientific literature represents a rich resource for training predictive machine learning models. However, this resource is fundamentally compromised by a pervasive selection and reporting bias, resulting in imbalanced data sets. In this work, we introduce “Positivity is All You Need” (PAYN), a machine learning framework that addresses this data-scarcity problem by learning directly from biased, positive-only data. PAYN leverages a spy-based positive-unlabeled (PU) learning strategy, treating reported high-yielding reactions as the “positive” class and the vast, unexplored chemical space as the “unlabeled” class. To validate our approach, we simulated literature bias on fully labeled high-throughput experimentation (HTE) data sets, including Ni-catalyzed borylations, Buchwald–Hartwig and Suzuki–Miyaura couplings. We demonstrated that PAYN significantly improves the performance of models trained on biased data by balancing the data with augmented negative data points. This work establishes a robust strategy for leveraging biased data, paving a path toward more scalable and accessible data-driven strategies for accelerating synthesis design, optimization, and chemical discovery.</w:t>
      </w:r>
    </w:p>
    <w:p>
      <w:pPr>
        <w:spacing w:before="120" w:after="120"/>
      </w:pPr>
      <w:r>
        <w:rPr>
          <w:sz w:val="18"/>
        </w:rPr>
        <w:t>——————————————————————————————————————————————————————————————————————</w:t>
      </w:r>
    </w:p>
    <w:p>
      <w:pPr>
        <w:spacing w:before="160" w:after="40" w:line="240" w:lineRule="auto"/>
      </w:pPr>
      <w:r>
        <w:rPr>
          <w:b/>
        </w:rPr>
        <w:t xml:space="preserve">[400] </w:t>
      </w:r>
      <w:hyperlink r:id="rId968">
        <w:r>
          <w:rPr>
            <w:color w:val="1155CC"/>
            <w:u w:val="single"/>
          </w:rPr>
          <w:t>[ASAP] 三乙基膦氧的路易斯酸加合物中31P NMR化学位移的起源。Gutmann–Beckett方法是否与路易斯酸强度相关？</w:t>
        </w:r>
      </w:hyperlink>
    </w:p>
    <w:p>
      <w:pPr>
        <w:spacing w:before="0" w:after="80"/>
      </w:pPr>
      <w:r>
        <w:rPr>
          <w:i/>
          <w:sz w:val="20"/>
        </w:rPr>
        <w:t>EN: [ASAP] Origin of the 31P NMR Chemical Shift in Lewis Acid Adducts of Triethylphosphine Oxide. Does the Gutmann–Beckett Method Relate to Lewis Acid Strength?</w:t>
      </w:r>
    </w:p>
    <w:p>
      <w:pPr>
        <w:spacing w:before="0" w:after="120"/>
      </w:pPr>
      <w:r>
        <w:rPr>
          <w:b/>
        </w:rPr>
        <w:t xml:space="preserve">Source: </w:t>
      </w:r>
      <w:r>
        <w:t>Journal of the American Chemical Society: Latest Articles (ACS Publications)</w:t>
      </w:r>
      <w:r>
        <w:t xml:space="preserve">    </w:t>
      </w:r>
      <w:r>
        <w:rPr>
          <w:b/>
        </w:rPr>
        <w:t xml:space="preserve">Pub date: </w:t>
      </w:r>
      <w:r>
        <w:t>2026-04-01 11:45:03+00:00</w:t>
      </w:r>
      <w:r>
        <w:t xml:space="preserve">    </w:t>
      </w:r>
      <w:r>
        <w:rPr>
          <w:b/>
        </w:rPr>
        <w:t xml:space="preserve">DOI: </w:t>
      </w:r>
      <w:hyperlink r:id="rId969">
        <w:r>
          <w:rPr>
            <w:color w:val="1155CC"/>
            <w:u w:val="single"/>
          </w:rPr>
          <w:t>10.1021/jacs.5c17621</w:t>
        </w:r>
      </w:hyperlink>
    </w:p>
    <w:p>
      <w:pPr>
        <w:spacing w:before="0" w:after="120"/>
      </w:pPr>
      <w:r>
        <w:rPr>
          <w:b/>
        </w:rPr>
        <w:t xml:space="preserve">Notes: </w:t>
      </w:r>
      <w:r>
        <w:t>abstract_source=openalex</w:t>
      </w:r>
    </w:p>
    <w:p>
      <w:pPr>
        <w:spacing w:before="0" w:after="80" w:lineRule="auto" w:line="276"/>
      </w:pPr>
      <w:r>
        <w:rPr>
          <w:b/>
        </w:rPr>
        <w:t xml:space="preserve">摘要（ZH）: </w:t>
      </w:r>
      <w:r>
        <w:t>Gutmann–Beckett方法涉及磷氧化物与路易斯酸的反应，随后测量相对于游离磷氧化物的31P NMR化学位移变化（Δδ）。这是评估溶液中和含有路易斯酸位点的固体材料上路易斯酸强度的最常用实验方法。本研究描述了在路易斯酸的三乙基磷氧化物（TEPO）加合物中发生的31P NMR Δδ去屏蔽的起源。使用DFT方法研究了57种路易斯酸加合物。这些模型涵盖了典型的三、四、五配位路易斯酸以及模拟异质材料中可能存在的路易斯酸位点配位球的模型。当形成TEPO···路易斯酸加合物时，来自氧的电子密度</w:t>
      </w:r>
    </w:p>
    <w:p>
      <w:pPr>
        <w:spacing w:before="0" w:after="200" w:lineRule="auto" w:line="276"/>
      </w:pPr>
      <w:r>
        <w:rPr>
          <w:b/>
        </w:rPr>
        <w:t xml:space="preserve">Abstract (EN): </w:t>
      </w:r>
      <w:r>
        <w:t>The Gutmann–Beckett method involves the reaction of a phosphine oxide with a Lewis acid, followed by measurement of the change in 31P NMR chemical shift (Δδ) relative to the free phosphine oxide. This is the most commonly used experimental method to assess Lewis acid strength in solution and on solid materials containing Lewis acid sites. This study describes the origin of the 31P NMR Δδ deshielding that occurs in triethylphosphine oxide (TEPO) adducts of Lewis acids. 57 Lewis acid adducts were studied using DFT methods. These models span typical three-, four-, and five-coordinate Lewis acids as well as models that approximate the coordination sphere of Lewis acid sites proposed to be present in heterogeneous materials. When a TEPO···Lewis acid adduct forms, electron density from the oxygen is transferred to the Lewis acid, which reduces the negative hyperconjugation from the oxygen to the σ*P–C that weakens the P═O bond. Experimental and DFT studies show that the 31P NMR chemical shift deshields in TEPO···Lewis adducts because the most shielded δ33 component of the chemical shift tensor shifts dramatically downfield. This deshielding is correlated with the weakening of the P═O bond. Natural chemical shift (NCS) analysis shows that δ33 deshielding in Lewis acid adducts is due to coupling of the filled σP–C with the empty π*P═O, the LUMO of the TEPO fragment. This study connects the 31P NMR chemical shift, in particular the experimentally observable Δδ33, to P═O bond weakening. Thus, the Gutmann–Beckett method does not provide information on adduct formation energy, the more typically sought measure of Lewis acidity, but rather provides a different thermodynamic descriptor of Lewis acid strength in the weakening of the P═O bond.</w:t>
      </w:r>
    </w:p>
    <w:p>
      <w:pPr>
        <w:spacing w:before="120" w:after="120"/>
      </w:pPr>
      <w:r>
        <w:rPr>
          <w:sz w:val="18"/>
        </w:rPr>
        <w:t>——————————————————————————————————————————————————————————————————————</w:t>
      </w:r>
    </w:p>
    <w:p>
      <w:pPr>
        <w:spacing w:before="160" w:after="40" w:line="240" w:lineRule="auto"/>
      </w:pPr>
      <w:r>
        <w:rPr>
          <w:b/>
        </w:rPr>
        <w:t xml:space="preserve">[401] </w:t>
      </w:r>
      <w:hyperlink r:id="rId970">
        <w:r>
          <w:rPr>
            <w:color w:val="1155CC"/>
            <w:u w:val="single"/>
          </w:rPr>
          <w:t>[ASAP] 钴催化的从炔烃和胺合成丙烯酰胺和琥珀酰胺，由光促进</w:t>
        </w:r>
      </w:hyperlink>
    </w:p>
    <w:p>
      <w:pPr>
        <w:spacing w:before="0" w:after="80"/>
      </w:pPr>
      <w:r>
        <w:rPr>
          <w:i/>
          <w:sz w:val="20"/>
        </w:rPr>
        <w:t>EN: [ASAP] Cobalt-Catalyzed Syntheses of Acrylamides and Succindiamides from Alkynes and Amines Promoted by Light</w:t>
      </w:r>
    </w:p>
    <w:p>
      <w:pPr>
        <w:spacing w:before="0" w:after="120"/>
      </w:pPr>
      <w:r>
        <w:rPr>
          <w:b/>
        </w:rPr>
        <w:t xml:space="preserve">Source: </w:t>
      </w:r>
      <w:r>
        <w:t>Journal of the American Chemical Society: Latest Articles (ACS Publications)</w:t>
      </w:r>
      <w:r>
        <w:t xml:space="preserve">    </w:t>
      </w:r>
      <w:r>
        <w:rPr>
          <w:b/>
        </w:rPr>
        <w:t xml:space="preserve">Pub date: </w:t>
      </w:r>
      <w:r>
        <w:t>2026-04-01 12:23:16+00:00</w:t>
      </w:r>
      <w:r>
        <w:t xml:space="preserve">    </w:t>
      </w:r>
      <w:r>
        <w:rPr>
          <w:b/>
        </w:rPr>
        <w:t xml:space="preserve">DOI: </w:t>
      </w:r>
      <w:hyperlink r:id="rId971">
        <w:r>
          <w:rPr>
            <w:color w:val="1155CC"/>
            <w:u w:val="single"/>
          </w:rPr>
          <w:t>10.1021/jacs.6c01395</w:t>
        </w:r>
      </w:hyperlink>
    </w:p>
    <w:p>
      <w:pPr>
        <w:spacing w:before="0" w:after="120"/>
      </w:pPr>
      <w:r>
        <w:rPr>
          <w:b/>
        </w:rPr>
        <w:t xml:space="preserve">Notes: </w:t>
      </w:r>
      <w:r>
        <w:t>abstract_source=pubmed</w:t>
      </w:r>
    </w:p>
    <w:p>
      <w:pPr>
        <w:spacing w:before="0" w:after="80" w:lineRule="auto" w:line="276"/>
      </w:pPr>
      <w:r>
        <w:rPr>
          <w:b/>
        </w:rPr>
        <w:t xml:space="preserve">摘要（ZH）: </w:t>
      </w:r>
      <w:r>
        <w:t>炔烃的催化氢羰基化具有高度原子经济性和可持续合成α,β-不饱和羧酸衍生物的潜力。炔烃氢氨羰基化在与胺亲核试剂的偶联中提供了有价值的丙烯酰胺，但当前的方法在范围上有限，并依赖于贵金属催化剂。在此，我们报道了一种使用钴羰基催化剂并由可见光促进的炔烃催化氢氨羰基化。与钴羰基催化的多样烯烃氢羰基化相比，炔烃氢羰基化的应用几乎未知。该反应将广泛的胺与末端和内部炔烃偶联，简单的反应修改使得琥珀酰胺的立体选择性合成成为可能。炔烃</w:t>
      </w:r>
    </w:p>
    <w:p>
      <w:pPr>
        <w:spacing w:before="0" w:after="200" w:lineRule="auto" w:line="276"/>
      </w:pPr>
      <w:r>
        <w:rPr>
          <w:b/>
        </w:rPr>
        <w:t xml:space="preserve">Abstract (EN): </w:t>
      </w:r>
      <w:r>
        <w:t>Catalytic hydrocarbonylations of alkynes hold potential for highly atom-economical and sustainable syntheses of α,β-unsaturated carboxylic acid derivatives. Alkyne hydroaminocarbonylations deliver valuable acrylamides in couplings with amine nucleophiles, but current approaches are limited in scope and rely on precious metal catalysts. Herein, we report a catalytic hydroaminocarbonylation of alkynes using cobalt carbonyl catalysts promoted by visible light. In contrast to the diverse alkene hydrocarbonylations catalyzed by cobalt carbonyl, applications in alkyne hydrocarbonylation are virtually unknown. The reaction couples a broad range of amines with terminal and internal alkynes, and simple reaction modification enables the syntheses of succindiamides in a stereoselective fashion. Alkyne hydroaminocarbonylation is viable even in the absence of a reaction solvent, highlighting the sustainability of this process. Computational and experimental investigations of both the single and double hydroaminocarbonylations support a key role of the cobalt tricarbonyl anion in substrate activation, leading to high reaction regio- and stereoselectivities.</w:t>
      </w:r>
    </w:p>
    <w:p>
      <w:pPr>
        <w:spacing w:before="120" w:after="120"/>
      </w:pPr>
      <w:r>
        <w:rPr>
          <w:sz w:val="18"/>
        </w:rPr>
        <w:t>——————————————————————————————————————————————————————————————————————</w:t>
      </w:r>
    </w:p>
    <w:p>
      <w:pPr>
        <w:spacing w:before="160" w:after="40" w:line="240" w:lineRule="auto"/>
      </w:pPr>
      <w:r>
        <w:rPr>
          <w:b/>
        </w:rPr>
        <w:t xml:space="preserve">[402] </w:t>
      </w:r>
      <w:hyperlink r:id="rId972">
        <w:r>
          <w:rPr>
            <w:color w:val="1155CC"/>
            <w:u w:val="single"/>
          </w:rPr>
          <w:t>阐明[FeIII(qsal)2] CH3OSO3配合物自旋交叉过程中的跃迁核和非谐耦合</w:t>
        </w:r>
      </w:hyperlink>
    </w:p>
    <w:p>
      <w:pPr>
        <w:spacing w:before="0" w:after="80"/>
      </w:pPr>
      <w:r>
        <w:rPr>
          <w:i/>
          <w:sz w:val="20"/>
        </w:rPr>
        <w:t>EN: Elucidating the Transition Kernel and Anharmonic Coupling in the Spin‐crossover Process of a [FeIII(qsal)2] CH3OSO3 Complex</w:t>
      </w:r>
    </w:p>
    <w:p>
      <w:pPr>
        <w:spacing w:before="0" w:after="120"/>
      </w:pPr>
      <w:r>
        <w:rPr>
          <w:b/>
        </w:rPr>
        <w:t xml:space="preserve">Source: </w:t>
      </w:r>
      <w:r>
        <w:t>Wiley: Angewandte Chemie International Edition: Table of Contents</w:t>
      </w:r>
      <w:r>
        <w:t xml:space="preserve">    </w:t>
      </w:r>
      <w:r>
        <w:rPr>
          <w:b/>
        </w:rPr>
        <w:t xml:space="preserve">Pub date: </w:t>
      </w:r>
      <w:r>
        <w:t>2026-04-01 13:31:33+00:00</w:t>
      </w:r>
      <w:r>
        <w:t xml:space="preserve">    </w:t>
      </w:r>
      <w:r>
        <w:rPr>
          <w:b/>
        </w:rPr>
        <w:t xml:space="preserve">DOI: </w:t>
      </w:r>
      <w:hyperlink r:id="rId973">
        <w:r>
          <w:rPr>
            <w:color w:val="1155CC"/>
            <w:u w:val="single"/>
          </w:rPr>
          <w:t>10.1002/anie.1079807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旋交叉（SCO）过程涉及自旋态的变化，通过自旋轨道耦合影响电子密度的空间分布。SCO可以理解为非谐振耦合振动模式的相互作用，这些模式共同驱动系统跨越曲线交叉。然而，由于模拟开壳层系统的挑战，这些模式难以识别。在此，我们结合单晶中的超快宽带瞬态吸收光谱与多参考激发态动力学模拟，揭示Fe(III)配合物中的SCO机制。我们识别出关键的门控模式，这些模式引导系统穿过曲线交叉区域形成高自旋态。在SCO曲线交叉处，显著的非谐性和反应力</w:t>
      </w:r>
    </w:p>
    <w:p>
      <w:pPr>
        <w:spacing w:before="0" w:after="200" w:lineRule="auto" w:line="276"/>
      </w:pPr>
      <w:r>
        <w:rPr>
          <w:b/>
        </w:rPr>
        <w:t xml:space="preserve">Abstract (EN): </w:t>
      </w:r>
      <w:r>
        <w:t>A spin‐crossover (SCO) process involves a change in the spin‐state, affecting the spatial distribution of electron density through spin‐orbit coupling. SCO can be understood as the interplay of anharmonically coupled vibrational modes that collectively drive the system across curve‐crossings. However, these modes are difficult to identify due to challenges in simulating open‐shell systems. Here, we combine ultrafast broadband transient absorption spectroscopy in single crystals with multireference excited‐state dynamical simulations to reveal the SCO mechanism in an Fe(III) complex. We identify the key doorway modes that direct the system across the curve‐crossing region to form the high‐spin state. The pronounced anharmonicity and reactive forces at SCO curve crossings provide a strong driving force for these displaced modes, leading to phase‐delayed, coherent non‐impulsive vibrational energy transfer. This study leads to unprecedented direct visualization of the SCO dynamics, revealing how the transition kernel and low‐dimensional pathways emerge from the strongly anharmonic crossing regions of the potential energy surfaces. A detailed understanding of these SCO processes is crucial for the development of advanced materials with applications ranging from high‐speed memory storage to light‐harvesting devices.</w:t>
      </w:r>
    </w:p>
    <w:p>
      <w:pPr>
        <w:spacing w:before="120" w:after="120"/>
      </w:pPr>
      <w:r>
        <w:rPr>
          <w:sz w:val="18"/>
        </w:rPr>
        <w:t>——————————————————————————————————————————————————————————————————————</w:t>
      </w:r>
    </w:p>
    <w:p>
      <w:pPr>
        <w:spacing w:before="160" w:after="40" w:line="240" w:lineRule="auto"/>
      </w:pPr>
      <w:r>
        <w:rPr>
          <w:b/>
        </w:rPr>
        <w:t xml:space="preserve">[403] </w:t>
      </w:r>
      <w:hyperlink r:id="rId974">
        <w:r>
          <w:rPr>
            <w:color w:val="1155CC"/>
            <w:u w:val="single"/>
          </w:rPr>
          <w:t>[ASAP] 顺序顶点特异性调控的对映纯金属纳米簇</w:t>
        </w:r>
      </w:hyperlink>
    </w:p>
    <w:p>
      <w:pPr>
        <w:spacing w:before="0" w:after="80"/>
      </w:pPr>
      <w:r>
        <w:rPr>
          <w:i/>
          <w:sz w:val="20"/>
        </w:rPr>
        <w:t>EN: [ASAP] Sequential Vertex-Specific Modulation of Enantiopure Metal Nanoclusters</w:t>
      </w:r>
    </w:p>
    <w:p>
      <w:pPr>
        <w:spacing w:before="0" w:after="120"/>
      </w:pPr>
      <w:r>
        <w:rPr>
          <w:b/>
        </w:rPr>
        <w:t xml:space="preserve">Source: </w:t>
      </w:r>
      <w:r>
        <w:t>Journal of the American Chemical Society: Latest Articles (ACS Publications)</w:t>
      </w:r>
      <w:r>
        <w:t xml:space="preserve">    </w:t>
      </w:r>
      <w:r>
        <w:rPr>
          <w:b/>
        </w:rPr>
        <w:t xml:space="preserve">Pub date: </w:t>
      </w:r>
      <w:r>
        <w:t>2026-04-01 13:37:50+00:00</w:t>
      </w:r>
      <w:r>
        <w:t xml:space="preserve">    </w:t>
      </w:r>
      <w:r>
        <w:rPr>
          <w:b/>
        </w:rPr>
        <w:t xml:space="preserve">DOI: </w:t>
      </w:r>
      <w:hyperlink r:id="rId975">
        <w:r>
          <w:rPr>
            <w:color w:val="1155CC"/>
            <w:u w:val="single"/>
          </w:rPr>
          <w:t>10.1021/jacs.5c17347</w:t>
        </w:r>
      </w:hyperlink>
    </w:p>
    <w:p>
      <w:pPr>
        <w:spacing w:before="0" w:after="120"/>
      </w:pPr>
      <w:r>
        <w:rPr>
          <w:b/>
        </w:rPr>
        <w:t xml:space="preserve">Notes: </w:t>
      </w:r>
      <w:r>
        <w:t>abstract_source=openalex</w:t>
      </w:r>
    </w:p>
    <w:p>
      <w:pPr>
        <w:spacing w:before="0" w:after="80" w:lineRule="auto" w:line="276"/>
      </w:pPr>
      <w:r>
        <w:rPr>
          <w:b/>
        </w:rPr>
        <w:t xml:space="preserve">摘要（ZH）: </w:t>
      </w:r>
      <w:r>
        <w:t>在纳米技术中，特定晶体表面的受控调制至关重要，但仍然难以实现。在此，我们通过可扩展的结晶合成实现了原子精确的同手性银纳米簇的顺序顶点调制。通过调节还原剂条件，我们生成了混合相共晶化的R/S-Ag19·Ag20，包含纯对映体R/S-Ag19和R/S-Ag20，具有第一个具有6个电子的二十面体Ag13核心。利用动力学和热力学控制，我们依次将Ag原子添加到立方面，从R/S-Ag19中的Ag6壳（缺少两个顶点）到R/S-Ag20中的Ag7壳（缺少一个顶点），最终到封闭的R/S-Ag21中的Ag8壳，并诱导发光。这种几何演变让人联想到蜘蛛</w:t>
      </w:r>
    </w:p>
    <w:p>
      <w:pPr>
        <w:spacing w:before="0" w:after="200" w:lineRule="auto" w:line="276"/>
      </w:pPr>
      <w:r>
        <w:rPr>
          <w:b/>
        </w:rPr>
        <w:t xml:space="preserve">Abstract (EN): </w:t>
      </w:r>
      <w:r>
        <w:t>Controlled modulation of the specific crystal surfaces is vital in nanotechnology but remains challenging to implement. Here, we achieve sequential vertex modulation in atomically precise homochiral silver nanoclusters using a scalable crystallization synthesis. By tuning the reductant conditions, we generate mixed-phase cocrystallized R/S-Ag19·Ag20 comprising enantiopure R/S-Ag19 and R/S-Ag20, featuring the first icosahedral Ag13 core with 6 electrons. Using kinetic and thermodynamic control, we sequentially add Ag atoms to the cubic facets, progressing from the Ag6 shell in R/S-Ag19 (two missing vertices) to the Ag7 shell in R/S-Ag20 (one missing vertex), and ultimately to the closed Ag8 shell in R/S-Ag21, and luminescence is induced. This geometric evolution is reminiscent of the arachno → nido → closo transformations in borane clusters, where vertex recovery leads to increasingly close polyhedral frameworks. Shell closure results in 2e filling, symmetry adaptation and chirality mutation. Additionally, R/S-Ag21 enables quantitative chiral sensing of amino acids. This work advances nanosynthesis by providing a framework for controlling surface modulation and fine-tuning the nanocluster properties and can be used to facilitate the development of improved functional (chiral) nanomaterials.</w:t>
      </w:r>
    </w:p>
    <w:p>
      <w:pPr>
        <w:spacing w:before="120" w:after="120"/>
      </w:pPr>
      <w:r>
        <w:rPr>
          <w:sz w:val="18"/>
        </w:rPr>
        <w:t>——————————————————————————————————————————————————————————————————————</w:t>
      </w:r>
    </w:p>
    <w:p>
      <w:pPr>
        <w:spacing w:before="160" w:after="40" w:line="240" w:lineRule="auto"/>
      </w:pPr>
      <w:r>
        <w:rPr>
          <w:b/>
        </w:rPr>
        <w:t xml:space="preserve">[404] </w:t>
      </w:r>
      <w:hyperlink r:id="rId976">
        <w:r>
          <w:rPr>
            <w:color w:val="1155CC"/>
            <w:u w:val="single"/>
          </w:rPr>
          <w:t>[ASAP] 在埃级分辨率下解析溶液合成的石墨炔-石墨二炔大分子</w:t>
        </w:r>
      </w:hyperlink>
    </w:p>
    <w:p>
      <w:pPr>
        <w:spacing w:before="0" w:after="80"/>
      </w:pPr>
      <w:r>
        <w:rPr>
          <w:i/>
          <w:sz w:val="20"/>
        </w:rPr>
        <w:t>EN: [ASAP] Resolving Solution-Synthesized Graphyne-Graphdiyne Macromolecules at the Angstrom Level</w:t>
      </w:r>
    </w:p>
    <w:p>
      <w:pPr>
        <w:spacing w:before="0" w:after="120"/>
      </w:pPr>
      <w:r>
        <w:rPr>
          <w:b/>
        </w:rPr>
        <w:t xml:space="preserve">Source: </w:t>
      </w:r>
      <w:r>
        <w:t>Journal of the American Chemical Society: Latest Articles (ACS Publications)</w:t>
      </w:r>
      <w:r>
        <w:t xml:space="preserve">    </w:t>
      </w:r>
      <w:r>
        <w:rPr>
          <w:b/>
        </w:rPr>
        <w:t xml:space="preserve">Pub date: </w:t>
      </w:r>
      <w:r>
        <w:t>2026-04-01 15:14:33+00:00</w:t>
      </w:r>
      <w:r>
        <w:t xml:space="preserve">    </w:t>
      </w:r>
      <w:r>
        <w:rPr>
          <w:b/>
        </w:rPr>
        <w:t xml:space="preserve">DOI: </w:t>
      </w:r>
      <w:hyperlink r:id="rId977">
        <w:r>
          <w:rPr>
            <w:color w:val="1155CC"/>
            <w:u w:val="single"/>
          </w:rPr>
          <w:t>10.1021/jacs.5c22800</w:t>
        </w:r>
      </w:hyperlink>
    </w:p>
    <w:p>
      <w:pPr>
        <w:spacing w:before="0" w:after="120"/>
      </w:pPr>
      <w:r>
        <w:rPr>
          <w:b/>
        </w:rPr>
        <w:t xml:space="preserve">Notes: </w:t>
      </w:r>
      <w:r>
        <w:t>abstract_source=openalex</w:t>
      </w:r>
    </w:p>
    <w:p>
      <w:pPr>
        <w:spacing w:before="0" w:after="80" w:lineRule="auto" w:line="276"/>
      </w:pPr>
      <w:r>
        <w:rPr>
          <w:b/>
        </w:rPr>
        <w:t xml:space="preserve">摘要（ZH）: </w:t>
      </w:r>
      <w:r>
        <w:t>在溶液中合成尺寸和复杂性不断增加的低维大分子在其精确结构表征方面提出了重大挑战。电喷雾电离结合扫描隧道显微镜（ESI-STM）已成为表征这些不可升华大分子在真实空间中的一种有前途的工具。然而，这些大分子的弱电离和附着的溶解基团的三维构型严重阻碍了高分辨率STM成像。在这项工作中，我们合成了一系列含有三苯胺基团的石墨炔-石墨二炔同心大环，以提高电离效率，从而确保STM表征的样品清洁度。为了解决溶解基团对成像的干扰</w:t>
      </w:r>
    </w:p>
    <w:p>
      <w:pPr>
        <w:spacing w:before="0" w:after="200" w:lineRule="auto" w:line="276"/>
      </w:pPr>
      <w:r>
        <w:rPr>
          <w:b/>
        </w:rPr>
        <w:t xml:space="preserve">Abstract (EN): </w:t>
      </w:r>
      <w:r>
        <w:t>Syntheses of low-dimensional macromolecules with increasing size and complexity in solution pose substantial challenges in terms of their precise structural characterization. Electrospray ionization coupled with scanning tunneling microscopy (ESI-STM) has emerged as a promising tool for the characterization of these nonsublimable macromolecules in real space. However, the weak ionization of such macromolecules and the three-dimensional configuration of the attached solubilizing groups severely impede high-resolution STM imaging. In this work, we synthesized a series of graphyne-graphdiyne concentric macrocycles with triphenylamine groups to enhance the ionization efficiency, which in turn ensures the sample cleanliness for STM characterization. To tackle imaging interference from solubilizing groups, single-molecule tip manipulation and large-scale bromine-assisted thermal treatment were developed for alkoxy and/or alkyl chain removal, enabling the acquisition of unprecedented bond-resolving structural images and angstrom-resolution frontier molecular orbital maps. Our methods resolve the long-standing dilemma between the solubility requirements of solution synthesis and the molecular planarization demands of high-resolution STM characterization, pushing the resolution limit of macromolecules to the angstrom level.</w:t>
      </w:r>
    </w:p>
    <w:p>
      <w:pPr>
        <w:spacing w:before="120" w:after="120"/>
      </w:pPr>
      <w:r>
        <w:rPr>
          <w:sz w:val="18"/>
        </w:rPr>
        <w:t>——————————————————————————————————————————————————————————————————————</w:t>
      </w:r>
    </w:p>
    <w:p>
      <w:pPr>
        <w:spacing w:before="160" w:after="40" w:line="240" w:lineRule="auto"/>
      </w:pPr>
      <w:r>
        <w:rPr>
          <w:b/>
        </w:rPr>
        <w:t xml:space="preserve">[405] </w:t>
      </w:r>
      <w:hyperlink r:id="rId978">
        <w:r>
          <w:rPr>
            <w:color w:val="1155CC"/>
            <w:u w:val="single"/>
          </w:rPr>
          <w:t>[ASAP] 通过环丙烯的碳铜化反应的非对映选择性合成Housanes</w:t>
        </w:r>
      </w:hyperlink>
    </w:p>
    <w:p>
      <w:pPr>
        <w:spacing w:before="0" w:after="80"/>
      </w:pPr>
      <w:r>
        <w:rPr>
          <w:i/>
          <w:sz w:val="20"/>
        </w:rPr>
        <w:t>EN: [ASAP] Diastereoselective Synthesis of Housanes via the Carbocupration of Cyclopropenes</w:t>
      </w:r>
    </w:p>
    <w:p>
      <w:pPr>
        <w:spacing w:before="0" w:after="120"/>
      </w:pPr>
      <w:r>
        <w:rPr>
          <w:b/>
        </w:rPr>
        <w:t xml:space="preserve">Source: </w:t>
      </w:r>
      <w:r>
        <w:t>Journal of the American Chemical Society: Latest Articles (ACS Publications)</w:t>
      </w:r>
      <w:r>
        <w:t xml:space="preserve">    </w:t>
      </w:r>
      <w:r>
        <w:rPr>
          <w:b/>
        </w:rPr>
        <w:t xml:space="preserve">Pub date: </w:t>
      </w:r>
      <w:r>
        <w:t>2026-04-01 15:32:14+00:00</w:t>
      </w:r>
      <w:r>
        <w:t xml:space="preserve">    </w:t>
      </w:r>
      <w:r>
        <w:rPr>
          <w:b/>
        </w:rPr>
        <w:t xml:space="preserve">DOI: </w:t>
      </w:r>
      <w:hyperlink r:id="rId979">
        <w:r>
          <w:rPr>
            <w:color w:val="1155CC"/>
            <w:u w:val="single"/>
          </w:rPr>
          <w:t>10.1021/jacs.6c03013</w:t>
        </w:r>
      </w:hyperlink>
    </w:p>
    <w:p>
      <w:pPr>
        <w:spacing w:before="0" w:after="120"/>
      </w:pPr>
      <w:r>
        <w:rPr>
          <w:b/>
        </w:rPr>
        <w:t xml:space="preserve">Notes: </w:t>
      </w:r>
      <w:r>
        <w:t>abstract_source=openalex</w:t>
      </w:r>
    </w:p>
    <w:p>
      <w:pPr>
        <w:spacing w:before="0" w:after="80" w:lineRule="auto" w:line="276"/>
      </w:pPr>
      <w:r>
        <w:rPr>
          <w:b/>
        </w:rPr>
        <w:t xml:space="preserve">摘要（ZH）: </w:t>
      </w:r>
      <w:r>
        <w:t>受应力的双环结构已成为基于应力驱动反应性的有价值的等电子替代物和合成平台。双环[2.1.0]戊烷，“房烷”，是一种高度应力的、非对称的骨架，由两个融合的环丙烷和环丁烷环组成，长期以来一直是一个巨大的合成挑战，具有有限的可获得的取代模式。在过去五年中，兴趣的激增导致合成方法学的进步，为应用铺平了道路。在此，我们报告了一种同羰基环丙烯的非对映选择性碳铜化-环化级联反应，使得高效获得双环[2.1.0]戊烷，同时显著扩展其结构多样性。通过利用羰基作为有效的双重用途导向基团和电亲</w:t>
      </w:r>
    </w:p>
    <w:p>
      <w:pPr>
        <w:spacing w:before="0" w:after="200" w:lineRule="auto" w:line="276"/>
      </w:pPr>
      <w:r>
        <w:rPr>
          <w:b/>
        </w:rPr>
        <w:t xml:space="preserve">Abstract (EN): </w:t>
      </w:r>
      <w:r>
        <w:t>Strained bicyclic frameworks have emerged as valuable isosteric replacements and synthetic platforms based on strain-driven reactivity. The bicyclo[2.1.0]pentane, "housane", a highly strained, nonsymmetrical scaffold constituted of two fused cyclopropane and cyclobutane rings, has long posed a formidable synthetic challenge, with limited accessible substitution patterns. In the past five years, a surge of interest has led to advances in synthetic methodology, paving the way for applications. Here, we report a diastereoselective carbocupration-cyclization cascade of homocarbonyl cyclopropenes that enables efficient access to bicyclo[2.1.0]pentanes while significantly expanding their structural diversity. By exploiting carbonyl groups as productive dual-purpose directing groups and electrophilic partners in cyclopropene carbometalation, this strategy displays high atom economy and step efficiency. Realization of this approach required overcoming long-standing limitations associated with metallacycle size and carbonyl class in carbometalation reactions. The required cyclopropene starting materials are readily accessed in only two steps from broadly available diazo compounds, alkynes, and silyl enol ethers, facilitating the synthesis of structurally diverse compound libraries. The resulting bicyclic scaffold displays exit vectors closely matching those of 1,3-cyclopentanes and engages in controlled, strain-driven nucleophilic ring-opening transformations, supporting their potential as isosteres or covalent binders. The alcohol handle formed in the cascade enables straightforward diversification of the products, including the first high-yielding synthesis and isolation of a bicyclo[2.1.0]pentanone, "housone".</w:t>
      </w:r>
    </w:p>
    <w:p>
      <w:pPr>
        <w:spacing w:before="120" w:after="120"/>
      </w:pPr>
      <w:r>
        <w:rPr>
          <w:sz w:val="18"/>
        </w:rPr>
        <w:t>——————————————————————————————————————————————————————————————————————</w:t>
      </w:r>
    </w:p>
    <w:p>
      <w:pPr>
        <w:spacing w:before="160" w:after="40" w:line="240" w:lineRule="auto"/>
      </w:pPr>
      <w:r>
        <w:rPr>
          <w:b/>
        </w:rPr>
        <w:t xml:space="preserve">[406] </w:t>
      </w:r>
      <w:hyperlink r:id="rId980">
        <w:r>
          <w:rPr>
            <w:color w:val="1155CC"/>
            <w:u w:val="single"/>
          </w:rPr>
          <w:t>[ASAP] 硝基芳烃的激发态SNAr反应</w:t>
        </w:r>
      </w:hyperlink>
    </w:p>
    <w:p>
      <w:pPr>
        <w:spacing w:before="0" w:after="80"/>
      </w:pPr>
      <w:r>
        <w:rPr>
          <w:i/>
          <w:sz w:val="20"/>
        </w:rPr>
        <w:t>EN: [ASAP] Excited-State SNAr Reactions of Nitroarenes</w:t>
      </w:r>
    </w:p>
    <w:p>
      <w:pPr>
        <w:spacing w:before="0" w:after="120"/>
      </w:pPr>
      <w:r>
        <w:rPr>
          <w:b/>
        </w:rPr>
        <w:t xml:space="preserve">Source: </w:t>
      </w:r>
      <w:r>
        <w:t>Journal of the American Chemical Society: Latest Articles (ACS Publications)</w:t>
      </w:r>
      <w:r>
        <w:t xml:space="preserve">    </w:t>
      </w:r>
      <w:r>
        <w:rPr>
          <w:b/>
        </w:rPr>
        <w:t xml:space="preserve">Pub date: </w:t>
      </w:r>
      <w:r>
        <w:t>2026-04-01 15:32:43+00:00</w:t>
      </w:r>
      <w:r>
        <w:t xml:space="preserve">    </w:t>
      </w:r>
      <w:r>
        <w:rPr>
          <w:b/>
        </w:rPr>
        <w:t xml:space="preserve">DOI: </w:t>
      </w:r>
      <w:hyperlink r:id="rId981">
        <w:r>
          <w:rPr>
            <w:color w:val="1155CC"/>
            <w:u w:val="single"/>
          </w:rPr>
          <w:t>10.1021/jacs.5c21841</w:t>
        </w:r>
      </w:hyperlink>
    </w:p>
    <w:p>
      <w:pPr>
        <w:spacing w:before="0" w:after="120"/>
      </w:pPr>
      <w:r>
        <w:rPr>
          <w:b/>
        </w:rPr>
        <w:t xml:space="preserve">Notes: </w:t>
      </w:r>
      <w:r>
        <w:t>abstract_source=openalex</w:t>
      </w:r>
    </w:p>
    <w:p>
      <w:pPr>
        <w:spacing w:before="0" w:after="80" w:lineRule="auto" w:line="276"/>
      </w:pPr>
      <w:r>
        <w:rPr>
          <w:b/>
        </w:rPr>
        <w:t xml:space="preserve">摘要（ZH）: </w:t>
      </w:r>
      <w:r>
        <w:t>亲核芳香取代反应（S&lt;sub&gt;N&lt;/sub&gt;Ar）传统上需要基态去芳构化以形成Meisenheimer中间体，限制了反应性仅限于具有强电子吸引基团（EWGs）的芳烃。在此，我们披露了在可见光照射下硝基芳烃的激发态S&lt;sub&gt;N&lt;/sub&gt;Ar反应，其中三重态电子重组提供了强大的芳香性恢复驱动力用于C&lt;sub&gt;Ar&lt;/sub&gt;-NO&lt;sub&gt;2&lt;/sub&gt;取代，启用在基态不可访问的反应路径。通过对常见亲核试剂的计算评估，我们开发了一种合成上实用的协议，使得在多样的多环芳烃中实现去硝基取代。这些发现表明光激发可以重塑芳香性</w:t>
      </w:r>
    </w:p>
    <w:p>
      <w:pPr>
        <w:spacing w:before="0" w:after="200" w:lineRule="auto" w:line="276"/>
      </w:pPr>
      <w:r>
        <w:rPr>
          <w:b/>
        </w:rPr>
        <w:t xml:space="preserve">Abstract (EN): </w:t>
      </w:r>
      <w:r>
        <w:t>Nucleophilic aromatic substitution (S&lt;sub&gt;N&lt;/sub&gt;Ar) traditionally requires ground-state dearomatization to form Meisenheimer intermediates, restricting the reactivity to arenes bearing strong electron-withdrawing groups (EWGs). Here we disclose excited-state S&lt;sub&gt;N&lt;/sub&gt;Ar reactions of nitroarenes under visible light irradiation, in which triplet-state electronic reorganization furnishes a strong aromaticity-recovery driving force for C&lt;sub&gt;Ar&lt;/sub&gt;-NO&lt;sub&gt;2&lt;/sub&gt; substitution, enabling reaction pathways that are inaccessible in the ground state. Following computational evaluation of common nucleophiles, we developed a synthetically practical protocol that enables denitrative substitution across diverse polycyclic arenes. These findings demonstrate that photoexcitation can reshape the aromatic character of arenes, thereby offering a new strategy to access previously inaccessible modes of arene functionalization.</w:t>
      </w:r>
    </w:p>
    <w:p>
      <w:pPr>
        <w:spacing w:before="120" w:after="120"/>
      </w:pPr>
      <w:r>
        <w:rPr>
          <w:sz w:val="18"/>
        </w:rPr>
        <w:t>——————————————————————————————————————————————————————————————————————</w:t>
      </w:r>
    </w:p>
    <w:p>
      <w:pPr>
        <w:spacing w:before="160" w:after="40" w:line="240" w:lineRule="auto"/>
      </w:pPr>
      <w:r>
        <w:rPr>
          <w:b/>
        </w:rPr>
        <w:t xml:space="preserve">[407] </w:t>
      </w:r>
      <w:hyperlink r:id="rId982">
        <w:r>
          <w:rPr>
            <w:color w:val="1155CC"/>
            <w:u w:val="single"/>
          </w:rPr>
          <w:t>[ASAP] 基于超快螺旋诱导和螺旋聚乙炔记忆的可切换和自学习对映体分离</w:t>
        </w:r>
      </w:hyperlink>
    </w:p>
    <w:p>
      <w:pPr>
        <w:spacing w:before="0" w:after="80"/>
      </w:pPr>
      <w:r>
        <w:rPr>
          <w:i/>
          <w:sz w:val="20"/>
        </w:rPr>
        <w:t>EN: [ASAP] Switchable and Self-Learning Enantioseparation Based on Ultrafast Helix Induction and Memory of a Helical Polyacetylene</w:t>
      </w:r>
    </w:p>
    <w:p>
      <w:pPr>
        <w:spacing w:before="0" w:after="120"/>
      </w:pPr>
      <w:r>
        <w:rPr>
          <w:b/>
        </w:rPr>
        <w:t xml:space="preserve">Source: </w:t>
      </w:r>
      <w:r>
        <w:t>Journal of the American Chemical Society: Latest Articles (ACS Publications)</w:t>
      </w:r>
      <w:r>
        <w:t xml:space="preserve">    </w:t>
      </w:r>
      <w:r>
        <w:rPr>
          <w:b/>
        </w:rPr>
        <w:t xml:space="preserve">Pub date: </w:t>
      </w:r>
      <w:r>
        <w:t>2026-04-01 17:18:00+00:00</w:t>
      </w:r>
      <w:r>
        <w:t xml:space="preserve">    </w:t>
      </w:r>
      <w:r>
        <w:rPr>
          <w:b/>
        </w:rPr>
        <w:t xml:space="preserve">DOI: </w:t>
      </w:r>
      <w:hyperlink r:id="rId983">
        <w:r>
          <w:rPr>
            <w:color w:val="1155CC"/>
            <w:u w:val="single"/>
          </w:rPr>
          <w:t>10.1021/jacs.5c22456</w:t>
        </w:r>
      </w:hyperlink>
    </w:p>
    <w:p>
      <w:pPr>
        <w:spacing w:before="0" w:after="120"/>
      </w:pPr>
      <w:r>
        <w:rPr>
          <w:b/>
        </w:rPr>
        <w:t xml:space="preserve">Notes: </w:t>
      </w:r>
      <w:r>
        <w:t>abstract_source=openalex</w:t>
      </w:r>
    </w:p>
    <w:p>
      <w:pPr>
        <w:spacing w:before="0" w:after="80" w:lineRule="auto" w:line="276"/>
      </w:pPr>
      <w:r>
        <w:rPr>
          <w:b/>
        </w:rPr>
        <w:t xml:space="preserve">摘要（ZH）: </w:t>
      </w:r>
      <w:r>
        <w:t>我们现在报告了一种光学惰性聚（联苯基乙炔）（PBPA）的超快螺旋诱导及其螺旋性的后续记忆，这一过程在几分钟内完成。通过活性嵌段聚合后将PBPA选择性地固定在硅胶上，我们成功开发了一种新型固定化手性固定相（CSP），它保持了高构象自由度并表现出显著增强的手性识别。通过连续注入螺旋诱导剂后跟随消旋分析物，我们实现了高效、操作简单且快速可逆的对映体分离切换。在这项研究中，我们发现了在由固定化CSP组成的非消旋分析物的前所未有的部分分离。</w:t>
      </w:r>
    </w:p>
    <w:p>
      <w:pPr>
        <w:spacing w:before="0" w:after="200" w:lineRule="auto" w:line="276"/>
      </w:pPr>
      <w:r>
        <w:rPr>
          <w:b/>
        </w:rPr>
        <w:t xml:space="preserve">Abstract (EN): </w:t>
      </w:r>
      <w:r>
        <w:t>We now report the ultrafast helix induction of an optically inactive poly(biphenylylacetylene) (PBPA) with a helix inducer and subsequent memory of the helicity, which is completed within several minutes. Using living block polymerization followed by chain-end-selective immobilization of a PBPA onto silica gel, we have successfully developed a novel immobilized chiral stationary phase (CSP) that retains a high conformational freedom and exhibits markedly enhanced chiral recognition. By continuously injecting a helix inducer followed by racemic analytes, we achieved highly efficient, operationally simple, and rapidly reversible switching of enantiomer separation. During this study, we discovered the unprecedented partial separation of a nonracemic analyte on an immobilized CSP composed of a racemic PBPA. Due to the ultrafast helicity induction and its static memory in a PBPA of the CSP, the original dynamically racemic PBPA folds into an excess one-handed helix during chromatography solely through interaction with a nonracemic analyte. Hence, the PBPA acquires a resolving capability through a unique “self-learning” mechanism, and the nonracemic analyte can be eventually partially separated into enantiomers. This separation mechanism entirely differs from the classical self-disproportionation of enantiomers on achiral stationary phases and represents a new paradigm in chiral separation.</w:t>
      </w:r>
    </w:p>
    <w:p>
      <w:pPr>
        <w:spacing w:before="120" w:after="120"/>
      </w:pPr>
      <w:r>
        <w:rPr>
          <w:sz w:val="18"/>
        </w:rPr>
        <w:t>——————————————————————————————————————————————————————————————————————</w:t>
      </w:r>
    </w:p>
    <w:p>
      <w:pPr>
        <w:spacing w:before="160" w:after="40" w:line="240" w:lineRule="auto"/>
      </w:pPr>
      <w:r>
        <w:rPr>
          <w:b/>
        </w:rPr>
        <w:t xml:space="preserve">[408] </w:t>
      </w:r>
      <w:hyperlink r:id="rId984">
        <w:r>
          <w:rPr>
            <w:color w:val="1155CC"/>
            <w:u w:val="single"/>
          </w:rPr>
          <w:t>[ASAP] 通过折叠介导的自组装将空间要求高的π-发光体二聚体组装成具有多方向激子传输的纳米管</w:t>
        </w:r>
      </w:hyperlink>
    </w:p>
    <w:p>
      <w:pPr>
        <w:spacing w:before="0" w:after="80"/>
      </w:pPr>
      <w:r>
        <w:rPr>
          <w:i/>
          <w:sz w:val="20"/>
        </w:rPr>
        <w:t>EN: [ASAP] Folding-Mediated Self-Assembly of Sterically Demanding π-Luminophore Dyads into Nanotubes Exhibiting Multidirectional Exciton Transport</w:t>
      </w:r>
    </w:p>
    <w:p>
      <w:pPr>
        <w:spacing w:before="0" w:after="120"/>
      </w:pPr>
      <w:r>
        <w:rPr>
          <w:b/>
        </w:rPr>
        <w:t xml:space="preserve">Source: </w:t>
      </w:r>
      <w:r>
        <w:t>Journal of the American Chemical Society: Latest Articles (ACS Publications)</w:t>
      </w:r>
      <w:r>
        <w:t xml:space="preserve">    </w:t>
      </w:r>
      <w:r>
        <w:rPr>
          <w:b/>
        </w:rPr>
        <w:t xml:space="preserve">Pub date: </w:t>
      </w:r>
      <w:r>
        <w:t>2026-04-01 18:21:01+00:00</w:t>
      </w:r>
      <w:r>
        <w:t xml:space="preserve">    </w:t>
      </w:r>
      <w:r>
        <w:rPr>
          <w:b/>
        </w:rPr>
        <w:t xml:space="preserve">DOI: </w:t>
      </w:r>
      <w:hyperlink r:id="rId985">
        <w:r>
          <w:rPr>
            <w:color w:val="1155CC"/>
            <w:u w:val="single"/>
          </w:rPr>
          <w:t>10.1021/jacs.6c00854</w:t>
        </w:r>
      </w:hyperlink>
    </w:p>
    <w:p>
      <w:pPr>
        <w:spacing w:before="0" w:after="120"/>
      </w:pPr>
      <w:r>
        <w:rPr>
          <w:b/>
        </w:rPr>
        <w:t xml:space="preserve">Notes: </w:t>
      </w:r>
      <w:r>
        <w:t>abstract_source=openalex</w:t>
      </w:r>
    </w:p>
    <w:p>
      <w:pPr>
        <w:spacing w:before="0" w:after="80" w:lineRule="auto" w:line="276"/>
      </w:pPr>
      <w:r>
        <w:rPr>
          <w:b/>
        </w:rPr>
        <w:t xml:space="preserve">摘要（ZH）: </w:t>
      </w:r>
      <w:r>
        <w:t>折叠蛋白质的分级自组装成功能性纳米结构长期以来一直是设计合成聚合物系统的概念基础。然而，基于折叠策略的小分子组装的有效性仍然在很大程度上未被证明。在此，我们展示了以前被认为不具备聚集能力的空间要求高、发光性强的二苯蒽衍生物可以通过剪刀形二聚体的构象预组织化被编程为形成高度有序的超分子纳米管。从三苯基到二苯萘到二苯蒽的可折叠超分子合成子中的逐步π核扩展引发了从扭曲带到螺旋线圈，最终到空心纳米管的形态进化。这种结构</w:t>
      </w:r>
    </w:p>
    <w:p>
      <w:pPr>
        <w:spacing w:before="0" w:after="200" w:lineRule="auto" w:line="276"/>
      </w:pPr>
      <w:r>
        <w:rPr>
          <w:b/>
        </w:rPr>
        <w:t xml:space="preserve">Abstract (EN): </w:t>
      </w:r>
      <w:r>
        <w:t>The hierarchical self-assembly of folded proteins into functional nanostructures has long served as a conceptual foundation for designing synthetic polymer systems. However, the efficacy of folding-based strategies in small-molecule assemblies remains largely unproven. Here we show that sterically demanding, highly emissive diphenylanthracene derivatives, previously considered aggregation-incompetent, can be programmed to form highly ordered supramolecular nanotubes through conformational preorganization via scissor-shaped dimerization. Stepwise π-core expansion from terphenylene to diphenylnaphthalene to diphenylanthracene in the foldable supramolecular synthons induces a morphological progression from twisted ribbons to helical coils and, ultimately, to hollow nanotubes. This structural evolution is driven by folding-assisted directional π–π stacking and cooperative hydrogen bonding. Structural analyses and all-atom molecular dynamics simulations of nanotubes reveal a herringbone-like chromophore wall that reconciles dense π-stacking with curvature. Strikingly, time-resolved fluorescence anisotropy measurements demonstrate exciton migration along the tube axis (≈55 nm) and around the circumference (≈11 nm). These findings demonstrate that intramolecular folding preorganizes the spatial arrangement of intermolecular interaction sites, thereby directing curved supramolecular assembly and enabling the emergence of complex nanostructures with advanced optoelectronic function in π-systems.</w:t>
      </w:r>
    </w:p>
    <w:p>
      <w:pPr>
        <w:spacing w:before="120" w:after="120"/>
      </w:pPr>
      <w:r>
        <w:rPr>
          <w:sz w:val="18"/>
        </w:rPr>
        <w:t>——————————————————————————————————————————————————————————————————————</w:t>
      </w:r>
    </w:p>
    <w:p>
      <w:pPr>
        <w:spacing w:before="160" w:after="40" w:line="240" w:lineRule="auto"/>
      </w:pPr>
      <w:r>
        <w:rPr>
          <w:b/>
        </w:rPr>
        <w:t xml:space="preserve">[409] </w:t>
      </w:r>
      <w:hyperlink r:id="rId986">
        <w:r>
          <w:rPr>
            <w:color w:val="1155CC"/>
            <w:u w:val="single"/>
          </w:rPr>
          <w:t>[ASAP] 使用本质质谱法量化蛋白质同二聚体亲和力及分子胶和界面残基的影响</w:t>
        </w:r>
      </w:hyperlink>
    </w:p>
    <w:p>
      <w:pPr>
        <w:spacing w:before="0" w:after="80"/>
      </w:pPr>
      <w:r>
        <w:rPr>
          <w:i/>
          <w:sz w:val="20"/>
        </w:rPr>
        <w:t>EN: [ASAP] Quantifying Protein Homodimer Affinities and the Effect of Molecular Glues and Interface Residues Using Native Mass Spectrometry</w:t>
      </w:r>
    </w:p>
    <w:p>
      <w:pPr>
        <w:spacing w:before="0" w:after="120"/>
      </w:pPr>
      <w:r>
        <w:rPr>
          <w:b/>
        </w:rPr>
        <w:t xml:space="preserve">Source: </w:t>
      </w:r>
      <w:r>
        <w:t>Journal of the American Chemical Society: Latest Articles (ACS Publications)</w:t>
      </w:r>
      <w:r>
        <w:t xml:space="preserve">    </w:t>
      </w:r>
      <w:r>
        <w:rPr>
          <w:b/>
        </w:rPr>
        <w:t xml:space="preserve">Pub date: </w:t>
      </w:r>
      <w:r>
        <w:t>2026-04-01 18:35:55+00:00</w:t>
      </w:r>
      <w:r>
        <w:t xml:space="preserve">    </w:t>
      </w:r>
      <w:r>
        <w:rPr>
          <w:b/>
        </w:rPr>
        <w:t xml:space="preserve">DOI: </w:t>
      </w:r>
      <w:hyperlink r:id="rId987">
        <w:r>
          <w:rPr>
            <w:color w:val="1155CC"/>
            <w:u w:val="single"/>
          </w:rPr>
          <w:t>10.1021/jacs.5c18602</w:t>
        </w:r>
      </w:hyperlink>
    </w:p>
    <w:p>
      <w:pPr>
        <w:spacing w:before="0" w:after="120"/>
      </w:pPr>
      <w:r>
        <w:rPr>
          <w:b/>
        </w:rPr>
        <w:t xml:space="preserve">Notes: </w:t>
      </w:r>
      <w:r>
        <w:t>abstract_source=openalex</w:t>
      </w:r>
    </w:p>
    <w:p>
      <w:pPr>
        <w:spacing w:before="0" w:after="80" w:lineRule="auto" w:line="276"/>
      </w:pPr>
      <w:r>
        <w:rPr>
          <w:b/>
        </w:rPr>
        <w:t xml:space="preserve">摘要（ZH）: </w:t>
      </w:r>
      <w:r>
        <w:t>生物过程依赖于（生物大分子）分子之间精细调节的同源和异源相互作用。相互作用的强度，通常由解离常数（KD）给出，在基础研究中起着至关重要的作用，并且必须在药物和农用化学品的开发过程中进行监测。理想的KD测定方法适用于各种亲和力范围广泛的分析物，能够容忍复杂的基质成分，不需要标记，并同时提供结合伙伴结构完整性的信息。原生质谱符合这些标准，但通常在处理同源寡聚复合物时由于质量信号重叠而遇到困难。为了解决这个问题，我们通过分别分析单体/二聚体对重叠的MS峰的贡献来解决。</w:t>
      </w:r>
    </w:p>
    <w:p>
      <w:pPr>
        <w:spacing w:before="0" w:after="200" w:lineRule="auto" w:line="276"/>
      </w:pPr>
      <w:r>
        <w:rPr>
          <w:b/>
        </w:rPr>
        <w:t xml:space="preserve">Abstract (EN): </w:t>
      </w:r>
      <w:r>
        <w:t>Biological processes rely on finely tuned homo- and heteromeric interactions between (biomacro)molecules. The strength of an interaction, typically given by the dissociation constant (KD), plays a crucial role in basic research and must be monitored throughout the development of drugs and agrochemicals. An ideal method for KD determination is applicable to various analytes with a large range of affinities, tolerates complex matrix compositions, does not require labeling, and simultaneously provides information on the structural integrity of the binding partners. Native mass spectrometry meets these criteria but typically struggles with homooligomeric complexes due to overlapping mass signals. To overcome this, we resolve monomer/dimer contributions to overlapping MS-peaks by separately analyzing the charge state distribution of each oligomeric species via sample dilution and covalent cross-linking. Following this approach, we show that quantitative laser-induced liquid bead ion desorption mass spectrometry (qLILBID-MS) accurately captures the affinities of Bovine Serum Albumin (BSA) and chemically induced dimers of Tryparedoxin (Tpx), an oxidoreductase from human pathogenic Trypanosoma brucei parasites, with various molecular glues and homodimer affinities. Conveniently, qLILBID-MS requires a fraction of sample used by other methods such as isothermal titration calorimetry (ITC) and yields previously inaccessible protein homodimer KDs in the high micromolar range, which allowed us to monitor the gradual decrease in homodimer affinity via mutation of crucial dimer interface contacts. Overall, qLILBID-MS is a sensitive, robust, fast, scalable, and cost-effective alternative to quantify protein/protein interactions, that can accelerate contemporary drug discovery workflows, e.g. the efficient screening for proximity inducing molecules like proteolysis targeting chimera (PROTACs) and molecular glues.</w:t>
      </w:r>
    </w:p>
    <w:p>
      <w:pPr>
        <w:spacing w:before="120" w:after="120"/>
      </w:pPr>
      <w:r>
        <w:rPr>
          <w:sz w:val="18"/>
        </w:rPr>
        <w:t>——————————————————————————————————————————————————————————————————————</w:t>
      </w:r>
    </w:p>
    <w:p>
      <w:pPr>
        <w:spacing w:before="160" w:after="40" w:line="240" w:lineRule="auto"/>
      </w:pPr>
      <w:r>
        <w:rPr>
          <w:b/>
        </w:rPr>
        <w:t xml:space="preserve">[410] </w:t>
      </w:r>
      <w:hyperlink r:id="rId988">
        <w:r>
          <w:rPr>
            <w:color w:val="1155CC"/>
            <w:u w:val="single"/>
          </w:rPr>
          <w:t>[ASAP] 通过状态选择性激发揭示超快形成的Jahn–Teller极化子在相关尖晶石Co3O4中的存在</w:t>
        </w:r>
      </w:hyperlink>
    </w:p>
    <w:p>
      <w:pPr>
        <w:spacing w:before="0" w:after="80"/>
      </w:pPr>
      <w:r>
        <w:rPr>
          <w:i/>
          <w:sz w:val="20"/>
        </w:rPr>
        <w:t>EN: [ASAP] Ultrafast Formation of Jahn–Teller Polarons Revealed by State-Selective Excitation in Correlated Spinel Co3O4</w:t>
      </w:r>
    </w:p>
    <w:p>
      <w:pPr>
        <w:spacing w:before="0" w:after="120"/>
      </w:pPr>
      <w:r>
        <w:rPr>
          <w:b/>
        </w:rPr>
        <w:t xml:space="preserve">Source: </w:t>
      </w:r>
      <w:r>
        <w:t>Journal of the American Chemical Society: Latest Articles (ACS Publications)</w:t>
      </w:r>
      <w:r>
        <w:t xml:space="preserve">    </w:t>
      </w:r>
      <w:r>
        <w:rPr>
          <w:b/>
        </w:rPr>
        <w:t xml:space="preserve">Pub date: </w:t>
      </w:r>
      <w:r>
        <w:t>2026-04-01 18:36:53+00:00</w:t>
      </w:r>
      <w:r>
        <w:t xml:space="preserve">    </w:t>
      </w:r>
      <w:r>
        <w:rPr>
          <w:b/>
        </w:rPr>
        <w:t xml:space="preserve">DOI: </w:t>
      </w:r>
      <w:hyperlink r:id="rId989">
        <w:r>
          <w:rPr>
            <w:color w:val="1155CC"/>
            <w:u w:val="single"/>
          </w:rPr>
          <w:t>10.1021/jacs.5c23346</w:t>
        </w:r>
      </w:hyperlink>
    </w:p>
    <w:p>
      <w:pPr>
        <w:spacing w:before="0" w:after="120"/>
      </w:pPr>
      <w:r>
        <w:rPr>
          <w:b/>
        </w:rPr>
        <w:t xml:space="preserve">Notes: </w:t>
      </w:r>
      <w:r>
        <w:t>abstract_source=openalex</w:t>
      </w:r>
    </w:p>
    <w:p>
      <w:pPr>
        <w:spacing w:before="0" w:after="80" w:lineRule="auto" w:line="276"/>
      </w:pPr>
      <w:r>
        <w:rPr>
          <w:b/>
        </w:rPr>
        <w:t xml:space="preserve">摘要（ZH）: </w:t>
      </w:r>
      <w:r>
        <w:t>Jahn–Teller极化子是由对称性破缺和强局部电子-声子耦合产生的准粒子。它们源于由Jahn–Teller效应引起的局部晶格畸变所包裹的过量电荷载流子，并对过渡金属氧化物的电、结构和磁性特性产生关键影响。观察其形成过程中涉及的微观步骤对于通过光脉冲的定向激活局部、特定位置的修改来实现对材料特性的控制至关重要。虽然预测与极化子形成相关的Jahn–Teller畸变会显著影响Co3O4的电子带隙和光学特性，但其实验观察仍然难以捉摸，需要。</w:t>
      </w:r>
    </w:p>
    <w:p>
      <w:pPr>
        <w:spacing w:before="0" w:after="200" w:lineRule="auto" w:line="276"/>
      </w:pPr>
      <w:r>
        <w:rPr>
          <w:b/>
        </w:rPr>
        <w:t xml:space="preserve">Abstract (EN): </w:t>
      </w:r>
      <w:r>
        <w:t>Jahn–Teller polarons are quasiparticles that stem from symmetry breaking and strong local electron–phonon coupling. They originate from an excess charge carrier being dressed by a local lattice distortion, caused by the Jahn–Teller effect, and they critically impact electrical, structural, and magnetic properties in transition metal oxides. The observation of the microscopic steps involved in their formation is essential for enabling control over material properties through the targeted activation of local, site-specific modifications with light pulses. While Jahn–Teller distortion associated with polaron formation was predicted to contribute significantly to changes in electronic band gap and optical properties in Co3O4, its experimental observation remains elusive, requiring signatures of local symmetry reduction. In this work, we demonstrate Jahn–Teller polaron formation in spinel Co3O4. By exciting electronic transitions at 3.10 eV and 1.55 eV, we target either the Oh Cobalt(III) or the Td Cobalt(II) ions, and drive the subsequent coherent responses of the system through two different pathways. For the former, we demonstrate that ligand-to-metal charge transfer leads to Jahn–Teller polaron formation, which is linked to the deformation potential and magnetoelastic coupling. For the latter, we identify the coherent excitation of a T2g phonon mode launched by on-site d-d electronic transitions. Key to our observations is the ability to target site-specific electronic excitations in spinel Co3O4 using ultrafast optical pulses, while monitoring the ensuing low-energy collective modes through the coherent time-domain response of the material. Our approach, which combines the comparative analysis of experimental fingerprints with the support from density functional theory calculations, is broadly applicable to systems in which Jahn–Teller polaron physics has been theoretically predicted but remains experimentally unverified, and it underscores the potential of electronic-state targeting as a route to selectively excite and probe quasiparticle dynamics in solids.</w:t>
      </w:r>
    </w:p>
    <w:p>
      <w:pPr>
        <w:spacing w:before="120" w:after="120"/>
      </w:pPr>
      <w:r>
        <w:rPr>
          <w:sz w:val="18"/>
        </w:rPr>
        <w:t>——————————————————————————————————————————————————————————————————————</w:t>
      </w:r>
    </w:p>
    <w:p>
      <w:pPr>
        <w:spacing w:before="160" w:after="40" w:line="240" w:lineRule="auto"/>
      </w:pPr>
      <w:r>
        <w:rPr>
          <w:b/>
        </w:rPr>
        <w:t xml:space="preserve">[411] </w:t>
      </w:r>
      <w:hyperlink r:id="rId990">
        <w:r>
          <w:rPr>
            <w:color w:val="1155CC"/>
            <w:u w:val="single"/>
          </w:rPr>
          <w:t>[ASAP] 使用支持的电催化剂生产的高纯度环氧乙烷流</w:t>
        </w:r>
      </w:hyperlink>
    </w:p>
    <w:p>
      <w:pPr>
        <w:spacing w:before="0" w:after="80"/>
      </w:pPr>
      <w:r>
        <w:rPr>
          <w:i/>
          <w:sz w:val="20"/>
        </w:rPr>
        <w:t>EN: [ASAP] A High-Purity Ethylene Epoxide Stream Produced Using a Supported Electrocatalyst</w:t>
      </w:r>
    </w:p>
    <w:p>
      <w:pPr>
        <w:spacing w:before="0" w:after="120"/>
      </w:pPr>
      <w:r>
        <w:rPr>
          <w:b/>
        </w:rPr>
        <w:t xml:space="preserve">Source: </w:t>
      </w:r>
      <w:r>
        <w:t>Journal of the American Chemical Society: Latest Articles (ACS Publications)</w:t>
      </w:r>
      <w:r>
        <w:t xml:space="preserve">    </w:t>
      </w:r>
      <w:r>
        <w:rPr>
          <w:b/>
        </w:rPr>
        <w:t xml:space="preserve">Pub date: </w:t>
      </w:r>
      <w:r>
        <w:t>2026-04-01 18:59:58+00:00</w:t>
      </w:r>
      <w:r>
        <w:t xml:space="preserve">    </w:t>
      </w:r>
      <w:r>
        <w:rPr>
          <w:b/>
        </w:rPr>
        <w:t xml:space="preserve">DOI: </w:t>
      </w:r>
      <w:hyperlink r:id="rId991">
        <w:r>
          <w:rPr>
            <w:color w:val="1155CC"/>
            <w:u w:val="single"/>
          </w:rPr>
          <w:t>10.1021/jacs.5c17562</w:t>
        </w:r>
      </w:hyperlink>
    </w:p>
    <w:p>
      <w:pPr>
        <w:spacing w:before="0" w:after="120"/>
      </w:pPr>
      <w:r>
        <w:rPr>
          <w:b/>
        </w:rPr>
        <w:t xml:space="preserve">Notes: </w:t>
      </w:r>
      <w:r>
        <w:t>abstract_source=openalex</w:t>
      </w:r>
    </w:p>
    <w:p>
      <w:pPr>
        <w:spacing w:before="0" w:after="80" w:lineRule="auto" w:line="276"/>
      </w:pPr>
      <w:r>
        <w:rPr>
          <w:b/>
        </w:rPr>
        <w:t xml:space="preserve">摘要（ZH）: </w:t>
      </w:r>
      <w:r>
        <w:t>对环氧乙烷（EO）─一种塑料化学构建块─的需求超过30百万吨/年。迄今为止，乙烯电合成EO在最高活性报告中依赖于氧化还原介导的方法；这些方法导致氯化有机副产物和由于均相电化学导致的溶剂稀释而产生的高产品分离成本。直接电氧化环氧化反应在较高过电位下被氧气析出反应（OER）超越，导致EO的法拉第效率在超过10 mA/cm2时降至50%以下。我们注意到OER和乙烯氧化对表面吸附氧（M-O*）有共同的依赖性，并且在铂族金属中，较强的M-O*键增强了OER相对于环氧化反应的动力学。因此，我们考虑了催化剂，例如A。</w:t>
      </w:r>
    </w:p>
    <w:p>
      <w:pPr>
        <w:spacing w:before="0" w:after="200" w:lineRule="auto" w:line="276"/>
      </w:pPr>
      <w:r>
        <w:rPr>
          <w:b/>
        </w:rPr>
        <w:t xml:space="preserve">Abstract (EN): </w:t>
      </w:r>
      <w:r>
        <w:t>Demand for ethylene oxide (EO)─a chemical building block for plastics─exceeds 30 Mt/year. Electrosynthesis of EO from ethylene has, in the highest-activity reports to date, relied on redox-mediated approaches; these lead to chlorinated organic byproducts and high product separation costs due to dilution in solvents as a result of homogeneous electrochemistry. Direct electro-epoxidation is outcompeted by the oxygen evolution reaction (OER) at higher overpotential, causing faradaic efficiencies for EO to drop below 50% above 10 mA/cm2. We noted that the OER and ethylene oxidation share a common dependency on surface-adsorbed oxygen (M-O*), and that in Pt group metals, the stronger M-O* bonds enhance the kinetics of the OER relative to epoxidation. We therefore considered catalysts, such as Ag, having a less-strongly bound M-O* intermediate. Unfortunately, we found that Ag dissolved easily under anodic bias and that the oxidized Ag surface at a high oxidation state favors the overoxidation to CO2. We then aimed to leverage metal–support interactions, with our goal being to render the Ag more stable while in its higher oxidation state. An Ag-ZrO2 catalyst synthesized from a MOF template coupled with the MEA-PTFE system achieves 50% FE for ethylene oxide at 50 mA/cm2, with a productivity of 460 μmol cm–2 h–1. The use of a hydrophilic PTFE separator minimizes system resistance, EO crossover, and hydrolysis, enabling an EO concentration of 48 wt % in the outlet stream at a full cell voltage of 2.1 V in electrolysis paired with HER.</w:t>
      </w:r>
    </w:p>
    <w:p>
      <w:pPr>
        <w:spacing w:before="120" w:after="120"/>
      </w:pPr>
      <w:r>
        <w:rPr>
          <w:sz w:val="18"/>
        </w:rPr>
        <w:t>——————————————————————————————————————————————————————————————————————</w:t>
      </w:r>
    </w:p>
    <w:p>
      <w:pPr>
        <w:spacing w:before="160" w:after="40" w:line="240" w:lineRule="auto"/>
      </w:pPr>
      <w:r>
        <w:rPr>
          <w:b/>
        </w:rPr>
        <w:t xml:space="preserve">[412] </w:t>
      </w:r>
      <w:hyperlink r:id="rId992">
        <w:r>
          <w:rPr>
            <w:color w:val="1155CC"/>
            <w:u w:val="single"/>
          </w:rPr>
          <w:t>[ASAP] 寻找核心-壳层Au-Pd纳米粒子光电极上等离子体热载流子驱动的乙醇氧化光催化的证据</w:t>
        </w:r>
      </w:hyperlink>
    </w:p>
    <w:p>
      <w:pPr>
        <w:spacing w:before="0" w:after="80"/>
      </w:pPr>
      <w:r>
        <w:rPr>
          <w:i/>
          <w:sz w:val="20"/>
        </w:rPr>
        <w:t>EN: [ASAP] Searching for Evidence of Plasmonic Hot Carrier-Driven Photocatalysis for Ethanol Oxidation on Core–Shell Au–Pd Nanoparticle Photoelectrodes</w:t>
      </w:r>
    </w:p>
    <w:p>
      <w:pPr>
        <w:spacing w:before="0" w:after="120"/>
      </w:pPr>
      <w:r>
        <w:rPr>
          <w:b/>
        </w:rPr>
        <w:t xml:space="preserve">Source: </w:t>
      </w:r>
      <w:r>
        <w:t>Journal of the American Chemical Society: Latest Articles (ACS Publications)</w:t>
      </w:r>
      <w:r>
        <w:t xml:space="preserve">    </w:t>
      </w:r>
      <w:r>
        <w:rPr>
          <w:b/>
        </w:rPr>
        <w:t xml:space="preserve">Pub date: </w:t>
      </w:r>
      <w:r>
        <w:t>2026-04-01 19:28:54+00:00</w:t>
      </w:r>
      <w:r>
        <w:t xml:space="preserve">    </w:t>
      </w:r>
      <w:r>
        <w:rPr>
          <w:b/>
        </w:rPr>
        <w:t xml:space="preserve">DOI: </w:t>
      </w:r>
      <w:hyperlink r:id="rId993">
        <w:r>
          <w:rPr>
            <w:color w:val="1155CC"/>
            <w:u w:val="single"/>
          </w:rPr>
          <w:t>10.1021/jacs.5c21370</w:t>
        </w:r>
      </w:hyperlink>
    </w:p>
    <w:p>
      <w:pPr>
        <w:spacing w:before="0" w:after="120"/>
      </w:pPr>
      <w:r>
        <w:rPr>
          <w:b/>
        </w:rPr>
        <w:t xml:space="preserve">Notes: </w:t>
      </w:r>
      <w:r>
        <w:t>abstract_source=pubmed</w:t>
      </w:r>
    </w:p>
    <w:p>
      <w:pPr>
        <w:spacing w:before="0" w:after="80" w:lineRule="auto" w:line="276"/>
      </w:pPr>
      <w:r>
        <w:rPr>
          <w:b/>
        </w:rPr>
        <w:t xml:space="preserve">摘要（ZH）: </w:t>
      </w:r>
      <w:r>
        <w:t>制备了等离子体Au-Pd核壳纳米粒子薄膜，以表征等离子体热载流子驱动的乙醇氧化。使用超快瞬态吸收光谱和光调制循环伏安法评估光-物质相互作用及光催化动力学和性能。越来越厚的Pd壳层淬灭了激发态，催化光电流显著下降。鉴于激发态淬灭通常归因于热载流子的产生/转移，光电流的下降是意料之外的。分析光电流动力学，Au-Pd核壳样品表现出热波形，表明存在等离子体光热机制。最终，我们发现该系统中的光催化更好地通过简单的阿伦尼乌斯增强来解释</w:t>
      </w:r>
    </w:p>
    <w:p>
      <w:pPr>
        <w:spacing w:before="0" w:after="200" w:lineRule="auto" w:line="276"/>
      </w:pPr>
      <w:r>
        <w:rPr>
          <w:b/>
        </w:rPr>
        <w:t xml:space="preserve">Abstract (EN): </w:t>
      </w:r>
      <w:r>
        <w:t>Plasmonic Au-Pd core-shell nanoparticle films were made to characterize plasmonic hot carrier-driven ethanol oxidation. Ultrafast transient absorption spectroscopy and photomodulated cyclic voltammetry were used to evaluate light-matter interaction and photocatalytic dynamics and performance. Increasingly thicker Pd shells quenched the excited state and catalytic photocurrent decreased substantially. Given that excited state quenching is generally ascribed to the creation/transfer of hot carriers, the decline in photocurrent was unexpected. Analyzing the photocurrent dynamics, the Au-Pd core-shell samples exhibited a thermal waveform, indicative of a plasmonic photothermal mechanism. Ultimately, we find photocatalysis in this system is better explained by simple Arrhenius enhancement of the dark current by plasmonic photothermal heating, rather than hot carrier-driven redox chemistry. Attenuated photocurrent upon addition of Pd is attributed as the indirect result of the dark current itself decreasing. For each sample, the photocurrent reflected an Arrhenius thermal enhancement corresponding to a temperature increase of +0.2 K (for 500 ms illumination). The prevalence of photothermal photocurrent and the samples having the same thermal outcome suggest that hot carriers, if created, overwhelmingly recombine to produce heat. Results here might offer insight into other plasmonic systems, especially where the photocurrent or photoproduct exhibits a photothermal waveform.</w:t>
      </w:r>
    </w:p>
    <w:p>
      <w:pPr>
        <w:spacing w:before="120" w:after="120"/>
      </w:pPr>
      <w:r>
        <w:rPr>
          <w:sz w:val="18"/>
        </w:rPr>
        <w:t>——————————————————————————————————————————————————————————————————————</w:t>
      </w:r>
    </w:p>
    <w:p>
      <w:pPr>
        <w:spacing w:before="160" w:after="40" w:line="240" w:lineRule="auto"/>
      </w:pPr>
      <w:r>
        <w:rPr>
          <w:b/>
        </w:rPr>
        <w:t xml:space="preserve">[413] </w:t>
      </w:r>
      <w:hyperlink r:id="rId994">
        <w:r>
          <w:rPr>
            <w:color w:val="1155CC"/>
            <w:u w:val="single"/>
          </w:rPr>
          <w:t>超分子排除体积效应驱动高性能和超耐久的湿度发电用于交互式传感</w:t>
        </w:r>
      </w:hyperlink>
    </w:p>
    <w:p>
      <w:pPr>
        <w:spacing w:before="0" w:after="80"/>
      </w:pPr>
      <w:r>
        <w:rPr>
          <w:i/>
          <w:sz w:val="20"/>
        </w:rPr>
        <w:t>EN: Supramolecular Excluded-Volume Effect Drives High Performance and Ultra-Durable Moisture Power Generation for Interactive Sensing</w:t>
      </w:r>
    </w:p>
    <w:p>
      <w:pPr>
        <w:spacing w:before="0" w:after="120"/>
      </w:pPr>
      <w:r>
        <w:rPr>
          <w:b/>
        </w:rPr>
        <w:t xml:space="preserve">Source: </w:t>
      </w:r>
      <w:r>
        <w:t>RSC - Energy Environ. Sci. latest articles</w:t>
      </w:r>
      <w:r>
        <w:t xml:space="preserve">    </w:t>
      </w:r>
      <w:r>
        <w:rPr>
          <w:b/>
        </w:rPr>
        <w:t xml:space="preserve">Pub date: </w:t>
      </w:r>
      <w:r>
        <w:t>2026-04-01 23:00:00+00:00</w:t>
      </w:r>
    </w:p>
    <w:p>
      <w:pPr>
        <w:spacing w:before="0" w:after="120"/>
      </w:pPr>
      <w:r>
        <w:rPr>
          <w:b/>
        </w:rPr>
        <w:t xml:space="preserve">Notes: </w:t>
      </w:r>
      <w:r>
        <w:t>abstract_source=rsc_html</w:t>
      </w:r>
    </w:p>
    <w:p>
      <w:pPr>
        <w:spacing w:before="0" w:after="80" w:lineRule="auto" w:line="276"/>
      </w:pPr>
      <w:r>
        <w:rPr>
          <w:b/>
        </w:rPr>
        <w:t xml:space="preserve">摘要（ZH）: </w:t>
      </w:r>
      <w:r>
        <w:t>柔性电子产品的快速普及需要开发能够持续输出的高功率、自供电系统。湿度发电机（MEGs）可以从无处不在的大气湿度中收集能量，提供绿色和可再生的能源。然而，目前的MEGs在电流密度和操作寿命方面仍然面临限制。在这项研究中，我们在水凝胶中设计了超分子结构，以引发排除体积效应，破坏锂离子的溶剂化壳。通过增强离子解离、增加阳离子选择性和提高结合水的比例，这种设计促进了快速阳离子传输和水梯度的长期保持。因此，MEG单元实现了开路电压</w:t>
      </w:r>
    </w:p>
    <w:p>
      <w:pPr>
        <w:spacing w:before="0" w:after="200" w:lineRule="auto" w:line="276"/>
      </w:pPr>
      <w:r>
        <w:rPr>
          <w:b/>
        </w:rPr>
        <w:t xml:space="preserve">Abstract (EN): </w:t>
      </w:r>
      <w:r>
        <w:t>The rapid proliferation of flexible electronics requires the development of high-power, self-powered systems capable of continuous output. Moisture-electric generators (MEGs) can harvest energy from ubiquitous atmospheric moisture, offering a green and renewable energy source. However, current MEGs still face limitations in terms of current density and operational lifetime. In this study, we engineered supramolecular structures within the hydrogel to induce excluded-volume effects that disrupt the solvation shell of Lithium ions. By enhancing ion dissociation, increasing cation selectivity, and raising the proportion of bound water, this design facilitates rapid cation transport and the long-term preservation of the water gradient. Consequently, the MEG unit achieved an open-circuit voltage of 1.23 V, a power density of 65.3 μW cm-2, and a short-circuit current of 1.06 mA cm-2. The current density is an order of magnitude higher than that of most reported MEGs. The MEG unit can operate continuously with 0.35 mA cm-2 for over 500 hours. More importantly, the MEG arrays configured in series and parallel have been shown to power commercial sensors and to enable contact-based human-machine interaction. This work highlights advancements in high-performance MEGs and their applications in sensing, paving the way for their integration with flexible electronics.</w:t>
      </w:r>
    </w:p>
    <w:p>
      <w:pPr>
        <w:spacing w:before="120" w:after="120"/>
      </w:pPr>
      <w:r>
        <w:rPr>
          <w:sz w:val="18"/>
        </w:rPr>
        <w:t>——————————————————————————————————————————————————————————————————————</w:t>
      </w:r>
    </w:p>
    <w:p>
      <w:pPr>
        <w:spacing w:before="160" w:after="40" w:line="240" w:lineRule="auto"/>
      </w:pPr>
      <w:r>
        <w:rPr>
          <w:b/>
        </w:rPr>
        <w:t xml:space="preserve">[414] </w:t>
      </w:r>
      <w:hyperlink r:id="rId995">
        <w:r>
          <w:rPr>
            <w:color w:val="1155CC"/>
            <w:u w:val="single"/>
          </w:rPr>
          <w:t>金属有机框架中的动态界面</w:t>
        </w:r>
      </w:hyperlink>
    </w:p>
    <w:p>
      <w:pPr>
        <w:spacing w:before="0" w:after="80"/>
      </w:pPr>
      <w:r>
        <w:rPr>
          <w:i/>
          <w:sz w:val="20"/>
        </w:rPr>
        <w:t>EN: Dynamic interfaces in metal–organic frameworks</w:t>
      </w:r>
    </w:p>
    <w:p>
      <w:pPr>
        <w:spacing w:before="0" w:after="120"/>
      </w:pPr>
      <w:r>
        <w:rPr>
          <w:b/>
        </w:rPr>
        <w:t xml:space="preserve">Source: </w:t>
      </w:r>
      <w:r>
        <w:t>RSC - Chem. Soc. Rev. latest articles</w:t>
      </w:r>
      <w:r>
        <w:t xml:space="preserve">    </w:t>
      </w:r>
      <w:r>
        <w:rPr>
          <w:b/>
        </w:rPr>
        <w:t xml:space="preserve">Pub date: </w:t>
      </w:r>
      <w:r>
        <w:t>2026-04-01 23:00:00+00:00</w:t>
      </w:r>
    </w:p>
    <w:p>
      <w:pPr>
        <w:spacing w:before="0" w:after="120"/>
      </w:pPr>
      <w:r>
        <w:rPr>
          <w:b/>
        </w:rPr>
        <w:t xml:space="preserve">Notes: </w:t>
      </w:r>
      <w:r>
        <w:t>abstract_source=rsc_html</w:t>
      </w:r>
    </w:p>
    <w:p>
      <w:pPr>
        <w:spacing w:before="0" w:after="80" w:lineRule="auto" w:line="276"/>
      </w:pPr>
      <w:r>
        <w:rPr>
          <w:b/>
        </w:rPr>
        <w:t xml:space="preserve">摘要（ZH）: </w:t>
      </w:r>
      <w:r>
        <w:t>金属有机框架（MOFs）的动态界面行为是其结构适应性和功能响应性的核心。本综述系统总结了MOFs中三种类型界面的动态特性和调控机制，包括无机次级构筑单元（SBU）界面、有机配体界面和扩展框架界面。与基于宏观现象的传统分类不同，“动态界面”范式提供了更为基础的见解：通过将宏观响应与特定界面上的键断裂/重组事件联系起来进行解密，并通过编程界面参数实现定量控制——超越了试错法，走向理性设计。在SBU界面</w:t>
      </w:r>
    </w:p>
    <w:p>
      <w:pPr>
        <w:spacing w:before="0" w:after="200" w:lineRule="auto" w:line="276"/>
      </w:pPr>
      <w:r>
        <w:rPr>
          <w:b/>
        </w:rPr>
        <w:t xml:space="preserve">Abstract (EN): </w:t>
      </w:r>
      <w:r>
        <w:t>The dynamic interfacial behavior of metal–organic frameworks (MOFs) lies at the heart of their structural adaptability and functional responsiveness. This review systematically summarizes the dynamic characteristics and regulation mechanisms of three types of interfaces in MOFs, including inorganic secondary building unit (SBU) interfaces, organic ligand interfaces, and extended framework interfaces. Unlike traditional classifications based on macroscopic phenomena, the “dynamic interface” paradigm offers a more fundamental insight: it demystifies macroscopic responses by linking them to specific bond-breaking/reforming events at defined interfaces and enables quantitative control by programming interface parameters—moving beyond trial-and-error towards rational design. At the SBU interface, dynamics are manifested as local oscillations of metal nodes, metal displacement, formation and modification of open metal sites (OMSs), as well as short-range coordinative extension to enable sequential multi-guest binding at single metal sites and long-range bridging to construct cooperative interfacial networks across adjacent SBUs. At the ligand interface, dynamic behaviors include conformational changes of ligands, ligand displacement, generation of open ligand sites (OLSs) and post-synthetic modification, together with short-range coordinative extension via pendant functional groups for site-isolated metal anchoring and long-range hydrogen-bond-mediated epitaxial coordination for accommodating bulky guests. At the framework level, dynamics are expressed through crystal growth and topological transformation, atomic-precision defect engineering, controlled chemical etching for hierarchical porosity, and stimuli-induced framework degradation enabling phase transformation, as well as the construction of MOF-on-MOF heterostructures via epitaxial growth. These dynamic processes all originate from the reversible breaking and re-formation of versatile coordination bonds under external stimuli such as light, heat, solvents, pressure, and electric fields, endowing MOFs with broad application potential in adsorption, separation, catalysis, sensing, and beyond. By integrating key recent advances, this review presents a paradigm shift in the understanding of MOFs, moving beyond their traditional perception as static porous materials to focus on their dynamic interfaces as the central determinant of functionality.</w:t>
      </w:r>
    </w:p>
    <w:p>
      <w:pPr>
        <w:spacing w:before="120" w:after="120"/>
      </w:pPr>
      <w:r>
        <w:rPr>
          <w:sz w:val="18"/>
        </w:rPr>
        <w:t>——————————————————————————————————————————————————————————————————————</w:t>
      </w:r>
    </w:p>
    <w:p>
      <w:pPr>
        <w:spacing w:before="160" w:after="40" w:line="240" w:lineRule="auto"/>
      </w:pPr>
      <w:r>
        <w:rPr>
          <w:b/>
        </w:rPr>
        <w:t xml:space="preserve">[415] </w:t>
      </w:r>
      <w:hyperlink r:id="rId996">
        <w:r>
          <w:rPr>
            <w:color w:val="1155CC"/>
            <w:u w:val="single"/>
          </w:rPr>
          <w:t>由3d铁族金属催化的自旋影响有机反应的计算机制</w:t>
        </w:r>
      </w:hyperlink>
    </w:p>
    <w:p>
      <w:pPr>
        <w:spacing w:before="0" w:after="80"/>
      </w:pPr>
      <w:r>
        <w:rPr>
          <w:i/>
          <w:sz w:val="20"/>
        </w:rPr>
        <w:t>EN: Computational mechanisms of spin-influenced organic reactions catalyzed by 3d iron-group metals</w:t>
      </w:r>
    </w:p>
    <w:p>
      <w:pPr>
        <w:spacing w:before="0" w:after="120"/>
      </w:pPr>
      <w:r>
        <w:rPr>
          <w:b/>
        </w:rPr>
        <w:t xml:space="preserve">Source: </w:t>
      </w:r>
      <w:r>
        <w:t>RSC - Chem. Soc. Rev. latest articles</w:t>
      </w:r>
      <w:r>
        <w:t xml:space="preserve">    </w:t>
      </w:r>
      <w:r>
        <w:rPr>
          <w:b/>
        </w:rPr>
        <w:t xml:space="preserve">Pub date: </w:t>
      </w:r>
      <w:r>
        <w:t>2026-04-01 23:00:00+00:00</w:t>
      </w:r>
    </w:p>
    <w:p>
      <w:pPr>
        <w:spacing w:before="0" w:after="120"/>
      </w:pPr>
      <w:r>
        <w:rPr>
          <w:b/>
        </w:rPr>
        <w:t xml:space="preserve">Notes: </w:t>
      </w:r>
      <w:r>
        <w:t>abstract_source=rsc_html</w:t>
      </w:r>
    </w:p>
    <w:p>
      <w:pPr>
        <w:spacing w:before="0" w:after="80" w:lineRule="auto" w:line="276"/>
      </w:pPr>
      <w:r>
        <w:rPr>
          <w:b/>
        </w:rPr>
        <w:t xml:space="preserve">摘要（ZH）: </w:t>
      </w:r>
      <w:r>
        <w:t>3d铁族过渡金属配合物的不同自旋态提供了一种可能克服传统闭壳催化系统局限性的变革性策略。然而，捕捉高活性中间体并阐明其电子结构（如自旋态）面临重大挑战。理论计算显示，在定位短寿命中间体和评估自旋态以发现反应机制方面具有优势。本综述提供了关于自旋影响机制的计算见解，重点关注C–H键活化和烯烃转化。内容主要包括基本原理、计算方法以及自旋影响机制的最新进展，包括单核和双核金属配合物催化反应。</w:t>
      </w:r>
    </w:p>
    <w:p>
      <w:pPr>
        <w:spacing w:before="0" w:after="200" w:lineRule="auto" w:line="276"/>
      </w:pPr>
      <w:r>
        <w:rPr>
          <w:b/>
        </w:rPr>
        <w:t xml:space="preserve">Abstract (EN): </w:t>
      </w:r>
      <w:r>
        <w:t>Different spin states of 3d iron-group transition metal complexes provide a transformative strategy that may overcome the limitations of conventional closed-shell catalytic systems. However, capturing highly reactive intermediates and elucidating their electronic structures like spin states encounter significant challenges. Theoretical calculations demonstrate advantages in locating short life-time intermediates and evaluating spin states to discover reaction mechanisms. This review provides computational insights into spin-influenced mechanisms, focusing on C–H bond activation and alkene transformations. The content primarily encompasses basic principles, computational methods, and recent advancements in spin influenced mechanisms including mono- and binuclear metal complex catalyzed reactions. Through recent computational advancements in spin influenced mechanisms by 3d iron-group transition metal catalysts, we aim to inspire further progress and useful applications in this emerging field.</w:t>
      </w:r>
    </w:p>
    <w:p>
      <w:pPr>
        <w:spacing w:before="120" w:after="120"/>
      </w:pPr>
      <w:r>
        <w:rPr>
          <w:sz w:val="18"/>
        </w:rPr>
        <w:t>——————————————————————————————————————————————————————————————————————</w:t>
      </w:r>
    </w:p>
    <w:p>
      <w:pPr>
        <w:spacing w:before="160" w:after="40" w:line="240" w:lineRule="auto"/>
      </w:pPr>
      <w:r>
        <w:rPr>
          <w:b/>
        </w:rPr>
        <w:t xml:space="preserve">[416] </w:t>
      </w:r>
      <w:hyperlink r:id="rId997">
        <w:r>
          <w:rPr>
            <w:color w:val="1155CC"/>
            <w:u w:val="single"/>
          </w:rPr>
          <w:t>拖延症如何剥夺你在科学领域的职业成就感</w:t>
        </w:r>
      </w:hyperlink>
    </w:p>
    <w:p>
      <w:pPr>
        <w:spacing w:before="0" w:after="80"/>
      </w:pPr>
      <w:r>
        <w:rPr>
          <w:i/>
          <w:sz w:val="20"/>
        </w:rPr>
        <w:t>EN: How procrastination can rob you of career fulfilment in science</w:t>
      </w:r>
    </w:p>
    <w:p>
      <w:pPr>
        <w:spacing w:before="0" w:after="120"/>
      </w:pPr>
      <w:r>
        <w:rPr>
          <w:b/>
        </w:rPr>
        <w:t xml:space="preserve">Source: </w:t>
      </w:r>
      <w:r>
        <w:t>Nature</w:t>
      </w:r>
      <w:r>
        <w:t xml:space="preserve">    </w:t>
      </w:r>
      <w:r>
        <w:rPr>
          <w:b/>
        </w:rPr>
        <w:t xml:space="preserve">Pub date: </w:t>
      </w:r>
      <w:r>
        <w:t>2026-04-02 00:00:00+00:00</w:t>
      </w:r>
      <w:r>
        <w:t xml:space="preserve">    </w:t>
      </w:r>
      <w:r>
        <w:rPr>
          <w:b/>
        </w:rPr>
        <w:t xml:space="preserve">DOI: </w:t>
      </w:r>
      <w:hyperlink r:id="rId998">
        <w:r>
          <w:rPr>
            <w:color w:val="1155CC"/>
            <w:u w:val="single"/>
          </w:rPr>
          <w:t>10.1038/d41586-026-00551-7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[417] </w:t>
      </w:r>
      <w:hyperlink r:id="rId999">
        <w:r>
          <w:rPr>
            <w:color w:val="1155CC"/>
            <w:u w:val="single"/>
          </w:rPr>
          <w:t>透明同行评审的选项</w:t>
        </w:r>
      </w:hyperlink>
    </w:p>
    <w:p>
      <w:pPr>
        <w:spacing w:before="0" w:after="80"/>
      </w:pPr>
      <w:r>
        <w:rPr>
          <w:i/>
          <w:sz w:val="20"/>
        </w:rPr>
        <w:t>EN: Option for transparent peer review</w:t>
      </w:r>
    </w:p>
    <w:p>
      <w:pPr>
        <w:spacing w:before="0" w:after="120"/>
      </w:pPr>
      <w:r>
        <w:rPr>
          <w:b/>
        </w:rPr>
        <w:t xml:space="preserve">Source: </w:t>
      </w:r>
      <w:r>
        <w:t>Nature Materials</w:t>
      </w:r>
      <w:r>
        <w:t xml:space="preserve">    </w:t>
      </w:r>
      <w:r>
        <w:rPr>
          <w:b/>
        </w:rPr>
        <w:t xml:space="preserve">Pub date: </w:t>
      </w:r>
      <w:r>
        <w:t>2026-04-02 00:00:00+00:00</w:t>
      </w:r>
      <w:r>
        <w:t xml:space="preserve">    </w:t>
      </w:r>
      <w:r>
        <w:rPr>
          <w:b/>
        </w:rPr>
        <w:t xml:space="preserve">DOI: </w:t>
      </w:r>
      <w:hyperlink r:id="rId1000">
        <w:r>
          <w:rPr>
            <w:color w:val="1155CC"/>
            <w:u w:val="single"/>
          </w:rPr>
          <w:t>10.1038/s41563-026-02584-9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[418] </w:t>
      </w:r>
      <w:hyperlink r:id="rId1001">
        <w:r>
          <w:rPr>
            <w:color w:val="1155CC"/>
            <w:u w:val="single"/>
          </w:rPr>
          <w:t>主动电网投资使V2G在城市地区实现100%电动汽车采用</w:t>
        </w:r>
      </w:hyperlink>
    </w:p>
    <w:p>
      <w:pPr>
        <w:spacing w:before="0" w:after="80"/>
      </w:pPr>
      <w:r>
        <w:rPr>
          <w:i/>
          <w:sz w:val="20"/>
        </w:rPr>
        <w:t>EN: Proactive grid investment enables V2G for 100% adoption of electric vehicles in urban areas</w:t>
      </w:r>
    </w:p>
    <w:p>
      <w:pPr>
        <w:spacing w:before="0" w:after="120"/>
      </w:pPr>
      <w:r>
        <w:rPr>
          <w:b/>
        </w:rPr>
        <w:t xml:space="preserve">Source: </w:t>
      </w:r>
      <w:r>
        <w:t>Joule</w:t>
      </w:r>
      <w:r>
        <w:t xml:space="preserve">    </w:t>
      </w:r>
      <w:r>
        <w:rPr>
          <w:b/>
        </w:rPr>
        <w:t xml:space="preserve">Pub date: </w:t>
      </w:r>
      <w:r>
        <w:t>2026-04-02 00:00:00+00:00</w:t>
      </w:r>
      <w:r>
        <w:t xml:space="preserve">    </w:t>
      </w:r>
      <w:r>
        <w:rPr>
          <w:b/>
        </w:rPr>
        <w:t xml:space="preserve">DOI: </w:t>
      </w:r>
      <w:hyperlink r:id="rId1002">
        <w:r>
          <w:rPr>
            <w:color w:val="1155CC"/>
            <w:u w:val="single"/>
          </w:rPr>
          <w:t>10.1016/j.joule.2026.102393</w:t>
        </w:r>
      </w:hyperlink>
    </w:p>
    <w:p>
      <w:pPr>
        <w:spacing w:before="0" w:after="120"/>
      </w:pPr>
      <w:r>
        <w:rPr>
          <w:b/>
        </w:rPr>
        <w:t xml:space="preserve">Notes: </w:t>
      </w:r>
      <w:r>
        <w:t>abstract_source=rss_cell</w:t>
      </w:r>
    </w:p>
    <w:p>
      <w:pPr>
        <w:spacing w:before="0" w:after="80" w:lineRule="auto" w:line="276"/>
      </w:pPr>
      <w:r>
        <w:rPr>
          <w:b/>
        </w:rPr>
        <w:t xml:space="preserve">摘要（ZH）: </w:t>
      </w:r>
      <w:r>
        <w:t>城市地区轻型车辆的深度电气化将对电网造成显著压力。车网互动可以缓解部分负担，但作为单一解决方案是不够的。更有效的途径是提前升级电网基础设施，然后分阶段引入车网互动，同时通过参与各种电网服务使电动车辆获得收入。</w:t>
      </w:r>
    </w:p>
    <w:p>
      <w:pPr>
        <w:spacing w:before="0" w:after="200" w:lineRule="auto" w:line="276"/>
      </w:pPr>
      <w:r>
        <w:rPr>
          <w:b/>
        </w:rPr>
        <w:t xml:space="preserve">Abstract (EN): </w:t>
      </w:r>
      <w:r>
        <w:t>Deep electrification of light-duty vehicles in urban areas will put significant stress on the power grid. Vehicle-to-grid can alleviate part of this burden, yet it is insufficient as a standalone remedy. A more effective pathway is to upgrade grid infrastructure in advance, then introduce vehicle-to-grid in stages, while enabling electric vehicles to earn revenues by participating in a range of grid services.</w:t>
      </w:r>
    </w:p>
    <w:p>
      <w:pPr>
        <w:spacing w:before="120" w:after="120"/>
      </w:pPr>
      <w:r>
        <w:rPr>
          <w:sz w:val="18"/>
        </w:rPr>
        <w:t>——————————————————————————————————————————————————————————————————————</w:t>
      </w:r>
    </w:p>
    <w:p>
      <w:pPr>
        <w:spacing w:before="160" w:after="40" w:line="240" w:lineRule="auto"/>
      </w:pPr>
      <w:r>
        <w:rPr>
          <w:b/>
        </w:rPr>
        <w:t xml:space="preserve">[419] </w:t>
      </w:r>
      <w:hyperlink r:id="rId1003">
        <w:r>
          <w:rPr>
            <w:color w:val="1155CC"/>
            <w:u w:val="single"/>
          </w:rPr>
          <w:t>中年定期体育活动可降低早逝风险</w:t>
        </w:r>
      </w:hyperlink>
    </w:p>
    <w:p>
      <w:pPr>
        <w:spacing w:before="0" w:after="80"/>
      </w:pPr>
      <w:r>
        <w:rPr>
          <w:i/>
          <w:sz w:val="20"/>
        </w:rPr>
        <w:t>EN: Regular physical activity in midlife cuts risk of early death</w:t>
      </w:r>
    </w:p>
    <w:p>
      <w:pPr>
        <w:spacing w:before="0" w:after="120"/>
      </w:pPr>
      <w:r>
        <w:rPr>
          <w:b/>
        </w:rPr>
        <w:t xml:space="preserve">Source: </w:t>
      </w:r>
      <w:r>
        <w:t>Nature</w:t>
      </w:r>
      <w:r>
        <w:t xml:space="preserve">    </w:t>
      </w:r>
      <w:r>
        <w:rPr>
          <w:b/>
        </w:rPr>
        <w:t xml:space="preserve">Pub date: </w:t>
      </w:r>
      <w:r>
        <w:t>2026-04-02 00:00:00+00:00</w:t>
      </w:r>
      <w:r>
        <w:t xml:space="preserve">    </w:t>
      </w:r>
      <w:r>
        <w:rPr>
          <w:b/>
        </w:rPr>
        <w:t xml:space="preserve">DOI: </w:t>
      </w:r>
      <w:hyperlink r:id="rId1004">
        <w:r>
          <w:rPr>
            <w:color w:val="1155CC"/>
            <w:u w:val="single"/>
          </w:rPr>
          <w:t>10.1038/d41586-026-01000-1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[420] </w:t>
      </w:r>
      <w:hyperlink r:id="rId1005">
        <w:r>
          <w:rPr>
            <w:color w:val="1155CC"/>
            <w:u w:val="single"/>
          </w:rPr>
          <w:t>月球属于我们所有人——不仅仅是那些能负担得起到达它的国家</w:t>
        </w:r>
      </w:hyperlink>
    </w:p>
    <w:p>
      <w:pPr>
        <w:spacing w:before="0" w:after="80"/>
      </w:pPr>
      <w:r>
        <w:rPr>
          <w:i/>
          <w:sz w:val="20"/>
        </w:rPr>
        <w:t>EN: The Moon belongs to all of us — not just countries that can afford to reach it</w:t>
      </w:r>
    </w:p>
    <w:p>
      <w:pPr>
        <w:spacing w:before="0" w:after="120"/>
      </w:pPr>
      <w:r>
        <w:rPr>
          <w:b/>
        </w:rPr>
        <w:t xml:space="preserve">Source: </w:t>
      </w:r>
      <w:r>
        <w:t>Nature</w:t>
      </w:r>
      <w:r>
        <w:t xml:space="preserve">    </w:t>
      </w:r>
      <w:r>
        <w:rPr>
          <w:b/>
        </w:rPr>
        <w:t xml:space="preserve">Pub date: </w:t>
      </w:r>
      <w:r>
        <w:t>2026-04-02 00:00:00+00:00</w:t>
      </w:r>
      <w:r>
        <w:t xml:space="preserve">    </w:t>
      </w:r>
      <w:r>
        <w:rPr>
          <w:b/>
        </w:rPr>
        <w:t xml:space="preserve">DOI: </w:t>
      </w:r>
      <w:hyperlink r:id="rId1006">
        <w:r>
          <w:rPr>
            <w:color w:val="1155CC"/>
            <w:u w:val="single"/>
          </w:rPr>
          <w:t>10.1038/d41586-026-01051-4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[421] </w:t>
      </w:r>
      <w:hyperlink r:id="rId1007">
        <w:r>
          <w:rPr>
            <w:color w:val="1155CC"/>
            <w:u w:val="single"/>
          </w:rPr>
          <w:t>‘宝藏’抗病毒蛋白可能激发强大的分子工具</w:t>
        </w:r>
      </w:hyperlink>
    </w:p>
    <w:p>
      <w:pPr>
        <w:spacing w:before="0" w:after="80"/>
      </w:pPr>
      <w:r>
        <w:rPr>
          <w:i/>
          <w:sz w:val="20"/>
        </w:rPr>
        <w:t>EN: ‘Treasure trove’ of antiviral proteins could inspire powerful molecular tools</w:t>
      </w:r>
    </w:p>
    <w:p>
      <w:pPr>
        <w:spacing w:before="0" w:after="120"/>
      </w:pPr>
      <w:r>
        <w:rPr>
          <w:b/>
        </w:rPr>
        <w:t xml:space="preserve">Source: </w:t>
      </w:r>
      <w:r>
        <w:t>Nature</w:t>
      </w:r>
      <w:r>
        <w:t xml:space="preserve">    </w:t>
      </w:r>
      <w:r>
        <w:rPr>
          <w:b/>
        </w:rPr>
        <w:t xml:space="preserve">Pub date: </w:t>
      </w:r>
      <w:r>
        <w:t>2026-04-02 00:00:00+00:00</w:t>
      </w:r>
      <w:r>
        <w:t xml:space="preserve">    </w:t>
      </w:r>
      <w:r>
        <w:rPr>
          <w:b/>
        </w:rPr>
        <w:t xml:space="preserve">DOI: </w:t>
      </w:r>
      <w:hyperlink r:id="rId1008">
        <w:r>
          <w:rPr>
            <w:color w:val="1155CC"/>
            <w:u w:val="single"/>
          </w:rPr>
          <w:t>10.1038/d41586-026-01011-y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[422] </w:t>
      </w:r>
      <w:hyperlink r:id="rId1009">
        <w:r>
          <w:rPr>
            <w:color w:val="1155CC"/>
            <w:u w:val="single"/>
          </w:rPr>
          <w:t>‘这真是一个震惊’: 量子计算突破对网络安全构成迫在眉睫的风险</w:t>
        </w:r>
      </w:hyperlink>
    </w:p>
    <w:p>
      <w:pPr>
        <w:spacing w:before="0" w:after="80"/>
      </w:pPr>
      <w:r>
        <w:rPr>
          <w:i/>
          <w:sz w:val="20"/>
        </w:rPr>
        <w:t>EN: ‘It’s a real shock’: quantum-computing breakthroughs pose imminent risks to cybersecurity</w:t>
      </w:r>
    </w:p>
    <w:p>
      <w:pPr>
        <w:spacing w:before="0" w:after="120"/>
      </w:pPr>
      <w:r>
        <w:rPr>
          <w:b/>
        </w:rPr>
        <w:t xml:space="preserve">Source: </w:t>
      </w:r>
      <w:r>
        <w:t>Nature</w:t>
      </w:r>
      <w:r>
        <w:t xml:space="preserve">    </w:t>
      </w:r>
      <w:r>
        <w:rPr>
          <w:b/>
        </w:rPr>
        <w:t xml:space="preserve">Pub date: </w:t>
      </w:r>
      <w:r>
        <w:t>2026-04-02 00:00:00+00:00</w:t>
      </w:r>
      <w:r>
        <w:t xml:space="preserve">    </w:t>
      </w:r>
      <w:r>
        <w:rPr>
          <w:b/>
        </w:rPr>
        <w:t xml:space="preserve">DOI: </w:t>
      </w:r>
      <w:hyperlink r:id="rId1010">
        <w:r>
          <w:rPr>
            <w:color w:val="1155CC"/>
            <w:u w:val="single"/>
          </w:rPr>
          <w:t>10.1038/d41586-026-01054-1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[423] </w:t>
      </w:r>
      <w:hyperlink r:id="rId1011">
        <w:r>
          <w:rPr>
            <w:color w:val="1155CC"/>
            <w:u w:val="single"/>
          </w:rPr>
          <w:t>Artemis II准备就绪：人类在半个世纪后再次前往月球</w:t>
        </w:r>
      </w:hyperlink>
    </w:p>
    <w:p>
      <w:pPr>
        <w:spacing w:before="0" w:after="80"/>
      </w:pPr>
      <w:r>
        <w:rPr>
          <w:i/>
          <w:sz w:val="20"/>
        </w:rPr>
        <w:t>EN: Artemis II is go: humans head to the Moon after half-century absence</w:t>
      </w:r>
    </w:p>
    <w:p>
      <w:pPr>
        <w:spacing w:before="0" w:after="120"/>
      </w:pPr>
      <w:r>
        <w:rPr>
          <w:b/>
        </w:rPr>
        <w:t xml:space="preserve">Source: </w:t>
      </w:r>
      <w:r>
        <w:t>Nature</w:t>
      </w:r>
      <w:r>
        <w:t xml:space="preserve">    </w:t>
      </w:r>
      <w:r>
        <w:rPr>
          <w:b/>
        </w:rPr>
        <w:t xml:space="preserve">Pub date: </w:t>
      </w:r>
      <w:r>
        <w:t>2026-04-02 00:00:00+00:00</w:t>
      </w:r>
      <w:r>
        <w:t xml:space="preserve">    </w:t>
      </w:r>
      <w:r>
        <w:rPr>
          <w:b/>
        </w:rPr>
        <w:t xml:space="preserve">DOI: </w:t>
      </w:r>
      <w:hyperlink r:id="rId1012">
        <w:r>
          <w:rPr>
            <w:color w:val="1155CC"/>
            <w:u w:val="single"/>
          </w:rPr>
          <w:t>10.1038/d41586-026-01060-3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[424] </w:t>
      </w:r>
      <w:hyperlink r:id="rId1013">
        <w:r>
          <w:rPr>
            <w:color w:val="1155CC"/>
            <w:u w:val="single"/>
          </w:rPr>
          <w:t>3D小分子的混合合成</w:t>
        </w:r>
      </w:hyperlink>
    </w:p>
    <w:p>
      <w:pPr>
        <w:spacing w:before="0" w:after="80"/>
      </w:pPr>
      <w:r>
        <w:rPr>
          <w:i/>
          <w:sz w:val="20"/>
        </w:rPr>
        <w:t>EN: Mix-and-match synthesis of 3D small molecules</w:t>
      </w:r>
    </w:p>
    <w:p>
      <w:pPr>
        <w:spacing w:before="0" w:after="120"/>
      </w:pPr>
      <w:r>
        <w:rPr>
          <w:b/>
        </w:rPr>
        <w:t xml:space="preserve">Source: </w:t>
      </w:r>
      <w:r>
        <w:t>Nature</w:t>
      </w:r>
      <w:r>
        <w:t xml:space="preserve">    </w:t>
      </w:r>
      <w:r>
        <w:rPr>
          <w:b/>
        </w:rPr>
        <w:t xml:space="preserve">Pub date: </w:t>
      </w:r>
      <w:r>
        <w:t>2026-04-02 00:00:00+00:00</w:t>
      </w:r>
      <w:r>
        <w:t xml:space="preserve">    </w:t>
      </w:r>
      <w:r>
        <w:rPr>
          <w:b/>
        </w:rPr>
        <w:t xml:space="preserve">DOI: </w:t>
      </w:r>
      <w:hyperlink r:id="rId1014">
        <w:r>
          <w:rPr>
            <w:color w:val="1155CC"/>
            <w:u w:val="single"/>
          </w:rPr>
          <w:t>10.1038/d41586-026-00809-0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[425] </w:t>
      </w:r>
      <w:hyperlink r:id="rId1015">
        <w:r>
          <w:rPr>
            <w:color w:val="1155CC"/>
            <w:u w:val="single"/>
          </w:rPr>
          <w:t>突破性计算机芯片技术可能帮助满足由AI驱动的‘巨大需求’</w:t>
        </w:r>
      </w:hyperlink>
    </w:p>
    <w:p>
      <w:pPr>
        <w:spacing w:before="0" w:after="80"/>
      </w:pPr>
      <w:r>
        <w:rPr>
          <w:i/>
          <w:sz w:val="20"/>
        </w:rPr>
        <w:t>EN: Breakthrough computer chip tech could help meet ‘monumental demand’ driven by AI</w:t>
      </w:r>
    </w:p>
    <w:p>
      <w:pPr>
        <w:spacing w:before="0" w:after="120"/>
      </w:pPr>
      <w:r>
        <w:rPr>
          <w:b/>
        </w:rPr>
        <w:t xml:space="preserve">Source: </w:t>
      </w:r>
      <w:r>
        <w:t>Nature</w:t>
      </w:r>
      <w:r>
        <w:t xml:space="preserve">    </w:t>
      </w:r>
      <w:r>
        <w:rPr>
          <w:b/>
        </w:rPr>
        <w:t xml:space="preserve">Pub date: </w:t>
      </w:r>
      <w:r>
        <w:t>2026-04-02 00:00:00+00:00</w:t>
      </w:r>
      <w:r>
        <w:t xml:space="preserve">    </w:t>
      </w:r>
      <w:r>
        <w:rPr>
          <w:b/>
        </w:rPr>
        <w:t xml:space="preserve">DOI: </w:t>
      </w:r>
      <w:hyperlink r:id="rId1016">
        <w:r>
          <w:rPr>
            <w:color w:val="1155CC"/>
            <w:u w:val="single"/>
          </w:rPr>
          <w:t>10.1038/d41586-026-01050-5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[426] </w:t>
      </w:r>
      <w:hyperlink r:id="rId1017">
        <w:r>
          <w:rPr>
            <w:color w:val="1155CC"/>
            <w:u w:val="single"/>
          </w:rPr>
          <w:t>为什么一些抗癌免疫细胞在肿瘤内部失去力量</w:t>
        </w:r>
      </w:hyperlink>
    </w:p>
    <w:p>
      <w:pPr>
        <w:spacing w:before="0" w:after="80"/>
      </w:pPr>
      <w:r>
        <w:rPr>
          <w:i/>
          <w:sz w:val="20"/>
        </w:rPr>
        <w:t>EN: Why some cancer-fighting immune cells lose their strength inside tumours</w:t>
      </w:r>
    </w:p>
    <w:p>
      <w:pPr>
        <w:spacing w:before="0" w:after="120"/>
      </w:pPr>
      <w:r>
        <w:rPr>
          <w:b/>
        </w:rPr>
        <w:t xml:space="preserve">Source: </w:t>
      </w:r>
      <w:r>
        <w:t>Nature</w:t>
      </w:r>
      <w:r>
        <w:t xml:space="preserve">    </w:t>
      </w:r>
      <w:r>
        <w:rPr>
          <w:b/>
        </w:rPr>
        <w:t xml:space="preserve">Pub date: </w:t>
      </w:r>
      <w:r>
        <w:t>2026-04-02 00:00:00+00:00</w:t>
      </w:r>
      <w:r>
        <w:t xml:space="preserve">    </w:t>
      </w:r>
      <w:r>
        <w:rPr>
          <w:b/>
        </w:rPr>
        <w:t xml:space="preserve">DOI: </w:t>
      </w:r>
      <w:hyperlink r:id="rId1018">
        <w:r>
          <w:rPr>
            <w:color w:val="1155CC"/>
            <w:u w:val="single"/>
          </w:rPr>
          <w:t>10.1038/d41586-026-01015-8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[427] </w:t>
      </w:r>
      <w:hyperlink r:id="rId1019">
        <w:r>
          <w:rPr>
            <w:color w:val="1155CC"/>
            <w:u w:val="single"/>
          </w:rPr>
          <w:t>MXenes的组成-结构-性质关系</w:t>
        </w:r>
      </w:hyperlink>
    </w:p>
    <w:p>
      <w:pPr>
        <w:spacing w:before="0" w:after="80"/>
      </w:pPr>
      <w:r>
        <w:rPr>
          <w:i/>
          <w:sz w:val="20"/>
        </w:rPr>
        <w:t>EN: Composition–structure–property relationships in MXenes</w:t>
      </w:r>
    </w:p>
    <w:p>
      <w:pPr>
        <w:spacing w:before="0" w:after="120"/>
      </w:pPr>
      <w:r>
        <w:rPr>
          <w:b/>
        </w:rPr>
        <w:t xml:space="preserve">Source: </w:t>
      </w:r>
      <w:r>
        <w:t>Nature Reviews Materials</w:t>
      </w:r>
      <w:r>
        <w:t xml:space="preserve">    </w:t>
      </w:r>
      <w:r>
        <w:rPr>
          <w:b/>
        </w:rPr>
        <w:t xml:space="preserve">Pub date: </w:t>
      </w:r>
      <w:r>
        <w:t>2026-04-02 00:00:00+00:00</w:t>
      </w:r>
      <w:r>
        <w:t xml:space="preserve">    </w:t>
      </w:r>
      <w:r>
        <w:rPr>
          <w:b/>
        </w:rPr>
        <w:t xml:space="preserve">DOI: </w:t>
      </w:r>
      <w:hyperlink r:id="rId1020">
        <w:r>
          <w:rPr>
            <w:color w:val="1155CC"/>
            <w:u w:val="single"/>
          </w:rPr>
          <w:t>10.1038/s41578-026-00911-9</w:t>
        </w:r>
      </w:hyperlink>
    </w:p>
    <w:p>
      <w:pPr>
        <w:spacing w:before="0" w:after="120"/>
      </w:pPr>
      <w:r>
        <w:rPr>
          <w:b/>
        </w:rPr>
        <w:t xml:space="preserve">Notes: </w:t>
      </w:r>
      <w:r>
        <w:t>abstract_source=nature_html</w:t>
      </w:r>
    </w:p>
    <w:p>
      <w:pPr>
        <w:spacing w:before="0" w:after="80" w:lineRule="auto" w:line="276"/>
      </w:pPr>
      <w:r>
        <w:rPr>
          <w:b/>
        </w:rPr>
        <w:t xml:space="preserve">摘要（ZH）: </w:t>
      </w:r>
      <w:r>
        <w:t>2D MXenes家族的快速增长是由其组成和结构的设计化学控制驱动的，包括过渡金属和表面官能团、非金属X子晶格和原子层配置。这种组成多样性控制了化学排序、原子级缺陷和表面化学，最终塑造了MXenes的性质。在本综述中，我们讨论了组成多样性和原子排列的变化如何产生材料性质，从而实现新应用和技术突破。我们回顾了设计策略，包括原子空位控制、插层工程和表面功能化，以微调MXenes中的组成-性质关系。此外，我们还介绍了新兴领域。</w:t>
      </w:r>
    </w:p>
    <w:p>
      <w:pPr>
        <w:spacing w:before="0" w:after="200" w:lineRule="auto" w:line="276"/>
      </w:pPr>
      <w:r>
        <w:rPr>
          <w:b/>
        </w:rPr>
        <w:t xml:space="preserve">Abstract (EN): </w:t>
      </w:r>
      <w:r>
        <w:t>The rapid growth of the 2D MXenes family is driven by the designer chemistry control of their composition and structures, including the transition metal and surface functional groups, non-metal X sublattice and atomic-layer configurations. This compositional diversity controls the chemical ordering, atomic-level defects and surface chemistry, ultimately shaping properties of the MXenes. In this Review, we discuss how variations in compositional diversity and atomic arrangement give rise to material properties that enable new applications and breakthroughs in technology. We review design strategies, including atomic vacancy control, intercalation engineering and surface functionalization, that fine-tune the composition–property relationships in MXenes. In addition, we present emerging areas of MXenes research, including advances in biomedicine, optoelectronics, environmental remediation and catalysis, communication and quantum technologies, space exploration and thermal management.</w:t>
      </w:r>
    </w:p>
    <w:p>
      <w:pPr>
        <w:spacing w:before="120" w:after="120"/>
      </w:pPr>
      <w:r>
        <w:rPr>
          <w:sz w:val="18"/>
        </w:rPr>
        <w:t>——————————————————————————————————————————————————————————————————————</w:t>
      </w:r>
    </w:p>
    <w:p>
      <w:pPr>
        <w:spacing w:before="160" w:after="40" w:line="240" w:lineRule="auto"/>
      </w:pPr>
      <w:r>
        <w:rPr>
          <w:b/>
        </w:rPr>
        <w:t xml:space="preserve">[428] </w:t>
      </w:r>
      <w:hyperlink r:id="rId1021">
        <w:r>
          <w:rPr>
            <w:color w:val="1155CC"/>
            <w:u w:val="single"/>
          </w:rPr>
          <w:t>可编程的发散电化学开环多功能化应变环</w:t>
        </w:r>
      </w:hyperlink>
    </w:p>
    <w:p>
      <w:pPr>
        <w:spacing w:before="0" w:after="80"/>
      </w:pPr>
      <w:r>
        <w:rPr>
          <w:i/>
          <w:sz w:val="20"/>
        </w:rPr>
        <w:t>EN: Programmable divergent electrochemical ring-opening multifunctionalization of strained rings</w:t>
      </w:r>
    </w:p>
    <w:p>
      <w:pPr>
        <w:spacing w:before="0" w:after="120"/>
      </w:pPr>
      <w:r>
        <w:rPr>
          <w:b/>
        </w:rPr>
        <w:t xml:space="preserve">Source: </w:t>
      </w:r>
      <w:r>
        <w:t>Nature Chemistry</w:t>
      </w:r>
      <w:r>
        <w:t xml:space="preserve">    </w:t>
      </w:r>
      <w:r>
        <w:rPr>
          <w:b/>
        </w:rPr>
        <w:t xml:space="preserve">Pub date: </w:t>
      </w:r>
      <w:r>
        <w:t>2026-04-02 00:00:00+00:00</w:t>
      </w:r>
      <w:r>
        <w:t xml:space="preserve">    </w:t>
      </w:r>
      <w:r>
        <w:rPr>
          <w:b/>
        </w:rPr>
        <w:t xml:space="preserve">DOI: </w:t>
      </w:r>
      <w:hyperlink r:id="rId1022">
        <w:r>
          <w:rPr>
            <w:color w:val="1155CC"/>
            <w:u w:val="single"/>
          </w:rPr>
          <w:t>10.1038/s41557-026-02110-z</w:t>
        </w:r>
      </w:hyperlink>
    </w:p>
    <w:p>
      <w:pPr>
        <w:spacing w:before="0" w:after="120"/>
      </w:pPr>
      <w:r>
        <w:rPr>
          <w:b/>
        </w:rPr>
        <w:t xml:space="preserve">Notes: </w:t>
      </w:r>
      <w:r>
        <w:t>abstract_source=nature_html</w:t>
      </w:r>
    </w:p>
    <w:p>
      <w:pPr>
        <w:spacing w:before="0" w:after="80" w:lineRule="auto" w:line="276"/>
      </w:pPr>
      <w:r>
        <w:rPr>
          <w:b/>
        </w:rPr>
        <w:t xml:space="preserve">摘要（ZH）: </w:t>
      </w:r>
      <w:r>
        <w:t>张力环的开环官能化代表了一种非常有价值的转化。然而，现有策略主要集中在开环双官能化上，因为初始衍生化通常会降低周围C–H键的反应性。因此，在多个惰性C–H/C–C键之间选择性地控制位点、区域和氧化态仍然是一个主要未解决的挑战。在此，我们报告了一种通过连续C–C键和多个C(sp3)–H键的电氧化实现的张力环的多位点可编程、分歧开环官能化策略。该策略的关键是通过受控的‘烯烃缓释池’生成烯烃，确保足够的选择性氧化并抑制不良聚合。具体而言，精确</w:t>
      </w:r>
    </w:p>
    <w:p>
      <w:pPr>
        <w:spacing w:before="0" w:after="200" w:lineRule="auto" w:line="276"/>
      </w:pPr>
      <w:r>
        <w:rPr>
          <w:b/>
        </w:rPr>
        <w:t xml:space="preserve">Abstract (EN): </w:t>
      </w:r>
      <w:r>
        <w:t>The ring-opening functionalization of strained rings represents a highly valuable transformation. However, existing strategies predominantly focus on ring-opening difunctionalization, as initial derivatization typically diminishes the reactivity of surrounding C–H bonds. Consequently, the selective control over site, regio and oxidation state among multiple inert C–H/C–C bonds remains a major unmet challenge. Here we report a multisite programmable, divergent ring-opening functionalization of strained rings via electro-oxidation of continuous C–C bond and multiple C(sp3)–H bonds. The key to this strategy is the generation of olefins through a controlled ‘olefin slow-release pool’, which ensures sufficient selectivity oxidation and suppresses undesired polymerization. Specifically, precise trioxygenation, tetraoxygenation and trihalohydroxylation have been realized, accompanied by controllable remote alkenylation via direct current electrolysis, rapid alternating polarity electrolysis and electrophotocatalysis. This versatile method enables facile transformation of readily accessible strained rings into diverse multi-oxygenated scaffolds, including oxazolines, polyols, polyhalogenated alcohols, as well as bicyclic frameworks via skeletal editing.</w:t>
      </w:r>
    </w:p>
    <w:p>
      <w:pPr>
        <w:spacing w:before="120" w:after="120"/>
      </w:pPr>
      <w:r>
        <w:rPr>
          <w:sz w:val="18"/>
        </w:rPr>
        <w:t>——————————————————————————————————————————————————————————————————————</w:t>
      </w:r>
    </w:p>
    <w:p>
      <w:pPr>
        <w:spacing w:before="160" w:after="40" w:line="240" w:lineRule="auto"/>
      </w:pPr>
      <w:r>
        <w:rPr>
          <w:b/>
        </w:rPr>
        <w:t xml:space="preserve">[429] </w:t>
      </w:r>
      <w:hyperlink r:id="rId1023">
        <w:r>
          <w:rPr>
            <w:color w:val="1155CC"/>
            <w:u w:val="single"/>
          </w:rPr>
          <w:t>应变环状酰胺的多氧化功能化</w:t>
        </w:r>
      </w:hyperlink>
    </w:p>
    <w:p>
      <w:pPr>
        <w:spacing w:before="0" w:after="80"/>
      </w:pPr>
      <w:r>
        <w:rPr>
          <w:i/>
          <w:sz w:val="20"/>
        </w:rPr>
        <w:t>EN: Polyoxygenative functionalization of strained cyclic amides</w:t>
      </w:r>
    </w:p>
    <w:p>
      <w:pPr>
        <w:spacing w:before="0" w:after="120"/>
      </w:pPr>
      <w:r>
        <w:rPr>
          <w:b/>
        </w:rPr>
        <w:t xml:space="preserve">Source: </w:t>
      </w:r>
      <w:r>
        <w:t>Nature Chemistry</w:t>
      </w:r>
      <w:r>
        <w:t xml:space="preserve">    </w:t>
      </w:r>
      <w:r>
        <w:rPr>
          <w:b/>
        </w:rPr>
        <w:t xml:space="preserve">Pub date: </w:t>
      </w:r>
      <w:r>
        <w:t>2026-04-02 00:00:00+00:00</w:t>
      </w:r>
      <w:r>
        <w:t xml:space="preserve">    </w:t>
      </w:r>
      <w:r>
        <w:rPr>
          <w:b/>
        </w:rPr>
        <w:t xml:space="preserve">DOI: </w:t>
      </w:r>
      <w:hyperlink r:id="rId1024">
        <w:r>
          <w:rPr>
            <w:color w:val="1155CC"/>
            <w:u w:val="single"/>
          </w:rPr>
          <w:t>10.1038/s41557-026-02118-5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[430] </w:t>
      </w:r>
      <w:hyperlink r:id="rId1025">
        <w:r>
          <w:rPr>
            <w:color w:val="1155CC"/>
            <w:u w:val="single"/>
          </w:rPr>
          <w:t>通过铂(IV)-抗体偶联物将肿瘤免疫原性与细胞死亡分离</w:t>
        </w:r>
      </w:hyperlink>
    </w:p>
    <w:p>
      <w:pPr>
        <w:spacing w:before="0" w:after="80"/>
      </w:pPr>
      <w:r>
        <w:rPr>
          <w:i/>
          <w:sz w:val="20"/>
        </w:rPr>
        <w:t>EN: Uncoupling tumor immunogenicity from cell death with platinum(IV)-antibody conjugates</w:t>
      </w:r>
    </w:p>
    <w:p>
      <w:pPr>
        <w:spacing w:before="0" w:after="120"/>
      </w:pPr>
      <w:r>
        <w:rPr>
          <w:b/>
        </w:rPr>
        <w:t xml:space="preserve">Source: </w:t>
      </w:r>
      <w:r>
        <w:t>National Science Review Advance Access</w:t>
      </w:r>
      <w:r>
        <w:t xml:space="preserve">    </w:t>
      </w:r>
      <w:r>
        <w:rPr>
          <w:b/>
        </w:rPr>
        <w:t xml:space="preserve">Pub date: </w:t>
      </w:r>
      <w:r>
        <w:t>2026-04-02 00:00:00+00:00</w:t>
      </w:r>
      <w:r>
        <w:t xml:space="preserve">    </w:t>
      </w:r>
      <w:r>
        <w:rPr>
          <w:b/>
        </w:rPr>
        <w:t xml:space="preserve">DOI: </w:t>
      </w:r>
      <w:hyperlink r:id="rId1026">
        <w:r>
          <w:rPr>
            <w:color w:val="1155CC"/>
            <w:u w:val="single"/>
          </w:rPr>
          <w:t>10.1093/nsr/nwag202</w:t>
        </w:r>
      </w:hyperlink>
    </w:p>
    <w:p>
      <w:pPr>
        <w:spacing w:before="0" w:after="120"/>
      </w:pPr>
      <w:r>
        <w:rPr>
          <w:b/>
        </w:rPr>
        <w:t xml:space="preserve">Notes: </w:t>
      </w:r>
      <w:r>
        <w:t>abstract_source=rss_oup</w:t>
      </w:r>
    </w:p>
    <w:p>
      <w:pPr>
        <w:spacing w:before="0" w:after="80" w:lineRule="auto" w:line="276"/>
      </w:pPr>
      <w:r>
        <w:rPr>
          <w:b/>
        </w:rPr>
        <w:t xml:space="preserve">摘要（ZH）: </w:t>
      </w:r>
      <w:r>
        <w:t>铂类药物仍然是实体瘤的主要治疗手段，但全身毒性和免疫治疗组合中的剂量难以确定限制了其使用。我们设计了铂(IV)-抗体偶联物（Pt-ADCs），将‘金属免疫效应’限制在肿瘤中，同时减少肿瘤外暴露。特定位点的糖工程安装了氧化还原响应的铂(IV)前药，具有定义的药物与抗体比例，产生均一的偶联物。机制分析显示，顺铂衍生的负载物在肿瘤环境中经历有效的还原激活，而不是奥沙利铂衍生的负载物；肉桂酸酯封端的变体优化了血清稳定性、肿瘤内释放和免疫刺激信号。在同系模型中，Pt-ADCs以低剂量的肉桂酸酯封端铂上调主要组织相容性复合体</w:t>
      </w:r>
    </w:p>
    <w:p>
      <w:pPr>
        <w:spacing w:before="0" w:after="200" w:lineRule="auto" w:line="276"/>
      </w:pPr>
      <w:r>
        <w:rPr>
          <w:b/>
        </w:rPr>
        <w:t xml:space="preserve">Abstract (EN): </w:t>
      </w:r>
      <w:r>
        <w:t>Platinum drugs remain mainstays for solid tumors, but systemic toxicity and difficult dose-finding in immunotherapy combinations limit their use. We engineer platinum(IV)-antibody conjugates (Pt-ADCs) that confine a ‘metal immune effect’ to tumors while reducing off-tumor exposure. Site-specific glycoengineering installs redox-responsive Pt(IV) prodrugs at defined drug-to-antibody ratios, yielding homogeneous conjugates. Mechanistic profiling shows that cisplatin-derived, but not oxaliplatin-derived, payloads undergo efficient reductive activation in the tumor milieu; cinnamate-capped variants optimize serum stability, intratumoral release, and immunostimulatory signaling. In syngeneic models, Pt-ADCs deliver a low dose of cinnamate-capped Pt to upregulate major histocompatibility complex class I (MHC-I) on tumor cells, expand tumor-reactive T-cell receptor (TCR) clonotypes, and synergize with PD-1 blockade to suppress tumor growth, with minimal systemic toxicity. These findings position Pt-ADCs as a detoxified, immunogenic modality that uncouples immunogenic priming from high-dose cytotoxicity and offers a tractable path to rational dosing in chemo-immunotherapy combinations.</w:t>
      </w:r>
    </w:p>
    <w:p>
      <w:pPr>
        <w:spacing w:before="120" w:after="120"/>
      </w:pPr>
      <w:r>
        <w:rPr>
          <w:sz w:val="18"/>
        </w:rPr>
        <w:t>——————————————————————————————————————————————————————————————————————</w:t>
      </w:r>
    </w:p>
    <w:p>
      <w:pPr>
        <w:spacing w:before="160" w:after="40" w:line="240" w:lineRule="auto"/>
      </w:pPr>
      <w:r>
        <w:rPr>
          <w:b/>
        </w:rPr>
        <w:t xml:space="preserve">[431] </w:t>
      </w:r>
      <w:hyperlink r:id="rId1027">
        <w:r>
          <w:rPr>
            <w:color w:val="1155CC"/>
            <w:u w:val="single"/>
          </w:rPr>
          <w:t>中国计划将人送上月球——可能会领先美国</w:t>
        </w:r>
      </w:hyperlink>
    </w:p>
    <w:p>
      <w:pPr>
        <w:spacing w:before="0" w:after="80"/>
      </w:pPr>
      <w:r>
        <w:rPr>
          <w:i/>
          <w:sz w:val="20"/>
        </w:rPr>
        <w:t>EN: China is planning to land people on the Moon — and might beat the United States to it</w:t>
      </w:r>
    </w:p>
    <w:p>
      <w:pPr>
        <w:spacing w:before="0" w:after="120"/>
      </w:pPr>
      <w:r>
        <w:rPr>
          <w:b/>
        </w:rPr>
        <w:t xml:space="preserve">Source: </w:t>
      </w:r>
      <w:r>
        <w:t>Nature</w:t>
      </w:r>
      <w:r>
        <w:t xml:space="preserve">    </w:t>
      </w:r>
      <w:r>
        <w:rPr>
          <w:b/>
        </w:rPr>
        <w:t xml:space="preserve">Pub date: </w:t>
      </w:r>
      <w:r>
        <w:t>2026-04-02 00:00:00+00:00</w:t>
      </w:r>
      <w:r>
        <w:t xml:space="preserve">    </w:t>
      </w:r>
      <w:r>
        <w:rPr>
          <w:b/>
        </w:rPr>
        <w:t xml:space="preserve">DOI: </w:t>
      </w:r>
      <w:hyperlink r:id="rId1028">
        <w:r>
          <w:rPr>
            <w:color w:val="1155CC"/>
            <w:u w:val="single"/>
          </w:rPr>
          <w:t>10.1038/d41586-026-01059-w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[432] </w:t>
      </w:r>
      <w:hyperlink r:id="rId1029">
        <w:r>
          <w:rPr>
            <w:color w:val="1155CC"/>
            <w:u w:val="single"/>
          </w:rPr>
          <w:t>中国的自然承载能力：其变化及决策导向研究的进展</w:t>
        </w:r>
      </w:hyperlink>
    </w:p>
    <w:p>
      <w:pPr>
        <w:spacing w:before="0" w:after="80"/>
      </w:pPr>
      <w:r>
        <w:rPr>
          <w:i/>
          <w:sz w:val="20"/>
        </w:rPr>
        <w:t>EN: China’s natural carrying capacity: its change and progress of decision-oriented study</w:t>
      </w:r>
    </w:p>
    <w:p>
      <w:pPr>
        <w:spacing w:before="0" w:after="120"/>
      </w:pPr>
      <w:r>
        <w:rPr>
          <w:b/>
        </w:rPr>
        <w:t xml:space="preserve">Source: </w:t>
      </w:r>
      <w:r>
        <w:t>National Science Review Advance Access</w:t>
      </w:r>
      <w:r>
        <w:t xml:space="preserve">    </w:t>
      </w:r>
      <w:r>
        <w:rPr>
          <w:b/>
        </w:rPr>
        <w:t xml:space="preserve">Pub date: </w:t>
      </w:r>
      <w:r>
        <w:t>2026-04-02 00:00:00+00:00</w:t>
      </w:r>
      <w:r>
        <w:t xml:space="preserve">    </w:t>
      </w:r>
      <w:r>
        <w:rPr>
          <w:b/>
        </w:rPr>
        <w:t xml:space="preserve">DOI: </w:t>
      </w:r>
      <w:hyperlink r:id="rId1030">
        <w:r>
          <w:rPr>
            <w:color w:val="1155CC"/>
            <w:u w:val="single"/>
          </w:rPr>
          <w:t>10.1093/nsr/nwag205</w:t>
        </w:r>
      </w:hyperlink>
    </w:p>
    <w:p>
      <w:pPr>
        <w:spacing w:before="0" w:after="120"/>
      </w:pPr>
      <w:r>
        <w:rPr>
          <w:b/>
        </w:rPr>
        <w:t xml:space="preserve">Notes: </w:t>
      </w:r>
      <w:r>
        <w:t>abstract_source=rss_oup</w:t>
      </w:r>
    </w:p>
    <w:p>
      <w:pPr>
        <w:spacing w:before="0" w:after="80" w:lineRule="auto" w:line="276"/>
      </w:pPr>
      <w:r>
        <w:rPr>
          <w:b/>
        </w:rPr>
        <w:t xml:space="preserve">摘要（ZH）: </w:t>
      </w:r>
      <w:r>
        <w:t>国际上关于行星边界和社会生态系统的研究，重点揭示系统元素之间的相互作用机制，与中国以决策为导向的自然承载力（NCC）研究共同构成了可持续性研究的两个重要范式。本文系统回顾了中国决策导向的NCC研究进展。研究始于对土地和水资源的单因素承载力评估，关注这些资源能够支持多少人口，并为早期人口和资源管理政策提供信息。后来，为应对汶川地震后重建所带来的复杂空间规划需求，NCC研究演变为一个综合评估系统</w:t>
      </w:r>
    </w:p>
    <w:p>
      <w:pPr>
        <w:spacing w:before="0" w:after="200" w:lineRule="auto" w:line="276"/>
      </w:pPr>
      <w:r>
        <w:rPr>
          <w:b/>
        </w:rPr>
        <w:t xml:space="preserve">Abstract (EN): </w:t>
      </w:r>
      <w:r>
        <w:t>International research on planetary boundaries and social-ecological systems, which focuses on revealing the mechanisms of interaction among system elements, together with China’s decision-oriented research on natural carrying capacity (NCC), jointly constitute two important paradigms of sustainability research. This paper provides a systematic review of the progress of decision-oriented NCC research in China. The research began with single-factor carrying-capacity assessments of land and water resources, focusing on how many people these resources could support and informing early population and resource management policies. Later, in response to the complex spatial planning demands posed by post-Wenchuan earthquake reconstruction, NCC research evolved into a comprehensive assessment system integrating resources, environmental conditions, ecological factors, and disaster risks, addressing challenges such as functional zoning, cross-scale application, and dynamic assessment, and ultimately becoming a foundational task of territorial spatial planning. On this basis, methods for territorial function suitability assessment and regional sustainability early warning were further developed, substantially strengthening NCC’s role in evidence-based decision-making. Although the interactions among elements within the Earth’s surface system remain incompletely understood, China’s NCC research has established a distinctive and viable pathway for decision-oriented NCC assessment. It also outlines future directions for deepening understanding of the system’s dynamic mechanisms and bridging regional and global sustainability boundaries.</w:t>
      </w:r>
    </w:p>
    <w:p>
      <w:pPr>
        <w:spacing w:before="120" w:after="120"/>
      </w:pPr>
      <w:r>
        <w:rPr>
          <w:sz w:val="18"/>
        </w:rPr>
        <w:t>——————————————————————————————————————————————————————————————————————</w:t>
      </w:r>
    </w:p>
    <w:p>
      <w:pPr>
        <w:spacing w:before="160" w:after="40" w:line="240" w:lineRule="auto"/>
      </w:pPr>
      <w:r>
        <w:rPr>
          <w:b/>
        </w:rPr>
        <w:t xml:space="preserve">[433] </w:t>
      </w:r>
      <w:hyperlink r:id="rId1031">
        <w:r>
          <w:rPr>
            <w:color w:val="1155CC"/>
            <w:u w:val="single"/>
          </w:rPr>
          <w:t>皮秒级相干切换拓扑自旋螺旋性</w:t>
        </w:r>
      </w:hyperlink>
    </w:p>
    <w:p>
      <w:pPr>
        <w:spacing w:before="0" w:after="80"/>
      </w:pPr>
      <w:r>
        <w:rPr>
          <w:i/>
          <w:sz w:val="20"/>
        </w:rPr>
        <w:t>EN: Picosecond-scale coherent toggle switching of topological spin helicity</w:t>
      </w:r>
    </w:p>
    <w:p>
      <w:pPr>
        <w:spacing w:before="0" w:after="120"/>
      </w:pPr>
      <w:r>
        <w:rPr>
          <w:b/>
        </w:rPr>
        <w:t xml:space="preserve">Source: </w:t>
      </w:r>
      <w:r>
        <w:t>Nature Nanotechnology</w:t>
      </w:r>
      <w:r>
        <w:t xml:space="preserve">    </w:t>
      </w:r>
      <w:r>
        <w:rPr>
          <w:b/>
        </w:rPr>
        <w:t xml:space="preserve">Pub date: </w:t>
      </w:r>
      <w:r>
        <w:t>2026-04-02 00:00:00+00:00</w:t>
      </w:r>
      <w:r>
        <w:t xml:space="preserve">    </w:t>
      </w:r>
      <w:r>
        <w:rPr>
          <w:b/>
        </w:rPr>
        <w:t xml:space="preserve">DOI: </w:t>
      </w:r>
      <w:hyperlink r:id="rId1032">
        <w:r>
          <w:rPr>
            <w:color w:val="1155CC"/>
            <w:u w:val="single"/>
          </w:rPr>
          <w:t>10.1038/s41565-026-02142-z</w:t>
        </w:r>
      </w:hyperlink>
    </w:p>
    <w:p>
      <w:pPr>
        <w:spacing w:before="0" w:after="120"/>
      </w:pPr>
      <w:r>
        <w:rPr>
          <w:b/>
        </w:rPr>
        <w:t xml:space="preserve">Notes: </w:t>
      </w:r>
      <w:r>
        <w:t>abstract_source=nature_html</w:t>
      </w:r>
    </w:p>
    <w:p>
      <w:pPr>
        <w:spacing w:before="0" w:after="80" w:lineRule="auto" w:line="276"/>
      </w:pPr>
      <w:r>
        <w:rPr>
          <w:b/>
        </w:rPr>
        <w:t xml:space="preserve">摘要（ZH）: </w:t>
      </w:r>
      <w:r>
        <w:t>传统磁化状态的切换是现代自旋电子学的基石，使得对二进制（‘0’和‘1’）信息位的控制成为可能。尽管在拓扑自旋配置中实现螺旋性切换的相干控制在高速多态存储器、类脑计算和概率计算等应用中具有前景，但实现这一点一直具有挑战性。这一困难源于需要在保持自旋配置的内在拓扑结构的同时实现相干自旋进动，而这通常会被传统激励所破坏。在此，我们报告了在纳米级磁性涡旋中实现相干螺旋性切换的实验，这种切换行为发生在数百皮秒的时间尺度上。该切换行为由飞秒激光驱动。</w:t>
      </w:r>
    </w:p>
    <w:p>
      <w:pPr>
        <w:spacing w:before="0" w:after="200" w:lineRule="auto" w:line="276"/>
      </w:pPr>
      <w:r>
        <w:rPr>
          <w:b/>
        </w:rPr>
        <w:t xml:space="preserve">Abstract (EN): </w:t>
      </w:r>
      <w:r>
        <w:t>The switching of conventional magnetization states is a cornerstone of modern spintronics, enabling control over binary (‘0’ and ‘1’) information bits. Although the coherent control of helicity switching in topological spin configurations is promising for applications such as high-speed multistate memory and neuromorphic and probabilistic computing, realizing it has been challenging. This difficulty stems from the requirement for coherent spin precession while maintaining the intrinsic topology of the spin configurations, which is usually disrupted by conventional excitations. Here we report an experimental realization of coherent helicity toggle switching in nanoscale magnetic vortices occurring on timescales of several hundred picoseconds. This switching behaviour is driven by femtosecond laser pulse excitation under an out-of-plane magnetic field. The mechanism is governed by ultrafast photothermal demagnetization and coherent spin precession in the subsequent remagnetization process, during which the intrinsic topology and symmetry of the vortex are preserved. Crucially, the helicity switching dynamics can be tuned precisely using the laser fluence and magnetic field strength, enabling deterministic to stochastic control over the two energy-degenerate helicity states. This control was reproduced in micromagnetic simulations when the parameters were optimized within a physically reasonable range.</w:t>
      </w:r>
    </w:p>
    <w:p>
      <w:pPr>
        <w:spacing w:before="120" w:after="120"/>
      </w:pPr>
      <w:r>
        <w:rPr>
          <w:sz w:val="18"/>
        </w:rPr>
        <w:t>——————————————————————————————————————————————————————————————————————</w:t>
      </w:r>
    </w:p>
    <w:p>
      <w:pPr>
        <w:spacing w:before="160" w:after="40" w:line="240" w:lineRule="auto"/>
      </w:pPr>
      <w:r>
        <w:rPr>
          <w:b/>
        </w:rPr>
        <w:t xml:space="preserve">[434] </w:t>
      </w:r>
      <w:hyperlink r:id="rId1033">
        <w:r>
          <w:rPr>
            <w:color w:val="1155CC"/>
            <w:u w:val="single"/>
          </w:rPr>
          <w:t>在风电不确定性下多能源虚拟微电网的分布鲁棒调度：一种广义切比雪夫方法</w:t>
        </w:r>
      </w:hyperlink>
    </w:p>
    <w:p>
      <w:pPr>
        <w:spacing w:before="0" w:after="80"/>
      </w:pPr>
      <w:r>
        <w:rPr>
          <w:i/>
          <w:sz w:val="20"/>
        </w:rPr>
        <w:t>EN: Distributionally robust scheduling of multi-energy virtual microgrids under wind power uncertainty: A generalized Chebyshev approach</w:t>
      </w:r>
    </w:p>
    <w:p>
      <w:pPr>
        <w:spacing w:before="0" w:after="120"/>
      </w:pPr>
      <w:r>
        <w:rPr>
          <w:b/>
        </w:rPr>
        <w:t xml:space="preserve">Source: </w:t>
      </w:r>
      <w:r>
        <w:t>ScienceDirect Publication: Applied Energy</w:t>
      </w:r>
      <w:r>
        <w:t xml:space="preserve">    </w:t>
      </w:r>
      <w:r>
        <w:rPr>
          <w:b/>
        </w:rPr>
        <w:t xml:space="preserve">Pub date: </w:t>
      </w:r>
      <w:r>
        <w:t>2026-04-02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[435] </w:t>
      </w:r>
      <w:hyperlink r:id="rId1034">
        <w:r>
          <w:rPr>
            <w:color w:val="1155CC"/>
            <w:u w:val="single"/>
          </w:rPr>
          <w:t>氧介导的串联聚乙烯升级回收用于选择性芳香合成</w:t>
        </w:r>
      </w:hyperlink>
    </w:p>
    <w:p>
      <w:pPr>
        <w:spacing w:before="0" w:after="80"/>
      </w:pPr>
      <w:r>
        <w:rPr>
          <w:i/>
          <w:sz w:val="20"/>
        </w:rPr>
        <w:t>EN: Oxygen-mediated tandem polyethylene upcycling for selective aromatic synthesis</w:t>
      </w:r>
    </w:p>
    <w:p>
      <w:pPr>
        <w:spacing w:before="0" w:after="120"/>
      </w:pPr>
      <w:r>
        <w:rPr>
          <w:b/>
        </w:rPr>
        <w:t xml:space="preserve">Source: </w:t>
      </w:r>
      <w:r>
        <w:t>National Science Review Advance Access</w:t>
      </w:r>
      <w:r>
        <w:t xml:space="preserve">    </w:t>
      </w:r>
      <w:r>
        <w:rPr>
          <w:b/>
        </w:rPr>
        <w:t xml:space="preserve">Pub date: </w:t>
      </w:r>
      <w:r>
        <w:t>2026-04-02 00:00:00+00:00</w:t>
      </w:r>
      <w:r>
        <w:t xml:space="preserve">    </w:t>
      </w:r>
      <w:r>
        <w:rPr>
          <w:b/>
        </w:rPr>
        <w:t xml:space="preserve">DOI: </w:t>
      </w:r>
      <w:hyperlink r:id="rId1035">
        <w:r>
          <w:rPr>
            <w:color w:val="1155CC"/>
            <w:u w:val="single"/>
          </w:rPr>
          <w:t>10.1093/nsr/nwag207</w:t>
        </w:r>
      </w:hyperlink>
    </w:p>
    <w:p>
      <w:pPr>
        <w:spacing w:before="0" w:after="120"/>
      </w:pPr>
      <w:r>
        <w:rPr>
          <w:b/>
        </w:rPr>
        <w:t xml:space="preserve">Notes: </w:t>
      </w:r>
      <w:r>
        <w:t>abstract_source=rss_oup</w:t>
      </w:r>
    </w:p>
    <w:p>
      <w:pPr>
        <w:spacing w:before="0" w:after="80" w:lineRule="auto" w:line="276"/>
      </w:pPr>
      <w:r>
        <w:rPr>
          <w:b/>
        </w:rPr>
        <w:t xml:space="preserve">摘要（ZH）: </w:t>
      </w:r>
      <w:r>
        <w:t>选择性化学升级废弃聚乙烯（PE）为高价值芳烃在概念上非常有吸引力。然而，到目前为止，芳烃产品的选择性通常低于50%，主要受限于竞争性氢解。我们在此报告一种级联过程，该过程结合了通过PE原位生成的氢气的选择性有氧氧化。</w:t>
      </w:r>
    </w:p>
    <w:p>
      <w:pPr>
        <w:spacing w:before="0" w:after="200" w:lineRule="auto" w:line="276"/>
      </w:pPr>
      <w:r>
        <w:rPr>
          <w:b/>
        </w:rPr>
        <w:t xml:space="preserve">Abstract (EN): </w:t>
      </w:r>
      <w:r>
        <w:t>Selective chemical upcycling of waste polyethylene (PE) into high-value aromatics is conceptually very attractive. Yet, up to now the aromatic product selectivity typically remains below 50%, mainly limited by competing hydrogenolysis. We report here a cascade process that combines the selective aerobic oxidation of hydrogen, in situ generated from PE via</w:t>
      </w:r>
    </w:p>
    <w:p>
      <w:pPr>
        <w:spacing w:before="120" w:after="120"/>
      </w:pPr>
      <w:r>
        <w:rPr>
          <w:sz w:val="18"/>
        </w:rPr>
        <w:t>——————————————————————————————————————————————————————————————————————</w:t>
      </w:r>
    </w:p>
    <w:p>
      <w:pPr>
        <w:spacing w:before="160" w:after="40" w:line="240" w:lineRule="auto"/>
      </w:pPr>
      <w:r>
        <w:rPr>
          <w:b/>
        </w:rPr>
        <w:t xml:space="preserve">[436] </w:t>
      </w:r>
      <w:hyperlink r:id="rId1036">
        <w:r>
          <w:rPr>
            <w:color w:val="1155CC"/>
            <w:u w:val="single"/>
          </w:rPr>
          <w:t>将多点折叠和稳定性与线粒体跨膜β-桶Sam50的功能调节联系起来</w:t>
        </w:r>
      </w:hyperlink>
    </w:p>
    <w:p>
      <w:pPr>
        <w:spacing w:before="0" w:after="80"/>
      </w:pPr>
      <w:r>
        <w:rPr>
          <w:i/>
          <w:sz w:val="20"/>
        </w:rPr>
        <w:t>EN: Linking multipoint folding and stability with functional regulation in the mitochondrial transmembrane β-barrel Sam50</w:t>
      </w:r>
    </w:p>
    <w:p>
      <w:pPr>
        <w:spacing w:before="0" w:after="120"/>
      </w:pPr>
      <w:r>
        <w:rPr>
          <w:b/>
        </w:rPr>
        <w:t xml:space="preserve">Source: </w:t>
      </w:r>
      <w:r>
        <w:t>Nature Communications</w:t>
      </w:r>
      <w:r>
        <w:t xml:space="preserve">    </w:t>
      </w:r>
      <w:r>
        <w:rPr>
          <w:b/>
        </w:rPr>
        <w:t xml:space="preserve">Pub date: </w:t>
      </w:r>
      <w:r>
        <w:t>2026-04-02 00:00:00+00:00</w:t>
      </w:r>
      <w:r>
        <w:t xml:space="preserve">    </w:t>
      </w:r>
      <w:r>
        <w:rPr>
          <w:b/>
        </w:rPr>
        <w:t xml:space="preserve">DOI: </w:t>
      </w:r>
      <w:hyperlink r:id="rId1037">
        <w:r>
          <w:rPr>
            <w:color w:val="1155CC"/>
            <w:u w:val="single"/>
          </w:rPr>
          <w:t>10.1038/s41467-026-70904-3</w:t>
        </w:r>
      </w:hyperlink>
    </w:p>
    <w:p>
      <w:pPr>
        <w:spacing w:before="0" w:after="120"/>
      </w:pPr>
      <w:r>
        <w:rPr>
          <w:b/>
        </w:rPr>
        <w:t xml:space="preserve">Notes: </w:t>
      </w:r>
      <w:r>
        <w:t>abstract_source=nature_html</w:t>
      </w:r>
    </w:p>
    <w:p>
      <w:pPr>
        <w:spacing w:before="0" w:after="80" w:lineRule="auto" w:line="276"/>
      </w:pPr>
      <w:r>
        <w:rPr>
          <w:b/>
        </w:rPr>
        <w:t xml:space="preserve">摘要（ZH）: </w:t>
      </w:r>
      <w:r>
        <w:t>线粒体外膜蛋白（β-OMPs）作为与细胞环境交流的第一道防线。一个关键的β-OMP，分选和组装机器Sam50，是一个在所有真核生物中高度保守的16股跨膜β-桶。Sam50的失调是致命的；然而，调节Sam50的分子元素仍然知之甚少。在此，我们识别并表征了调节Sam50结构和功能的残基。通过单分子电生理学、体内功能和稳定性测量，我们证明了多肽转运相关域对于Sam50是可有可无的。使用165个Xaa→Ala替换的完整折叠机制表征显示，Sam50通过平行路径折叠，至少有两个过渡态。折叠n</w:t>
      </w:r>
    </w:p>
    <w:p>
      <w:pPr>
        <w:spacing w:before="0" w:after="200" w:lineRule="auto" w:line="276"/>
      </w:pPr>
      <w:r>
        <w:rPr>
          <w:b/>
        </w:rPr>
        <w:t xml:space="preserve">Abstract (EN): </w:t>
      </w:r>
      <w:r>
        <w:t>Mitochondrial outer membrane proteins (β-OMPs) serve as the first line of communication with the cellular milieu. A crucial β-OMP, the sorting and assembly machinery Sam50, is a 16-stranded transmembrane β-barrel highly conserved in all eukaryotes. Sam50 dysregulation is lethal; yet, molecular elements that regulate Sam50 remain poorly understood. Here, we identify and characterize residues that regulate Sam50 structure and function. Using single-molecule electrophysiology, in vivo function, and stability measurements, we demonstrate that the POlypeptide-TRansport Associated domain is dispensable for Sam50. Complete characterization of the folding mechanism using 165 Xaa→Ala substitutions reveals that Sam50 folds through parallel pathways, with at least two transition states. The folding nucleus is towards the N-terminus, whereas frustrated folding at the C-terminal region kinetically traps the structure. We correlate this unexpected folding of Sam50 with its SAM-assisted assembly. Additionally, our per-residue stability measurements show that destabilizing hotspots in Sam50 are linked to its gating function. Our findings suggest how the dynamic structure of Sam50 offers a functional advantage, with specific residues that regulate folding, stability, and function, also determine the protein’s sensitivity to mutations.</w:t>
      </w:r>
    </w:p>
    <w:p>
      <w:pPr>
        <w:spacing w:before="120" w:after="120"/>
      </w:pPr>
      <w:r>
        <w:rPr>
          <w:sz w:val="18"/>
        </w:rPr>
        <w:t>——————————————————————————————————————————————————————————————————————</w:t>
      </w:r>
    </w:p>
    <w:p>
      <w:pPr>
        <w:spacing w:before="160" w:after="40" w:line="240" w:lineRule="auto"/>
      </w:pPr>
      <w:r>
        <w:rPr>
          <w:b/>
        </w:rPr>
        <w:t xml:space="preserve">[437] </w:t>
      </w:r>
      <w:hyperlink r:id="rId1038">
        <w:r>
          <w:rPr>
            <w:color w:val="1155CC"/>
            <w:u w:val="single"/>
          </w:rPr>
          <w:t>X射线荧光光谱法用于简化元素分析</w:t>
        </w:r>
      </w:hyperlink>
    </w:p>
    <w:p>
      <w:pPr>
        <w:spacing w:before="0" w:after="80"/>
      </w:pPr>
      <w:r>
        <w:rPr>
          <w:i/>
          <w:sz w:val="20"/>
        </w:rPr>
        <w:t>EN: X-ray fluorescence spectroscopy for simplified elemental analysis</w:t>
      </w:r>
    </w:p>
    <w:p>
      <w:pPr>
        <w:spacing w:before="0" w:after="120"/>
      </w:pPr>
      <w:r>
        <w:rPr>
          <w:b/>
        </w:rPr>
        <w:t xml:space="preserve">Source: </w:t>
      </w:r>
      <w:r>
        <w:t>Nature Reviews Clean Technology</w:t>
      </w:r>
      <w:r>
        <w:t xml:space="preserve">    </w:t>
      </w:r>
      <w:r>
        <w:rPr>
          <w:b/>
        </w:rPr>
        <w:t xml:space="preserve">Pub date: </w:t>
      </w:r>
      <w:r>
        <w:t>2026-04-02 00:00:00+00:00</w:t>
      </w:r>
      <w:r>
        <w:t xml:space="preserve">    </w:t>
      </w:r>
      <w:r>
        <w:rPr>
          <w:b/>
        </w:rPr>
        <w:t xml:space="preserve">DOI: </w:t>
      </w:r>
      <w:hyperlink r:id="rId1039">
        <w:r>
          <w:rPr>
            <w:color w:val="1155CC"/>
            <w:u w:val="single"/>
          </w:rPr>
          <w:t>10.1038/s44359-026-00165-2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[438] </w:t>
      </w:r>
      <w:hyperlink r:id="rId1040">
        <w:r>
          <w:rPr>
            <w:color w:val="1155CC"/>
            <w:u w:val="single"/>
          </w:rPr>
          <w:t>通过仿生分形纳米纤维实现PM0.3过滤的半透明环保口罩</w:t>
        </w:r>
      </w:hyperlink>
    </w:p>
    <w:p>
      <w:pPr>
        <w:spacing w:before="0" w:after="80"/>
      </w:pPr>
      <w:r>
        <w:rPr>
          <w:i/>
          <w:sz w:val="20"/>
        </w:rPr>
        <w:t>EN: Semi-transparent and eco-friendly face masks for PM0.3 filtration via biomimetic-fractal nanofibers</w:t>
      </w:r>
    </w:p>
    <w:p>
      <w:pPr>
        <w:spacing w:before="0" w:after="120"/>
      </w:pPr>
      <w:r>
        <w:rPr>
          <w:b/>
        </w:rPr>
        <w:t xml:space="preserve">Source: </w:t>
      </w:r>
      <w:r>
        <w:t>Nature Communications</w:t>
      </w:r>
      <w:r>
        <w:t xml:space="preserve">    </w:t>
      </w:r>
      <w:r>
        <w:rPr>
          <w:b/>
        </w:rPr>
        <w:t xml:space="preserve">Pub date: </w:t>
      </w:r>
      <w:r>
        <w:t>2026-04-02 00:00:00+00:00</w:t>
      </w:r>
      <w:r>
        <w:t xml:space="preserve">    </w:t>
      </w:r>
      <w:r>
        <w:rPr>
          <w:b/>
        </w:rPr>
        <w:t xml:space="preserve">DOI: </w:t>
      </w:r>
      <w:hyperlink r:id="rId1041">
        <w:r>
          <w:rPr>
            <w:color w:val="1155CC"/>
            <w:u w:val="single"/>
          </w:rPr>
          <w:t>10.1038/s41467-026-71413-z</w:t>
        </w:r>
      </w:hyperlink>
    </w:p>
    <w:p>
      <w:pPr>
        <w:spacing w:before="0" w:after="120"/>
      </w:pPr>
      <w:r>
        <w:rPr>
          <w:b/>
        </w:rPr>
        <w:t xml:space="preserve">Notes: </w:t>
      </w:r>
      <w:r>
        <w:t>abstract_source=nature_html</w:t>
      </w:r>
    </w:p>
    <w:p>
      <w:pPr>
        <w:spacing w:before="0" w:after="80" w:lineRule="auto" w:line="276"/>
      </w:pPr>
      <w:r>
        <w:rPr>
          <w:b/>
        </w:rPr>
        <w:t xml:space="preserve">摘要（ZH）: </w:t>
      </w:r>
      <w:r>
        <w:t>为了满足对可持续高性能口罩的需求，我们展示了一种利用玉米醇溶蛋白进行高效纳米制造的策略。通过电纺工艺可控地分裂流体射流，从而无需杂质赋形剂即可制造出由细小、分形状纳米纤维组成的口罩。我们识别出一种由偶极力引起的界面波动机制，使得这一过程得以实现，结果是制成的口罩在空气过滤性能上超过了商业N95口罩，同时重量和厚度减半。材料使用的显著减少赋予口罩高光学透明度，便于面部识别。关键是，纯玉米醇溶蛋白的成分允许重新加工</w:t>
      </w:r>
    </w:p>
    <w:p>
      <w:pPr>
        <w:spacing w:before="0" w:after="200" w:lineRule="auto" w:line="276"/>
      </w:pPr>
      <w:r>
        <w:rPr>
          <w:b/>
        </w:rPr>
        <w:t xml:space="preserve">Abstract (EN): </w:t>
      </w:r>
      <w:r>
        <w:t>To address the need for sustainable high-performance face masks, we demonstrate a strategy that utilizes zein for efficient nanofabrication. An electrospinning process controllably splits the fluid jet, allowing for the creation of face masks composed of fine, fractal-like nanofibers without the need for impurity excipients. This process, enabled by an dipole-force-induced interfacial fluctuation mechanism that we identified, results in face masks that achieve exceptional air filtration performance, surpassing that of commercial N95 masks, while reducing both weight and thickness by half. The significant reduction in material use grants the face masks high optical transparency, facilitating unobstructed facial recognition. Crucially, the pure zein composition allows for the reprocessing of the face masks, contributing to further resource conservation. This work provides a simple, eco-friendly solution for advanced personal protection and points the way toward sustainable wearable devices.</w:t>
      </w:r>
    </w:p>
    <w:p>
      <w:pPr>
        <w:spacing w:before="120" w:after="120"/>
      </w:pPr>
      <w:r>
        <w:rPr>
          <w:sz w:val="18"/>
        </w:rPr>
        <w:t>——————————————————————————————————————————————————————————————————————</w:t>
      </w:r>
    </w:p>
    <w:p>
      <w:pPr>
        <w:spacing w:before="160" w:after="40" w:line="240" w:lineRule="auto"/>
      </w:pPr>
      <w:r>
        <w:rPr>
          <w:b/>
        </w:rPr>
        <w:t xml:space="preserve">[439] </w:t>
      </w:r>
      <w:hyperlink r:id="rId1042">
        <w:r>
          <w:rPr>
            <w:color w:val="1155CC"/>
            <w:u w:val="single"/>
          </w:rPr>
          <w:t>具有可调双稳态的流动网络中的集体行为和记忆状态</w:t>
        </w:r>
      </w:hyperlink>
    </w:p>
    <w:p>
      <w:pPr>
        <w:spacing w:before="0" w:after="80"/>
      </w:pPr>
      <w:r>
        <w:rPr>
          <w:i/>
          <w:sz w:val="20"/>
        </w:rPr>
        <w:t>EN: Collective behavior and memory states in flow networks with tunable bistability</w:t>
      </w:r>
    </w:p>
    <w:p>
      <w:pPr>
        <w:spacing w:before="0" w:after="120"/>
      </w:pPr>
      <w:r>
        <w:rPr>
          <w:b/>
        </w:rPr>
        <w:t xml:space="preserve">Source: </w:t>
      </w:r>
      <w:r>
        <w:t>Nature Communications</w:t>
      </w:r>
      <w:r>
        <w:t xml:space="preserve">    </w:t>
      </w:r>
      <w:r>
        <w:rPr>
          <w:b/>
        </w:rPr>
        <w:t xml:space="preserve">Pub date: </w:t>
      </w:r>
      <w:r>
        <w:t>2026-04-02 00:00:00+00:00</w:t>
      </w:r>
      <w:r>
        <w:t xml:space="preserve">    </w:t>
      </w:r>
      <w:r>
        <w:rPr>
          <w:b/>
        </w:rPr>
        <w:t xml:space="preserve">DOI: </w:t>
      </w:r>
      <w:hyperlink r:id="rId1043">
        <w:r>
          <w:rPr>
            <w:color w:val="1155CC"/>
            <w:u w:val="single"/>
          </w:rPr>
          <w:t>10.1038/s41467-026-71072-0</w:t>
        </w:r>
      </w:hyperlink>
    </w:p>
    <w:p>
      <w:pPr>
        <w:spacing w:before="0" w:after="120"/>
      </w:pPr>
      <w:r>
        <w:rPr>
          <w:b/>
        </w:rPr>
        <w:t xml:space="preserve">Notes: </w:t>
      </w:r>
      <w:r>
        <w:t>abstract_source=nature_html</w:t>
      </w:r>
    </w:p>
    <w:p>
      <w:pPr>
        <w:spacing w:before="0" w:after="80" w:lineRule="auto" w:line="276"/>
      </w:pPr>
      <w:r>
        <w:rPr>
          <w:b/>
        </w:rPr>
        <w:t xml:space="preserve">摘要（ZH）: </w:t>
      </w:r>
      <w:r>
        <w:t>多稳态诱导的滞后现象在机械系统中已被广泛研究，但在流动网络中实验再现这种行为更为困难。自然流动网络如动物和植物的血管系统可以表现出复杂的非线性行为以促进流体运输，因此多稳态流动可能对其功能性提供信息。为了在类似模型系统中探究这种现象，我们利用一个由滞后双稳态电阻器组成的电子网络，该网络设计为具有可调的负微分电阻性。我们展示了系统生成复杂全局记忆状态的能力，这些状态以电压模式的形式出现，由每个元件电流-电压特性的可调非线性介导。我们研究了由有效</w:t>
      </w:r>
    </w:p>
    <w:p>
      <w:pPr>
        <w:spacing w:before="0" w:after="200" w:lineRule="auto" w:line="276"/>
      </w:pPr>
      <w:r>
        <w:rPr>
          <w:b/>
        </w:rPr>
        <w:t xml:space="preserve">Abstract (EN): </w:t>
      </w:r>
      <w:r>
        <w:t>Multistability-induced hysteresis has been widely studied in mechanical systems, but such behavior has proven more difficult to reproduce experimentally in flow networks. Natural flow networks like animal and plant vasculature can exhibit complex nonlinear behavior to facilitate fluid transport, so multistable flows may inform their functionality. To probe such phenomena in an analogous model system, we utilize an electronic network of hysteretic bistable resistors designed to have tunable negative differential resistivity. We demonstrate our system’s capability to generate complex global memory states in the form of voltage patterns, which is mediated by the tunable nonlinearity of each element’s current-voltage characteristic. We investigate avalanching behavior arising from effective interactions, and demonstrate how to encode explicit interactions of arbitrary form by taking advantage of the tunable circuitry design.</w:t>
      </w:r>
    </w:p>
    <w:p>
      <w:pPr>
        <w:spacing w:before="120" w:after="120"/>
      </w:pPr>
      <w:r>
        <w:rPr>
          <w:sz w:val="18"/>
        </w:rPr>
        <w:t>——————————————————————————————————————————————————————————————————————</w:t>
      </w:r>
    </w:p>
    <w:p>
      <w:pPr>
        <w:spacing w:before="160" w:after="40" w:line="240" w:lineRule="auto"/>
      </w:pPr>
      <w:r>
        <w:rPr>
          <w:b/>
        </w:rPr>
        <w:t xml:space="preserve">[440] </w:t>
      </w:r>
      <w:hyperlink r:id="rId1044">
        <w:r>
          <w:rPr>
            <w:color w:val="1155CC"/>
            <w:u w:val="single"/>
          </w:rPr>
          <w:t>贸易对全球水-能源-粮食纽带的双重影响</w:t>
        </w:r>
      </w:hyperlink>
    </w:p>
    <w:p>
      <w:pPr>
        <w:spacing w:before="0" w:after="80"/>
      </w:pPr>
      <w:r>
        <w:rPr>
          <w:i/>
          <w:sz w:val="20"/>
        </w:rPr>
        <w:t>EN: The dual impact of trade on the water–energy–food nexus globally</w:t>
      </w:r>
    </w:p>
    <w:p>
      <w:pPr>
        <w:spacing w:before="0" w:after="120"/>
      </w:pPr>
      <w:r>
        <w:rPr>
          <w:b/>
        </w:rPr>
        <w:t xml:space="preserve">Source: </w:t>
      </w:r>
      <w:r>
        <w:t>Nature Sustainability</w:t>
      </w:r>
      <w:r>
        <w:t xml:space="preserve">    </w:t>
      </w:r>
      <w:r>
        <w:rPr>
          <w:b/>
        </w:rPr>
        <w:t xml:space="preserve">Pub date: </w:t>
      </w:r>
      <w:r>
        <w:t>2026-04-02 00:00:00+00:00</w:t>
      </w:r>
      <w:r>
        <w:t xml:space="preserve">    </w:t>
      </w:r>
      <w:r>
        <w:rPr>
          <w:b/>
        </w:rPr>
        <w:t xml:space="preserve">DOI: </w:t>
      </w:r>
      <w:hyperlink r:id="rId1045">
        <w:r>
          <w:rPr>
            <w:color w:val="1155CC"/>
            <w:u w:val="single"/>
          </w:rPr>
          <w:t>10.1038/s41893-026-01796-w</w:t>
        </w:r>
      </w:hyperlink>
    </w:p>
    <w:p>
      <w:pPr>
        <w:spacing w:before="0" w:after="120"/>
      </w:pPr>
      <w:r>
        <w:rPr>
          <w:b/>
        </w:rPr>
        <w:t xml:space="preserve">Notes: </w:t>
      </w:r>
      <w:r>
        <w:t>abstract_source=nature_html</w:t>
      </w:r>
    </w:p>
    <w:p>
      <w:pPr>
        <w:spacing w:before="0" w:after="80" w:lineRule="auto" w:line="276"/>
      </w:pPr>
      <w:r>
        <w:rPr>
          <w:b/>
        </w:rPr>
        <w:t xml:space="preserve">摘要（ZH）: </w:t>
      </w:r>
      <w:r>
        <w:t>全球贸易通过连接远距离地区的水、能源和食物来支撑可持续发展，但它如何重塑这一纽带中的跨界协同效应和权衡仍然知之甚少。在此，通过构建整合跨境资源流动的水-能源-食物（WEF）网络，我们量化了贸易驱动的WEF纽带变化，对比实际贸易与反事实的无贸易情景。我们发现贸易对WEF纽带有双重影响，既促进合作收益，又加剧跨国差距。高收入国家实现了更强的WEF协同效应，促进了水、能源和食物安全的平衡收益，而低收入和中低收入国家则面临更大的权衡，表现为资源竞争加剧。贸</w:t>
      </w:r>
    </w:p>
    <w:p>
      <w:pPr>
        <w:spacing w:before="0" w:after="200" w:lineRule="auto" w:line="276"/>
      </w:pPr>
      <w:r>
        <w:rPr>
          <w:b/>
        </w:rPr>
        <w:t xml:space="preserve">Abstract (EN): </w:t>
      </w:r>
      <w:r>
        <w:t>Global trade underpins sustainable development by linking water, energy and food across distant regions, yet how it reshapes transboundary synergies and trade-offs within this nexus remains poorly understood. Here, by constructing water–energy–food (WEF) networks that integrate cross-border resource flows, we quantify trade-driven changes in the WEF nexus, contrasting actual trade with counterfactual no-trade scenarios. We find that trade has a dual impact on the WEF nexus, fostering cooperative gains while reinforcing cross-country disparities. High-income countries achieve stronger WEF synergies that promote balanced gains in water, energy and food security, whereas low- and lower-middle-income countries experience greater trade-offs characterized by intensified resource competition. Trade deepens cross-regional imbalances, with Europe and North America strengthening internal coordination and acting as connectors for cross-regional synergies, while Central and South Asia exhibit intensified WEF trade-offs both within and across regions. Food-centred competition over water and energy use drives nexus trade-offs, with factors including tariff barriers, economic expansion and logistics connectivity reinforcing this competition. Our findings suggest that countries can complement existing goal- and country-specific actions with stronger cross-border coordination to reduce WEF nexus inequalities in support of 2030 targets and aspirations towards 2045.</w:t>
      </w:r>
    </w:p>
    <w:p>
      <w:pPr>
        <w:spacing w:before="120" w:after="120"/>
      </w:pPr>
      <w:r>
        <w:rPr>
          <w:sz w:val="18"/>
        </w:rPr>
        <w:t>——————————————————————————————————————————————————————————————————————</w:t>
      </w:r>
    </w:p>
    <w:p>
      <w:pPr>
        <w:spacing w:before="160" w:after="40" w:line="240" w:lineRule="auto"/>
      </w:pPr>
      <w:r>
        <w:rPr>
          <w:b/>
        </w:rPr>
        <w:t xml:space="preserve">[441] </w:t>
      </w:r>
      <w:hyperlink r:id="rId1046">
        <w:r>
          <w:rPr>
            <w:color w:val="1155CC"/>
            <w:u w:val="single"/>
          </w:rPr>
          <w:t>作者更正：基于聚轮烷的超分子诊疗</w:t>
        </w:r>
      </w:hyperlink>
    </w:p>
    <w:p>
      <w:pPr>
        <w:spacing w:before="0" w:after="80"/>
      </w:pPr>
      <w:r>
        <w:rPr>
          <w:i/>
          <w:sz w:val="20"/>
        </w:rPr>
        <w:t>EN: Author Correction: Polyrotaxane-based supramolecular theranostics</w:t>
      </w:r>
    </w:p>
    <w:p>
      <w:pPr>
        <w:spacing w:before="0" w:after="120"/>
      </w:pPr>
      <w:r>
        <w:rPr>
          <w:b/>
        </w:rPr>
        <w:t xml:space="preserve">Source: </w:t>
      </w:r>
      <w:r>
        <w:t>Nature Communications</w:t>
      </w:r>
      <w:r>
        <w:t xml:space="preserve">    </w:t>
      </w:r>
      <w:r>
        <w:rPr>
          <w:b/>
        </w:rPr>
        <w:t xml:space="preserve">Pub date: </w:t>
      </w:r>
      <w:r>
        <w:t>2026-04-02 00:00:00+00:00</w:t>
      </w:r>
      <w:r>
        <w:t xml:space="preserve">    </w:t>
      </w:r>
      <w:r>
        <w:rPr>
          <w:b/>
        </w:rPr>
        <w:t xml:space="preserve">DOI: </w:t>
      </w:r>
      <w:hyperlink r:id="rId1047">
        <w:r>
          <w:rPr>
            <w:color w:val="1155CC"/>
            <w:u w:val="single"/>
          </w:rPr>
          <w:t>10.1038/s41467-026-69976-y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[442] </w:t>
      </w:r>
      <w:hyperlink r:id="rId1048">
        <w:r>
          <w:rPr>
            <w:color w:val="1155CC"/>
            <w:u w:val="single"/>
          </w:rPr>
          <w:t>考虑极端天气下住宅负荷强制供电的灵活资源价值</w:t>
        </w:r>
      </w:hyperlink>
    </w:p>
    <w:p>
      <w:pPr>
        <w:spacing w:before="0" w:after="80"/>
      </w:pPr>
      <w:r>
        <w:rPr>
          <w:i/>
          <w:sz w:val="20"/>
        </w:rPr>
        <w:t>EN: Flexible resource value considering compulsory power supply for residential loads under extreme weather</w:t>
      </w:r>
    </w:p>
    <w:p>
      <w:pPr>
        <w:spacing w:before="0" w:after="120"/>
      </w:pPr>
      <w:r>
        <w:rPr>
          <w:b/>
        </w:rPr>
        <w:t xml:space="preserve">Source: </w:t>
      </w:r>
      <w:r>
        <w:t>ScienceDirect Publication: Applied Energy</w:t>
      </w:r>
      <w:r>
        <w:t xml:space="preserve">    </w:t>
      </w:r>
      <w:r>
        <w:rPr>
          <w:b/>
        </w:rPr>
        <w:t xml:space="preserve">Pub date: </w:t>
      </w:r>
      <w:r>
        <w:t>2026-04-02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[443] </w:t>
      </w:r>
      <w:hyperlink r:id="rId1049">
        <w:r>
          <w:rPr>
            <w:color w:val="1155CC"/>
            <w:u w:val="single"/>
          </w:rPr>
          <w:t>一种用于电动汽车充电负荷预测的异构特征集成相似日选择框架</w:t>
        </w:r>
      </w:hyperlink>
    </w:p>
    <w:p>
      <w:pPr>
        <w:spacing w:before="0" w:after="80"/>
      </w:pPr>
      <w:r>
        <w:rPr>
          <w:i/>
          <w:sz w:val="20"/>
        </w:rPr>
        <w:t>EN: A similar day selection framework with heterogeneous feature integration for electric vehicle charging load forecasting</w:t>
      </w:r>
    </w:p>
    <w:p>
      <w:pPr>
        <w:spacing w:before="0" w:after="120"/>
      </w:pPr>
      <w:r>
        <w:rPr>
          <w:b/>
        </w:rPr>
        <w:t xml:space="preserve">Source: </w:t>
      </w:r>
      <w:r>
        <w:t>ScienceDirect Publication: Applied Energy</w:t>
      </w:r>
      <w:r>
        <w:t xml:space="preserve">    </w:t>
      </w:r>
      <w:r>
        <w:rPr>
          <w:b/>
        </w:rPr>
        <w:t xml:space="preserve">Pub date: </w:t>
      </w:r>
      <w:r>
        <w:t>2026-04-02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[444] </w:t>
      </w:r>
      <w:hyperlink r:id="rId1050">
        <w:r>
          <w:rPr>
            <w:color w:val="1155CC"/>
            <w:u w:val="single"/>
          </w:rPr>
          <w:t>磁场对锂电池快速充电多周期老化影响的建模</w:t>
        </w:r>
      </w:hyperlink>
    </w:p>
    <w:p>
      <w:pPr>
        <w:spacing w:before="0" w:after="80"/>
      </w:pPr>
      <w:r>
        <w:rPr>
          <w:i/>
          <w:sz w:val="20"/>
        </w:rPr>
        <w:t>EN: Modeling effect of magnetic field on multicycle aging under fast charging of lithium battery</w:t>
      </w:r>
    </w:p>
    <w:p>
      <w:pPr>
        <w:spacing w:before="0" w:after="120"/>
      </w:pPr>
      <w:r>
        <w:rPr>
          <w:b/>
        </w:rPr>
        <w:t xml:space="preserve">Source: </w:t>
      </w:r>
      <w:r>
        <w:t>ScienceDirect Publication: Applied Energy</w:t>
      </w:r>
      <w:r>
        <w:t xml:space="preserve">    </w:t>
      </w:r>
      <w:r>
        <w:rPr>
          <w:b/>
        </w:rPr>
        <w:t xml:space="preserve">Pub date: </w:t>
      </w:r>
      <w:r>
        <w:t>2026-04-02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[445] </w:t>
      </w:r>
      <w:hyperlink r:id="rId1051">
        <w:r>
          <w:rPr>
            <w:color w:val="1155CC"/>
            <w:u w:val="single"/>
          </w:rPr>
          <w:t>人工智能驱动的超声波腕带跟踪全手运动</w:t>
        </w:r>
      </w:hyperlink>
    </w:p>
    <w:p>
      <w:pPr>
        <w:spacing w:before="0" w:after="80"/>
      </w:pPr>
      <w:r>
        <w:rPr>
          <w:i/>
          <w:sz w:val="20"/>
        </w:rPr>
        <w:t>EN: Artificial intelligence-powered ultrasound wristband tracks full hand motion</w:t>
      </w:r>
    </w:p>
    <w:p>
      <w:pPr>
        <w:spacing w:before="0" w:after="120"/>
      </w:pPr>
      <w:r>
        <w:rPr>
          <w:b/>
        </w:rPr>
        <w:t xml:space="preserve">Source: </w:t>
      </w:r>
      <w:r>
        <w:t>Nature Electronics</w:t>
      </w:r>
      <w:r>
        <w:t xml:space="preserve">    </w:t>
      </w:r>
      <w:r>
        <w:rPr>
          <w:b/>
        </w:rPr>
        <w:t xml:space="preserve">Pub date: </w:t>
      </w:r>
      <w:r>
        <w:t>2026-04-02 00:00:00+00:00</w:t>
      </w:r>
      <w:r>
        <w:t xml:space="preserve">    </w:t>
      </w:r>
      <w:r>
        <w:rPr>
          <w:b/>
        </w:rPr>
        <w:t xml:space="preserve">DOI: </w:t>
      </w:r>
      <w:hyperlink r:id="rId1052">
        <w:r>
          <w:rPr>
            <w:color w:val="1155CC"/>
            <w:u w:val="single"/>
          </w:rPr>
          <w:t>10.1038/s41928-026-01602-7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[446] </w:t>
      </w:r>
      <w:hyperlink r:id="rId1053">
        <w:r>
          <w:rPr>
            <w:color w:val="1155CC"/>
            <w:u w:val="single"/>
          </w:rPr>
          <w:t>交配还是捕食？</w:t>
        </w:r>
      </w:hyperlink>
    </w:p>
    <w:p>
      <w:pPr>
        <w:spacing w:before="0" w:after="80"/>
      </w:pPr>
      <w:r>
        <w:rPr>
          <w:i/>
          <w:sz w:val="20"/>
        </w:rPr>
        <w:t>EN: To mate or predate?</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54">
        <w:r>
          <w:rPr>
            <w:color w:val="1155CC"/>
            <w:u w:val="single"/>
          </w:rPr>
          <w:t>10.1126/science.aeg4381</w:t>
        </w:r>
      </w:hyperlink>
    </w:p>
    <w:p>
      <w:pPr>
        <w:spacing w:before="0" w:after="120"/>
      </w:pPr>
      <w:r>
        <w:rPr>
          <w:b/>
        </w:rPr>
        <w:t xml:space="preserve">Notes: </w:t>
      </w:r>
      <w:r>
        <w:t>abstract_source=crossref</w:t>
      </w:r>
    </w:p>
    <w:p>
      <w:pPr>
        <w:spacing w:before="0" w:after="80" w:lineRule="auto" w:line="276"/>
      </w:pPr>
      <w:r>
        <w:rPr>
          <w:b/>
        </w:rPr>
        <w:t xml:space="preserve">摘要（ZH）: </w:t>
      </w:r>
      <w:r>
        <w:t>章鱼使用相同的系统来感知食物或配偶，这对物种形成有影响</w:t>
      </w:r>
    </w:p>
    <w:p>
      <w:pPr>
        <w:spacing w:before="0" w:after="200" w:lineRule="auto" w:line="276"/>
      </w:pPr>
      <w:r>
        <w:rPr>
          <w:b/>
        </w:rPr>
        <w:t xml:space="preserve">Abstract (EN): </w:t>
      </w:r>
      <w:r>
        <w:t>Octopuses use the same system for sensing food or a mate, which has implications for speciation</w:t>
      </w:r>
    </w:p>
    <w:p>
      <w:pPr>
        <w:spacing w:before="120" w:after="120"/>
      </w:pPr>
      <w:r>
        <w:rPr>
          <w:sz w:val="18"/>
        </w:rPr>
        <w:t>——————————————————————————————————————————————————————————————————————</w:t>
      </w:r>
    </w:p>
    <w:p>
      <w:pPr>
        <w:spacing w:before="160" w:after="40" w:line="240" w:lineRule="auto"/>
      </w:pPr>
      <w:r>
        <w:rPr>
          <w:b/>
        </w:rPr>
        <w:t xml:space="preserve">[447] </w:t>
      </w:r>
      <w:hyperlink r:id="rId1055">
        <w:r>
          <w:rPr>
            <w:color w:val="1155CC"/>
            <w:u w:val="single"/>
          </w:rPr>
          <w:t>对抗新生儿死亡率的斗争正在失去动力</w:t>
        </w:r>
      </w:hyperlink>
    </w:p>
    <w:p>
      <w:pPr>
        <w:spacing w:before="0" w:after="80"/>
      </w:pPr>
      <w:r>
        <w:rPr>
          <w:i/>
          <w:sz w:val="20"/>
        </w:rPr>
        <w:t>EN: Fight against neonatal mortality is losing steam</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56">
        <w:r>
          <w:rPr>
            <w:color w:val="1155CC"/>
            <w:u w:val="single"/>
          </w:rPr>
          <w:t>10.1126/science.aeh6874</w:t>
        </w:r>
      </w:hyperlink>
    </w:p>
    <w:p>
      <w:pPr>
        <w:spacing w:before="0" w:after="120"/>
      </w:pPr>
      <w:r>
        <w:rPr>
          <w:b/>
        </w:rPr>
        <w:t xml:space="preserve">Notes: </w:t>
      </w:r>
      <w:r>
        <w:t>abstract_source=crossref</w:t>
      </w:r>
    </w:p>
    <w:p>
      <w:pPr>
        <w:spacing w:before="0" w:after="80" w:lineRule="auto" w:line="276"/>
      </w:pPr>
      <w:r>
        <w:rPr>
          <w:b/>
        </w:rPr>
        <w:t xml:space="preserve">摘要（ZH）: </w:t>
      </w:r>
      <w:r>
        <w:t>超过60个国家未能达到联合国2030年目标——尽管解决方案已经存在</w:t>
      </w:r>
    </w:p>
    <w:p>
      <w:pPr>
        <w:spacing w:before="0" w:after="200" w:lineRule="auto" w:line="276"/>
      </w:pPr>
      <w:r>
        <w:rPr>
          <w:b/>
        </w:rPr>
        <w:t xml:space="preserve">Abstract (EN): </w:t>
      </w:r>
      <w:r>
        <w:t>More than 60 countries are off track to meet U.N. target for 2030—even though solutions exist</w:t>
      </w:r>
    </w:p>
    <w:p>
      <w:pPr>
        <w:spacing w:before="120" w:after="120"/>
      </w:pPr>
      <w:r>
        <w:rPr>
          <w:sz w:val="18"/>
        </w:rPr>
        <w:t>——————————————————————————————————————————————————————————————————————</w:t>
      </w:r>
    </w:p>
    <w:p>
      <w:pPr>
        <w:spacing w:before="160" w:after="40" w:line="240" w:lineRule="auto"/>
      </w:pPr>
      <w:r>
        <w:rPr>
          <w:b/>
        </w:rPr>
        <w:t xml:space="preserve">[448] </w:t>
      </w:r>
      <w:hyperlink r:id="rId1057">
        <w:r>
          <w:rPr>
            <w:color w:val="1155CC"/>
            <w:u w:val="single"/>
          </w:rPr>
          <w:t>宇宙幻象</w:t>
        </w:r>
      </w:hyperlink>
    </w:p>
    <w:p>
      <w:pPr>
        <w:spacing w:before="0" w:after="80"/>
      </w:pPr>
      <w:r>
        <w:rPr>
          <w:i/>
          <w:sz w:val="20"/>
        </w:rPr>
        <w:t>EN: Cosmic illusions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58">
        <w:r>
          <w:rPr>
            <w:color w:val="1155CC"/>
            <w:u w:val="single"/>
          </w:rPr>
          <w:t>10.1126/science.aeh6847</w:t>
        </w:r>
      </w:hyperlink>
    </w:p>
    <w:p>
      <w:pPr>
        <w:spacing w:before="0" w:after="120"/>
      </w:pPr>
      <w:r>
        <w:rPr>
          <w:b/>
        </w:rPr>
        <w:t xml:space="preserve">Notes: </w:t>
      </w:r>
      <w:r>
        <w:t>abstract_source=crossref</w:t>
      </w:r>
    </w:p>
    <w:p>
      <w:pPr>
        <w:spacing w:before="0" w:after="80" w:lineRule="auto" w:line="276"/>
      </w:pPr>
      <w:r>
        <w:rPr>
          <w:b/>
        </w:rPr>
        <w:t xml:space="preserve">摘要（ZH）: </w:t>
      </w:r>
      <w:r>
        <w:t>恒星爆炸的光线因重力弯曲而似乎重现，这可能解决关于宇宙膨胀速度的争议</w:t>
      </w:r>
    </w:p>
    <w:p>
      <w:pPr>
        <w:spacing w:before="0" w:after="200" w:lineRule="auto" w:line="276"/>
      </w:pPr>
      <w:r>
        <w:rPr>
          <w:b/>
        </w:rPr>
        <w:t xml:space="preserve">Abstract (EN): </w:t>
      </w:r>
      <w:r>
        <w:t>Stellar explosions seemingly replayed as gravity bends their light could resolve a dispute over the speed of the expanding universe</w:t>
      </w:r>
    </w:p>
    <w:p>
      <w:pPr>
        <w:spacing w:before="120" w:after="120"/>
      </w:pPr>
      <w:r>
        <w:rPr>
          <w:sz w:val="18"/>
        </w:rPr>
        <w:t>——————————————————————————————————————————————————————————————————————</w:t>
      </w:r>
    </w:p>
    <w:p>
      <w:pPr>
        <w:spacing w:before="160" w:after="40" w:line="240" w:lineRule="auto"/>
      </w:pPr>
      <w:r>
        <w:rPr>
          <w:b/>
        </w:rPr>
        <w:t xml:space="preserve">[449] </w:t>
      </w:r>
      <w:hyperlink r:id="rId1059">
        <w:r>
          <w:rPr>
            <w:color w:val="1155CC"/>
            <w:u w:val="single"/>
          </w:rPr>
          <w:t>新产品</w:t>
        </w:r>
      </w:hyperlink>
    </w:p>
    <w:p>
      <w:pPr>
        <w:spacing w:before="0" w:after="80"/>
      </w:pPr>
      <w:r>
        <w:rPr>
          <w:i/>
          <w:sz w:val="20"/>
        </w:rPr>
        <w:t>EN: New Products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60">
        <w:r>
          <w:rPr>
            <w:color w:val="1155CC"/>
            <w:u w:val="single"/>
          </w:rPr>
          <w:t>10.1126/science.aeh6473</w:t>
        </w:r>
      </w:hyperlink>
    </w:p>
    <w:p>
      <w:pPr>
        <w:spacing w:before="0" w:after="120"/>
      </w:pPr>
      <w:r>
        <w:rPr>
          <w:b/>
        </w:rPr>
        <w:t xml:space="preserve">Notes: </w:t>
      </w:r>
      <w:r>
        <w:t>abstract_source=crossref</w:t>
      </w:r>
    </w:p>
    <w:p>
      <w:pPr>
        <w:spacing w:before="0" w:after="80" w:lineRule="auto" w:line="276"/>
      </w:pPr>
      <w:r>
        <w:rPr>
          <w:b/>
        </w:rPr>
        <w:t xml:space="preserve">摘要（ZH）: </w:t>
      </w:r>
      <w:r>
        <w:t>每周汇总新提供的仪器、设备和实验室材料的信息，可能对研究人员感兴趣。</w:t>
      </w:r>
    </w:p>
    <w:p>
      <w:pPr>
        <w:spacing w:before="0" w:after="200" w:lineRule="auto" w:line="276"/>
      </w:pPr>
      <w:r>
        <w:rPr>
          <w:b/>
        </w:rPr>
        <w:t xml:space="preserve">Abstract (EN): </w:t>
      </w:r>
      <w:r>
        <w:t>A weekly roundup of information on newly offered instrumentation, apparatus, and laboratory materials of potential interest to researchers.</w:t>
      </w:r>
    </w:p>
    <w:p>
      <w:pPr>
        <w:spacing w:before="120" w:after="120"/>
      </w:pPr>
      <w:r>
        <w:rPr>
          <w:sz w:val="18"/>
        </w:rPr>
        <w:t>——————————————————————————————————————————————————————————————————————</w:t>
      </w:r>
    </w:p>
    <w:p>
      <w:pPr>
        <w:spacing w:before="160" w:after="40" w:line="240" w:lineRule="auto"/>
      </w:pPr>
      <w:r>
        <w:rPr>
          <w:b/>
        </w:rPr>
        <w:t xml:space="preserve">[450] </w:t>
      </w:r>
      <w:hyperlink r:id="rId1061">
        <w:r>
          <w:rPr>
            <w:color w:val="1155CC"/>
            <w:u w:val="single"/>
          </w:rPr>
          <w:t>支持伊朗的海外学者</w:t>
        </w:r>
      </w:hyperlink>
    </w:p>
    <w:p>
      <w:pPr>
        <w:spacing w:before="0" w:after="80"/>
      </w:pPr>
      <w:r>
        <w:rPr>
          <w:i/>
          <w:sz w:val="20"/>
        </w:rPr>
        <w:t>EN: Support Iran’s diaspora scholars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62">
        <w:r>
          <w:rPr>
            <w:color w:val="1155CC"/>
            <w:u w:val="single"/>
          </w:rPr>
          <w:t>10.1126/science.aeg3470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[451] </w:t>
      </w:r>
      <w:hyperlink r:id="rId1063">
        <w:r>
          <w:rPr>
            <w:color w:val="1155CC"/>
            <w:u w:val="single"/>
          </w:rPr>
          <w:t>非洲面临风险的一个被忽视的哨兵</w:t>
        </w:r>
      </w:hyperlink>
    </w:p>
    <w:p>
      <w:pPr>
        <w:spacing w:before="0" w:after="80"/>
      </w:pPr>
      <w:r>
        <w:rPr>
          <w:i/>
          <w:sz w:val="20"/>
        </w:rPr>
        <w:t>EN: An overlooked sentinel at risk in Africa</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64">
        <w:r>
          <w:rPr>
            <w:color w:val="1155CC"/>
            <w:u w:val="single"/>
          </w:rPr>
          <w:t>10.1126/science.aeg5480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[452] </w:t>
      </w:r>
      <w:hyperlink r:id="rId1065">
        <w:r>
          <w:rPr>
            <w:color w:val="1155CC"/>
            <w:u w:val="single"/>
          </w:rPr>
          <w:t>美国帮助世界抗击艾滋病毒的一个备受推崇的努力是否面临灭绝？</w:t>
        </w:r>
      </w:hyperlink>
    </w:p>
    <w:p>
      <w:pPr>
        <w:spacing w:before="0" w:after="80"/>
      </w:pPr>
      <w:r>
        <w:rPr>
          <w:i/>
          <w:sz w:val="20"/>
        </w:rPr>
        <w:t>EN: Is a heralded U.S. effort to help the world battle HIV facing extinction?</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66">
        <w:r>
          <w:rPr>
            <w:color w:val="1155CC"/>
            <w:u w:val="single"/>
          </w:rPr>
          <w:t>10.1126/science.aeh6878</w:t>
        </w:r>
      </w:hyperlink>
    </w:p>
    <w:p>
      <w:pPr>
        <w:spacing w:before="0" w:after="120"/>
      </w:pPr>
      <w:r>
        <w:rPr>
          <w:b/>
        </w:rPr>
        <w:t xml:space="preserve">Notes: </w:t>
      </w:r>
      <w:r>
        <w:t>abstract_source=crossref</w:t>
      </w:r>
    </w:p>
    <w:p>
      <w:pPr>
        <w:spacing w:before="0" w:after="80" w:lineRule="auto" w:line="276"/>
      </w:pPr>
      <w:r>
        <w:rPr>
          <w:b/>
        </w:rPr>
        <w:t xml:space="preserve">摘要（ZH）: </w:t>
      </w:r>
      <w:r>
        <w:t>PEPFAR的资金延迟使预防和治疗面临风险</w:t>
      </w:r>
    </w:p>
    <w:p>
      <w:pPr>
        <w:spacing w:before="0" w:after="200" w:lineRule="auto" w:line="276"/>
      </w:pPr>
      <w:r>
        <w:rPr>
          <w:b/>
        </w:rPr>
        <w:t xml:space="preserve">Abstract (EN): </w:t>
      </w:r>
      <w:r>
        <w:t>Funding holdups for PEPFAR put prevention and treatment at risk</w:t>
      </w:r>
    </w:p>
    <w:p>
      <w:pPr>
        <w:spacing w:before="120" w:after="120"/>
      </w:pPr>
      <w:r>
        <w:rPr>
          <w:sz w:val="18"/>
        </w:rPr>
        <w:t>——————————————————————————————————————————————————————————————————————</w:t>
      </w:r>
    </w:p>
    <w:p>
      <w:pPr>
        <w:spacing w:before="160" w:after="40" w:line="240" w:lineRule="auto"/>
      </w:pPr>
      <w:r>
        <w:rPr>
          <w:b/>
        </w:rPr>
        <w:t xml:space="preserve">[453] </w:t>
      </w:r>
      <w:hyperlink r:id="rId1067">
        <w:r>
          <w:rPr>
            <w:color w:val="1155CC"/>
            <w:u w:val="single"/>
          </w:rPr>
          <w:t>珍珠串上的线粒体基因组</w:t>
        </w:r>
      </w:hyperlink>
    </w:p>
    <w:p>
      <w:pPr>
        <w:spacing w:before="0" w:after="80"/>
      </w:pPr>
      <w:r>
        <w:rPr>
          <w:i/>
          <w:sz w:val="20"/>
        </w:rPr>
        <w:t>EN: Mitochondrial genomes on a string of pearls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68">
        <w:r>
          <w:rPr>
            <w:color w:val="1155CC"/>
            <w:u w:val="single"/>
          </w:rPr>
          <w:t>10.1126/science.aeg3426</w:t>
        </w:r>
      </w:hyperlink>
    </w:p>
    <w:p>
      <w:pPr>
        <w:spacing w:before="0" w:after="120"/>
      </w:pPr>
      <w:r>
        <w:rPr>
          <w:b/>
        </w:rPr>
        <w:t xml:space="preserve">Notes: </w:t>
      </w:r>
      <w:r>
        <w:t>abstract_source=crossref</w:t>
      </w:r>
    </w:p>
    <w:p>
      <w:pPr>
        <w:spacing w:before="0" w:after="80" w:lineRule="auto" w:line="276"/>
      </w:pPr>
      <w:r>
        <w:rPr>
          <w:b/>
        </w:rPr>
        <w:t xml:space="preserve">摘要（ZH）: </w:t>
      </w:r>
      <w:r>
        <w:t>瞬时膜收缩，或称“珍珠化”，是线粒体基因组规则间隔的基础</w:t>
      </w:r>
    </w:p>
    <w:p>
      <w:pPr>
        <w:spacing w:before="0" w:after="200" w:lineRule="auto" w:line="276"/>
      </w:pPr>
      <w:r>
        <w:rPr>
          <w:b/>
        </w:rPr>
        <w:t xml:space="preserve">Abstract (EN): </w:t>
      </w:r>
      <w:r>
        <w:t>Transient membrane constrictions, or “pearling,” underlie the regular spacing of mitochondrial genomes</w:t>
      </w:r>
    </w:p>
    <w:p>
      <w:pPr>
        <w:spacing w:before="120" w:after="120"/>
      </w:pPr>
      <w:r>
        <w:rPr>
          <w:sz w:val="18"/>
        </w:rPr>
        <w:t>——————————————————————————————————————————————————————————————————————</w:t>
      </w:r>
    </w:p>
    <w:p>
      <w:pPr>
        <w:spacing w:before="160" w:after="40" w:line="240" w:lineRule="auto"/>
      </w:pPr>
      <w:r>
        <w:rPr>
          <w:b/>
        </w:rPr>
        <w:t xml:space="preserve">[454] </w:t>
      </w:r>
      <w:hyperlink r:id="rId1069">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70">
        <w:r>
          <w:rPr>
            <w:color w:val="1155CC"/>
            <w:u w:val="single"/>
          </w:rPr>
          <w:t>10.1126/science.aeh6472</w:t>
        </w:r>
      </w:hyperlink>
    </w:p>
    <w:p>
      <w:pPr>
        <w:spacing w:before="0" w:after="120"/>
      </w:pPr>
      <w:r>
        <w:rPr>
          <w:b/>
        </w:rPr>
        <w:t xml:space="preserve">Notes: </w:t>
      </w:r>
      <w:r>
        <w:t>abstract_source=crossref</w:t>
      </w:r>
    </w:p>
    <w:p>
      <w:pPr>
        <w:spacing w:before="0" w:after="80" w:lineRule="auto" w:line="276"/>
      </w:pPr>
      <w:r>
        <w:rPr>
          <w:b/>
        </w:rPr>
        <w:t xml:space="preserve">摘要（ZH）: </w:t>
      </w:r>
      <w:r>
        <w:t>当前科学文献的编辑精选</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[455] </w:t>
      </w:r>
      <w:hyperlink r:id="rId1071">
        <w:r>
          <w:rPr>
            <w:color w:val="1155CC"/>
            <w:u w:val="single"/>
          </w:rPr>
          <w:t>血液治愈</w:t>
        </w:r>
      </w:hyperlink>
    </w:p>
    <w:p>
      <w:pPr>
        <w:spacing w:before="0" w:after="80"/>
      </w:pPr>
      <w:r>
        <w:rPr>
          <w:i/>
          <w:sz w:val="20"/>
        </w:rPr>
        <w:t>EN: Cured by blood</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72">
        <w:r>
          <w:rPr>
            <w:color w:val="1155CC"/>
            <w:u w:val="single"/>
          </w:rPr>
          <w:t>10.1126/science.aeg1547</w:t>
        </w:r>
      </w:hyperlink>
    </w:p>
    <w:p>
      <w:pPr>
        <w:spacing w:before="0" w:after="120"/>
      </w:pPr>
      <w:r>
        <w:rPr>
          <w:b/>
        </w:rPr>
        <w:t xml:space="preserve">Notes: </w:t>
      </w:r>
      <w:r>
        <w:t>abstract_source=crossref</w:t>
      </w:r>
    </w:p>
    <w:p>
      <w:pPr>
        <w:spacing w:before="0" w:after="80" w:lineRule="auto" w:line="276"/>
      </w:pPr>
      <w:r>
        <w:rPr>
          <w:b/>
        </w:rPr>
        <w:t xml:space="preserve">摘要（ZH）: </w:t>
      </w:r>
      <w:r>
        <w:t>一种光敏半导体聚合物在活体动物体内通过血液蛋白催化剂合成</w:t>
      </w:r>
    </w:p>
    <w:p>
      <w:pPr>
        <w:spacing w:before="0" w:after="200" w:lineRule="auto" w:line="276"/>
      </w:pPr>
      <w:r>
        <w:rPr>
          <w:b/>
        </w:rPr>
        <w:t xml:space="preserve">Abstract (EN): </w:t>
      </w:r>
      <w:r>
        <w:t>A light-sensitive semiconductive polymer is synthesized within living animals by a blood protein catalyst</w:t>
      </w:r>
    </w:p>
    <w:p>
      <w:pPr>
        <w:spacing w:before="120" w:after="120"/>
      </w:pPr>
      <w:r>
        <w:rPr>
          <w:sz w:val="18"/>
        </w:rPr>
        <w:t>——————————————————————————————————————————————————————————————————————</w:t>
      </w:r>
    </w:p>
    <w:p>
      <w:pPr>
        <w:spacing w:before="160" w:after="40" w:line="240" w:lineRule="auto"/>
      </w:pPr>
      <w:r>
        <w:rPr>
          <w:b/>
        </w:rPr>
        <w:t xml:space="preserve">[456] </w:t>
      </w:r>
      <w:hyperlink r:id="rId1073">
        <w:r>
          <w:rPr>
            <w:color w:val="1155CC"/>
            <w:u w:val="single"/>
          </w:rPr>
          <w:t>线粒体增强对抗癌症的免疫力</w:t>
        </w:r>
      </w:hyperlink>
    </w:p>
    <w:p>
      <w:pPr>
        <w:spacing w:before="0" w:after="80"/>
      </w:pPr>
      <w:r>
        <w:rPr>
          <w:i/>
          <w:sz w:val="20"/>
        </w:rPr>
        <w:t>EN: Mitochondria power immunity against cancer</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74">
        <w:r>
          <w:rPr>
            <w:color w:val="1155CC"/>
            <w:u w:val="single"/>
          </w:rPr>
          <w:t>10.1126/science.aeg4325</w:t>
        </w:r>
      </w:hyperlink>
    </w:p>
    <w:p>
      <w:pPr>
        <w:spacing w:before="0" w:after="120"/>
      </w:pPr>
      <w:r>
        <w:rPr>
          <w:b/>
        </w:rPr>
        <w:t xml:space="preserve">Notes: </w:t>
      </w:r>
      <w:r>
        <w:t>abstract_source=crossref</w:t>
      </w:r>
    </w:p>
    <w:p>
      <w:pPr>
        <w:spacing w:before="0" w:after="80" w:lineRule="auto" w:line="276"/>
      </w:pPr>
      <w:r>
        <w:rPr>
          <w:b/>
        </w:rPr>
        <w:t xml:space="preserve">摘要（ZH）: </w:t>
      </w:r>
      <w:r>
        <w:t>一部分树突状细胞依赖线粒体健康来触发小鼠的抗肿瘤反应</w:t>
      </w:r>
    </w:p>
    <w:p>
      <w:pPr>
        <w:spacing w:before="0" w:after="200" w:lineRule="auto" w:line="276"/>
      </w:pPr>
      <w:r>
        <w:rPr>
          <w:b/>
        </w:rPr>
        <w:t xml:space="preserve">Abstract (EN): </w:t>
      </w:r>
      <w:r>
        <w:t>A subset of dendritic cells relies on mitochondrial fitness to trigger antitumor responses in mice</w:t>
      </w:r>
    </w:p>
    <w:p>
      <w:pPr>
        <w:spacing w:before="120" w:after="120"/>
      </w:pPr>
      <w:r>
        <w:rPr>
          <w:sz w:val="18"/>
        </w:rPr>
        <w:t>——————————————————————————————————————————————————————————————————————</w:t>
      </w:r>
    </w:p>
    <w:p>
      <w:pPr>
        <w:spacing w:before="160" w:after="40" w:line="240" w:lineRule="auto"/>
      </w:pPr>
      <w:r>
        <w:rPr>
          <w:b/>
        </w:rPr>
        <w:t xml:space="preserve">[457] </w:t>
      </w:r>
      <w:hyperlink r:id="rId1075">
        <w:r>
          <w:rPr>
            <w:color w:val="1155CC"/>
            <w:u w:val="single"/>
          </w:rPr>
          <w:t>累积压力威胁红海</w:t>
        </w:r>
      </w:hyperlink>
    </w:p>
    <w:p>
      <w:pPr>
        <w:spacing w:before="0" w:after="80"/>
      </w:pPr>
      <w:r>
        <w:rPr>
          <w:i/>
          <w:sz w:val="20"/>
        </w:rPr>
        <w:t>EN: Cumulative pressures threaten the Red Sea</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76">
        <w:r>
          <w:rPr>
            <w:color w:val="1155CC"/>
            <w:u w:val="single"/>
          </w:rPr>
          <w:t>10.1126/science.aeg1913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[458] </w:t>
      </w:r>
      <w:hyperlink r:id="rId1077">
        <w:r>
          <w:rPr>
            <w:color w:val="1155CC"/>
            <w:u w:val="single"/>
          </w:rPr>
          <w:t>高等教育必须弥合人工智能差距</w:t>
        </w:r>
      </w:hyperlink>
    </w:p>
    <w:p>
      <w:pPr>
        <w:spacing w:before="0" w:after="80"/>
      </w:pPr>
      <w:r>
        <w:rPr>
          <w:i/>
          <w:sz w:val="20"/>
        </w:rPr>
        <w:t>EN: Higher education must bridge the AI gap</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78">
        <w:r>
          <w:rPr>
            <w:color w:val="1155CC"/>
            <w:u w:val="single"/>
          </w:rPr>
          <w:t>10.1126/science.aeh5777</w:t>
        </w:r>
      </w:hyperlink>
    </w:p>
    <w:p>
      <w:pPr>
        <w:spacing w:before="0" w:after="120"/>
      </w:pPr>
      <w:r>
        <w:rPr>
          <w:b/>
        </w:rPr>
        <w:t xml:space="preserve">Notes: </w:t>
      </w:r>
      <w:r>
        <w:t>abstract_source=crossref</w:t>
      </w:r>
    </w:p>
    <w:p>
      <w:pPr>
        <w:spacing w:before="0" w:after="80" w:lineRule="auto" w:line="276"/>
      </w:pPr>
      <w:r>
        <w:rPr>
          <w:b/>
        </w:rPr>
        <w:t xml:space="preserve">摘要（ZH）: </w:t>
      </w:r>
      <w:r>
        <w:t>关于人工智能（AI）如何改变世界的讨论层出不穷。AI及其应用的进步速度超过了监管和伦理框架。面对这些挑战，高等教育必须培养学生成为流利、智能和有道德的AI用户，并努力确保AI的益处广泛惠及各个社区。</w:t>
      </w:r>
    </w:p>
    <w:p>
      <w:pPr>
        <w:spacing w:before="0" w:after="200" w:lineRule="auto" w:line="276"/>
      </w:pPr>
      <w:r>
        <w:rPr>
          <w:b/>
        </w:rPr>
        <w:t xml:space="preserve">Abstract (EN): </w:t>
      </w:r>
      <w:r>
        <w:t>Conversations abound about how artificial intelligence (AI) is changing the world. AI and its applications are advancing at a pace that outstrips regulatory and ethical frameworks. In the face of these challenges, higher education must develop students into fluent, intelligent, and ethical users of AI and work to ensure that the benefits of AI reach broadly across communities.</w:t>
      </w:r>
    </w:p>
    <w:p>
      <w:pPr>
        <w:spacing w:before="120" w:after="120"/>
      </w:pPr>
      <w:r>
        <w:rPr>
          <w:sz w:val="18"/>
        </w:rPr>
        <w:t>——————————————————————————————————————————————————————————————————————</w:t>
      </w:r>
    </w:p>
    <w:p>
      <w:pPr>
        <w:spacing w:before="160" w:after="40" w:line="240" w:lineRule="auto"/>
      </w:pPr>
      <w:r>
        <w:rPr>
          <w:b/>
        </w:rPr>
        <w:t xml:space="preserve">[459] </w:t>
      </w:r>
      <w:hyperlink r:id="rId1079">
        <w:r>
          <w:rPr>
            <w:color w:val="1155CC"/>
            <w:u w:val="single"/>
          </w:rPr>
          <w:t>解开LINEs的奥秘</w:t>
        </w:r>
      </w:hyperlink>
    </w:p>
    <w:p>
      <w:pPr>
        <w:spacing w:before="0" w:after="80"/>
      </w:pPr>
      <w:r>
        <w:rPr>
          <w:i/>
          <w:sz w:val="20"/>
        </w:rPr>
        <w:t>EN: Untangling the LINEs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80">
        <w:r>
          <w:rPr>
            <w:color w:val="1155CC"/>
            <w:u w:val="single"/>
          </w:rPr>
          <w:t>10.1126/science.aeg4663</w:t>
        </w:r>
      </w:hyperlink>
    </w:p>
    <w:p>
      <w:pPr>
        <w:spacing w:before="0" w:after="120"/>
      </w:pPr>
      <w:r>
        <w:rPr>
          <w:b/>
        </w:rPr>
        <w:t xml:space="preserve">Notes: </w:t>
      </w:r>
      <w:r>
        <w:t>abstract_source=crossref</w:t>
      </w:r>
    </w:p>
    <w:p>
      <w:pPr>
        <w:spacing w:before="0" w:after="80" w:lineRule="auto" w:line="276"/>
      </w:pPr>
      <w:r>
        <w:rPr>
          <w:b/>
        </w:rPr>
        <w:t xml:space="preserve">摘要（ZH）: </w:t>
      </w:r>
      <w:r>
        <w:t>癌症基因组的长读长测序揭示了由移动元素驱动的基因组重排</w:t>
      </w:r>
    </w:p>
    <w:p>
      <w:pPr>
        <w:spacing w:before="0" w:after="200" w:lineRule="auto" w:line="276"/>
      </w:pPr>
      <w:r>
        <w:rPr>
          <w:b/>
        </w:rPr>
        <w:t xml:space="preserve">Abstract (EN): </w:t>
      </w:r>
      <w:r>
        <w:t>Long-read sequencing of cancer genomes reveals genomic rearrangements driven by mobile elements</w:t>
      </w:r>
    </w:p>
    <w:p>
      <w:pPr>
        <w:spacing w:before="120" w:after="120"/>
      </w:pPr>
      <w:r>
        <w:rPr>
          <w:sz w:val="18"/>
        </w:rPr>
        <w:t>——————————————————————————————————————————————————————————————————————</w:t>
      </w:r>
    </w:p>
    <w:p>
      <w:pPr>
        <w:spacing w:before="160" w:after="40" w:line="240" w:lineRule="auto"/>
      </w:pPr>
      <w:r>
        <w:rPr>
          <w:b/>
        </w:rPr>
        <w:t xml:space="preserve">[460] </w:t>
      </w:r>
      <w:hyperlink r:id="rId1081">
        <w:r>
          <w:rPr>
            <w:color w:val="1155CC"/>
            <w:u w:val="single"/>
          </w:rPr>
          <w:t>实现健康、可持续和公平饮食转型的策略</w:t>
        </w:r>
      </w:hyperlink>
    </w:p>
    <w:p>
      <w:pPr>
        <w:spacing w:before="0" w:after="80"/>
      </w:pPr>
      <w:r>
        <w:rPr>
          <w:i/>
          <w:sz w:val="20"/>
        </w:rPr>
        <w:t>EN: Strategies for achieving healthy, sustainable, and equitable dietary transitions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82">
        <w:r>
          <w:rPr>
            <w:color w:val="1155CC"/>
            <w:u w:val="single"/>
          </w:rPr>
          <w:t>10.1126/science.adr7162</w:t>
        </w:r>
      </w:hyperlink>
    </w:p>
    <w:p>
      <w:pPr>
        <w:spacing w:before="0" w:after="120"/>
      </w:pPr>
      <w:r>
        <w:rPr>
          <w:b/>
        </w:rPr>
        <w:t xml:space="preserve">Notes: </w:t>
      </w:r>
      <w:r>
        <w:t>abstract_source=crossref</w:t>
      </w:r>
    </w:p>
    <w:p>
      <w:pPr>
        <w:spacing w:before="0" w:after="80" w:lineRule="auto" w:line="276"/>
      </w:pPr>
      <w:r>
        <w:rPr>
          <w:b/>
        </w:rPr>
        <w:t xml:space="preserve">摘要（ZH）: </w:t>
      </w:r>
      <w:r>
        <w:t>全球食品系统的工业化导致了对健康和环境有害的饮食变化。如果全球食品系统要满足不断增长的人口对健康、环境可持续和负担得起的饮食的需求，就需要进行重大变革。在这篇综述中，我们综合了越来越多的实证证据，揭示了影响消费者饮食和农民生产选择的复杂因素，特别是塑造食品环境的公共和私人实体的作用。我们概述了有助于促进全球有益饮食转型的有前景的干预措施，包括产品创新的研究与开发、食品环境的监管以及食品援助和食品即药物计划。理解和协调动机和激励措施</w:t>
      </w:r>
    </w:p>
    <w:p>
      <w:pPr>
        <w:spacing w:before="0" w:after="200" w:lineRule="auto" w:line="276"/>
      </w:pPr>
      <w:r>
        <w:rPr>
          <w:b/>
        </w:rPr>
        <w:t xml:space="preserve">Abstract (EN): </w:t>
      </w:r>
      <w:r>
        <w:t>The industrialization of global food systems has led to dietary changes that harm both health and the environment. If global food systems are to meet the needs of a growing population for healthy, environmentally sustainable, and affordable diets, substantial changes will be required. In this Review, we synthesize growing empirical evidence on the complexity of factors that influence consumer dietary and farmer production choices, especially the roles of public and private entities that shape food environments. We outline promising interventions to help facilitate beneficial global dietary transitions, including research and development for product innovation, regulation of food environments, and food assistance and food-as-medicine programs. Understanding and aligning the motives and incentives of various food system actors is essential to achieve improved health, environment, and equity outcomes.</w:t>
      </w:r>
    </w:p>
    <w:p>
      <w:pPr>
        <w:spacing w:before="120" w:after="120"/>
      </w:pPr>
      <w:r>
        <w:rPr>
          <w:sz w:val="18"/>
        </w:rPr>
        <w:t>——————————————————————————————————————————————————————————————————————</w:t>
      </w:r>
    </w:p>
    <w:p>
      <w:pPr>
        <w:spacing w:before="160" w:after="40" w:line="240" w:lineRule="auto"/>
      </w:pPr>
      <w:r>
        <w:rPr>
          <w:b/>
        </w:rPr>
        <w:t xml:space="preserve">[461] </w:t>
      </w:r>
      <w:hyperlink r:id="rId1083">
        <w:r>
          <w:rPr>
            <w:color w:val="1155CC"/>
            <w:u w:val="single"/>
          </w:rPr>
          <w:t>美国封锁打击古巴的医疗和科学</w:t>
        </w:r>
      </w:hyperlink>
    </w:p>
    <w:p>
      <w:pPr>
        <w:spacing w:before="0" w:after="80"/>
      </w:pPr>
      <w:r>
        <w:rPr>
          <w:i/>
          <w:sz w:val="20"/>
        </w:rPr>
        <w:t>EN: U.S. blockade hits Cuba’s health care and science</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84">
        <w:r>
          <w:rPr>
            <w:color w:val="1155CC"/>
            <w:u w:val="single"/>
          </w:rPr>
          <w:t>10.1126/science.aeh6873</w:t>
        </w:r>
      </w:hyperlink>
    </w:p>
    <w:p>
      <w:pPr>
        <w:spacing w:before="0" w:after="120"/>
      </w:pPr>
      <w:r>
        <w:rPr>
          <w:b/>
        </w:rPr>
        <w:t xml:space="preserve">Notes: </w:t>
      </w:r>
      <w:r>
        <w:t>abstract_source=crossref</w:t>
      </w:r>
    </w:p>
    <w:p>
      <w:pPr>
        <w:spacing w:before="0" w:after="80" w:lineRule="auto" w:line="276"/>
      </w:pPr>
      <w:r>
        <w:rPr>
          <w:b/>
        </w:rPr>
        <w:t xml:space="preserve">摘要（ZH）: </w:t>
      </w:r>
      <w:r>
        <w:t>医院和研究人员努力应对长时间停电和供应短缺</w:t>
      </w:r>
    </w:p>
    <w:p>
      <w:pPr>
        <w:spacing w:before="0" w:after="200" w:lineRule="auto" w:line="276"/>
      </w:pPr>
      <w:r>
        <w:rPr>
          <w:b/>
        </w:rPr>
        <w:t xml:space="preserve">Abstract (EN): </w:t>
      </w:r>
      <w:r>
        <w:t>Hospitals and researchers struggle to cope with lengthy blackouts and supply shortages</w:t>
      </w:r>
    </w:p>
    <w:p>
      <w:pPr>
        <w:spacing w:before="120" w:after="120"/>
      </w:pPr>
      <w:r>
        <w:rPr>
          <w:sz w:val="18"/>
        </w:rPr>
        <w:t>——————————————————————————————————————————————————————————————————————</w:t>
      </w:r>
    </w:p>
    <w:p>
      <w:pPr>
        <w:spacing w:before="160" w:after="40" w:line="240" w:lineRule="auto"/>
      </w:pPr>
      <w:r>
        <w:rPr>
          <w:b/>
        </w:rPr>
        <w:t xml:space="preserve">[462] </w:t>
      </w:r>
      <w:hyperlink r:id="rId1085">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86">
        <w:r>
          <w:rPr>
            <w:color w:val="1155CC"/>
            <w:u w:val="single"/>
          </w:rPr>
          <w:t>10.1126/science.aeh6471</w:t>
        </w:r>
      </w:hyperlink>
    </w:p>
    <w:p>
      <w:pPr>
        <w:spacing w:before="0" w:after="120"/>
      </w:pPr>
      <w:r>
        <w:rPr>
          <w:b/>
        </w:rPr>
        <w:t xml:space="preserve">Notes: </w:t>
      </w:r>
      <w:r>
        <w:t>abstract_source=crossref</w:t>
      </w:r>
    </w:p>
    <w:p>
      <w:pPr>
        <w:spacing w:before="0" w:after="80" w:lineRule="auto" w:line="276"/>
      </w:pPr>
      <w:r>
        <w:rPr>
          <w:b/>
        </w:rPr>
        <w:t xml:space="preserve">摘要（ZH）: </w:t>
      </w:r>
      <w:r>
        <w:t>《科学》期刊家族的亮点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[463] </w:t>
      </w:r>
      <w:hyperlink r:id="rId1087">
        <w:r>
          <w:rPr>
            <w:color w:val="1155CC"/>
            <w:u w:val="single"/>
          </w:rPr>
          <w:t>患者护理研究机构处于困境</w:t>
        </w:r>
      </w:hyperlink>
    </w:p>
    <w:p>
      <w:pPr>
        <w:spacing w:before="0" w:after="80"/>
      </w:pPr>
      <w:r>
        <w:rPr>
          <w:i/>
          <w:sz w:val="20"/>
        </w:rPr>
        <w:t>EN: Agency for patient care research is in dire straits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88">
        <w:r>
          <w:rPr>
            <w:color w:val="1155CC"/>
            <w:u w:val="single"/>
          </w:rPr>
          <w:t>10.1126/science.aeh6875</w:t>
        </w:r>
      </w:hyperlink>
    </w:p>
    <w:p>
      <w:pPr>
        <w:spacing w:before="0" w:after="120"/>
      </w:pPr>
      <w:r>
        <w:rPr>
          <w:b/>
        </w:rPr>
        <w:t xml:space="preserve">Notes: </w:t>
      </w:r>
      <w:r>
        <w:t>abstract_source=crossref</w:t>
      </w:r>
    </w:p>
    <w:p>
      <w:pPr>
        <w:spacing w:before="0" w:after="80" w:lineRule="auto" w:line="276"/>
      </w:pPr>
      <w:r>
        <w:rPr>
          <w:b/>
        </w:rPr>
        <w:t xml:space="preserve">摘要（ZH）: </w:t>
      </w:r>
      <w:r>
        <w:t>医疗研究与质量局有拨款，但没有人来分发</w:t>
      </w:r>
    </w:p>
    <w:p>
      <w:pPr>
        <w:spacing w:before="0" w:after="200" w:lineRule="auto" w:line="276"/>
      </w:pPr>
      <w:r>
        <w:rPr>
          <w:b/>
        </w:rPr>
        <w:t xml:space="preserve">Abstract (EN): </w:t>
      </w:r>
      <w:r>
        <w:t>The Agency for Healthcare Research and Quality has grant money, but nobody to hand it out</w:t>
      </w:r>
    </w:p>
    <w:p>
      <w:pPr>
        <w:spacing w:before="120" w:after="120"/>
      </w:pPr>
      <w:r>
        <w:rPr>
          <w:sz w:val="18"/>
        </w:rPr>
        <w:t>——————————————————————————————————————————————————————————————————————</w:t>
      </w:r>
    </w:p>
    <w:p>
      <w:pPr>
        <w:spacing w:before="160" w:after="40" w:line="240" w:lineRule="auto"/>
      </w:pPr>
      <w:r>
        <w:rPr>
          <w:b/>
        </w:rPr>
        <w:t xml:space="preserve">[464] </w:t>
      </w:r>
      <w:hyperlink r:id="rId1089">
        <w:r>
          <w:rPr>
            <w:color w:val="1155CC"/>
            <w:u w:val="single"/>
          </w:rPr>
          <w:t>在气泡中治愈</w:t>
        </w:r>
      </w:hyperlink>
    </w:p>
    <w:p>
      <w:pPr>
        <w:spacing w:before="0" w:after="80"/>
      </w:pPr>
      <w:r>
        <w:rPr>
          <w:i/>
          <w:sz w:val="20"/>
        </w:rPr>
        <w:t>EN: Healing in a bubble</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90">
        <w:r>
          <w:rPr>
            <w:color w:val="1155CC"/>
            <w:u w:val="single"/>
          </w:rPr>
          <w:t>10.1126/science.aef9968</w:t>
        </w:r>
      </w:hyperlink>
    </w:p>
    <w:p>
      <w:pPr>
        <w:spacing w:before="0" w:after="120"/>
      </w:pPr>
      <w:r>
        <w:rPr>
          <w:b/>
        </w:rPr>
        <w:t xml:space="preserve">Notes: </w:t>
      </w:r>
      <w:r>
        <w:t>abstract_source=crossref</w:t>
      </w:r>
    </w:p>
    <w:p>
      <w:pPr>
        <w:spacing w:before="0" w:after="80" w:lineRule="auto" w:line="276"/>
      </w:pPr>
      <w:r>
        <w:rPr>
          <w:b/>
        </w:rPr>
        <w:t xml:space="preserve">摘要（ZH）: </w:t>
      </w:r>
      <w:r>
        <w:t>物理气体捕获可以作为治疗气体输送的平台</w:t>
      </w:r>
    </w:p>
    <w:p>
      <w:pPr>
        <w:spacing w:before="0" w:after="200" w:lineRule="auto" w:line="276"/>
      </w:pPr>
      <w:r>
        <w:rPr>
          <w:b/>
        </w:rPr>
        <w:t xml:space="preserve">Abstract (EN): </w:t>
      </w:r>
      <w:r>
        <w:t>Physical gas entrapment can be a platform for therapeutic gas delivery</w:t>
      </w:r>
    </w:p>
    <w:p>
      <w:pPr>
        <w:spacing w:before="120" w:after="120"/>
      </w:pPr>
      <w:r>
        <w:rPr>
          <w:sz w:val="18"/>
        </w:rPr>
        <w:t>——————————————————————————————————————————————————————————————————————</w:t>
      </w:r>
    </w:p>
    <w:p>
      <w:pPr>
        <w:spacing w:before="160" w:after="40" w:line="240" w:lineRule="auto"/>
      </w:pPr>
      <w:r>
        <w:rPr>
          <w:b/>
        </w:rPr>
        <w:t xml:space="preserve">[465] </w:t>
      </w:r>
      <w:hyperlink r:id="rId1091">
        <w:r>
          <w:rPr>
            <w:color w:val="1155CC"/>
            <w:u w:val="single"/>
          </w:rPr>
          <w:t>捕捉变色龙</w:t>
        </w:r>
      </w:hyperlink>
    </w:p>
    <w:p>
      <w:pPr>
        <w:spacing w:before="0" w:after="80"/>
      </w:pPr>
      <w:r>
        <w:rPr>
          <w:i/>
          <w:sz w:val="20"/>
        </w:rPr>
        <w:t>EN: Catching a chameleon</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92">
        <w:r>
          <w:rPr>
            <w:color w:val="1155CC"/>
            <w:u w:val="single"/>
          </w:rPr>
          <w:t>10.1126/science.aef9970</w:t>
        </w:r>
      </w:hyperlink>
    </w:p>
    <w:p>
      <w:pPr>
        <w:spacing w:before="0" w:after="120"/>
      </w:pPr>
      <w:r>
        <w:rPr>
          <w:b/>
        </w:rPr>
        <w:t xml:space="preserve">Notes: </w:t>
      </w:r>
      <w:r>
        <w:t>abstract_source=crossref</w:t>
      </w:r>
    </w:p>
    <w:p>
      <w:pPr>
        <w:spacing w:before="0" w:after="80" w:lineRule="auto" w:line="276"/>
      </w:pPr>
      <w:r>
        <w:rPr>
          <w:b/>
        </w:rPr>
        <w:t xml:space="preserve">摘要（ZH）: </w:t>
      </w:r>
      <w:r>
        <w:t>mRNA可以被设计以克服癌症进化</w:t>
      </w:r>
    </w:p>
    <w:p>
      <w:pPr>
        <w:spacing w:before="0" w:after="200" w:lineRule="auto" w:line="276"/>
      </w:pPr>
      <w:r>
        <w:rPr>
          <w:b/>
        </w:rPr>
        <w:t xml:space="preserve">Abstract (EN): </w:t>
      </w:r>
      <w:r>
        <w:t>mRNA can be engineered to overcome cancer evolution</w:t>
      </w:r>
    </w:p>
    <w:p>
      <w:pPr>
        <w:spacing w:before="120" w:after="120"/>
      </w:pPr>
      <w:r>
        <w:rPr>
          <w:sz w:val="18"/>
        </w:rPr>
        <w:t>——————————————————————————————————————————————————————————————————————</w:t>
      </w:r>
    </w:p>
    <w:p>
      <w:pPr>
        <w:spacing w:before="160" w:after="40" w:line="240" w:lineRule="auto"/>
      </w:pPr>
      <w:r>
        <w:rPr>
          <w:b/>
        </w:rPr>
        <w:t xml:space="preserve">[466] </w:t>
      </w:r>
      <w:hyperlink r:id="rId1093">
        <w:r>
          <w:rPr>
            <w:color w:val="1155CC"/>
            <w:u w:val="single"/>
          </w:rPr>
          <w:t>章鱼的交配感官系统</w:t>
        </w:r>
      </w:hyperlink>
    </w:p>
    <w:p>
      <w:pPr>
        <w:spacing w:before="0" w:after="80"/>
      </w:pPr>
      <w:r>
        <w:rPr>
          <w:i/>
          <w:sz w:val="20"/>
        </w:rPr>
        <w:t>EN: A sensory system for mating in octopus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94">
        <w:r>
          <w:rPr>
            <w:color w:val="1155CC"/>
            <w:u w:val="single"/>
          </w:rPr>
          <w:t>10.1126/science.aec9652</w:t>
        </w:r>
      </w:hyperlink>
    </w:p>
    <w:p>
      <w:pPr>
        <w:spacing w:before="0" w:after="120"/>
      </w:pPr>
      <w:r>
        <w:rPr>
          <w:b/>
        </w:rPr>
        <w:t xml:space="preserve">Notes: </w:t>
      </w:r>
      <w:r>
        <w:t>abstract_source=crossref</w:t>
      </w:r>
    </w:p>
    <w:p>
      <w:pPr>
        <w:spacing w:before="0" w:after="80" w:lineRule="auto" w:line="276"/>
      </w:pPr>
      <w:r>
        <w:rPr>
          <w:b/>
        </w:rPr>
        <w:t xml:space="preserve">摘要（ZH）: </w:t>
      </w:r>
      <w:r>
        <w:t>感官系统用于配偶识别，维持物种界限并影响多样化。因此，揭示分子和受体如何进化以调节这一关键功能对于理解生物多样性至关重要。雄性章鱼使用一种称为交接臂的专门手臂来识别雌性，并导航其内部器官以到达输卵管并输送精子。在这里，我们发现交接臂是一种双重感官和交配器官，利用接触依赖的孕酮化学感受，这是一种保守的卵巢激素。我们鉴定了孕酮的化学触觉受体，并解析了其从祖先神经递质受体进化而来的结构基础，以及在头足类动物中的扩展和调节。这些发现揭示了感</w:t>
      </w:r>
    </w:p>
    <w:p>
      <w:pPr>
        <w:spacing w:before="0" w:after="200" w:lineRule="auto" w:line="276"/>
      </w:pPr>
      <w:r>
        <w:rPr>
          <w:b/>
        </w:rPr>
        <w:t xml:space="preserve">Abstract (EN): </w:t>
      </w:r>
      <w:r>
        <w:t>Sensory systems for mate recognition maintain species boundaries and influence diversification. Thus, uncovering how molecules and receptors evolve to mediate this critical function is essential to understanding biodiversity. Male octopuses use a specialized arm called the hectocotylus to identify females and navigate their internal organs to reach the oviduct and deliver sperm. Here, we discovered that the hectocotylus is a dual sensory and mating organ that uses contact-dependent chemosensation of progesterone, a conserved ovarian hormone. We identified chemotactile receptors for progesterone and resolved the structural basis for their evolution from ancestral neurotransmitter receptors and subsequent expansion and tuning across cephalopods. These findings reveal principles by which sensory innovations shape reproductive behavior and suggest mechanisms for how sensory evolution contributes to the diversification of life.</w:t>
      </w:r>
    </w:p>
    <w:p>
      <w:pPr>
        <w:spacing w:before="120" w:after="120"/>
      </w:pPr>
      <w:r>
        <w:rPr>
          <w:sz w:val="18"/>
        </w:rPr>
        <w:t>——————————————————————————————————————————————————————————————————————</w:t>
      </w:r>
    </w:p>
    <w:p>
      <w:pPr>
        <w:spacing w:before="160" w:after="40" w:line="240" w:lineRule="auto"/>
      </w:pPr>
      <w:r>
        <w:rPr>
          <w:b/>
        </w:rPr>
        <w:t xml:space="preserve">[467] </w:t>
      </w:r>
      <w:hyperlink r:id="rId1095">
        <w:r>
          <w:rPr>
            <w:color w:val="1155CC"/>
            <w:u w:val="single"/>
          </w:rPr>
          <w:t>熊蜂的灵活抽象节奏感知</w:t>
        </w:r>
      </w:hyperlink>
    </w:p>
    <w:p>
      <w:pPr>
        <w:spacing w:before="0" w:after="80"/>
      </w:pPr>
      <w:r>
        <w:rPr>
          <w:i/>
          <w:sz w:val="20"/>
        </w:rPr>
        <w:t>EN: Flexible, abstract rhythm perception in bumble bees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96">
        <w:r>
          <w:rPr>
            <w:color w:val="1155CC"/>
            <w:u w:val="single"/>
          </w:rPr>
          <w:t>10.1126/science.adz2894</w:t>
        </w:r>
      </w:hyperlink>
    </w:p>
    <w:p>
      <w:pPr>
        <w:spacing w:before="0" w:after="120"/>
      </w:pPr>
      <w:r>
        <w:rPr>
          <w:b/>
        </w:rPr>
        <w:t xml:space="preserve">Notes: </w:t>
      </w:r>
      <w:r>
        <w:t>abstract_source=crossref</w:t>
      </w:r>
    </w:p>
    <w:p>
      <w:pPr>
        <w:spacing w:before="0" w:after="80" w:lineRule="auto" w:line="276"/>
      </w:pPr>
      <w:r>
        <w:rPr>
          <w:b/>
        </w:rPr>
        <w:t xml:space="preserve">摘要（ZH）: </w:t>
      </w:r>
      <w:r>
        <w:t>灵活的抽象节奏感知是人类音乐、舞蹈和语言的基础，但迄今为止，仅在少数鸟类和哺乳动物中得到证明。在这项工作中，我们展示了大黄蜂也能形成稳健的抽象节奏表征。自由飞行的蜜蜂学会区分两个任意重复的闪光序列，平衡以排除任何局部线索的使用。蜜蜂成功地在新的、更快和更慢的节奏中识别出这些学习的节奏模式。接受振动模式训练的蜜蜂将其学习转移到等效的闪光模式，展示了跨模态节奏感知。这些发现表明，昆虫大脑可以编码和概括任意复杂的时间模式，这表明抽象节奏感知可以从相对</w:t>
      </w:r>
    </w:p>
    <w:p>
      <w:pPr>
        <w:spacing w:before="0" w:after="200" w:lineRule="auto" w:line="276"/>
      </w:pPr>
      <w:r>
        <w:rPr>
          <w:b/>
        </w:rPr>
        <w:t xml:space="preserve">Abstract (EN): </w:t>
      </w:r>
      <w:r>
        <w:t>Flexible, abstract rhythm perception underpins human music, dance, and speech, but thus far, it has only been demonstrated in a few birds and mammals. In this work, we show that bumble bees also form robust abstract rhythm representations. Free-flying bees learned to discriminate two arbitrary repeating flashing light sequences, balanced to preclude the use of any local cues. Bees successfully recognized these learned rhythmic patterns at new, faster, and slower tempi. Bees trained on vibrational patterns transferred their learning to equivalent flashing light patterns, demonstrating cross-modal rhythm perception. These findings suggest that an insect brain can encode and generalize arbitrary complex temporal patterns, which suggests that abstract rhythm perception can emerge from relatively simple neural architectures and points to deep evolutionary roots for a domain‐general rhythm cognition across animals.</w:t>
      </w:r>
    </w:p>
    <w:p>
      <w:pPr>
        <w:spacing w:before="120" w:after="120"/>
      </w:pPr>
      <w:r>
        <w:rPr>
          <w:sz w:val="18"/>
        </w:rPr>
        <w:t>——————————————————————————————————————————————————————————————————————</w:t>
      </w:r>
    </w:p>
    <w:p>
      <w:pPr>
        <w:spacing w:before="160" w:after="40" w:line="240" w:lineRule="auto"/>
      </w:pPr>
      <w:r>
        <w:rPr>
          <w:b/>
        </w:rPr>
        <w:t xml:space="preserve">[468] </w:t>
      </w:r>
      <w:hyperlink r:id="rId1097">
        <w:r>
          <w:rPr>
            <w:color w:val="1155CC"/>
            <w:u w:val="single"/>
          </w:rPr>
          <w:t>两年后出现的“牛流感”仍然让科学家困惑</w:t>
        </w:r>
      </w:hyperlink>
    </w:p>
    <w:p>
      <w:pPr>
        <w:spacing w:before="0" w:after="80"/>
      </w:pPr>
      <w:r>
        <w:rPr>
          <w:i/>
          <w:sz w:val="20"/>
        </w:rPr>
        <w:t>EN: Two years after it emerged, ‘cow flu’ still baffles scientists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098">
        <w:r>
          <w:rPr>
            <w:color w:val="1155CC"/>
            <w:u w:val="single"/>
          </w:rPr>
          <w:t>10.1126/science.aeh6876</w:t>
        </w:r>
      </w:hyperlink>
    </w:p>
    <w:p>
      <w:pPr>
        <w:spacing w:before="0" w:after="120"/>
      </w:pPr>
      <w:r>
        <w:rPr>
          <w:b/>
        </w:rPr>
        <w:t xml:space="preserve">Notes: </w:t>
      </w:r>
      <w:r>
        <w:t>abstract_source=crossref</w:t>
      </w:r>
    </w:p>
    <w:p>
      <w:pPr>
        <w:spacing w:before="0" w:after="80" w:lineRule="auto" w:line="276"/>
      </w:pPr>
      <w:r>
        <w:rPr>
          <w:b/>
        </w:rPr>
        <w:t xml:space="preserve">摘要（ZH）: </w:t>
      </w:r>
      <w:r>
        <w:t>关于H5N1如何在奶牛之间以及从一个农场传播到另一个农场，仍然存在重大问题</w:t>
      </w:r>
    </w:p>
    <w:p>
      <w:pPr>
        <w:spacing w:before="0" w:after="200" w:lineRule="auto" w:line="276"/>
      </w:pPr>
      <w:r>
        <w:rPr>
          <w:b/>
        </w:rPr>
        <w:t xml:space="preserve">Abstract (EN): </w:t>
      </w:r>
      <w:r>
        <w:t>Major questions remain about how H5N1 moves between dairy cows and from farm to farm</w:t>
      </w:r>
    </w:p>
    <w:p>
      <w:pPr>
        <w:spacing w:before="120" w:after="120"/>
      </w:pPr>
      <w:r>
        <w:rPr>
          <w:sz w:val="18"/>
        </w:rPr>
        <w:t>——————————————————————————————————————————————————————————————————————</w:t>
      </w:r>
    </w:p>
    <w:p>
      <w:pPr>
        <w:spacing w:before="160" w:after="40" w:line="240" w:lineRule="auto"/>
      </w:pPr>
      <w:r>
        <w:rPr>
          <w:b/>
        </w:rPr>
        <w:t xml:space="preserve">[469] </w:t>
      </w:r>
      <w:hyperlink r:id="rId1099">
        <w:r>
          <w:rPr>
            <w:color w:val="1155CC"/>
            <w:u w:val="single"/>
          </w:rPr>
          <w:t>太空探索的新赌注</w:t>
        </w:r>
      </w:hyperlink>
    </w:p>
    <w:p>
      <w:pPr>
        <w:spacing w:before="0" w:after="80"/>
      </w:pPr>
      <w:r>
        <w:rPr>
          <w:i/>
          <w:sz w:val="20"/>
        </w:rPr>
        <w:t>EN: The new stakes of space exploration</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100">
        <w:r>
          <w:rPr>
            <w:color w:val="1155CC"/>
            <w:u w:val="single"/>
          </w:rPr>
          <w:t>10.1126/science.aee6927</w:t>
        </w:r>
      </w:hyperlink>
    </w:p>
    <w:p>
      <w:pPr>
        <w:spacing w:before="0" w:after="120"/>
      </w:pPr>
      <w:r>
        <w:rPr>
          <w:b/>
        </w:rPr>
        <w:t xml:space="preserve">Notes: </w:t>
      </w:r>
      <w:r>
        <w:t>abstract_source=crossref</w:t>
      </w:r>
    </w:p>
    <w:p>
      <w:pPr>
        <w:spacing w:before="0" w:after="80" w:lineRule="auto" w:line="276"/>
      </w:pPr>
      <w:r>
        <w:rPr>
          <w:b/>
        </w:rPr>
        <w:t xml:space="preserve">摘要（ZH）: </w:t>
      </w:r>
      <w:r>
        <w:t>今天太空竞赛的胜利者将在地球上拥有前所未有的权力</w:t>
      </w:r>
    </w:p>
    <w:p>
      <w:pPr>
        <w:spacing w:before="0" w:after="200" w:lineRule="auto" w:line="276"/>
      </w:pPr>
      <w:r>
        <w:rPr>
          <w:b/>
        </w:rPr>
        <w:t xml:space="preserve">Abstract (EN): </w:t>
      </w:r>
      <w:r>
        <w:t>The victors of today’s space race stand to have unprecedented power on Earth</w:t>
      </w:r>
    </w:p>
    <w:p>
      <w:pPr>
        <w:spacing w:before="120" w:after="120"/>
      </w:pPr>
      <w:r>
        <w:rPr>
          <w:sz w:val="18"/>
        </w:rPr>
        <w:t>——————————————————————————————————————————————————————————————————————</w:t>
      </w:r>
    </w:p>
    <w:p>
      <w:pPr>
        <w:spacing w:before="160" w:after="40" w:line="240" w:lineRule="auto"/>
      </w:pPr>
      <w:r>
        <w:rPr>
          <w:b/>
        </w:rPr>
        <w:t xml:space="preserve">[470] </w:t>
      </w:r>
      <w:hyperlink r:id="rId1101">
        <w:r>
          <w:rPr>
            <w:color w:val="1155CC"/>
            <w:u w:val="single"/>
          </w:rPr>
          <w:t>来自肠内分泌细胞的IL-22通过微生物群促进斑马鱼早期肠道蠕动</w:t>
        </w:r>
      </w:hyperlink>
    </w:p>
    <w:p>
      <w:pPr>
        <w:spacing w:before="0" w:after="80"/>
      </w:pPr>
      <w:r>
        <w:rPr>
          <w:i/>
          <w:sz w:val="20"/>
        </w:rPr>
        <w:t>EN: IL-22 from enteroendocrine cells promotes early-life gut motility in zebrafish through the microbiota</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102">
        <w:r>
          <w:rPr>
            <w:color w:val="1155CC"/>
            <w:u w:val="single"/>
          </w:rPr>
          <w:t>10.1126/science.adr1707</w:t>
        </w:r>
      </w:hyperlink>
    </w:p>
    <w:p>
      <w:pPr>
        <w:spacing w:before="0" w:after="120"/>
      </w:pPr>
      <w:r>
        <w:rPr>
          <w:b/>
        </w:rPr>
        <w:t xml:space="preserve">Notes: </w:t>
      </w:r>
      <w:r>
        <w:t>abstract_source=crossref</w:t>
      </w:r>
    </w:p>
    <w:p>
      <w:pPr>
        <w:spacing w:before="0" w:after="80" w:lineRule="auto" w:line="276"/>
      </w:pPr>
      <w:r>
        <w:rPr>
          <w:b/>
        </w:rPr>
        <w:t xml:space="preserve">摘要（ZH）: </w:t>
      </w:r>
      <w:r>
        <w:t>肠道微生物群、免疫系统和肠神经系统相互作用以调节成年肠道生理。然而，在发育过程中建立肠道生理的机制仍然未知。我们报告称，在发育中的斑马鱼中，内分泌细胞在淋巴细胞进入肠道之前响应微生物信号产生白介素-22（IL-22）。在幼鱼中，IL-22塑造了肠道微生物群，增加了乳杆菌科的丰度和胃饥饿素的表达，以促进肠道蠕动。在</w:t>
      </w:r>
      <w:r>
        <w:t xml:space="preserve"> </w:t>
      </w:r>
      <w:r>
        <w:t>il22</w:t>
      </w:r>
      <w:r>
        <w:t xml:space="preserve"> </w:t>
      </w:r>
      <w:r>
        <w:t>−/−</w:t>
      </w:r>
      <w:r>
        <w:t>斑马鱼中，受损的蠕动和胃饥饿素表达通过从野生型斑马鱼转移微生物群或仅引入</w:t>
      </w:r>
      <w:r>
        <w:t xml:space="preserve"> </w:t>
      </w:r>
      <w:r>
        <w:t>植物乳杆菌</w:t>
      </w:r>
      <w:r>
        <w:t xml:space="preserve"> </w:t>
      </w:r>
      <w:r>
        <w:t>得到恢复。IL-22缺乏的小鼠也有损伤</w:t>
      </w:r>
    </w:p>
    <w:p>
      <w:pPr>
        <w:spacing w:before="0" w:after="200" w:lineRule="auto" w:line="276"/>
      </w:pPr>
      <w:r>
        <w:rPr>
          <w:b/>
        </w:rPr>
        <w:t xml:space="preserve">Abstract (EN): </w:t>
      </w:r>
      <w:r>
        <w:t>The gut microbiota, immune system, and enteric nervous system interact to regulate adult gut physiology. However, the mechanisms establishing gut physiology during development remain unknown. We report that in developing zebrafish, enteroendocrine cells produced interleukin-22 (IL-22) in response to microbial signals before lymphocytes populated the gut. In larvae, IL-22 shaped the gut microbiota, increasing Lactobacillaceae abundance and ghrelin expression to promote gut motility. Impaired motility and ghrelin expression were restored in</w:t>
      </w:r>
      <w:r>
        <w:t xml:space="preserve"> </w:t>
      </w:r>
      <w:r>
        <w:t>il22</w:t>
      </w:r>
      <w:r>
        <w:t xml:space="preserve"> </w:t>
      </w:r>
      <w:r>
        <w:t>−/−</w:t>
      </w:r>
      <w:r>
        <w:t>zebrafish by transfer of microbiota from wild-type zebrafish or by introducing only</w:t>
      </w:r>
      <w:r>
        <w:t xml:space="preserve"> </w:t>
      </w:r>
      <w:r>
        <w:t>Lactobacillus plantarum</w:t>
      </w:r>
      <w:r>
        <w:t xml:space="preserve"> </w:t>
      </w:r>
      <w:r>
        <w:t>. IL-22–deficient mice also had impaired gut motility and reduced ghrelin expression in early life, indicating a conserved function. Thus, before immune system maturation, enteroendocrine cells regulate early-life gut function by controlling the microbiota through IL-22.</w:t>
      </w:r>
    </w:p>
    <w:p>
      <w:pPr>
        <w:spacing w:before="120" w:after="120"/>
      </w:pPr>
      <w:r>
        <w:rPr>
          <w:sz w:val="18"/>
        </w:rPr>
        <w:t>——————————————————————————————————————————————————————————————————————</w:t>
      </w:r>
    </w:p>
    <w:p>
      <w:pPr>
        <w:spacing w:before="160" w:after="40" w:line="240" w:lineRule="auto"/>
      </w:pPr>
      <w:r>
        <w:rPr>
          <w:b/>
        </w:rPr>
        <w:t xml:space="preserve">[471] </w:t>
      </w:r>
      <w:hyperlink r:id="rId1103">
        <w:r>
          <w:rPr>
            <w:color w:val="1155CC"/>
            <w:u w:val="single"/>
          </w:rPr>
          <w:t>年轻的血液</w:t>
        </w:r>
      </w:hyperlink>
    </w:p>
    <w:p>
      <w:pPr>
        <w:spacing w:before="0" w:after="80"/>
      </w:pPr>
      <w:r>
        <w:rPr>
          <w:i/>
          <w:sz w:val="20"/>
        </w:rPr>
        <w:t>EN: Young blood</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104">
        <w:r>
          <w:rPr>
            <w:color w:val="1155CC"/>
            <w:u w:val="single"/>
          </w:rPr>
          <w:t>10.1126/science.aeg4324</w:t>
        </w:r>
      </w:hyperlink>
    </w:p>
    <w:p>
      <w:pPr>
        <w:spacing w:before="0" w:after="120"/>
      </w:pPr>
      <w:r>
        <w:rPr>
          <w:b/>
        </w:rPr>
        <w:t xml:space="preserve">Notes: </w:t>
      </w:r>
      <w:r>
        <w:t>abstract_source=crossref</w:t>
      </w:r>
    </w:p>
    <w:p>
      <w:pPr>
        <w:spacing w:before="0" w:after="80" w:lineRule="auto" w:line="276"/>
      </w:pPr>
      <w:r>
        <w:rPr>
          <w:b/>
        </w:rPr>
        <w:t xml:space="preserve">摘要（ZH）: </w:t>
      </w:r>
      <w:r>
        <w:t>一部尖锐的戏剧探讨了当科学家出卖自己以帮助亿万富翁永生时会发生什么</w:t>
      </w:r>
    </w:p>
    <w:p>
      <w:pPr>
        <w:spacing w:before="0" w:after="200" w:lineRule="auto" w:line="276"/>
      </w:pPr>
      <w:r>
        <w:rPr>
          <w:b/>
        </w:rPr>
        <w:t xml:space="preserve">Abstract (EN): </w:t>
      </w:r>
      <w:r>
        <w:t>A pointed play explores what happens when scientists sell out to help a billionaire live forever</w:t>
      </w:r>
    </w:p>
    <w:p>
      <w:pPr>
        <w:spacing w:before="120" w:after="120"/>
      </w:pPr>
      <w:r>
        <w:rPr>
          <w:sz w:val="18"/>
        </w:rPr>
        <w:t>——————————————————————————————————————————————————————————————————————</w:t>
      </w:r>
    </w:p>
    <w:p>
      <w:pPr>
        <w:spacing w:before="160" w:after="40" w:line="240" w:lineRule="auto"/>
      </w:pPr>
      <w:r>
        <w:rPr>
          <w:b/>
        </w:rPr>
        <w:t xml:space="preserve">[472] </w:t>
      </w:r>
      <w:hyperlink r:id="rId1105">
        <w:r>
          <w:rPr>
            <w:color w:val="1155CC"/>
            <w:u w:val="single"/>
          </w:rPr>
          <w:t>珍珠化驱动线粒体DNA类核分布</w:t>
        </w:r>
      </w:hyperlink>
    </w:p>
    <w:p>
      <w:pPr>
        <w:spacing w:before="0" w:after="80"/>
      </w:pPr>
      <w:r>
        <w:rPr>
          <w:i/>
          <w:sz w:val="20"/>
        </w:rPr>
        <w:t>EN: Pearling drives mitochondrial DNA nucleoid distribution</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106">
        <w:r>
          <w:rPr>
            <w:color w:val="1155CC"/>
            <w:u w:val="single"/>
          </w:rPr>
          <w:t>10.1126/science.adu5646</w:t>
        </w:r>
      </w:hyperlink>
    </w:p>
    <w:p>
      <w:pPr>
        <w:spacing w:before="0" w:after="120"/>
      </w:pPr>
      <w:r>
        <w:rPr>
          <w:b/>
        </w:rPr>
        <w:t xml:space="preserve">Notes: </w:t>
      </w:r>
      <w:r>
        <w:t>abstract_source=crossref</w:t>
      </w:r>
    </w:p>
    <w:p>
      <w:pPr>
        <w:spacing w:before="0" w:after="80" w:lineRule="auto" w:line="276"/>
      </w:pPr>
      <w:r>
        <w:rPr>
          <w:b/>
        </w:rPr>
        <w:t xml:space="preserve">摘要（ZH）: </w:t>
      </w:r>
      <w:r>
        <w:t>线粒体DNA含有的核小体的分布对于线粒体功能和基因组遗传至关重要；然而，没有已知的机制可以解释核小体的分离或其规则定位。在这项工作中，我们发现线粒体经常经历一种可逆的生物物理不稳定性，称为“串珠化”，从管状形态转变为规则间隔的珠状形态。生理串珠化施加了特征性长度尺度，同时介导了核小体的解聚并以高精度建立了核小体间距。串珠化的开始由钙流入触发，而层状嵴内陷的密度调节了串珠化的普遍性，并在恢复后保持了核小体间距。线粒体钙的失调</w:t>
      </w:r>
    </w:p>
    <w:p>
      <w:pPr>
        <w:spacing w:before="0" w:after="200" w:lineRule="auto" w:line="276"/>
      </w:pPr>
      <w:r>
        <w:rPr>
          <w:b/>
        </w:rPr>
        <w:t xml:space="preserve">Abstract (EN): </w:t>
      </w:r>
      <w:r>
        <w:t>The distribution of mitochondrial DNA–containing nucleoids is essential for mitochondrial function and genome inheritance; however, no known mechanisms can explain nucleoid segregation or their regular positioning. In this work, we found that mitochondria frequently undergo a reversible biophysical instability termed “pearling,” transforming from a tubular into a regularly spaced beads morphology. Physiological pearling imposed a characteristic length scale and simultaneously mediated nucleoid disaggregation and established internucleoid distancing with high precision. Pearling onset was triggered by calcium influx, whereas the density of lamellar cristae invaginations modulated pearling prevalence and preserved nucleoid spacing following recovery. The dysregulation of mitochondrial calcium influx or inner membrane cristae integrity caused aberrant nucleoid clustering. Our results identify pearling as a mechanism governing nucleoid distribution and inheritance and offer insights into its regulation.</w:t>
      </w:r>
    </w:p>
    <w:p>
      <w:pPr>
        <w:spacing w:before="120" w:after="120"/>
      </w:pPr>
      <w:r>
        <w:rPr>
          <w:sz w:val="18"/>
        </w:rPr>
        <w:t>——————————————————————————————————————————————————————————————————————</w:t>
      </w:r>
    </w:p>
    <w:p>
      <w:pPr>
        <w:spacing w:before="160" w:after="40" w:line="240" w:lineRule="auto"/>
      </w:pPr>
      <w:r>
        <w:rPr>
          <w:b/>
        </w:rPr>
        <w:t xml:space="preserve">[473] </w:t>
      </w:r>
      <w:hyperlink r:id="rId1107">
        <w:r>
          <w:rPr>
            <w:color w:val="1155CC"/>
            <w:u w:val="single"/>
          </w:rPr>
          <w:t>显生宙的黎明：来自中国西南晚埃迪卡拉纪的过渡动物群</w:t>
        </w:r>
      </w:hyperlink>
    </w:p>
    <w:p>
      <w:pPr>
        <w:spacing w:before="0" w:after="80"/>
      </w:pPr>
      <w:r>
        <w:rPr>
          <w:i/>
          <w:sz w:val="20"/>
        </w:rPr>
        <w:t>EN: The dawn of the Phanerozoic: A transitional fauna from the late Ediacaran of Southwest China</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108">
        <w:r>
          <w:rPr>
            <w:color w:val="1155CC"/>
            <w:u w:val="single"/>
          </w:rPr>
          <w:t>10.1126/science.adu2291</w:t>
        </w:r>
      </w:hyperlink>
    </w:p>
    <w:p>
      <w:pPr>
        <w:spacing w:before="0" w:after="120"/>
      </w:pPr>
      <w:r>
        <w:rPr>
          <w:b/>
        </w:rPr>
        <w:t xml:space="preserve">Notes: </w:t>
      </w:r>
      <w:r>
        <w:t>abstract_source=crossref</w:t>
      </w:r>
    </w:p>
    <w:p>
      <w:pPr>
        <w:spacing w:before="0" w:after="80" w:lineRule="auto" w:line="276"/>
      </w:pPr>
      <w:r>
        <w:rPr>
          <w:b/>
        </w:rPr>
        <w:t xml:space="preserve">摘要（ZH）: </w:t>
      </w:r>
      <w:r>
        <w:t>动物在埃迪卡拉纪-寒武纪过渡期的多样化是地球历史上的一个关键事件，从根本上改变了我们的星球及其生物圈。然而，埃迪卡拉纪化石组合与寒武纪化石组合的重叠有限，模糊了动物门类多样化的关键时期。我们报告了一个新的末期埃迪卡拉纪化石组合，作为碳质薄膜保存在中国西南云南的江川生物群中。这个组合与同时期的地点不同，保存了埃迪卡拉纪的身体化石以及可识别的非两侧对称动物和两侧对称动物的身体和痕迹化石。这些包括多样的蠕虫状动物和最古老的后口动物（干群棘皮动物）。我们的发现为两侧对称动物的辐射提供了见解，最为多样和分散</w:t>
      </w:r>
    </w:p>
    <w:p>
      <w:pPr>
        <w:spacing w:before="0" w:after="200" w:lineRule="auto" w:line="276"/>
      </w:pPr>
      <w:r>
        <w:rPr>
          <w:b/>
        </w:rPr>
        <w:t xml:space="preserve">Abstract (EN): </w:t>
      </w:r>
      <w:r>
        <w:t>Animal diversification across the Ediacaran-Cambrian transition was a crucial event in Earth history, fundamentally altering our planet and its biosphere. However, Ediacaran fossil assemblages show limited overlap with those from the Cambrian, obscuring the critical interval when the animal phyla were diversifying. We report a new terminal Ediacaran fossil assemblage preserved as carbonaceous films from the Jiangchuan Biota, Yunnan, Southwest China. This assemblage diverges from coeval sites, preserving Ediacaran body fossils alongside recognizable nonbilaterians and bilaterian body and trace fossils. These include diverse vermiform animals and the oldest deuterostomes (stem-group ambulacrarians). Our discovery provides insight into the radiation of Bilateria, the most diverse and disparate animal clade.</w:t>
      </w:r>
    </w:p>
    <w:p>
      <w:pPr>
        <w:spacing w:before="120" w:after="120"/>
      </w:pPr>
      <w:r>
        <w:rPr>
          <w:sz w:val="18"/>
        </w:rPr>
        <w:t>——————————————————————————————————————————————————————————————————————</w:t>
      </w:r>
    </w:p>
    <w:p>
      <w:pPr>
        <w:spacing w:before="160" w:after="40" w:line="240" w:lineRule="auto"/>
      </w:pPr>
      <w:r>
        <w:rPr>
          <w:b/>
        </w:rPr>
        <w:t xml:space="preserve">[474] </w:t>
      </w:r>
      <w:hyperlink r:id="rId1109">
        <w:r>
          <w:rPr>
            <w:color w:val="1155CC"/>
            <w:u w:val="single"/>
          </w:rPr>
          <w:t>科学家准备应对阿尔茨海默病血液测试的扩展</w:t>
        </w:r>
      </w:hyperlink>
    </w:p>
    <w:p>
      <w:pPr>
        <w:spacing w:before="0" w:after="80"/>
      </w:pPr>
      <w:r>
        <w:rPr>
          <w:i/>
          <w:sz w:val="20"/>
        </w:rPr>
        <w:t>EN: Scientists brace for expansion of Alzheimer’s blood tests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110">
        <w:r>
          <w:rPr>
            <w:color w:val="1155CC"/>
            <w:u w:val="single"/>
          </w:rPr>
          <w:t>10.1126/science.aeh6877</w:t>
        </w:r>
      </w:hyperlink>
    </w:p>
    <w:p>
      <w:pPr>
        <w:spacing w:before="0" w:after="120"/>
      </w:pPr>
      <w:r>
        <w:rPr>
          <w:b/>
        </w:rPr>
        <w:t xml:space="preserve">Notes: </w:t>
      </w:r>
      <w:r>
        <w:t>abstract_source=crossref</w:t>
      </w:r>
    </w:p>
    <w:p>
      <w:pPr>
        <w:spacing w:before="0" w:after="80" w:lineRule="auto" w:line="276"/>
      </w:pPr>
      <w:r>
        <w:rPr>
          <w:b/>
        </w:rPr>
        <w:t xml:space="preserve">摘要（ZH）: </w:t>
      </w:r>
      <w:r>
        <w:t>p-tau217的日益使用引发了对健康人群检测的担忧</w:t>
      </w:r>
    </w:p>
    <w:p>
      <w:pPr>
        <w:spacing w:before="0" w:after="200" w:lineRule="auto" w:line="276"/>
      </w:pPr>
      <w:r>
        <w:rPr>
          <w:b/>
        </w:rPr>
        <w:t xml:space="preserve">Abstract (EN): </w:t>
      </w:r>
      <w:r>
        <w:t>Growing use of p-tau217 raises concerns about testing in healthy people</w:t>
      </w:r>
    </w:p>
    <w:p>
      <w:pPr>
        <w:spacing w:before="120" w:after="120"/>
      </w:pPr>
      <w:r>
        <w:rPr>
          <w:sz w:val="18"/>
        </w:rPr>
        <w:t>——————————————————————————————————————————————————————————————————————</w:t>
      </w:r>
    </w:p>
    <w:p>
      <w:pPr>
        <w:spacing w:before="160" w:after="40" w:line="240" w:lineRule="auto"/>
      </w:pPr>
      <w:r>
        <w:rPr>
          <w:b/>
        </w:rPr>
        <w:t xml:space="preserve">[475] </w:t>
      </w:r>
      <w:hyperlink r:id="rId1111">
        <w:r>
          <w:rPr>
            <w:color w:val="1155CC"/>
            <w:u w:val="single"/>
          </w:rPr>
          <w:t>有机液固界面上金物种的原子分辨率成像</w:t>
        </w:r>
      </w:hyperlink>
    </w:p>
    <w:p>
      <w:pPr>
        <w:spacing w:before="0" w:after="80"/>
      </w:pPr>
      <w:r>
        <w:rPr>
          <w:i/>
          <w:sz w:val="20"/>
        </w:rPr>
        <w:t>EN: Atomic-resolution imaging of gold species at organic liquid-solid interfaces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112">
        <w:r>
          <w:rPr>
            <w:color w:val="1155CC"/>
            <w:u w:val="single"/>
          </w:rPr>
          <w:t>10.1126/science.adw2469</w:t>
        </w:r>
      </w:hyperlink>
    </w:p>
    <w:p>
      <w:pPr>
        <w:spacing w:before="0" w:after="120"/>
      </w:pPr>
      <w:r>
        <w:rPr>
          <w:b/>
        </w:rPr>
        <w:t xml:space="preserve">Notes: </w:t>
      </w:r>
      <w:r>
        <w:t>abstract_source=crossref</w:t>
      </w:r>
    </w:p>
    <w:p>
      <w:pPr>
        <w:spacing w:before="0" w:after="80" w:lineRule="auto" w:line="276"/>
      </w:pPr>
      <w:r>
        <w:rPr>
          <w:b/>
        </w:rPr>
        <w:t xml:space="preserve">摘要（ZH）: </w:t>
      </w:r>
      <w:r>
        <w:t>吸附原子（adatom）在固液界面的结构和动态决定了先进催化剂、电化学设备、分子分离技术以及从废物流中提取金属的性能。然而，由于成像分辨率不足和溶剂不兼容，无法对各种化学环境中原子分散金属进行原位研究。在这项研究中，我们结合了一种在液相电子显微镜中提供原子分辨率的样品设计与深度学习支持的分析，共同探索了金吸附原子、石墨支撑和溶剂之间的相互作用。我们跟踪了&gt;10^6个石墨支撑的金吸附原子、二聚体和更大簇的位置</w:t>
      </w:r>
    </w:p>
    <w:p>
      <w:pPr>
        <w:spacing w:before="0" w:after="200" w:lineRule="auto" w:line="276"/>
      </w:pPr>
      <w:r>
        <w:rPr>
          <w:b/>
        </w:rPr>
        <w:t xml:space="preserve">Abstract (EN): </w:t>
      </w:r>
      <w:r>
        <w:t>The structure and dynamics of adsorbed atoms (adatoms) at solid-liquid interfaces determine the performance of advanced catalysts, electrochemical devices, molecular separation technologies, and metal extraction from waste streams. However, in situ investigations of atomically dispersed metals in various chemical environments have been prevented by insufficient imaging resolution and solvent incompatibility. In this study, we combined a specimen design that provides atomic resolution in liquid-phase electron microscopy with deep learning–enabled analysis to explore the interactions between gold adatoms, graphite support, and the solvent collectively. We tracked the locations of &amp;gt;10</w:t>
      </w:r>
      <w:r>
        <w:rPr>
          <w:vertAlign w:val="subscript"/>
        </w:rPr>
        <w:t>6</w:t>
      </w:r>
      <w:r>
        <w:t>graphite-supported gold adatoms, dimers, and larger clusters in five solvents. Although their initial atomic dispersion was determined by the solvent polarity, fast drying kinetics at low temperature was required for optimizing catalytic performance.</w:t>
      </w:r>
    </w:p>
    <w:p>
      <w:pPr>
        <w:spacing w:before="120" w:after="120"/>
      </w:pPr>
      <w:r>
        <w:rPr>
          <w:sz w:val="18"/>
        </w:rPr>
        <w:t>——————————————————————————————————————————————————————————————————————</w:t>
      </w:r>
    </w:p>
    <w:p>
      <w:pPr>
        <w:spacing w:before="160" w:after="40" w:line="240" w:lineRule="auto"/>
      </w:pPr>
      <w:r>
        <w:rPr>
          <w:b/>
        </w:rPr>
        <w:t xml:space="preserve">[476] </w:t>
      </w:r>
      <w:hyperlink r:id="rId1113">
        <w:r>
          <w:rPr>
            <w:color w:val="1155CC"/>
            <w:u w:val="single"/>
          </w:rPr>
          <w:t>服务的呼唤</w:t>
        </w:r>
      </w:hyperlink>
    </w:p>
    <w:p>
      <w:pPr>
        <w:spacing w:before="0" w:after="80"/>
      </w:pPr>
      <w:r>
        <w:rPr>
          <w:i/>
          <w:sz w:val="20"/>
        </w:rPr>
        <w:t>EN: A call to serve</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114">
        <w:r>
          <w:rPr>
            <w:color w:val="1155CC"/>
            <w:u w:val="single"/>
          </w:rPr>
          <w:t>10.1126/science.aeh6474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[477] </w:t>
      </w:r>
      <w:hyperlink r:id="rId1115">
        <w:r>
          <w:rPr>
            <w:color w:val="1155CC"/>
            <w:u w:val="single"/>
          </w:rPr>
          <w:t>AAAS年度选举结果</w:t>
        </w:r>
      </w:hyperlink>
    </w:p>
    <w:p>
      <w:pPr>
        <w:spacing w:before="0" w:after="80"/>
      </w:pPr>
      <w:r>
        <w:rPr>
          <w:i/>
          <w:sz w:val="20"/>
        </w:rPr>
        <w:t>EN: Results of the AAAS annual election</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116">
        <w:r>
          <w:rPr>
            <w:color w:val="1155CC"/>
            <w:u w:val="single"/>
          </w:rPr>
          <w:t>10.1126/science.aeh6475</w:t>
        </w:r>
      </w:hyperlink>
    </w:p>
    <w:p>
      <w:pPr>
        <w:spacing w:before="0" w:after="120"/>
      </w:pPr>
      <w:r>
        <w:rPr>
          <w:b/>
        </w:rPr>
        <w:t xml:space="preserve">Notes: </w:t>
      </w:r>
      <w:r>
        <w:t>abstract_source=crossref</w:t>
      </w:r>
    </w:p>
    <w:p>
      <w:pPr>
        <w:spacing w:before="0" w:after="80" w:lineRule="auto" w:line="276"/>
      </w:pPr>
      <w:r>
        <w:rPr>
          <w:b/>
        </w:rPr>
        <w:t xml:space="preserve">摘要（ZH）: </w:t>
      </w:r>
      <w:r>
        <w:t>每年，AAAS会员在AAAS年度选举中投票选出能够为科学界服务并推进AAAS使命的领导者。以下是最近一次选举的结果，该选举于2026年1月27日至2026年2月2日举行。任期于2026年2月25日开始。</w:t>
      </w:r>
    </w:p>
    <w:p>
      <w:pPr>
        <w:spacing w:before="0" w:after="200" w:lineRule="auto" w:line="276"/>
      </w:pPr>
      <w:r>
        <w:rPr>
          <w:b/>
        </w:rPr>
        <w:t xml:space="preserve">Abstract (EN): </w:t>
      </w:r>
      <w:r>
        <w:t>Every year, AAAS members vote in the AAAS annual election for leaders who can serve the scientific community and advance the AAAS mission. Following are the results of the most recent election, which was held 27 January 2026 through 2 February 2026. Terms began on 25 February 2026.</w:t>
      </w:r>
    </w:p>
    <w:p>
      <w:pPr>
        <w:spacing w:before="120" w:after="120"/>
      </w:pPr>
      <w:r>
        <w:rPr>
          <w:sz w:val="18"/>
        </w:rPr>
        <w:t>——————————————————————————————————————————————————————————————————————</w:t>
      </w:r>
    </w:p>
    <w:p>
      <w:pPr>
        <w:spacing w:before="160" w:after="40" w:line="240" w:lineRule="auto"/>
      </w:pPr>
      <w:r>
        <w:rPr>
          <w:b/>
        </w:rPr>
        <w:t xml:space="preserve">[478] </w:t>
      </w:r>
      <w:hyperlink r:id="rId1117">
        <w:r>
          <w:rPr>
            <w:color w:val="1155CC"/>
            <w:u w:val="single"/>
          </w:rPr>
          <w:t>前沿的数字儿童安全：从证据到行动</w:t>
        </w:r>
      </w:hyperlink>
    </w:p>
    <w:p>
      <w:pPr>
        <w:spacing w:before="0" w:after="80"/>
      </w:pPr>
      <w:r>
        <w:rPr>
          <w:i/>
          <w:sz w:val="20"/>
        </w:rPr>
        <w:t>EN: Digital child safety at the frontier: From evidence to action</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118">
        <w:r>
          <w:rPr>
            <w:color w:val="1155CC"/>
            <w:u w:val="single"/>
          </w:rPr>
          <w:t>10.1126/science.aec7804</w:t>
        </w:r>
      </w:hyperlink>
    </w:p>
    <w:p>
      <w:pPr>
        <w:spacing w:before="0" w:after="120"/>
      </w:pPr>
      <w:r>
        <w:rPr>
          <w:b/>
        </w:rPr>
        <w:t xml:space="preserve">Notes: </w:t>
      </w:r>
      <w:r>
        <w:t>abstract_source=crossref</w:t>
      </w:r>
    </w:p>
    <w:p>
      <w:pPr>
        <w:spacing w:before="0" w:after="80" w:lineRule="auto" w:line="276"/>
      </w:pPr>
      <w:r>
        <w:rPr>
          <w:b/>
        </w:rPr>
        <w:t xml:space="preserve">摘要（ZH）: </w:t>
      </w:r>
      <w:r>
        <w:t>通过设计以儿童为中心、以研究为驱动的方法将保护与权利、能动性和福祉相结合</w:t>
      </w:r>
    </w:p>
    <w:p>
      <w:pPr>
        <w:spacing w:before="0" w:after="200" w:lineRule="auto" w:line="276"/>
      </w:pPr>
      <w:r>
        <w:rPr>
          <w:b/>
        </w:rPr>
        <w:t xml:space="preserve">Abstract (EN): </w:t>
      </w:r>
      <w:r>
        <w:t>A child-centered, research-driven approach aligns protection with rights, agency, and well-being through design</w:t>
      </w:r>
    </w:p>
    <w:p>
      <w:pPr>
        <w:spacing w:before="120" w:after="120"/>
      </w:pPr>
      <w:r>
        <w:rPr>
          <w:sz w:val="18"/>
        </w:rPr>
        <w:t>——————————————————————————————————————————————————————————————————————</w:t>
      </w:r>
    </w:p>
    <w:p>
      <w:pPr>
        <w:spacing w:before="160" w:after="40" w:line="240" w:lineRule="auto"/>
      </w:pPr>
      <w:r>
        <w:rPr>
          <w:b/>
        </w:rPr>
        <w:t xml:space="preserve">[479] </w:t>
      </w:r>
      <w:hyperlink r:id="rId1119">
        <w:r>
          <w:rPr>
            <w:color w:val="1155CC"/>
            <w:u w:val="single"/>
          </w:rPr>
          <w:t>将肿瘤转化为自身的对抗者</w:t>
        </w:r>
      </w:hyperlink>
    </w:p>
    <w:p>
      <w:pPr>
        <w:spacing w:before="0" w:after="80"/>
      </w:pPr>
      <w:r>
        <w:rPr>
          <w:i/>
          <w:sz w:val="20"/>
        </w:rPr>
        <w:t>EN: Turning tumors against themselves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120">
        <w:r>
          <w:rPr>
            <w:color w:val="1155CC"/>
            <w:u w:val="single"/>
          </w:rPr>
          <w:t>10.1126/science.aef9967</w:t>
        </w:r>
      </w:hyperlink>
    </w:p>
    <w:p>
      <w:pPr>
        <w:spacing w:before="0" w:after="120"/>
      </w:pPr>
      <w:r>
        <w:rPr>
          <w:b/>
        </w:rPr>
        <w:t xml:space="preserve">Notes: </w:t>
      </w:r>
      <w:r>
        <w:t>abstract_source=crossref</w:t>
      </w:r>
    </w:p>
    <w:p>
      <w:pPr>
        <w:spacing w:before="0" w:after="80" w:lineRule="auto" w:line="276"/>
      </w:pPr>
      <w:r>
        <w:rPr>
          <w:b/>
        </w:rPr>
        <w:t xml:space="preserve">摘要（ZH）: </w:t>
      </w:r>
      <w:r>
        <w:t>细胞重编程可以用来打破癌症免疫循环</w:t>
      </w:r>
    </w:p>
    <w:p>
      <w:pPr>
        <w:spacing w:before="0" w:after="200" w:lineRule="auto" w:line="276"/>
      </w:pPr>
      <w:r>
        <w:rPr>
          <w:b/>
        </w:rPr>
        <w:t xml:space="preserve">Abstract (EN): </w:t>
      </w:r>
      <w:r>
        <w:t>Cell reprogramming can be used to short-circuit the cancer-immunity cycle</w:t>
      </w:r>
    </w:p>
    <w:p>
      <w:pPr>
        <w:spacing w:before="120" w:after="120"/>
      </w:pPr>
      <w:r>
        <w:rPr>
          <w:sz w:val="18"/>
        </w:rPr>
        <w:t>——————————————————————————————————————————————————————————————————————</w:t>
      </w:r>
    </w:p>
    <w:p>
      <w:pPr>
        <w:spacing w:before="160" w:after="40" w:line="240" w:lineRule="auto"/>
      </w:pPr>
      <w:r>
        <w:rPr>
          <w:b/>
        </w:rPr>
        <w:t xml:space="preserve">[480] </w:t>
      </w:r>
      <w:hyperlink r:id="rId1121">
        <w:r>
          <w:rPr>
            <w:color w:val="1155CC"/>
            <w:u w:val="single"/>
          </w:rPr>
          <w:t>溴介导的电化学丙烷脱氢通过自组装离子液体-SnO2空心球实现</w:t>
        </w:r>
      </w:hyperlink>
    </w:p>
    <w:p>
      <w:pPr>
        <w:spacing w:before="0" w:after="80"/>
      </w:pPr>
      <w:r>
        <w:rPr>
          <w:i/>
          <w:sz w:val="20"/>
        </w:rPr>
        <w:t>EN: Bromine-mediated electrochemical propane dehydrogenation by self-assembled ionic liquid-SnO2 hollow spheres</w:t>
      </w:r>
    </w:p>
    <w:p>
      <w:pPr>
        <w:spacing w:before="0" w:after="120"/>
      </w:pPr>
      <w:r>
        <w:rPr>
          <w:b/>
        </w:rPr>
        <w:t xml:space="preserve">Source: </w:t>
      </w:r>
      <w:r>
        <w:t>AAAS: Science: Table of Contents</w:t>
      </w:r>
      <w:r>
        <w:t xml:space="preserve">    </w:t>
      </w:r>
      <w:r>
        <w:rPr>
          <w:b/>
        </w:rPr>
        <w:t xml:space="preserve">Pub date: </w:t>
      </w:r>
      <w:r>
        <w:t>2026-04-02 06:00:11+00:00</w:t>
      </w:r>
      <w:r>
        <w:t xml:space="preserve">    </w:t>
      </w:r>
      <w:r>
        <w:rPr>
          <w:b/>
        </w:rPr>
        <w:t xml:space="preserve">DOI: </w:t>
      </w:r>
      <w:hyperlink r:id="rId1122">
        <w:r>
          <w:rPr>
            <w:color w:val="1155CC"/>
            <w:u w:val="single"/>
          </w:rPr>
          <w:t>10.1126/science.aed2309</w:t>
        </w:r>
      </w:hyperlink>
    </w:p>
    <w:p>
      <w:pPr>
        <w:spacing w:before="0" w:after="120"/>
      </w:pPr>
      <w:r>
        <w:rPr>
          <w:b/>
        </w:rPr>
        <w:t xml:space="preserve">Notes: </w:t>
      </w:r>
      <w:r>
        <w:t>abstract_source=crossref</w:t>
      </w:r>
    </w:p>
    <w:p>
      <w:pPr>
        <w:spacing w:before="0" w:after="80" w:lineRule="auto" w:line="276"/>
      </w:pPr>
      <w:r>
        <w:rPr>
          <w:b/>
        </w:rPr>
        <w:t xml:space="preserve">摘要（ZH）: </w:t>
      </w:r>
      <w:r>
        <w:t>传统的热丙烷脱氢（PDH）面临几个显著的缺点，包括高能量需求、焦炭引起的催化剂失活以及需要进行产品分离。采用电催化方法，使用自组装离子液体（IL）-二氧化锡（SnO2）空心球作为电催化剂，可以在常温下实现高效的PDH。在此过程中，阳极液中由丙烷形成的溴丙烷与阴极的羟基阴离子反应生成丙烯。丙烯选择性超过98%，并且从阳极液中连续生产高纯度（&gt;99%）的丙烯气体，消除了下游分离的需要。IL-SnO2催化剂保持其活性和选择性。</w:t>
      </w:r>
    </w:p>
    <w:p>
      <w:pPr>
        <w:spacing w:before="0" w:after="200" w:lineRule="auto" w:line="276"/>
      </w:pPr>
      <w:r>
        <w:rPr>
          <w:b/>
        </w:rPr>
        <w:t xml:space="preserve">Abstract (EN): </w:t>
      </w:r>
      <w:r>
        <w:t>Conventional thermal propane dehydrogenation (PDH) faces several notable drawbacks, including high energy requirements, coking-induced catalyst deactivation, and the need for product separation. An electrocatalytic approach, using self-assembled ionic liquid (IL)–tin dioxide (SnO</w:t>
      </w:r>
      <w:r>
        <w:rPr>
          <w:vertAlign w:val="subscript"/>
        </w:rPr>
        <w:t>2</w:t>
      </w:r>
      <w:r>
        <w:t>) hollow spheres as the electrocatalyst, enables efficient PDH at ambient temperature. In this process, bromopropane formed in the anolyte from propane reacts with hydroxyl anions from the cathode to yield propene. The propene selectivity exceeds 98%, and the continuous production of high-purity (&amp;gt;99%) propene gas from the anolyte eliminates the need for downstream separation. The IL-SnO</w:t>
      </w:r>
      <w:r>
        <w:rPr>
          <w:vertAlign w:val="subscript"/>
        </w:rPr>
        <w:t>2</w:t>
      </w:r>
      <w:r>
        <w:t>catalyst maintains its activity and selectivity for more than 6000 hours, with a small voltage increase rate of 3.16 microvolts per hour. Mechanistic studies suggest that the IL layer enhances propane adsorption and facilitates the carbon-hydrogen bond activation step on adjacent Sn sites. After reaction, the IL layer promotes propene desorption and suppresses deep dehydrogenation.</w:t>
      </w:r>
    </w:p>
    <w:p>
      <w:pPr>
        <w:spacing w:before="120" w:after="120"/>
      </w:pPr>
      <w:r>
        <w:rPr>
          <w:sz w:val="18"/>
        </w:rPr>
        <w:t>——————————————————————————————————————————————————————————————————————</w:t>
      </w:r>
    </w:p>
    <w:p>
      <w:pPr>
        <w:spacing w:before="160" w:after="40" w:line="240" w:lineRule="auto"/>
      </w:pPr>
      <w:r>
        <w:rPr>
          <w:b/>
        </w:rPr>
        <w:t xml:space="preserve">[481] </w:t>
      </w:r>
      <w:hyperlink r:id="rId1123">
        <w:r>
          <w:rPr>
            <w:color w:val="1155CC"/>
            <w:u w:val="single"/>
          </w:rPr>
          <w:t>通过对接和锁定工程共价有机框架实现的串联光催化H2O2生产和原位升级</w:t>
        </w:r>
      </w:hyperlink>
    </w:p>
    <w:p>
      <w:pPr>
        <w:spacing w:before="0" w:after="80"/>
      </w:pPr>
      <w:r>
        <w:rPr>
          <w:i/>
          <w:sz w:val="20"/>
        </w:rPr>
        <w:t>EN: Tandem Photocatalytic H2O2 Production and In Situ Upgrading Enabled by Docking and Locking Engineered Covalent Organic Frameworks</w:t>
      </w:r>
    </w:p>
    <w:p>
      <w:pPr>
        <w:spacing w:before="0" w:after="120"/>
      </w:pPr>
      <w:r>
        <w:rPr>
          <w:b/>
        </w:rPr>
        <w:t xml:space="preserve">Source: </w:t>
      </w:r>
      <w:r>
        <w:t>Wiley: Angewandte Chemie International Edition: Table of Contents</w:t>
      </w:r>
      <w:r>
        <w:t xml:space="preserve">    </w:t>
      </w:r>
      <w:r>
        <w:rPr>
          <w:b/>
        </w:rPr>
        <w:t xml:space="preserve">Pub date: </w:t>
      </w:r>
      <w:r>
        <w:t>2026-04-02 06:57:25+00:00</w:t>
      </w:r>
      <w:r>
        <w:t xml:space="preserve">    </w:t>
      </w:r>
      <w:r>
        <w:rPr>
          <w:b/>
        </w:rPr>
        <w:t xml:space="preserve">DOI: </w:t>
      </w:r>
      <w:hyperlink r:id="rId1124">
        <w:r>
          <w:rPr>
            <w:color w:val="1155CC"/>
            <w:u w:val="single"/>
          </w:rPr>
          <w:t>10.1002/anie.7073224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H2O2生成受到低浓度和高能耗纯化的阻碍，成为实际应用的主要障碍。在此，报道了一种串联催化策略，将H2O2生成与其在有机合成中的原位利用相结合，以克服这些限制。通过“对接和锁定”策略设计的共价有机框架（COFs）提供了实现这种串联转化的理想平台。优化的TTPh–OH COF提供了基准H2O2</w:t>
      </w:r>
    </w:p>
    <w:p>
      <w:pPr>
        <w:spacing w:before="0" w:after="200" w:lineRule="auto" w:line="276"/>
      </w:pPr>
      <w:r>
        <w:rPr>
          <w:b/>
        </w:rPr>
        <w:t xml:space="preserve">Abstract (EN): </w:t>
      </w:r>
      <w:r>
        <w:t>Photocatalytic H</w:t>
      </w:r>
      <w:r>
        <w:rPr>
          <w:vertAlign w:val="subscript"/>
        </w:rPr>
        <w:t>2</w:t>
      </w:r>
      <w:r>
        <w:t>O</w:t>
      </w:r>
      <w:r>
        <w:rPr>
          <w:vertAlign w:val="subscript"/>
        </w:rPr>
        <w:t>2</w:t>
      </w:r>
      <w:r>
        <w:t>generation is hindered by low concentrations and energy‐intensive purification, posing major barriers to practical application. Herein, a tandem catalytic strategy that integrates H</w:t>
      </w:r>
      <w:r>
        <w:rPr>
          <w:vertAlign w:val="subscript"/>
        </w:rPr>
        <w:t>2</w:t>
      </w:r>
      <w:r>
        <w:t>O</w:t>
      </w:r>
      <w:r>
        <w:rPr>
          <w:vertAlign w:val="subscript"/>
        </w:rPr>
        <w:t>2</w:t>
      </w:r>
      <w:r>
        <w:t>generation with its in situ utilization in organic synthesis is reported to overcome these constraints. Covalent organic frameworks (COFs) engineered through a “docking and locking” strategy provide an ideal platform for enabling such tandem transformations. The optimized TTPh–OH COF delivers benchmark H</w:t>
      </w:r>
      <w:r>
        <w:rPr>
          <w:vertAlign w:val="subscript"/>
        </w:rPr>
        <w:t>2</w:t>
      </w:r>
      <w:r>
        <w:t>O</w:t>
      </w:r>
      <w:r>
        <w:rPr>
          <w:vertAlign w:val="subscript"/>
        </w:rPr>
        <w:t>2</w:t>
      </w:r>
      <w:r>
        <w:t>production rates of 11.42 mmol g</w:t>
      </w:r>
      <w:r>
        <w:t xml:space="preserve"> </w:t>
      </w:r>
      <w:r>
        <w:t>−1</w:t>
      </w:r>
      <w:r>
        <w:t xml:space="preserve"> </w:t>
      </w:r>
      <w:r>
        <w:t>h</w:t>
      </w:r>
      <w:r>
        <w:t xml:space="preserve"> </w:t>
      </w:r>
      <w:r>
        <w:t>−1</w:t>
      </w:r>
      <w:r>
        <w:t xml:space="preserve"> </w:t>
      </w:r>
      <w:r>
        <w:t>in pure water and 61.96 mmol g</w:t>
      </w:r>
      <w:r>
        <w:t xml:space="preserve"> </w:t>
      </w:r>
      <w:r>
        <w:t>−1</w:t>
      </w:r>
      <w:r>
        <w:t xml:space="preserve"> </w:t>
      </w:r>
      <w:r>
        <w:t>h</w:t>
      </w:r>
      <w:r>
        <w:t xml:space="preserve"> </w:t>
      </w:r>
      <w:r>
        <w:t>−1</w:t>
      </w:r>
      <w:r>
        <w:t xml:space="preserve"> </w:t>
      </w:r>
      <w:r>
        <w:t>in isopropanol/water (9:1 v/v). Leveraging the high efficiency, a single‐photocatalyst tandem platform generates 22.1 mM H</w:t>
      </w:r>
      <w:r>
        <w:rPr>
          <w:vertAlign w:val="subscript"/>
        </w:rPr>
        <w:t>2</w:t>
      </w:r>
      <w:r>
        <w:t>O</w:t>
      </w:r>
      <w:r>
        <w:rPr>
          <w:vertAlign w:val="subscript"/>
        </w:rPr>
        <w:t>2</w:t>
      </w:r>
      <w:r>
        <w:t>, which is subsequently consumed to drive the hydrobromination of 4‐methylstyrene with 99% conversion and 87% selectivity, demonstrating the practical utility of in situ photocatalytic H</w:t>
      </w:r>
      <w:r>
        <w:rPr>
          <w:vertAlign w:val="subscript"/>
        </w:rPr>
        <w:t>2</w:t>
      </w:r>
      <w:r>
        <w:t>O</w:t>
      </w:r>
      <w:r>
        <w:rPr>
          <w:vertAlign w:val="subscript"/>
        </w:rPr>
        <w:t>2</w:t>
      </w:r>
      <w:r>
        <w:t>. This integrated approach outlines a blueprint for circular, solar‐driven photoredox catalysis that upgrades O</w:t>
      </w:r>
      <w:r>
        <w:rPr>
          <w:vertAlign w:val="subscript"/>
        </w:rPr>
        <w:t>2</w:t>
      </w:r>
      <w:r>
        <w:t>and H</w:t>
      </w:r>
      <w:r>
        <w:rPr>
          <w:vertAlign w:val="subscript"/>
        </w:rPr>
        <w:t>2</w:t>
      </w:r>
      <w:r>
        <w:t>O into value‐added organic products.</w:t>
      </w:r>
    </w:p>
    <w:p>
      <w:pPr>
        <w:spacing w:before="120" w:after="120"/>
      </w:pPr>
      <w:r>
        <w:rPr>
          <w:sz w:val="18"/>
        </w:rPr>
        <w:t>——————————————————————————————————————————————————————————————————————</w:t>
      </w:r>
    </w:p>
    <w:p>
      <w:pPr>
        <w:spacing w:before="160" w:after="40" w:line="240" w:lineRule="auto"/>
      </w:pPr>
      <w:r>
        <w:rPr>
          <w:b/>
        </w:rPr>
        <w:t xml:space="preserve">[482] </w:t>
      </w:r>
      <w:hyperlink r:id="rId1125">
        <w:r>
          <w:rPr>
            <w:color w:val="1155CC"/>
            <w:u w:val="single"/>
          </w:rPr>
          <w:t>线粒体代谢和信号传导指导树突状细胞在抗肿瘤免疫中的功能</w:t>
        </w:r>
      </w:hyperlink>
    </w:p>
    <w:p>
      <w:pPr>
        <w:spacing w:before="0" w:after="80"/>
      </w:pPr>
      <w:r>
        <w:rPr>
          <w:i/>
          <w:sz w:val="20"/>
        </w:rPr>
        <w:t>EN: Mitochondrial metabolism and signaling direct dendritic cell function in antitumor immunity</w:t>
      </w:r>
    </w:p>
    <w:p>
      <w:pPr>
        <w:spacing w:before="0" w:after="120"/>
      </w:pPr>
      <w:r>
        <w:rPr>
          <w:b/>
        </w:rPr>
        <w:t xml:space="preserve">Source: </w:t>
      </w:r>
      <w:r>
        <w:t>AAAS: Science: Table of Contents</w:t>
      </w:r>
      <w:r>
        <w:t xml:space="preserve">    </w:t>
      </w:r>
      <w:r>
        <w:rPr>
          <w:b/>
        </w:rPr>
        <w:t xml:space="preserve">Pub date: </w:t>
      </w:r>
      <w:r>
        <w:t>2026-04-02 07:00:00+00:00</w:t>
      </w:r>
      <w:r>
        <w:t xml:space="preserve">    </w:t>
      </w:r>
      <w:r>
        <w:rPr>
          <w:b/>
        </w:rPr>
        <w:t xml:space="preserve">DOI: </w:t>
      </w:r>
      <w:hyperlink r:id="rId1126">
        <w:r>
          <w:rPr>
            <w:color w:val="1155CC"/>
            <w:u w:val="single"/>
          </w:rPr>
          <w:t>10.1126/science.adv6582</w:t>
        </w:r>
      </w:hyperlink>
    </w:p>
    <w:p>
      <w:pPr>
        <w:spacing w:before="0" w:after="120"/>
      </w:pPr>
      <w:r>
        <w:rPr>
          <w:b/>
        </w:rPr>
        <w:t xml:space="preserve">Notes: </w:t>
      </w:r>
      <w:r>
        <w:t>abstract_source=crossref</w:t>
      </w:r>
    </w:p>
    <w:p>
      <w:pPr>
        <w:spacing w:before="0" w:after="80" w:lineRule="auto" w:line="276"/>
      </w:pPr>
      <w:r>
        <w:rPr>
          <w:b/>
        </w:rPr>
        <w:t xml:space="preserve">摘要（ZH）: </w:t>
      </w:r>
      <w:r>
        <w:t>抗肿瘤免疫需要常规1型树突状细胞（cDC1s）。cDC1s如何在肿瘤微环境中保持功能适应性仍不清楚。在这项研究中，我们确定了肿瘤内cDC1s表现出不同的线粒体状态，并且OPA1介导的线粒体能量和氧化还原代谢决定了cDC1的抗肿瘤反应。在机制上，OPA1通过促进核呼吸因子1（NRF1）表达和电子传递链的完整性，协调了抗原呈递和cDC1的CD8+ T细胞启动功能，从而支持生物能量学和NAD+/NADH平衡。在肿瘤进展过程中，线粒体膜电位和体积以及OPA1-NRF1信号下降</w:t>
      </w:r>
    </w:p>
    <w:p>
      <w:pPr>
        <w:spacing w:before="0" w:after="200" w:lineRule="auto" w:line="276"/>
      </w:pPr>
      <w:r>
        <w:rPr>
          <w:b/>
        </w:rPr>
        <w:t xml:space="preserve">Abstract (EN): </w:t>
      </w:r>
      <w:r>
        <w:t>Antitumor immunity requires conventional type 1 dendritic cells (cDC1s). How cDC1s maintain functional fitness in the tumor microenvironment remains unclear. In this study, we established that intratumoral cDC1s exhibited discrete mitochondrial states and that OPA1-mediated mitochondrial energy and redox metabolism dictated cDC1 antitumor responses. Mechanistically, OPA1 orchestrated antigen presentation and the CD8</w:t>
      </w:r>
      <w:r>
        <w:t xml:space="preserve"> </w:t>
      </w:r>
      <w:r>
        <w:t>+</w:t>
      </w:r>
      <w:r>
        <w:t xml:space="preserve"> </w:t>
      </w:r>
      <w:r>
        <w:t>T cell priming function of cDC1s by promoting nuclear respiratory factor 1 (NRF1) expression and electron transport chain integrity, thereby supporting bioenergetics and NAD</w:t>
      </w:r>
      <w:r>
        <w:t xml:space="preserve"> </w:t>
      </w:r>
      <w:r>
        <w:t>+</w:t>
      </w:r>
      <w:r>
        <w:t xml:space="preserve"> </w:t>
      </w:r>
      <w:r>
        <w:t>/NADH balance. During tumor progression, mitochondrial membrane potential and volume, as well as OPA1-NRF1 signaling, declined in intratumoral cDC1s. Furthermore, intratumoral administration of cDC1s with polarized mitochondria showed immunotherapeutic benefits in mice, particularly in combination with immune checkpoint blockade. Collectively, our findings reveal mitochondrial metabolism and signaling as putative targets to reinvigorate cDC1 function for cancer immunotherapy.</w:t>
      </w:r>
    </w:p>
    <w:p>
      <w:pPr>
        <w:spacing w:before="120" w:after="120"/>
      </w:pPr>
      <w:r>
        <w:rPr>
          <w:sz w:val="18"/>
        </w:rPr>
        <w:t>——————————————————————————————————————————————————————————————————————</w:t>
      </w:r>
    </w:p>
    <w:p>
      <w:pPr>
        <w:spacing w:before="160" w:after="40" w:line="240" w:lineRule="auto"/>
      </w:pPr>
      <w:r>
        <w:rPr>
          <w:b/>
        </w:rPr>
        <w:t xml:space="preserve">[483] </w:t>
      </w:r>
      <w:hyperlink r:id="rId1127">
        <w:r>
          <w:rPr>
            <w:color w:val="1155CC"/>
            <w:u w:val="single"/>
          </w:rPr>
          <w:t>具有生态遗传的助者-剥削者多态性</w:t>
        </w:r>
      </w:hyperlink>
    </w:p>
    <w:p>
      <w:pPr>
        <w:spacing w:before="0" w:after="80"/>
      </w:pPr>
      <w:r>
        <w:rPr>
          <w:i/>
          <w:sz w:val="20"/>
        </w:rPr>
        <w:t>EN: Helper–exploiter polymorphism with ecological inheritance</w:t>
      </w:r>
    </w:p>
    <w:p>
      <w:pPr>
        <w:spacing w:before="0" w:after="120"/>
      </w:pPr>
      <w:r>
        <w:rPr>
          <w:b/>
        </w:rPr>
        <w:t xml:space="preserve">Source: </w:t>
      </w:r>
      <w:r>
        <w:t>Proceedings of the National Academy of Sciences: Keyword search for query</w:t>
      </w:r>
      <w:r>
        <w:t xml:space="preserve">    </w:t>
      </w:r>
      <w:r>
        <w:rPr>
          <w:b/>
        </w:rPr>
        <w:t xml:space="preserve">Pub date: </w:t>
      </w:r>
      <w:r>
        <w:t>2026-04-02 07:00:00+00:00</w:t>
      </w:r>
      <w:r>
        <w:t xml:space="preserve">    </w:t>
      </w:r>
      <w:r>
        <w:rPr>
          <w:b/>
        </w:rPr>
        <w:t xml:space="preserve">DOI: </w:t>
      </w:r>
      <w:hyperlink r:id="rId1128">
        <w:r>
          <w:rPr>
            <w:color w:val="1155CC"/>
            <w:u w:val="single"/>
          </w:rPr>
          <w:t>10.1073/pnas.2604884123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[484] </w:t>
      </w:r>
      <w:hyperlink r:id="rId1129">
        <w:r>
          <w:rPr>
            <w:color w:val="1155CC"/>
            <w:u w:val="single"/>
          </w:rPr>
          <w:t>SWI/SNF特异性Ig样结构域SWIFT是转录因子结合平台</w:t>
        </w:r>
      </w:hyperlink>
    </w:p>
    <w:p>
      <w:pPr>
        <w:spacing w:before="0" w:after="80"/>
      </w:pPr>
      <w:r>
        <w:rPr>
          <w:i/>
          <w:sz w:val="20"/>
        </w:rPr>
        <w:t>EN: A SWI/SNF-specific Ig-like domain, SWIFT, is a transcription factor binding platform</w:t>
      </w:r>
    </w:p>
    <w:p>
      <w:pPr>
        <w:spacing w:before="0" w:after="120"/>
      </w:pPr>
      <w:r>
        <w:rPr>
          <w:b/>
        </w:rPr>
        <w:t xml:space="preserve">Source: </w:t>
      </w:r>
      <w:r>
        <w:t>AAAS: Science: Table of Contents</w:t>
      </w:r>
      <w:r>
        <w:t xml:space="preserve">    </w:t>
      </w:r>
      <w:r>
        <w:rPr>
          <w:b/>
        </w:rPr>
        <w:t xml:space="preserve">Pub date: </w:t>
      </w:r>
      <w:r>
        <w:t>2026-04-02 07:00:00+00:00</w:t>
      </w:r>
      <w:r>
        <w:t xml:space="preserve">    </w:t>
      </w:r>
      <w:r>
        <w:rPr>
          <w:b/>
        </w:rPr>
        <w:t xml:space="preserve">DOI: </w:t>
      </w:r>
      <w:hyperlink r:id="rId1130">
        <w:r>
          <w:rPr>
            <w:color w:val="1155CC"/>
            <w:u w:val="single"/>
          </w:rPr>
          <w:t>10.1126/science.aeb3627</w:t>
        </w:r>
      </w:hyperlink>
    </w:p>
    <w:p>
      <w:pPr>
        <w:spacing w:before="0" w:after="120"/>
      </w:pPr>
      <w:r>
        <w:rPr>
          <w:b/>
        </w:rPr>
        <w:t xml:space="preserve">Notes: </w:t>
      </w:r>
      <w:r>
        <w:t>abstract_source=crossref</w:t>
      </w:r>
    </w:p>
    <w:p>
      <w:pPr>
        <w:spacing w:before="0" w:after="80" w:lineRule="auto" w:line="276"/>
      </w:pPr>
      <w:r>
        <w:rPr>
          <w:b/>
        </w:rPr>
        <w:t xml:space="preserve">摘要（ZH）: </w:t>
      </w:r>
      <w:r>
        <w:t>哺乳动物开关/蔗糖非发酵（mSWI/SNF）染色质重塑复合物调节DNA可及性和基因表达；然而，其基因组靶向机制仍未完全理解。在此，我们识别了SWIFT [SWI/SNF免疫球蛋白折叠（Ig-fold）用于转录因子相互作用]，这是SMARCD亚基上的一个保守转录因子（TF）结合域。SWIFT对于与PU.1 TF的转活化域直接结合是必要且充分的。单个氨基酸突变破坏了PU.1-mSWI/SNF结合，削弱了复合物靶向，并减弱了PU.1依赖的人类癌细胞中的致癌转录和增殖。SWIFT域的显性表达在隔离中将TFs从mSWI/SNF中分离出来，并毒害了TF“成瘾”的癌细胞。最后</w:t>
      </w:r>
    </w:p>
    <w:p>
      <w:pPr>
        <w:spacing w:before="0" w:after="200" w:lineRule="auto" w:line="276"/>
      </w:pPr>
      <w:r>
        <w:rPr>
          <w:b/>
        </w:rPr>
        <w:t xml:space="preserve">Abstract (EN): </w:t>
      </w:r>
      <w:r>
        <w:t>Mammalian switch/sucrose nonfermenting (mSWI/SNF) chromatin remodeling complexes modulate DNA accessibility and gene expression; however, their genomic targeting mechanisms remain incompletely understood. Here, we identify SWIFT [SWI/SNF immunoglobulin fold (Ig-fold) for transcription factor interactions], a conserved transcription factor (TF) binding domain on the SMARCD subunits. SWIFT is necessary and sufficient for direct engagement with the transactivation domain of the PU.1 TF. A single amino acid mutation disrupts PU.1-mSWI/SNF binding, impairs complex targeting, and attenuates oncogenic transcription and proliferation in PU.1-dependent human cancer cells. Dominant expression of the SWIFT domain in isolation sequesters TFs from mSWI/SNF and poisons TF-“addicted” cancer cells. Finally, TFs across diverse families interact with SMARCD paralog-specific SWIFT domains. These results define a major mechanism of cell type– and disease-specific mSWI/SNF chromatin targeting and inform approaches toward therapeutic modulation.</w:t>
      </w:r>
    </w:p>
    <w:p>
      <w:pPr>
        <w:spacing w:before="120" w:after="120"/>
      </w:pPr>
      <w:r>
        <w:rPr>
          <w:sz w:val="18"/>
        </w:rPr>
        <w:t>——————————————————————————————————————————————————————————————————————</w:t>
      </w:r>
    </w:p>
    <w:p>
      <w:pPr>
        <w:spacing w:before="160" w:after="40" w:line="240" w:lineRule="auto"/>
      </w:pPr>
      <w:r>
        <w:rPr>
          <w:b/>
        </w:rPr>
        <w:t xml:space="preserve">[485] </w:t>
      </w:r>
      <w:hyperlink r:id="rId1131">
        <w:r>
          <w:rPr>
            <w:color w:val="1155CC"/>
            <w:u w:val="single"/>
          </w:rPr>
          <w:t>血液催化的n掺杂聚合物用于可逆光学神经控制</w:t>
        </w:r>
      </w:hyperlink>
    </w:p>
    <w:p>
      <w:pPr>
        <w:spacing w:before="0" w:after="80"/>
      </w:pPr>
      <w:r>
        <w:rPr>
          <w:i/>
          <w:sz w:val="20"/>
        </w:rPr>
        <w:t>EN: Blood-catalyzed n-doped polymers for reversible optical neural control</w:t>
      </w:r>
    </w:p>
    <w:p>
      <w:pPr>
        <w:spacing w:before="0" w:after="120"/>
      </w:pPr>
      <w:r>
        <w:rPr>
          <w:b/>
        </w:rPr>
        <w:t xml:space="preserve">Source: </w:t>
      </w:r>
      <w:r>
        <w:t>AAAS: Science: Table of Contents</w:t>
      </w:r>
      <w:r>
        <w:t xml:space="preserve">    </w:t>
      </w:r>
      <w:r>
        <w:rPr>
          <w:b/>
        </w:rPr>
        <w:t xml:space="preserve">Pub date: </w:t>
      </w:r>
      <w:r>
        <w:t>2026-04-02 07:00:00+00:00</w:t>
      </w:r>
      <w:r>
        <w:t xml:space="preserve">    </w:t>
      </w:r>
      <w:r>
        <w:rPr>
          <w:b/>
        </w:rPr>
        <w:t xml:space="preserve">DOI: </w:t>
      </w:r>
      <w:hyperlink r:id="rId1132">
        <w:r>
          <w:rPr>
            <w:color w:val="1155CC"/>
            <w:u w:val="single"/>
          </w:rPr>
          <w:t>10.1126/science.adu5500</w:t>
        </w:r>
      </w:hyperlink>
    </w:p>
    <w:p>
      <w:pPr>
        <w:spacing w:before="0" w:after="120"/>
      </w:pPr>
      <w:r>
        <w:rPr>
          <w:b/>
        </w:rPr>
        <w:t xml:space="preserve">Notes: </w:t>
      </w:r>
      <w:r>
        <w:t>abstract_source=crossref</w:t>
      </w:r>
    </w:p>
    <w:p>
      <w:pPr>
        <w:spacing w:before="0" w:after="80" w:lineRule="auto" w:line="276"/>
      </w:pPr>
      <w:r>
        <w:rPr>
          <w:b/>
        </w:rPr>
        <w:t xml:space="preserve">摘要（ZH）: </w:t>
      </w:r>
      <w:r>
        <w:t>合成材料与活体组织的生物相容性整合仍然是生物电子学的主要挑战。在这种情况下，无基底导电聚合物（CP）界面可以帮助弥合这一差距。我们报告了在清醒的斑马鱼和小鼠中使用全血催化聚合的n型掺杂聚（苯并二呋喃二酮）（n-PBDF）的体内组装。该方法利用内源性催化剂，特别是血红素蛋白，形成稳定的、对热和离子敏感的CP网络，确保在整个生命周期内的长期兼容性。我们展示了这种界面的影响，通过使用近红外（NIR）光进行可逆的、细胞和亚细胞的神经调节，包括体内聚合的n-PBDF。电生理研究证实，n-PBDF改变了内在的钠离子通道</w:t>
      </w:r>
    </w:p>
    <w:p>
      <w:pPr>
        <w:spacing w:before="0" w:after="200" w:lineRule="auto" w:line="276"/>
      </w:pPr>
      <w:r>
        <w:rPr>
          <w:b/>
        </w:rPr>
        <w:t xml:space="preserve">Abstract (EN): </w:t>
      </w:r>
      <w:r>
        <w:t>Biocompatible integration of synthetic materials with living tissue remains a major challenge for bioelectronics. In this case, substrate-free conducting polymer (CP) interfaces could help bridge this gap. We report in vivo assembly of n-doped poly(benzodifurandione) (n-PBDF) using whole blood–catalyzed polymerization in awake zebrafish and mice. This approach leverages endogenous catalysts, specifically hemoproteins, to form stable, thermally and ionically sensitive CP networks, ensuring long-term compatibility throughout the lifespan. We showcase the impact of this interface through reversible, cellular, and subcellular neuromodulation using near-infrared (NIR) light, including in vivo polymerized n-PBDF. Electrophysiological studies confirmed that n-PBDF alters intrinsic sodium ion channel excitability, and NIR light stimulation amplifies this modulation through thermoionic-induced shunting, providing on-demand, millisecond-scale reversible inhibitory control of excitability, a feature recapitulated in actively behaving mice.</w:t>
      </w:r>
    </w:p>
    <w:p>
      <w:pPr>
        <w:spacing w:before="120" w:after="120"/>
      </w:pPr>
      <w:r>
        <w:rPr>
          <w:sz w:val="18"/>
        </w:rPr>
        <w:t>——————————————————————————————————————————————————————————————————————</w:t>
      </w:r>
    </w:p>
    <w:p>
      <w:pPr>
        <w:spacing w:before="160" w:after="40" w:line="240" w:lineRule="auto"/>
      </w:pPr>
      <w:r>
        <w:rPr>
          <w:b/>
        </w:rPr>
        <w:t xml:space="preserve">[486] </w:t>
      </w:r>
      <w:hyperlink r:id="rId1133">
        <w:r>
          <w:rPr>
            <w:color w:val="1155CC"/>
            <w:u w:val="single"/>
          </w:rPr>
          <w:t>利用病毒策略通过整合应激反应逆转认知功能障碍</w:t>
        </w:r>
      </w:hyperlink>
    </w:p>
    <w:p>
      <w:pPr>
        <w:spacing w:before="0" w:after="80"/>
      </w:pPr>
      <w:r>
        <w:rPr>
          <w:i/>
          <w:sz w:val="20"/>
        </w:rPr>
        <w:t>EN: Harnessing viral strategies to reverse cognitive dysfunction through the integrated stress response</w:t>
      </w:r>
    </w:p>
    <w:p>
      <w:pPr>
        <w:spacing w:before="0" w:after="120"/>
      </w:pPr>
      <w:r>
        <w:rPr>
          <w:b/>
        </w:rPr>
        <w:t xml:space="preserve">Source: </w:t>
      </w:r>
      <w:r>
        <w:t>AAAS: Science: Table of Contents</w:t>
      </w:r>
      <w:r>
        <w:t xml:space="preserve">    </w:t>
      </w:r>
      <w:r>
        <w:rPr>
          <w:b/>
        </w:rPr>
        <w:t xml:space="preserve">Pub date: </w:t>
      </w:r>
      <w:r>
        <w:t>2026-04-02 07:00:00+00:00</w:t>
      </w:r>
      <w:r>
        <w:t xml:space="preserve">    </w:t>
      </w:r>
      <w:r>
        <w:rPr>
          <w:b/>
        </w:rPr>
        <w:t xml:space="preserve">DOI: </w:t>
      </w:r>
      <w:hyperlink r:id="rId1134">
        <w:r>
          <w:rPr>
            <w:color w:val="1155CC"/>
            <w:u w:val="single"/>
          </w:rPr>
          <w:t>10.1126/science.aea8782</w:t>
        </w:r>
      </w:hyperlink>
    </w:p>
    <w:p>
      <w:pPr>
        <w:spacing w:before="0" w:after="120"/>
      </w:pPr>
      <w:r>
        <w:rPr>
          <w:b/>
        </w:rPr>
        <w:t xml:space="preserve">Notes: </w:t>
      </w:r>
      <w:r>
        <w:t>abstract_source=crossref</w:t>
      </w:r>
    </w:p>
    <w:p>
      <w:pPr>
        <w:spacing w:before="0" w:after="80" w:lineRule="auto" w:line="276"/>
      </w:pPr>
      <w:r>
        <w:rPr>
          <w:b/>
        </w:rPr>
        <w:t xml:space="preserve">摘要（ZH）: </w:t>
      </w:r>
      <w:r>
        <w:t>整合应激反应（ISR）对于细胞稳态和认知功能至关重要。我们通过研究与智力障碍相关的PPP1R15B</w:t>
      </w:r>
      <w:r>
        <w:t xml:space="preserve"> </w:t>
      </w:r>
      <w:r>
        <w:t>R658C</w:t>
      </w:r>
      <w:r>
        <w:t xml:space="preserve"> </w:t>
      </w:r>
      <w:r>
        <w:t>基因变体，调查了持续的ISR激活如何影响认知表现。为了模拟这种情况，我们生成了一条插入致病等位基因的小鼠系。该变体破坏了PPP1R15B•PP1磷酸酶复合物的稳定性，导致持续的ISR激活、蛋白质合成受损和长期记忆缺陷。我们证明了</w:t>
      </w:r>
      <w:r>
        <w:t xml:space="preserve"> </w:t>
      </w:r>
      <w:r>
        <w:t>Ppp1r15b</w:t>
      </w:r>
      <w:r>
        <w:t xml:space="preserve"> </w:t>
      </w:r>
      <w:r>
        <w:t>R658C</w:t>
      </w:r>
      <w:r>
        <w:t xml:space="preserve"> </w:t>
      </w:r>
      <w:r>
        <w:t>小鼠的认知和突触损伤直接源于ISR激活。此外，我们还表征了PPP1R15B的病毒同源物DP71L，其</w:t>
      </w:r>
    </w:p>
    <w:p>
      <w:pPr>
        <w:spacing w:before="0" w:after="200" w:lineRule="auto" w:line="276"/>
      </w:pPr>
      <w:r>
        <w:rPr>
          <w:b/>
        </w:rPr>
        <w:t xml:space="preserve">Abstract (EN): </w:t>
      </w:r>
      <w:r>
        <w:t>The integrated stress response (ISR) is essential for cellular homeostasis and cognitive function. We investigated how persistent ISR activation affects cognitive performance by studying the PPP1R15B</w:t>
      </w:r>
      <w:r>
        <w:t xml:space="preserve"> </w:t>
      </w:r>
      <w:r>
        <w:t>R658C</w:t>
      </w:r>
      <w:r>
        <w:t xml:space="preserve"> </w:t>
      </w:r>
      <w:r>
        <w:t>genetic variant associated with intellectual disability. To model this condition, we generated a mouse line with the pathogenic allele inserted. This variant destabilized the PPP1R15B•PP1 phosphatase complex, causing persistent ISR activation, impaired protein synthesis, and long-term memory deficits. We demonstrated that the cognitive and synaptic impairments in</w:t>
      </w:r>
      <w:r>
        <w:t xml:space="preserve"> </w:t>
      </w:r>
      <w:r>
        <w:t>Ppp1r15b</w:t>
      </w:r>
      <w:r>
        <w:t xml:space="preserve"> </w:t>
      </w:r>
      <w:r>
        <w:t>R658C</w:t>
      </w:r>
      <w:r>
        <w:t xml:space="preserve"> </w:t>
      </w:r>
      <w:r>
        <w:t>mice arise directly from ISR activation. Furthermore, we characterized DP71L, a viral ortholog of PPP1R15B, which acted as a potent pan-ISR inhibitor. DP71L reversed the cognitive and synaptic deficits across mouse models of Down syndrome, Alzheimer’s disease, and aging, and enhanced synaptic plasticity and memory in healthy mice.</w:t>
      </w:r>
    </w:p>
    <w:p>
      <w:pPr>
        <w:spacing w:before="120" w:after="120"/>
      </w:pPr>
      <w:r>
        <w:rPr>
          <w:sz w:val="18"/>
        </w:rPr>
        <w:t>——————————————————————————————————————————————————————————————————————</w:t>
      </w:r>
    </w:p>
    <w:p>
      <w:pPr>
        <w:spacing w:before="160" w:after="40" w:line="240" w:lineRule="auto"/>
      </w:pPr>
      <w:r>
        <w:rPr>
          <w:b/>
        </w:rPr>
        <w:t xml:space="preserve">[487] </w:t>
      </w:r>
      <w:hyperlink r:id="rId1135">
        <w:r>
          <w:rPr>
            <w:color w:val="1155CC"/>
            <w:u w:val="single"/>
          </w:rPr>
          <w:t>同时发生的L1逆转录插入事件促进人类肿瘤发生中的相互易位</w:t>
        </w:r>
      </w:hyperlink>
    </w:p>
    <w:p>
      <w:pPr>
        <w:spacing w:before="0" w:after="80"/>
      </w:pPr>
      <w:r>
        <w:rPr>
          <w:i/>
          <w:sz w:val="20"/>
        </w:rPr>
        <w:t>EN: Concurrent L1 retrotransposition events promote reciprocal translocations in human tumorigenesis</w:t>
      </w:r>
    </w:p>
    <w:p>
      <w:pPr>
        <w:spacing w:before="0" w:after="120"/>
      </w:pPr>
      <w:r>
        <w:rPr>
          <w:b/>
        </w:rPr>
        <w:t xml:space="preserve">Source: </w:t>
      </w:r>
      <w:r>
        <w:t>AAAS: Science: Table of Contents</w:t>
      </w:r>
      <w:r>
        <w:t xml:space="preserve">    </w:t>
      </w:r>
      <w:r>
        <w:rPr>
          <w:b/>
        </w:rPr>
        <w:t xml:space="preserve">Pub date: </w:t>
      </w:r>
      <w:r>
        <w:t>2026-04-02 07:00:00+00:00</w:t>
      </w:r>
      <w:r>
        <w:t xml:space="preserve">    </w:t>
      </w:r>
      <w:r>
        <w:rPr>
          <w:b/>
        </w:rPr>
        <w:t xml:space="preserve">DOI: </w:t>
      </w:r>
      <w:hyperlink r:id="rId1136">
        <w:r>
          <w:rPr>
            <w:color w:val="1155CC"/>
            <w:u w:val="single"/>
          </w:rPr>
          <w:t>10.1126/science.aee4513</w:t>
        </w:r>
      </w:hyperlink>
    </w:p>
    <w:p>
      <w:pPr>
        <w:spacing w:before="0" w:after="120"/>
      </w:pPr>
      <w:r>
        <w:rPr>
          <w:b/>
        </w:rPr>
        <w:t xml:space="preserve">Notes: </w:t>
      </w:r>
      <w:r>
        <w:t>abstract_source=crossref</w:t>
      </w:r>
    </w:p>
    <w:p>
      <w:pPr>
        <w:spacing w:before="0" w:after="80" w:lineRule="auto" w:line="276"/>
      </w:pPr>
      <w:r>
        <w:rPr>
          <w:b/>
        </w:rPr>
        <w:t xml:space="preserve">摘要（ZH）: </w:t>
      </w:r>
      <w:r>
        <w:t>LINE-1（L1）逆转录转座在人体癌症中产生体细胞基因组变异，但短读测序限制了我们对其结构后果和动态的理解。使用长读测序，我们分析了10个具有异常高逆转录转座活性的肿瘤，包含超过6000个体细胞事件。我们揭示了L1介导的相互易位频繁发生，通常由两个同时发生在非同源染色体上的L1逆转录转座事件驱动。使用一个独立的肿瘤队列，跨越从低到高的L1活性，我们估计逆转录转座介导的重排以每60个体细胞逆转录转座事件发生一个事件的频率出现。分子时间分析表明，这些事件在肿瘤发生早期出现，确立了L1活性为</w:t>
      </w:r>
    </w:p>
    <w:p>
      <w:pPr>
        <w:spacing w:before="0" w:after="200" w:lineRule="auto" w:line="276"/>
      </w:pPr>
      <w:r>
        <w:rPr>
          <w:b/>
        </w:rPr>
        <w:t xml:space="preserve">Abstract (EN): </w:t>
      </w:r>
      <w:r>
        <w:t>LINE-1 (L1) retrotransposition generates somatic genomic variation in human cancer, but short-read sequencing has limited our understanding of its structural consequences and dynamics. Using long-read sequencing, we analyzed 10 tumors with exceptionally high retrotransposition activity, comprising more than 6000 somatic events. We reveal that L1-mediated reciprocal translocations occur frequently, typically driven by two concurrent L1 retrotransposition events on nonhomologous chromosomes. Using an independent tumor cohort spanning low to high L1 activity, we estimate that retrotransposon-mediated rearrangements arise at a frequency of one event per 60 somatic retrotranspositions. Molecular timing analyses indicate that these events arise early in tumorigenesis, establishing L1 activity as an early driver of chromosomal instability. Our findings demonstrate that L1 contributes substantially to cancer genome evolution in certain tumors.</w:t>
      </w:r>
    </w:p>
    <w:p>
      <w:pPr>
        <w:spacing w:before="120" w:after="120"/>
      </w:pPr>
      <w:r>
        <w:rPr>
          <w:sz w:val="18"/>
        </w:rPr>
        <w:t>——————————————————————————————————————————————————————————————————————</w:t>
      </w:r>
    </w:p>
    <w:p>
      <w:pPr>
        <w:spacing w:before="160" w:after="40" w:line="240" w:lineRule="auto"/>
      </w:pPr>
      <w:r>
        <w:rPr>
          <w:b/>
        </w:rPr>
        <w:t xml:space="preserve">[488] </w:t>
      </w:r>
      <w:hyperlink r:id="rId1137">
        <w:r>
          <w:rPr>
            <w:color w:val="1155CC"/>
            <w:u w:val="single"/>
          </w:rPr>
          <w:t>通过FAP导向的免疫疗法靶向动脉粥样硬化中的调节血管平滑肌细胞</w:t>
        </w:r>
      </w:hyperlink>
    </w:p>
    <w:p>
      <w:pPr>
        <w:spacing w:before="0" w:after="80"/>
      </w:pPr>
      <w:r>
        <w:rPr>
          <w:i/>
          <w:sz w:val="20"/>
        </w:rPr>
        <w:t>EN: Targeting modulated vascular smooth muscle cells in atherosclerosis via FAP-directed immunotherapy</w:t>
      </w:r>
    </w:p>
    <w:p>
      <w:pPr>
        <w:spacing w:before="0" w:after="120"/>
      </w:pPr>
      <w:r>
        <w:rPr>
          <w:b/>
        </w:rPr>
        <w:t xml:space="preserve">Source: </w:t>
      </w:r>
      <w:r>
        <w:t>AAAS: Science: Table of Contents</w:t>
      </w:r>
      <w:r>
        <w:t xml:space="preserve">    </w:t>
      </w:r>
      <w:r>
        <w:rPr>
          <w:b/>
        </w:rPr>
        <w:t xml:space="preserve">Pub date: </w:t>
      </w:r>
      <w:r>
        <w:t>2026-04-02 07:00:00+00:00</w:t>
      </w:r>
      <w:r>
        <w:t xml:space="preserve">    </w:t>
      </w:r>
      <w:r>
        <w:rPr>
          <w:b/>
        </w:rPr>
        <w:t xml:space="preserve">DOI: </w:t>
      </w:r>
      <w:hyperlink r:id="rId1138">
        <w:r>
          <w:rPr>
            <w:color w:val="1155CC"/>
            <w:u w:val="single"/>
          </w:rPr>
          <w:t>10.1126/science.adx1736</w:t>
        </w:r>
      </w:hyperlink>
    </w:p>
    <w:p>
      <w:pPr>
        <w:spacing w:before="0" w:after="120"/>
      </w:pPr>
      <w:r>
        <w:rPr>
          <w:b/>
        </w:rPr>
        <w:t xml:space="preserve">Notes: </w:t>
      </w:r>
      <w:r>
        <w:t>abstract_source=crossref</w:t>
      </w:r>
    </w:p>
    <w:p>
      <w:pPr>
        <w:spacing w:before="0" w:after="80" w:lineRule="auto" w:line="276"/>
      </w:pPr>
      <w:r>
        <w:rPr>
          <w:b/>
        </w:rPr>
        <w:t xml:space="preserve">摘要（ZH）: </w:t>
      </w:r>
      <w:r>
        <w:t>血管平滑肌细胞（VSMC）多样化推动动脉粥样硬化性冠状动脉疾病（CAD），但调控这些细胞状态转变的机制仍不清楚。我们应用多组学单细胞分析、表位映射和空间转录组学研究了27个人类冠状动脉，识别出成纤维细胞活化蛋白（FAP）作为调节VSMC的标志。小鼠的谱系追踪表明，FAP</w:t>
      </w:r>
      <w:r>
        <w:t xml:space="preserve"> </w:t>
      </w:r>
      <w:r>
        <w:t>+</w:t>
      </w:r>
      <w:r>
        <w:t xml:space="preserve"> </w:t>
      </w:r>
      <w:r>
        <w:t>细胞来源于</w:t>
      </w:r>
      <w:r>
        <w:t xml:space="preserve"> </w:t>
      </w:r>
      <w:r>
        <w:t>Myh11</w:t>
      </w:r>
      <w:r>
        <w:t xml:space="preserve"> </w:t>
      </w:r>
      <w:r>
        <w:t>+</w:t>
      </w:r>
      <w:r>
        <w:t xml:space="preserve"> </w:t>
      </w:r>
      <w:r>
        <w:t>VSMC，并且在CAD患者中FAP正电子发射断层扫描成像显示斑块摄取。FAP</w:t>
      </w:r>
      <w:r>
        <w:t xml:space="preserve"> </w:t>
      </w:r>
      <w:r>
        <w:t>+</w:t>
      </w:r>
      <w:r>
        <w:t xml:space="preserve"> </w:t>
      </w:r>
      <w:r>
        <w:t>细胞状态存在于富含巨噬细胞的新内膜中。在治疗上，我们开发了一种抗FAP双特异性</w:t>
      </w:r>
    </w:p>
    <w:p>
      <w:pPr>
        <w:spacing w:before="0" w:after="200" w:lineRule="auto" w:line="276"/>
      </w:pPr>
      <w:r>
        <w:rPr>
          <w:b/>
        </w:rPr>
        <w:t xml:space="preserve">Abstract (EN): </w:t>
      </w:r>
      <w:r>
        <w:t>Vascular smooth muscle cell (VSMC) diversification drives atherosclerotic coronary artery disease (CAD), but the mechanisms governing these cell state transitions remain unclear. We applied multiomic single-cell profiling, epitope mapping, and spatial transcriptomics across 27 human coronary arteries, identifying fibroblast activation protein (FAP) as a marker of modulated VSMCs. Lineage tracing in mice indicated that FAP</w:t>
      </w:r>
      <w:r>
        <w:t xml:space="preserve"> </w:t>
      </w:r>
      <w:r>
        <w:t>+</w:t>
      </w:r>
      <w:r>
        <w:t xml:space="preserve"> </w:t>
      </w:r>
      <w:r>
        <w:t>cells originate from</w:t>
      </w:r>
      <w:r>
        <w:t xml:space="preserve"> </w:t>
      </w:r>
      <w:r>
        <w:t>Myh11</w:t>
      </w:r>
      <w:r>
        <w:t xml:space="preserve"> </w:t>
      </w:r>
      <w:r>
        <w:t>+</w:t>
      </w:r>
      <w:r>
        <w:t xml:space="preserve"> </w:t>
      </w:r>
      <w:r>
        <w:t>VSMCs, and FAP positron emission tomography imaging in CAD patients showed plaque uptake. FAP</w:t>
      </w:r>
      <w:r>
        <w:t xml:space="preserve"> </w:t>
      </w:r>
      <w:r>
        <w:t>+</w:t>
      </w:r>
      <w:r>
        <w:t xml:space="preserve"> </w:t>
      </w:r>
      <w:r>
        <w:t>cell states resided in the macrophage-rich neo-intima. Therapeutically, we developed an anti-FAP bispecific T cell engager, which reduced plaque burden and remodeled the stromal–immune microenvironment through T cell clonal expansion. Our study delivers a single-cell and spatial atlas of human CAD, establishes FAP as a marker of modulated VSMCs, and highlights immunotherapy for lipid-independent targets.</w:t>
      </w:r>
    </w:p>
    <w:p>
      <w:pPr>
        <w:spacing w:before="120" w:after="120"/>
      </w:pPr>
      <w:r>
        <w:rPr>
          <w:sz w:val="18"/>
        </w:rPr>
        <w:t>——————————————————————————————————————————————————————————————————————</w:t>
      </w:r>
    </w:p>
    <w:p>
      <w:pPr>
        <w:spacing w:before="160" w:after="40" w:line="240" w:lineRule="auto"/>
      </w:pPr>
      <w:r>
        <w:rPr>
          <w:b/>
        </w:rPr>
        <w:t xml:space="preserve">[489] </w:t>
      </w:r>
      <w:hyperlink r:id="rId1139">
        <w:r>
          <w:rPr>
            <w:color w:val="1155CC"/>
            <w:u w:val="single"/>
          </w:rPr>
          <w:t>小型染色体外环状DNA在结直肠癌中的功能作用</w:t>
        </w:r>
      </w:hyperlink>
    </w:p>
    <w:p>
      <w:pPr>
        <w:spacing w:before="0" w:after="80"/>
      </w:pPr>
      <w:r>
        <w:rPr>
          <w:i/>
          <w:sz w:val="20"/>
        </w:rPr>
        <w:t>EN: Functional role of small extrachromosomal circular DNA in colorectal cancer</w:t>
      </w:r>
    </w:p>
    <w:p>
      <w:pPr>
        <w:spacing w:before="0" w:after="120"/>
      </w:pPr>
      <w:r>
        <w:rPr>
          <w:b/>
        </w:rPr>
        <w:t xml:space="preserve">Source: </w:t>
      </w:r>
      <w:r>
        <w:t>Proceedings of the National Academy of Sciences: Keyword search for query</w:t>
      </w:r>
      <w:r>
        <w:t xml:space="preserve">    </w:t>
      </w:r>
      <w:r>
        <w:rPr>
          <w:b/>
        </w:rPr>
        <w:t xml:space="preserve">Pub date: </w:t>
      </w:r>
      <w:r>
        <w:t>2026-04-02 07:00:00+00:00</w:t>
      </w:r>
      <w:r>
        <w:t xml:space="preserve">    </w:t>
      </w:r>
      <w:r>
        <w:rPr>
          <w:b/>
        </w:rPr>
        <w:t xml:space="preserve">DOI: </w:t>
      </w:r>
      <w:hyperlink r:id="rId1140">
        <w:r>
          <w:rPr>
            <w:color w:val="1155CC"/>
            <w:u w:val="single"/>
          </w:rPr>
          <w:t>10.1073/pnas.2523047123</w:t>
        </w:r>
      </w:hyperlink>
    </w:p>
    <w:p>
      <w:pPr>
        <w:spacing w:before="0" w:after="120"/>
      </w:pPr>
      <w:r>
        <w:rPr>
          <w:b/>
        </w:rPr>
        <w:t xml:space="preserve">Notes: </w:t>
      </w:r>
      <w:r>
        <w:t>abstract_source=crossref</w:t>
      </w:r>
    </w:p>
    <w:p>
      <w:pPr>
        <w:spacing w:before="0" w:after="80" w:lineRule="auto" w:line="276"/>
      </w:pPr>
      <w:r>
        <w:rPr>
          <w:b/>
        </w:rPr>
        <w:t xml:space="preserve">摘要（ZH）: </w:t>
      </w:r>
      <w:r>
        <w:t>染色体外环状DNA（eccDNA）是源自染色体DNA但独立存在的分子。虽然大型eccDNA（ecDNA）有助于肿瘤发生，但较小的eccDNA（&lt;100,000碱基对）在癌症中的作用仍不清楚。我们对25例结直肠癌（CRC）肿瘤及其邻近正常组织的分析显示，eccDNA在肿瘤组织中显著更为丰富，并与染色体扩增强烈相关。1.29%的eccDNA上存在完整基因的现象并非随机。我们识别出84个基因在多个患者的肿瘤中反复出现，当它们存在于eccDNA上时，其中19%的基因与癌症相关。eccDNA携带的基因通常伴随着表达增加，其对表达的贡献远大于线性</w:t>
      </w:r>
    </w:p>
    <w:p>
      <w:pPr>
        <w:spacing w:before="0" w:after="200" w:lineRule="auto" w:line="276"/>
      </w:pPr>
      <w:r>
        <w:rPr>
          <w:b/>
        </w:rPr>
        <w:t xml:space="preserve">Abstract (EN): </w:t>
      </w:r>
      <w:r>
        <w:t>Extrachromosomal circular DNA (eccDNA) are molecules that originate from chromosomal DNA but exist independently. While large eccDNA (ecDNA) contributes to tumorigenesis, the role of smaller eccDNA (&amp;lt;100,000 base pairs) in cancer remains unclear. Our analysis of 25 colorectal cancer (CRC) tumors and normal adjacent tissues revealed that eccDNA is significantly more abundant in tumor tissues, correlating strongly with chromosomal amplifications. The presence of whole intact genes on 1.29% of eccDNA was nonrandom. We identified 84 genes that recurred across tumors of multiple patients when present on eccDNA, with 19% of genes being cancer-associated. eccDNA-borne genes were often accompanied by increased expression, and their contribution to expression was much larger than that from linear amplifications and the larger ecDNA. The cytokine gene</w:t>
      </w:r>
      <w:r>
        <w:t xml:space="preserve"> </w:t>
      </w:r>
      <w:r>
        <w:t>CXCL5</w:t>
      </w:r>
      <w:r>
        <w:t xml:space="preserve"> </w:t>
      </w:r>
      <w:r>
        <w:t>exemplified this phenomenon, showing substantial copy-number increase and upregulation when present on eccDNA. Functional validation in cell lines showed that</w:t>
      </w:r>
      <w:r>
        <w:t xml:space="preserve"> </w:t>
      </w:r>
      <w:r>
        <w:t>CXCL5</w:t>
      </w:r>
      <w:r>
        <w:t xml:space="preserve"> </w:t>
      </w:r>
      <w:r>
        <w:t>eccDNA enhanced transcriptional output and immune cell recruitment function. The recurrence and overexpression of CRC-related genes on eccDNA indicate their selection in tumors, suggest that eccDNA can serve as an additional mechanism for dynamically influencing gene expression and is capable of conferring cancer phenotypes on cells. Analysis of chromatin landscapes revealed that eccDNA preferentially forms at sites of open chromatin and active transcription, with architectural boundaries marked by CTCF protein. Clinically, higher eccDNA levels correlated with poorer relapse-free survival in a small patient cohort. These findings suggest that circular DNA elements across the entire size spectrum participate in cancer evolution and warrant further investigation in larger cohorts.</w:t>
      </w:r>
    </w:p>
    <w:p>
      <w:pPr>
        <w:spacing w:before="120" w:after="120"/>
      </w:pPr>
      <w:r>
        <w:rPr>
          <w:sz w:val="18"/>
        </w:rPr>
        <w:t>——————————————————————————————————————————————————————————————————————</w:t>
      </w:r>
    </w:p>
    <w:p>
      <w:pPr>
        <w:spacing w:before="160" w:after="40" w:line="240" w:lineRule="auto"/>
      </w:pPr>
      <w:r>
        <w:rPr>
          <w:b/>
        </w:rPr>
        <w:t xml:space="preserve">[490] </w:t>
      </w:r>
      <w:hyperlink r:id="rId1141">
        <w:r>
          <w:rPr>
            <w:color w:val="1155CC"/>
            <w:u w:val="single"/>
          </w:rPr>
          <w:t>神经元衍生的线粒体DNA (mtDNA)通过Z-DNA结合蛋白1 (ZBP1)介导的途径在轻度创伤性脑损伤中激活小胶质细胞</w:t>
        </w:r>
      </w:hyperlink>
    </w:p>
    <w:p>
      <w:pPr>
        <w:spacing w:before="0" w:after="80"/>
      </w:pPr>
      <w:r>
        <w:rPr>
          <w:i/>
          <w:sz w:val="20"/>
        </w:rPr>
        <w:t>EN: Neuron-derived mitochondrial DNA (mtDNA) activates microglia via the Z-DNA binding protein 1 (ZBP1)-mediated pathway in mild traumatic brain injury</w:t>
      </w:r>
    </w:p>
    <w:p>
      <w:pPr>
        <w:spacing w:before="0" w:after="120"/>
      </w:pPr>
      <w:r>
        <w:rPr>
          <w:b/>
        </w:rPr>
        <w:t xml:space="preserve">Source: </w:t>
      </w:r>
      <w:r>
        <w:t>Proceedings of the National Academy of Sciences: Keyword search for query</w:t>
      </w:r>
      <w:r>
        <w:t xml:space="preserve">    </w:t>
      </w:r>
      <w:r>
        <w:rPr>
          <w:b/>
        </w:rPr>
        <w:t xml:space="preserve">Pub date: </w:t>
      </w:r>
      <w:r>
        <w:t>2026-04-02 07:00:00+00:00</w:t>
      </w:r>
      <w:r>
        <w:t xml:space="preserve">    </w:t>
      </w:r>
      <w:r>
        <w:rPr>
          <w:b/>
        </w:rPr>
        <w:t xml:space="preserve">DOI: </w:t>
      </w:r>
      <w:hyperlink r:id="rId1142">
        <w:r>
          <w:rPr>
            <w:color w:val="1155CC"/>
            <w:u w:val="single"/>
          </w:rPr>
          <w:t>10.1073/pnas.2527009123</w:t>
        </w:r>
      </w:hyperlink>
    </w:p>
    <w:p>
      <w:pPr>
        <w:spacing w:before="0" w:after="120"/>
      </w:pPr>
      <w:r>
        <w:rPr>
          <w:b/>
        </w:rPr>
        <w:t xml:space="preserve">Notes: </w:t>
      </w:r>
      <w:r>
        <w:t>abstract_source=crossref</w:t>
      </w:r>
    </w:p>
    <w:p>
      <w:pPr>
        <w:spacing w:before="0" w:after="80" w:lineRule="auto" w:line="276"/>
      </w:pPr>
      <w:r>
        <w:rPr>
          <w:b/>
        </w:rPr>
        <w:t xml:space="preserve">摘要（ZH）: </w:t>
      </w:r>
      <w:r>
        <w:t>创伤性脑损伤（TBI）是导致发病率和死亡率的主要原因，闭合性轻度TBI（mTBI）占所有病例的近90%。早期病理事件包括小胶质细胞激活和神经元线粒体功能障碍；然而，它们在mTBI中的相互关系仍然知之甚少。使用临床相关的闭合性重量跌落小鼠模型，我们在急性mTBI阶段识别出线粒体DNA（mtDNA）特异性损伤和先天性炎症标志物（IL-1α/β、IL-6、TNFα和CXCL1）在大脑皮层中的表达增加。在机制上，体外mTBI损伤模型中的神经元表现出早期mtDNA特异性损伤，随后通过细胞外囊泡（EVs）释放mtDNA以及神经元和外泌体标志物。释放的</w:t>
      </w:r>
    </w:p>
    <w:p>
      <w:pPr>
        <w:spacing w:before="0" w:after="200" w:lineRule="auto" w:line="276"/>
      </w:pPr>
      <w:r>
        <w:rPr>
          <w:b/>
        </w:rPr>
        <w:t xml:space="preserve">Abstract (EN): </w:t>
      </w:r>
      <w:r>
        <w:t>Traumatic brain injury (TBI) is a leading cause of morbidity and mortality, with closed-head mild TBI (mTBI) accounting for nearly 90% of all cases. Early pathological events include microglial activation and neuronal mitochondrial dysfunction; however, their interconnection in mTBI remains poorly understood. Using a clinically relevant closed-head weight-drop mouse model, we identified mitochondrial DNA (mtDNA)-specific damage and increased expression of innate inflammatory markers (IL-1α/β, IL-6, TNFα, and CXCL1) in the cerebral cortex during the acute mTBI phase. Mechanistically, neurons subjected to in vitro injury model of mTBI exhibited early mtDNA-specific damage followed by mtDNA release via extracellular vesicles (EVs) together with the neuronal and exosomal markers. The released neuronal mtDNA induced a robust microglial activation mediated by binding to the cytoplasmic DNA/RNA sensor Z-DNA–binding protein 1 (ZBP1), triggering activation of the ZBP1–TBK1–IRF3 pathway resulted IL-6 and TNFα expression. An early, enhanced amounts of mtDNA, neuronal and exosomal markers were measured in EVs circulating in the blood of mice subjected to mTBI. ZBP1 knockout (KO) mice displayed suppressed microglial—but not astrocytic—activation in the cortex during the acute mTBI phase. We also measured accumulation of mtDNA-specific damage in the hippocampus during the postacute mTBI phase. The absence of microglial activation in ZBP1 KO mice exacerbated hippocampal-related memory deficits in the postacute mTBI phase. Collectively, our findings identify mtDNA–ZBP1 signaling as a key mechanism regulating microglial activation in mTBI.</w:t>
      </w:r>
    </w:p>
    <w:p>
      <w:pPr>
        <w:spacing w:before="120" w:after="120"/>
      </w:pPr>
      <w:r>
        <w:rPr>
          <w:sz w:val="18"/>
        </w:rPr>
        <w:t>——————————————————————————————————————————————————————————————————————</w:t>
      </w:r>
    </w:p>
    <w:p>
      <w:pPr>
        <w:spacing w:before="160" w:after="40" w:line="240" w:lineRule="auto"/>
      </w:pPr>
      <w:r>
        <w:rPr>
          <w:b/>
        </w:rPr>
        <w:t xml:space="preserve">[491] </w:t>
      </w:r>
      <w:hyperlink r:id="rId1143">
        <w:r>
          <w:rPr>
            <w:color w:val="1155CC"/>
            <w:u w:val="single"/>
          </w:rPr>
          <w:t>伟大的教育矛盾</w:t>
        </w:r>
      </w:hyperlink>
    </w:p>
    <w:p>
      <w:pPr>
        <w:spacing w:before="0" w:after="80"/>
      </w:pPr>
      <w:r>
        <w:rPr>
          <w:i/>
          <w:sz w:val="20"/>
        </w:rPr>
        <w:t>EN: The great education contradiction</w:t>
      </w:r>
    </w:p>
    <w:p>
      <w:pPr>
        <w:spacing w:before="0" w:after="120"/>
      </w:pPr>
      <w:r>
        <w:rPr>
          <w:b/>
        </w:rPr>
        <w:t xml:space="preserve">Source: </w:t>
      </w:r>
      <w:r>
        <w:t>AAAS: Science: Table of Contents</w:t>
      </w:r>
      <w:r>
        <w:t xml:space="preserve">    </w:t>
      </w:r>
      <w:r>
        <w:rPr>
          <w:b/>
        </w:rPr>
        <w:t xml:space="preserve">Pub date: </w:t>
      </w:r>
      <w:r>
        <w:t>2026-04-02 07:00:00+00:00</w:t>
      </w:r>
      <w:r>
        <w:t xml:space="preserve">    </w:t>
      </w:r>
      <w:r>
        <w:rPr>
          <w:b/>
        </w:rPr>
        <w:t xml:space="preserve">DOI: </w:t>
      </w:r>
      <w:hyperlink r:id="rId1144">
        <w:r>
          <w:rPr>
            <w:color w:val="1155CC"/>
            <w:u w:val="single"/>
          </w:rPr>
          <w:t>10.1126/science.aeg6014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[492] </w:t>
      </w:r>
      <w:hyperlink r:id="rId1145">
        <w:r>
          <w:rPr>
            <w:color w:val="1155CC"/>
            <w:u w:val="single"/>
          </w:rPr>
          <w:t>通过自动微分将粗粒度模型拟合到宏观实验数据</w:t>
        </w:r>
      </w:hyperlink>
    </w:p>
    <w:p>
      <w:pPr>
        <w:spacing w:before="0" w:after="80"/>
      </w:pPr>
      <w:r>
        <w:rPr>
          <w:i/>
          <w:sz w:val="20"/>
        </w:rPr>
        <w:t>EN: Fitting coarse-grained models to macroscopic experimental data via automatic differentiation</w:t>
      </w:r>
    </w:p>
    <w:p>
      <w:pPr>
        <w:spacing w:before="0" w:after="120"/>
      </w:pPr>
      <w:r>
        <w:rPr>
          <w:b/>
        </w:rPr>
        <w:t xml:space="preserve">Source: </w:t>
      </w:r>
      <w:r>
        <w:t>Proceedings of the National Academy of Sciences: Keyword search for query</w:t>
      </w:r>
      <w:r>
        <w:t xml:space="preserve">    </w:t>
      </w:r>
      <w:r>
        <w:rPr>
          <w:b/>
        </w:rPr>
        <w:t xml:space="preserve">Pub date: </w:t>
      </w:r>
      <w:r>
        <w:t>2026-04-02 07:00:00+00:00</w:t>
      </w:r>
      <w:r>
        <w:t xml:space="preserve">    </w:t>
      </w:r>
      <w:r>
        <w:rPr>
          <w:b/>
        </w:rPr>
        <w:t xml:space="preserve">DOI: </w:t>
      </w:r>
      <w:hyperlink r:id="rId1146">
        <w:r>
          <w:rPr>
            <w:color w:val="1155CC"/>
            <w:u w:val="single"/>
          </w:rPr>
          <w:t>10.1073/pnas.2508255123</w:t>
        </w:r>
      </w:hyperlink>
    </w:p>
    <w:p>
      <w:pPr>
        <w:spacing w:before="0" w:after="120"/>
      </w:pPr>
      <w:r>
        <w:rPr>
          <w:b/>
        </w:rPr>
        <w:t xml:space="preserve">Notes: </w:t>
      </w:r>
      <w:r>
        <w:t>abstract_source=crossref</w:t>
      </w:r>
    </w:p>
    <w:p>
      <w:pPr>
        <w:spacing w:before="0" w:after="80" w:lineRule="auto" w:line="276"/>
      </w:pPr>
      <w:r>
        <w:rPr>
          <w:b/>
        </w:rPr>
        <w:t xml:space="preserve">摘要（ZH）: </w:t>
      </w:r>
      <w:r>
        <w:t>开发基于物理的分子模拟模型需要将许多未知参数拟合到多样的实验数据集上。传统上，这个过程是零碎的且难以重现，导致模型的分散格局。在此，我们建立了一个系统的框架，通过利用最近开发的自动微分低方差梯度估计方法，将粗粒化分子模型拟合到宏观实验数据上。使用广泛验证的DNA力场作为示例，我们开发了优化结构、机械和热力学性质的方法，涵盖了一系列模拟技术，包括增强采样和外部强迫，跨越微秒和毫秒时间尺度。我们强调了自动微分如何</w:t>
      </w:r>
    </w:p>
    <w:p>
      <w:pPr>
        <w:spacing w:before="0" w:after="200" w:lineRule="auto" w:line="276"/>
      </w:pPr>
      <w:r>
        <w:rPr>
          <w:b/>
        </w:rPr>
        <w:t xml:space="preserve">Abstract (EN): </w:t>
      </w:r>
      <w:r>
        <w:t>Developing physics-based models for molecular simulation requires fitting many unknown parameters to diverse experimental datasets. Traditionally, this process is piecemeal and difficult to reproduce, leading to a fragmented landscape of models. Here, we establish a systematic framework for fitting coarse-grained molecular models to macroscopic experimental data by leveraging recently developed methods for computing low-variance gradient estimates with automatic differentiation. Using a widely validated DNA force field as an exemplar, we develop methods for optimizing structural, mechanical, and thermodynamic properties across a range of simulation techniques, including enhanced sampling and external forcing, spanning micro- and millisecond timescales. We highlight how automatic differentiation enables efficient sensitivity analyses that yield insights into the model parameters governing physical behaviors. We then demonstrate the broad applicability of these techniques by optimizing diverse biomolecular systems, including RNA and DNA–protein hybrid models. We show how conflict-free gradient methods from multitask learning can be adapted to impose multiple constraints simultaneously without compromising accuracy. This approach provides a foundation for transparent, reproducible, community-driven force field development, accelerating progress in molecular modeling.</w:t>
      </w:r>
    </w:p>
    <w:p>
      <w:pPr>
        <w:spacing w:before="120" w:after="120"/>
      </w:pPr>
      <w:r>
        <w:rPr>
          <w:sz w:val="18"/>
        </w:rPr>
        <w:t>——————————————————————————————————————————————————————————————————————</w:t>
      </w:r>
    </w:p>
    <w:p>
      <w:pPr>
        <w:spacing w:before="160" w:after="40" w:line="240" w:lineRule="auto"/>
      </w:pPr>
      <w:r>
        <w:rPr>
          <w:b/>
        </w:rPr>
        <w:t xml:space="preserve">[493] </w:t>
      </w:r>
      <w:hyperlink r:id="rId1147">
        <w:r>
          <w:rPr>
            <w:color w:val="1155CC"/>
            <w:u w:val="single"/>
          </w:rPr>
          <w:t>HIV-1基因组的偏向腺苷富集内容作为一种分子特征，有助于高效包装</w:t>
        </w:r>
      </w:hyperlink>
    </w:p>
    <w:p>
      <w:pPr>
        <w:spacing w:before="0" w:after="80"/>
      </w:pPr>
      <w:r>
        <w:rPr>
          <w:i/>
          <w:sz w:val="20"/>
        </w:rPr>
        <w:t>EN: The biased adenosine-rich content of the HIV-1 genome serves as a molecular signature that facilitates efficient packaging</w:t>
      </w:r>
    </w:p>
    <w:p>
      <w:pPr>
        <w:spacing w:before="0" w:after="120"/>
      </w:pPr>
      <w:r>
        <w:rPr>
          <w:b/>
        </w:rPr>
        <w:t xml:space="preserve">Source: </w:t>
      </w:r>
      <w:r>
        <w:t>Proceedings of the National Academy of Sciences: Keyword search for query</w:t>
      </w:r>
      <w:r>
        <w:t xml:space="preserve">    </w:t>
      </w:r>
      <w:r>
        <w:rPr>
          <w:b/>
        </w:rPr>
        <w:t xml:space="preserve">Pub date: </w:t>
      </w:r>
      <w:r>
        <w:t>2026-04-02 07:00:00+00:00</w:t>
      </w:r>
      <w:r>
        <w:t xml:space="preserve">    </w:t>
      </w:r>
      <w:r>
        <w:rPr>
          <w:b/>
        </w:rPr>
        <w:t xml:space="preserve">DOI: </w:t>
      </w:r>
      <w:hyperlink r:id="rId1148">
        <w:r>
          <w:rPr>
            <w:color w:val="1155CC"/>
            <w:u w:val="single"/>
          </w:rPr>
          <w:t>10.1073/pnas.2522851123</w:t>
        </w:r>
      </w:hyperlink>
    </w:p>
    <w:p>
      <w:pPr>
        <w:spacing w:before="0" w:after="120"/>
      </w:pPr>
      <w:r>
        <w:rPr>
          <w:b/>
        </w:rPr>
        <w:t xml:space="preserve">Notes: </w:t>
      </w:r>
      <w:r>
        <w:t>abstract_source=crossref</w:t>
      </w:r>
    </w:p>
    <w:p>
      <w:pPr>
        <w:spacing w:before="0" w:after="80" w:lineRule="auto" w:line="276"/>
      </w:pPr>
      <w:r>
        <w:rPr>
          <w:b/>
        </w:rPr>
        <w:t xml:space="preserve">摘要（ZH）: </w:t>
      </w:r>
      <w:r>
        <w:t>HIV-1基因组[基因组RNA (gRNA)]具有异常偏向的核苷酸含量，并富含腺苷。选择性包装gRNA被认为是由病毒Gag蛋白的核衣壳(NC)域在宿主细胞胞质中与包装信号(Ψ)的特异性结合驱动的。然而，删除Ψ内的区域会减少但不会完全消除基因组包装。为了探究gRNA的另一个特征是否可能有助于选择性gRNA包装过程，我们用具有不同RNA结合特性的异源RNA结合域(RBDs)替换了NC。令人惊讶的是，尽管RNA结合特异性不同，所有Gag-RBD嵌合体都成功地将gRNA招募到质膜上，这表明胞质中的初始gRNA识别不是速率限制因素</w:t>
      </w:r>
    </w:p>
    <w:p>
      <w:pPr>
        <w:spacing w:before="0" w:after="200" w:lineRule="auto" w:line="276"/>
      </w:pPr>
      <w:r>
        <w:rPr>
          <w:b/>
        </w:rPr>
        <w:t xml:space="preserve">Abstract (EN): </w:t>
      </w:r>
      <w:r>
        <w:t>The HIV-1 genome [genomic RNA (gRNA)] has an unusually biased nucleotide content and is rich in adenosines. Selective packaging of the gRNA is thought to be driven by specific binding of the nucleocapsid (NC) domain of the viral Gag protein to the packaging signal (Ψ) in the host cell cytosol. However, deletion of regions within Ψ reduces—but does not completely abolish—genome packaging. To probe whether another feature of the gRNA may contribute to the selective gRNA packaging process, we replaced NC with heterologous RNA-binding domains (RBDs) with distinct RNA-binding properties. Surprisingly, despite disparate RNA binding specificities, all Gag-RBD chimeras successfully recruited the gRNA to the plasma membrane, suggesting that the initial gRNA recognition in the cytosol is not rate limiting. Notwithstanding, many chimeras exhibiting G/C binding specificity were arrested at the assembly stage. Only the Gag-SRSF5 chimera, which multimerized efficiently on adenosine-rich sequences on the gRNA, assembled efficiently and packaged gRNA at near wild-type levels. Importantly, rationally designed mutations that altered the A/G-rich binding specificity of Gag-SRSF5 decreased genome encapsidation efficiency. Furthermore, many Gag chimeras displayed potent dominant negative activities, highlighting NC functions as a targetable step in virus replication. Together, our findings reveal an unexpected aspect of the HIV-1 gRNA, its biased nucleotide content, as a key driver of selective genome packaging.</w:t>
      </w:r>
    </w:p>
    <w:p>
      <w:pPr>
        <w:spacing w:before="120" w:after="120"/>
      </w:pPr>
      <w:r>
        <w:rPr>
          <w:sz w:val="18"/>
        </w:rPr>
        <w:t>——————————————————————————————————————————————————————————————————————</w:t>
      </w:r>
    </w:p>
    <w:p>
      <w:pPr>
        <w:spacing w:before="160" w:after="40" w:line="240" w:lineRule="auto"/>
      </w:pPr>
      <w:r>
        <w:rPr>
          <w:b/>
        </w:rPr>
        <w:t xml:space="preserve">[494] </w:t>
      </w:r>
      <w:hyperlink r:id="rId1149">
        <w:r>
          <w:rPr>
            <w:color w:val="1155CC"/>
            <w:u w:val="single"/>
          </w:rPr>
          <w:t>文化紧密性和社会凝聚力在共同演变的信仰、行为和偏好下</w:t>
        </w:r>
      </w:hyperlink>
    </w:p>
    <w:p>
      <w:pPr>
        <w:spacing w:before="0" w:after="80"/>
      </w:pPr>
      <w:r>
        <w:rPr>
          <w:i/>
          <w:sz w:val="20"/>
        </w:rPr>
        <w:t>EN: Cultural tightness and social cohesion under coevolving beliefs, behaviors, and preferences</w:t>
      </w:r>
    </w:p>
    <w:p>
      <w:pPr>
        <w:spacing w:before="0" w:after="120"/>
      </w:pPr>
      <w:r>
        <w:rPr>
          <w:b/>
        </w:rPr>
        <w:t xml:space="preserve">Source: </w:t>
      </w:r>
      <w:r>
        <w:t>Proceedings of the National Academy of Sciences: Keyword search for query</w:t>
      </w:r>
      <w:r>
        <w:t xml:space="preserve">    </w:t>
      </w:r>
      <w:r>
        <w:rPr>
          <w:b/>
        </w:rPr>
        <w:t xml:space="preserve">Pub date: </w:t>
      </w:r>
      <w:r>
        <w:t>2026-04-02 07:00:00+00:00</w:t>
      </w:r>
      <w:r>
        <w:t xml:space="preserve">    </w:t>
      </w:r>
      <w:r>
        <w:rPr>
          <w:b/>
        </w:rPr>
        <w:t xml:space="preserve">DOI: </w:t>
      </w:r>
      <w:hyperlink r:id="rId1150">
        <w:r>
          <w:rPr>
            <w:color w:val="1155CC"/>
            <w:u w:val="single"/>
          </w:rPr>
          <w:t>10.1073/pnas.2525139123</w:t>
        </w:r>
      </w:hyperlink>
    </w:p>
    <w:p>
      <w:pPr>
        <w:spacing w:before="0" w:after="120"/>
      </w:pPr>
      <w:r>
        <w:rPr>
          <w:b/>
        </w:rPr>
        <w:t xml:space="preserve">Notes: </w:t>
      </w:r>
      <w:r>
        <w:t>abstract_source=crossref</w:t>
      </w:r>
    </w:p>
    <w:p>
      <w:pPr>
        <w:spacing w:before="0" w:after="80" w:lineRule="auto" w:line="276"/>
      </w:pPr>
      <w:r>
        <w:rPr>
          <w:b/>
        </w:rPr>
        <w:t xml:space="preserve">摘要（ZH）: </w:t>
      </w:r>
      <w:r>
        <w:t>从气候变化到民主维护的成功集体行动依赖于文化紧密性和社会凝聚力等社会属性。这些属性如何演变尚不清楚，因为它们源于信仰和行为之间复杂的相互作用，而这些通常是分别建模的。在此，我们通过开发一个博弈论框架，结合规范效用模型来研究合作行为、表达信仰和规范效用偏好的共同进化动态，来应对这一挑战。我们展示了在雪堆博弈和囚徒困境中引入不断演变的信仰和偏好导致了进化稳定均衡的激增，每个均衡具有不同的社会属性。特别是，我们发现减少的</w:t>
      </w:r>
    </w:p>
    <w:p>
      <w:pPr>
        <w:spacing w:before="0" w:after="200" w:lineRule="auto" w:line="276"/>
      </w:pPr>
      <w:r>
        <w:rPr>
          <w:b/>
        </w:rPr>
        <w:t xml:space="preserve">Abstract (EN): </w:t>
      </w:r>
      <w:r>
        <w:t>Successful collective action on issues from climate change to the maintenance of democracy depends on societal properties such as cultural tightness and social cohesion. How these properties evolve is not well understood because they emerge from a complex interplay between beliefs and behaviors that are usually modeled separately. Here, we address this challenge by developing a game-theoretic framework incorporating norm-utility models to study the coevolutionary dynamics of cooperative behavior, expressed belief, and norm-utility preferences. We show that the introduction of evolving beliefs and preferences into the Snowdrift game and Prisoner’s Dilemma leads to a proliferation of evolutionary stable equilibria, each with different societal properties. In particular, we find that reduced material benefits from cooperation can be associated with an expected increase in cultural tightness (the degree to which norms are strong and shared, so that individuals behave in accordance with widely held beliefs) and an expected reduction in social homogeneity and cohesion (the extent to which individuals belong to a single well-defined group with similar beliefs, behaviors, and preferences). Loss of social homogeneity occurs via a process of evolutionary branching, in which a population fragments into two distinct social groups with strikingly different characteristics. The groups that emerge differ not only in their willingness to cooperate, but also in their expressed beliefs about cooperation and in their preferences for conformity and coherence of their behaviors and expressed beliefs. These results have implications for our understanding of the resilience of cooperation and collective action in times of crisis.</w:t>
      </w:r>
    </w:p>
    <w:p>
      <w:pPr>
        <w:spacing w:before="120" w:after="120"/>
      </w:pPr>
      <w:r>
        <w:rPr>
          <w:sz w:val="18"/>
        </w:rPr>
        <w:t>——————————————————————————————————————————————————————————————————————</w:t>
      </w:r>
    </w:p>
    <w:p>
      <w:pPr>
        <w:spacing w:before="160" w:after="40" w:line="240" w:lineRule="auto"/>
      </w:pPr>
      <w:r>
        <w:rPr>
          <w:b/>
        </w:rPr>
        <w:t xml:space="preserve">[495] </w:t>
      </w:r>
      <w:hyperlink r:id="rId1151">
        <w:r>
          <w:rPr>
            <w:color w:val="1155CC"/>
            <w:u w:val="single"/>
          </w:rPr>
          <w:t>BAM上的折叠中间体结构显示多样的底物通过保守机制折叠</w:t>
        </w:r>
      </w:hyperlink>
    </w:p>
    <w:p>
      <w:pPr>
        <w:spacing w:before="0" w:after="80"/>
      </w:pPr>
      <w:r>
        <w:rPr>
          <w:i/>
          <w:sz w:val="20"/>
        </w:rPr>
        <w:t>EN: Structures of folding intermediates on BAM show diverse substrates fold by a conserved mechanism</w:t>
      </w:r>
    </w:p>
    <w:p>
      <w:pPr>
        <w:spacing w:before="0" w:after="120"/>
      </w:pPr>
      <w:r>
        <w:rPr>
          <w:b/>
        </w:rPr>
        <w:t xml:space="preserve">Source: </w:t>
      </w:r>
      <w:r>
        <w:t>Proceedings of the National Academy of Sciences: Keyword search for query</w:t>
      </w:r>
      <w:r>
        <w:t xml:space="preserve">    </w:t>
      </w:r>
      <w:r>
        <w:rPr>
          <w:b/>
        </w:rPr>
        <w:t xml:space="preserve">Pub date: </w:t>
      </w:r>
      <w:r>
        <w:t>2026-04-02 07:00:00+00:00</w:t>
      </w:r>
      <w:r>
        <w:t xml:space="preserve">    </w:t>
      </w:r>
      <w:r>
        <w:rPr>
          <w:b/>
        </w:rPr>
        <w:t xml:space="preserve">DOI: </w:t>
      </w:r>
      <w:hyperlink r:id="rId1152">
        <w:r>
          <w:rPr>
            <w:color w:val="1155CC"/>
            <w:u w:val="single"/>
          </w:rPr>
          <w:t>10.1073/pnas.2534936123</w:t>
        </w:r>
      </w:hyperlink>
    </w:p>
    <w:p>
      <w:pPr>
        <w:spacing w:before="0" w:after="120"/>
      </w:pPr>
      <w:r>
        <w:rPr>
          <w:b/>
        </w:rPr>
        <w:t xml:space="preserve">Notes: </w:t>
      </w:r>
      <w:r>
        <w:t>abstract_source=crossref</w:t>
      </w:r>
    </w:p>
    <w:p>
      <w:pPr>
        <w:spacing w:before="0" w:after="80" w:lineRule="auto" w:line="276"/>
      </w:pPr>
      <w:r>
        <w:rPr>
          <w:b/>
        </w:rPr>
        <w:t xml:space="preserve">摘要（ZH）: </w:t>
      </w:r>
      <w:r>
        <w:t>线粒体、叶绿体和革兰氏阴性细菌的外膜含有β-桶膜蛋白，这些蛋白由保守的多亚基机器组装。在细菌中，β-桶组装机器（BAM）将一百多种成分不同的底物折叠成大小差异很大的桶。一些较大的桶需要球状蛋白来堵住桶腔。一个机器如何能够组装如此不同的桶尚不清楚。在这里，我们报告了三个代表16股桶与BAM逐步折叠阶段的结构，以及一个26股底物围绕其可溶性脂蛋白塞在BAM上的后期折叠中间体的结构。我们发现BAM通过一种统一的机制催化这些底物的折叠，其中B</w:t>
      </w:r>
    </w:p>
    <w:p>
      <w:pPr>
        <w:spacing w:before="0" w:after="200" w:lineRule="auto" w:line="276"/>
      </w:pPr>
      <w:r>
        <w:rPr>
          <w:b/>
        </w:rPr>
        <w:t xml:space="preserve">Abstract (EN): </w:t>
      </w:r>
      <w:r>
        <w:t>The outer membranes of mitochondria, chloroplasts, and Gram-negative bacteria contain β-barrel membrane proteins that are assembled by conserved multisubunit machines. In bacteria, the β-barrel assembly machine (BAM) folds over a hundred compositionally different substrates into barrels that vary greatly in size. Some larger barrels require globular proteins to plug the barrel lumen. How a single machine can assemble such different barrels is unknown. Here we report three structures representing progressively folded stages of a 16-stranded barrel engaged with BAM, as well as the structure of a late-stage folding intermediate of a 26-stranded substrate folding around its soluble lipoprotein plug on BAM. We find that BAM catalyzes folding of these substrates by a uniform mechanism in which BAM undergoes major distortions to accommodate the nascent barrel.</w:t>
      </w:r>
    </w:p>
    <w:p>
      <w:pPr>
        <w:spacing w:before="120" w:after="120"/>
      </w:pPr>
      <w:r>
        <w:rPr>
          <w:sz w:val="18"/>
        </w:rPr>
        <w:t>——————————————————————————————————————————————————————————————————————</w:t>
      </w:r>
    </w:p>
    <w:p>
      <w:pPr>
        <w:spacing w:before="160" w:after="40" w:line="240" w:lineRule="auto"/>
      </w:pPr>
      <w:r>
        <w:rPr>
          <w:b/>
        </w:rPr>
        <w:t xml:space="preserve">[496] </w:t>
      </w:r>
      <w:hyperlink r:id="rId1153">
        <w:r>
          <w:rPr>
            <w:color w:val="1155CC"/>
            <w:u w:val="single"/>
          </w:rPr>
          <w:t>机械生成的自由基物种的自旋相关发光</w:t>
        </w:r>
      </w:hyperlink>
    </w:p>
    <w:p>
      <w:pPr>
        <w:spacing w:before="0" w:after="80"/>
      </w:pPr>
      <w:r>
        <w:rPr>
          <w:i/>
          <w:sz w:val="20"/>
        </w:rPr>
        <w:t>EN: Spin‐Correlated Luminescence of Mechanically Generated Radical Species</w:t>
      </w:r>
    </w:p>
    <w:p>
      <w:pPr>
        <w:spacing w:before="0" w:after="120"/>
      </w:pPr>
      <w:r>
        <w:rPr>
          <w:b/>
        </w:rPr>
        <w:t xml:space="preserve">Source: </w:t>
      </w:r>
      <w:r>
        <w:t>Wiley: Angewandte Chemie International Edition: Table of Contents</w:t>
      </w:r>
      <w:r>
        <w:t xml:space="preserve">    </w:t>
      </w:r>
      <w:r>
        <w:rPr>
          <w:b/>
        </w:rPr>
        <w:t xml:space="preserve">Pub date: </w:t>
      </w:r>
      <w:r>
        <w:t>2026-04-02 07:00:43+00:00</w:t>
      </w:r>
      <w:r>
        <w:t xml:space="preserve">    </w:t>
      </w:r>
      <w:r>
        <w:rPr>
          <w:b/>
        </w:rPr>
        <w:t xml:space="preserve">DOI: </w:t>
      </w:r>
      <w:hyperlink r:id="rId1154">
        <w:r>
          <w:rPr>
            <w:color w:val="1155CC"/>
            <w:u w:val="single"/>
          </w:rPr>
          <w:t>10.1002/anie.3756149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一种四芳基琥珀腈（TASN）衍生物（1 2）用笨重的三芳基甲烷基团取代，在热或机械刺激下解离成发光的氰基二芳基甲基自由基1。机械化学处理后的平均解离产率为2.6%，是小分子TASN化合物中报告的最高值之一。研磨的1 2显示出磁场对发光的影响，这是除三芳基甲基自由基以外的自由基发射体的首次观察。该研究证明了</w:t>
      </w:r>
    </w:p>
    <w:p>
      <w:pPr>
        <w:spacing w:before="0" w:after="200" w:lineRule="auto" w:line="276"/>
      </w:pPr>
      <w:r>
        <w:rPr>
          <w:b/>
        </w:rPr>
        <w:t xml:space="preserve">Abstract (EN): </w:t>
      </w:r>
      <w:r>
        <w:t>A tetraarylsuccinonitrile (TASN) derivative (</w:t>
      </w:r>
      <w:r>
        <w:t xml:space="preserve"> </w:t>
      </w:r>
      <w:r>
        <w:rPr>
          <w:vertAlign w:val="subscript"/>
        </w:rPr>
        <w:t>1</w:t>
      </w:r>
      <w:r>
        <w:rPr>
          <w:vertAlign w:val="subscript"/>
        </w:rPr>
        <w:t>2</w:t>
      </w:r>
      <w:r>
        <w:t xml:space="preserve"> </w:t>
      </w:r>
      <w:r>
        <w:t>) substituted with bulky triarylmethane groups dissociated into luminescent cyanodiarylmethyl radical</w:t>
      </w:r>
      <w:r>
        <w:rPr>
          <w:vertAlign w:val="subscript"/>
        </w:rPr>
        <w:t>1</w:t>
      </w:r>
      <w:r>
        <w:t>upon thermal or mechanical stimulation. The average dissociation yield after mechanochemical treatment was 2.6%, among the highest reported for small‐molecule TASN compounds. Ground</w:t>
      </w:r>
      <w:r>
        <w:t xml:space="preserve"> </w:t>
      </w:r>
      <w:r>
        <w:rPr>
          <w:vertAlign w:val="subscript"/>
        </w:rPr>
        <w:t>1</w:t>
      </w:r>
      <w:r>
        <w:rPr>
          <w:vertAlign w:val="subscript"/>
        </w:rPr>
        <w:t>2</w:t>
      </w:r>
      <w:r>
        <w:t xml:space="preserve"> </w:t>
      </w:r>
      <w:r>
        <w:t>showed a magnetic field effect on luminescence, the first such observation from a radical emitter other than triarylmethyl radicals. This study demonstrates the universality of spin‐correlated luminescence among luminescent radicals.</w:t>
      </w:r>
    </w:p>
    <w:p>
      <w:pPr>
        <w:spacing w:before="120" w:after="120"/>
      </w:pPr>
      <w:r>
        <w:rPr>
          <w:sz w:val="18"/>
        </w:rPr>
        <w:t>——————————————————————————————————————————————————————————————————————</w:t>
      </w:r>
    </w:p>
    <w:p>
      <w:pPr>
        <w:spacing w:before="160" w:after="40" w:line="240" w:lineRule="auto"/>
      </w:pPr>
      <w:r>
        <w:rPr>
          <w:b/>
        </w:rPr>
        <w:t xml:space="preserve">[497] </w:t>
      </w:r>
      <w:hyperlink r:id="rId1155">
        <w:r>
          <w:rPr>
            <w:color w:val="1155CC"/>
            <w:u w:val="single"/>
          </w:rPr>
          <w:t>[ASAP] 化学蛋白质组学揭示细菌中吡咯喹啉醌结合蛋白的清单</w:t>
        </w:r>
      </w:hyperlink>
    </w:p>
    <w:p>
      <w:pPr>
        <w:spacing w:before="0" w:after="80"/>
      </w:pPr>
      <w:r>
        <w:rPr>
          <w:i/>
          <w:sz w:val="20"/>
        </w:rPr>
        <w:t>EN: [ASAP] Chemical Proteomics Reveal the Inventory of Pyrroloquinoline Quinone Binding Proteins in Bacteria</w:t>
      </w:r>
    </w:p>
    <w:p>
      <w:pPr>
        <w:spacing w:before="0" w:after="120"/>
      </w:pPr>
      <w:r>
        <w:rPr>
          <w:b/>
        </w:rPr>
        <w:t xml:space="preserve">Source: </w:t>
      </w:r>
      <w:r>
        <w:t>Journal of the American Chemical Society: Latest Articles (ACS Publications)</w:t>
      </w:r>
      <w:r>
        <w:t xml:space="preserve">    </w:t>
      </w:r>
      <w:r>
        <w:rPr>
          <w:b/>
        </w:rPr>
        <w:t xml:space="preserve">Pub date: </w:t>
      </w:r>
      <w:r>
        <w:t>2026-04-02 10:40:34+00:00</w:t>
      </w:r>
      <w:r>
        <w:t xml:space="preserve">    </w:t>
      </w:r>
      <w:r>
        <w:rPr>
          <w:b/>
        </w:rPr>
        <w:t xml:space="preserve">DOI: </w:t>
      </w:r>
      <w:hyperlink r:id="rId1156">
        <w:r>
          <w:rPr>
            <w:color w:val="1155CC"/>
            <w:u w:val="single"/>
          </w:rPr>
          <w:t>10.1021/jacs.6c03427</w:t>
        </w:r>
      </w:hyperlink>
    </w:p>
    <w:p>
      <w:pPr>
        <w:spacing w:before="0" w:after="120"/>
      </w:pPr>
      <w:r>
        <w:rPr>
          <w:b/>
        </w:rPr>
        <w:t xml:space="preserve">Notes: </w:t>
      </w:r>
      <w:r>
        <w:t>abstract_source=pubmed</w:t>
      </w:r>
    </w:p>
    <w:p>
      <w:pPr>
        <w:spacing w:before="0" w:after="80" w:lineRule="auto" w:line="276"/>
      </w:pPr>
      <w:r>
        <w:rPr>
          <w:b/>
        </w:rPr>
        <w:t xml:space="preserve">摘要（ZH）: </w:t>
      </w:r>
      <w:r>
        <w:t>吡咯喹啉醌（PQQ）是一种细菌氧化还原辅因子，能够在各种糖和醇脱氢酶中促进酶催化。然而，其作为“长寿维生素”的额外作用缺乏明确的分子基础，因此备受争议。在此，我们应用化学蛋白质组学来识别先前未知的PQQ结合蛋白类。我们设计并合成了一套结构多样的五种PQQ探针，这些探针配备了二氮杂环丙烷光交联剂和炔基手柄用于目标识别。首先评估了探针在两个已知的细菌PQQ依赖酶中的保真度，证明了探针不仅能结合，还能重构催化活性。然后，我们开始对大肠杆菌和假单胞菌进行蛋白质组分析</w:t>
      </w:r>
    </w:p>
    <w:p>
      <w:pPr>
        <w:spacing w:before="0" w:after="200" w:lineRule="auto" w:line="276"/>
      </w:pPr>
      <w:r>
        <w:rPr>
          <w:b/>
        </w:rPr>
        <w:t xml:space="preserve">Abstract (EN): </w:t>
      </w:r>
      <w:r>
        <w:t>Pyrroloquinoline quinone (PQQ) is a bacterial redox cofactor enabling enzyme catalysis in various sugar and alcohol dehydrogenases. However, its proposed additional role as a "longevity vitamin" lacks a clear molecular basis and is thus highly debated. Here, we applied chemical proteomics to identify previously unknown classes of PQQ-binding proteins. We designed and synthesized a structurally diverse suite of five PQQ probes equipped with a diazirine photo-cross-linker and an alkyne handle for target identification. The fidelity of the probes was first evaluated for two well-characterized bacterial PQQ-dependent enzymes, demonstrating not only probe binding but also the reconstitution of catalytic activity. We then commenced with proteome profiling of Escherichia coli and Pseudomonas putida cells and unraveled a distinct set of putative PQQ-binding proteins. Recombinant expression of selected hits, including several chaperones, validated PQQ binding. Notably, in some cases, PQQ even formed covalent adducts with selected lysine residues, for instance, in the AAA+ ATPase RuvB involved in DNA remodeling. Overall, our work highlights the utility of PQQ probes to further unravel the complement of cofactor-binding proteins in whole cells. It also provides a basis for future mechanistic studies of PQQ functions beyond redox catalysis.</w:t>
      </w:r>
    </w:p>
    <w:p>
      <w:pPr>
        <w:spacing w:before="120" w:after="120"/>
      </w:pPr>
      <w:r>
        <w:rPr>
          <w:sz w:val="18"/>
        </w:rPr>
        <w:t>——————————————————————————————————————————————————————————————————————</w:t>
      </w:r>
    </w:p>
    <w:p>
      <w:pPr>
        <w:spacing w:before="160" w:after="40" w:line="240" w:lineRule="auto"/>
      </w:pPr>
      <w:r>
        <w:rPr>
          <w:b/>
        </w:rPr>
        <w:t xml:space="preserve">[498] </w:t>
      </w:r>
      <w:hyperlink r:id="rId1157">
        <w:r>
          <w:rPr>
            <w:color w:val="1155CC"/>
            <w:u w:val="single"/>
          </w:rPr>
          <w:t>[ASAP] 使用钙钛矿纳米晶体进行碳氢化合物芳构化的超快异相催化</w:t>
        </w:r>
      </w:hyperlink>
    </w:p>
    <w:p>
      <w:pPr>
        <w:spacing w:before="0" w:after="80"/>
      </w:pPr>
      <w:r>
        <w:rPr>
          <w:i/>
          <w:sz w:val="20"/>
        </w:rPr>
        <w:t>EN: [ASAP] Exceptionally Fast Heterogeneous Catalysis Using Perovskite Nanocrystals for Hydrocarbon Aromatization</w:t>
      </w:r>
    </w:p>
    <w:p>
      <w:pPr>
        <w:spacing w:before="0" w:after="120"/>
      </w:pPr>
      <w:r>
        <w:rPr>
          <w:b/>
        </w:rPr>
        <w:t xml:space="preserve">Source: </w:t>
      </w:r>
      <w:r>
        <w:t>Journal of the American Chemical Society: Latest Articles (ACS Publications)</w:t>
      </w:r>
      <w:r>
        <w:t xml:space="preserve">    </w:t>
      </w:r>
      <w:r>
        <w:rPr>
          <w:b/>
        </w:rPr>
        <w:t xml:space="preserve">Pub date: </w:t>
      </w:r>
      <w:r>
        <w:t>2026-04-02 11:37:31+00:00</w:t>
      </w:r>
      <w:r>
        <w:t xml:space="preserve">    </w:t>
      </w:r>
      <w:r>
        <w:rPr>
          <w:b/>
        </w:rPr>
        <w:t xml:space="preserve">DOI: </w:t>
      </w:r>
      <w:hyperlink r:id="rId1158">
        <w:r>
          <w:rPr>
            <w:color w:val="1155CC"/>
            <w:u w:val="single"/>
          </w:rPr>
          <w:t>10.1021/jacs.5c23406</w:t>
        </w:r>
      </w:hyperlink>
    </w:p>
    <w:p>
      <w:pPr>
        <w:spacing w:before="0" w:after="120"/>
      </w:pPr>
      <w:r>
        <w:rPr>
          <w:b/>
        </w:rPr>
        <w:t xml:space="preserve">Notes: </w:t>
      </w:r>
      <w:r>
        <w:t>abstract_source=pubmed</w:t>
      </w:r>
    </w:p>
    <w:p>
      <w:pPr>
        <w:spacing w:before="0" w:after="80" w:lineRule="auto" w:line="276"/>
      </w:pPr>
      <w:r>
        <w:rPr>
          <w:b/>
        </w:rPr>
        <w:t xml:space="preserve">摘要（ZH）: </w:t>
      </w:r>
      <w:r>
        <w:t>尽管由于传质和吸附限制，异相催化通常比均相催化慢，但由于其易于分离、可重复使用和可扩展性，在工业中受到青睐。克服异相催化的限制需要创新的催化剂结构和反应设计。在此，我们报告了一种铅卤化物钙钛矿CsPbBr3纳米晶（NC）异相催化系统，该系统实现了异常快速的烃芳构化，周转频率（TOFs）高达每Cs 6.5 s-1，或高达11.1 mol/kg/s，使得在环境条件下以毫克级催化剂负载量从环己烯生成公斤级苯成为可能。在可见光下通过超过848%量子产率的自由基链机制驱动，该系统表现出广泛的官能团耐受性，芳</w:t>
      </w:r>
    </w:p>
    <w:p>
      <w:pPr>
        <w:spacing w:before="0" w:after="200" w:lineRule="auto" w:line="276"/>
      </w:pPr>
      <w:r>
        <w:rPr>
          <w:b/>
        </w:rPr>
        <w:t xml:space="preserve">Abstract (EN): </w:t>
      </w:r>
      <w:r>
        <w:t>Heterogeneous catalysis, though often slower than homogeneous catalysis due to mass transfer and adsorption limitations, is favored in industry for its facile separation, reusability, and scalability. Overcoming heterogeneous limitations demands innovative catalyst architectures and reaction designs. Here we report a lead halide perovskite CsPbBr3 nanocrystal (NC) heterogeneous catalytic system that achieves exceptionally fast hydrocarbon aromatization, with turnover frequencies (TOFs) up to 6.5 s-1 per Cs, or up to 11.1 mol/kg/s, enabling kilograms of benzene formation from cyclohexene with milligrams of catalyst loading under ambient condition. Driven by a radical chain mechanism with over 848% quantum yield under visible-light, this system exhibits broad functional group tolerance, aromatizes substituted cyclohexenes with high selectivity, and extends to acyclic olefins via a photocatalytic [4 + 2] aromatization route. Our perovskite catalysis approach thus offers a transformative highly reactive avenue to complex arenes and heteroarenes, bridging gaps between hetero- and homogeneous catalysis.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3375?dgcid=rss_sd_all" TargetMode="External"/><Relationship Id="rId10" Type="http://schemas.openxmlformats.org/officeDocument/2006/relationships/hyperlink" Target="http://dx.doi.org/10.1021/jacs.6c03784" TargetMode="External"/><Relationship Id="rId11" Type="http://schemas.openxmlformats.org/officeDocument/2006/relationships/hyperlink" Target="https://doi.org/10.1021/jacs.6c03784" TargetMode="External"/><Relationship Id="rId12" Type="http://schemas.openxmlformats.org/officeDocument/2006/relationships/hyperlink" Target="https://www.sciencedirect.com/science/article/pii/S0306261926004149?dgcid=rss_sd_all" TargetMode="External"/><Relationship Id="rId13" Type="http://schemas.openxmlformats.org/officeDocument/2006/relationships/hyperlink" Target="https://www.cell.com/joule/fulltext/S2542-4351(26)00072-3?rss=yes" TargetMode="External"/><Relationship Id="rId14" Type="http://schemas.openxmlformats.org/officeDocument/2006/relationships/hyperlink" Target="https://doi.org/10.1016/j.joule.2026.102388" TargetMode="External"/><Relationship Id="rId15" Type="http://schemas.openxmlformats.org/officeDocument/2006/relationships/hyperlink" Target="http://dx.doi.org/10.1021/jacs.6c02198" TargetMode="External"/><Relationship Id="rId16" Type="http://schemas.openxmlformats.org/officeDocument/2006/relationships/hyperlink" Target="https://doi.org/10.1021/jacs.6c02198" TargetMode="External"/><Relationship Id="rId17" Type="http://schemas.openxmlformats.org/officeDocument/2006/relationships/hyperlink" Target="http://dx.doi.org/10.1021/acsenergylett.6c00328" TargetMode="External"/><Relationship Id="rId18" Type="http://schemas.openxmlformats.org/officeDocument/2006/relationships/hyperlink" Target="https://doi.org/10.1021/acsenergylett.6c00328" TargetMode="External"/><Relationship Id="rId19" Type="http://schemas.openxmlformats.org/officeDocument/2006/relationships/hyperlink" Target="https://www.cell.com/joule/fulltext/S2542-4351(26)00081-4?rss=yes" TargetMode="External"/><Relationship Id="rId20" Type="http://schemas.openxmlformats.org/officeDocument/2006/relationships/hyperlink" Target="https://doi.org/10.1016/j.joule.2026.102397" TargetMode="External"/><Relationship Id="rId21" Type="http://schemas.openxmlformats.org/officeDocument/2006/relationships/hyperlink" Target="https://www.cell.com/joule/fulltext/S2542-4351(26)00082-6?rss=yes" TargetMode="External"/><Relationship Id="rId22" Type="http://schemas.openxmlformats.org/officeDocument/2006/relationships/hyperlink" Target="https://doi.org/10.1016/j.joule.2026.102398" TargetMode="External"/><Relationship Id="rId23" Type="http://schemas.openxmlformats.org/officeDocument/2006/relationships/hyperlink" Target="https://www.sciencedirect.com/science/article/pii/S0306261926004253?dgcid=rss_sd_all" TargetMode="External"/><Relationship Id="rId24" Type="http://schemas.openxmlformats.org/officeDocument/2006/relationships/hyperlink" Target="https://www.nature.com/articles/s41560-026-02012-x" TargetMode="External"/><Relationship Id="rId25" Type="http://schemas.openxmlformats.org/officeDocument/2006/relationships/hyperlink" Target="https://doi.org/10.1038/s41560-026-02012-x" TargetMode="External"/><Relationship Id="rId26" Type="http://schemas.openxmlformats.org/officeDocument/2006/relationships/hyperlink" Target="https://www.cell.com/matter/fulltext/S2590-2385(26)00121-9?rss=yes" TargetMode="External"/><Relationship Id="rId27" Type="http://schemas.openxmlformats.org/officeDocument/2006/relationships/hyperlink" Target="https://doi.org/10.1016/j.matt.2026.102758" TargetMode="External"/><Relationship Id="rId28" Type="http://schemas.openxmlformats.org/officeDocument/2006/relationships/hyperlink" Target="https://www.cell.com/matter/fulltext/S2590-2385(26)00126-8?rss=yes" TargetMode="External"/><Relationship Id="rId29" Type="http://schemas.openxmlformats.org/officeDocument/2006/relationships/hyperlink" Target="https://doi.org/10.1016/j.matt.2026.102763" TargetMode="External"/><Relationship Id="rId30" Type="http://schemas.openxmlformats.org/officeDocument/2006/relationships/hyperlink" Target="https://advanced.onlinelibrary.wiley.com/doi/10.1002/adma.202522790?af=R" TargetMode="External"/><Relationship Id="rId31" Type="http://schemas.openxmlformats.org/officeDocument/2006/relationships/hyperlink" Target="https://doi.org/10.1002/adma.202522790" TargetMode="External"/><Relationship Id="rId32" Type="http://schemas.openxmlformats.org/officeDocument/2006/relationships/hyperlink" Target="http://dx.doi.org/10.1021/acsenergylett.6c00385" TargetMode="External"/><Relationship Id="rId33" Type="http://schemas.openxmlformats.org/officeDocument/2006/relationships/hyperlink" Target="https://doi.org/10.1021/acsenergylett.6c00385" TargetMode="External"/><Relationship Id="rId34" Type="http://schemas.openxmlformats.org/officeDocument/2006/relationships/hyperlink" Target="https://www.nature.com/articles/d41586-026-01001-0" TargetMode="External"/><Relationship Id="rId35" Type="http://schemas.openxmlformats.org/officeDocument/2006/relationships/hyperlink" Target="https://doi.org/10.1038/d41586-026-01001-0" TargetMode="External"/><Relationship Id="rId36" Type="http://schemas.openxmlformats.org/officeDocument/2006/relationships/hyperlink" Target="https://www.science.org/doi/abs/10.1126/sciadv.aed2200?af=R" TargetMode="External"/><Relationship Id="rId37" Type="http://schemas.openxmlformats.org/officeDocument/2006/relationships/hyperlink" Target="https://doi.org/10.1126/sciadv.aed2200" TargetMode="External"/><Relationship Id="rId38" Type="http://schemas.openxmlformats.org/officeDocument/2006/relationships/hyperlink" Target="https://advanced.onlinelibrary.wiley.com/doi/10.1002/adma.72986?af=R" TargetMode="External"/><Relationship Id="rId39" Type="http://schemas.openxmlformats.org/officeDocument/2006/relationships/hyperlink" Target="https://doi.org/10.1002/adma.72986" TargetMode="External"/><Relationship Id="rId40" Type="http://schemas.openxmlformats.org/officeDocument/2006/relationships/hyperlink" Target="https://advanced.onlinelibrary.wiley.com/doi/10.1002/aenm.70902?af=R" TargetMode="External"/><Relationship Id="rId41" Type="http://schemas.openxmlformats.org/officeDocument/2006/relationships/hyperlink" Target="https://doi.org/10.1002/aenm.70902" TargetMode="External"/><Relationship Id="rId42" Type="http://schemas.openxmlformats.org/officeDocument/2006/relationships/hyperlink" Target="http://dx.doi.org/10.1021/acsenergylett.6c00214" TargetMode="External"/><Relationship Id="rId43" Type="http://schemas.openxmlformats.org/officeDocument/2006/relationships/hyperlink" Target="https://doi.org/10.1021/acsenergylett.6c00214" TargetMode="External"/><Relationship Id="rId44" Type="http://schemas.openxmlformats.org/officeDocument/2006/relationships/hyperlink" Target="https://www.sciencedirect.com/science/article/pii/S030626192600468X?dgcid=rss_sd_all" TargetMode="External"/><Relationship Id="rId45" Type="http://schemas.openxmlformats.org/officeDocument/2006/relationships/hyperlink" Target="https://www.nature.com/articles/s41893-026-01804-z" TargetMode="External"/><Relationship Id="rId46" Type="http://schemas.openxmlformats.org/officeDocument/2006/relationships/hyperlink" Target="https://doi.org/10.1038/s41893-026-01804-z" TargetMode="External"/><Relationship Id="rId47" Type="http://schemas.openxmlformats.org/officeDocument/2006/relationships/hyperlink" Target="https://advanced.onlinelibrary.wiley.com/doi/10.1002/aenm.70910?af=R" TargetMode="External"/><Relationship Id="rId48" Type="http://schemas.openxmlformats.org/officeDocument/2006/relationships/hyperlink" Target="https://doi.org/10.1002/aenm.70910" TargetMode="External"/><Relationship Id="rId49" Type="http://schemas.openxmlformats.org/officeDocument/2006/relationships/hyperlink" Target="https://www.sciencedirect.com/science/article/pii/S0306261926004010?dgcid=rss_sd_all" TargetMode="External"/><Relationship Id="rId50" Type="http://schemas.openxmlformats.org/officeDocument/2006/relationships/hyperlink" Target="https://www.nature.com/articles/s41893-026-01794-y" TargetMode="External"/><Relationship Id="rId51" Type="http://schemas.openxmlformats.org/officeDocument/2006/relationships/hyperlink" Target="https://doi.org/10.1038/s41893-026-01794-y" TargetMode="External"/><Relationship Id="rId52" Type="http://schemas.openxmlformats.org/officeDocument/2006/relationships/hyperlink" Target="https://www.cell.com/matter/fulltext/S2590-2385(26)00080-9?rss=yes" TargetMode="External"/><Relationship Id="rId53" Type="http://schemas.openxmlformats.org/officeDocument/2006/relationships/hyperlink" Target="https://doi.org/10.1016/j.matt.2026.102717" TargetMode="External"/><Relationship Id="rId54" Type="http://schemas.openxmlformats.org/officeDocument/2006/relationships/hyperlink" Target="https://www.cell.com/joule/fulltext/S2542-4351(26)00084-X?rss=yes" TargetMode="External"/><Relationship Id="rId55" Type="http://schemas.openxmlformats.org/officeDocument/2006/relationships/hyperlink" Target="https://doi.org/10.1016/j.joule.2026.102400" TargetMode="External"/><Relationship Id="rId56" Type="http://schemas.openxmlformats.org/officeDocument/2006/relationships/hyperlink" Target="https://advanced.onlinelibrary.wiley.com/doi/10.1002/adma.72959?af=R" TargetMode="External"/><Relationship Id="rId57" Type="http://schemas.openxmlformats.org/officeDocument/2006/relationships/hyperlink" Target="https://doi.org/10.1002/adma.72959" TargetMode="External"/><Relationship Id="rId58" Type="http://schemas.openxmlformats.org/officeDocument/2006/relationships/hyperlink" Target="http://dx.doi.org/10.1021/jacs.5c20868" TargetMode="External"/><Relationship Id="rId59" Type="http://schemas.openxmlformats.org/officeDocument/2006/relationships/hyperlink" Target="https://doi.org/10.1021/jacs.5c20868" TargetMode="External"/><Relationship Id="rId60" Type="http://schemas.openxmlformats.org/officeDocument/2006/relationships/hyperlink" Target="https://advanced.onlinelibrary.wiley.com/doi/10.1002/adma.72970?af=R" TargetMode="External"/><Relationship Id="rId61" Type="http://schemas.openxmlformats.org/officeDocument/2006/relationships/hyperlink" Target="https://doi.org/10.1002/adma.72970" TargetMode="External"/><Relationship Id="rId62" Type="http://schemas.openxmlformats.org/officeDocument/2006/relationships/hyperlink" Target="https://advanced.onlinelibrary.wiley.com/doi/10.1002/aenm.70898?af=R" TargetMode="External"/><Relationship Id="rId63" Type="http://schemas.openxmlformats.org/officeDocument/2006/relationships/hyperlink" Target="https://doi.org/10.1002/aenm.70898" TargetMode="External"/><Relationship Id="rId64" Type="http://schemas.openxmlformats.org/officeDocument/2006/relationships/hyperlink" Target="https://advanced.onlinelibrary.wiley.com/doi/10.1002/aenm.70907?af=R" TargetMode="External"/><Relationship Id="rId65" Type="http://schemas.openxmlformats.org/officeDocument/2006/relationships/hyperlink" Target="https://doi.org/10.1002/aenm.70907" TargetMode="External"/><Relationship Id="rId66" Type="http://schemas.openxmlformats.org/officeDocument/2006/relationships/hyperlink" Target="http://dx.doi.org/10.1021/acsenergylett.6c00447" TargetMode="External"/><Relationship Id="rId67" Type="http://schemas.openxmlformats.org/officeDocument/2006/relationships/hyperlink" Target="https://doi.org/10.1021/acsenergylett.6c00447" TargetMode="External"/><Relationship Id="rId68" Type="http://schemas.openxmlformats.org/officeDocument/2006/relationships/hyperlink" Target="https://onlinelibrary.wiley.com/doi/10.1002/anie.2943336?af=R" TargetMode="External"/><Relationship Id="rId69" Type="http://schemas.openxmlformats.org/officeDocument/2006/relationships/hyperlink" Target="https://doi.org/10.1002/anie.2943336" TargetMode="External"/><Relationship Id="rId70" Type="http://schemas.openxmlformats.org/officeDocument/2006/relationships/hyperlink" Target="https://advanced.onlinelibrary.wiley.com/doi/10.1002/adma.72952?af=R" TargetMode="External"/><Relationship Id="rId71" Type="http://schemas.openxmlformats.org/officeDocument/2006/relationships/hyperlink" Target="https://doi.org/10.1002/adma.72952" TargetMode="External"/><Relationship Id="rId72" Type="http://schemas.openxmlformats.org/officeDocument/2006/relationships/hyperlink" Target="https://onlinelibrary.wiley.com/doi/10.1002/anie.8139859?af=R" TargetMode="External"/><Relationship Id="rId73" Type="http://schemas.openxmlformats.org/officeDocument/2006/relationships/hyperlink" Target="https://doi.org/10.1002/anie.8139859" TargetMode="External"/><Relationship Id="rId74" Type="http://schemas.openxmlformats.org/officeDocument/2006/relationships/hyperlink" Target="https://advanced.onlinelibrary.wiley.com/doi/10.1002/adma.72852?af=R" TargetMode="External"/><Relationship Id="rId75" Type="http://schemas.openxmlformats.org/officeDocument/2006/relationships/hyperlink" Target="https://doi.org/10.1002/adma.72852" TargetMode="External"/><Relationship Id="rId76" Type="http://schemas.openxmlformats.org/officeDocument/2006/relationships/hyperlink" Target="https://advanced.onlinelibrary.wiley.com/doi/10.1002/adma.72920?af=R" TargetMode="External"/><Relationship Id="rId77" Type="http://schemas.openxmlformats.org/officeDocument/2006/relationships/hyperlink" Target="https://doi.org/10.1002/adma.72920" TargetMode="External"/><Relationship Id="rId78" Type="http://schemas.openxmlformats.org/officeDocument/2006/relationships/hyperlink" Target="https://advanced.onlinelibrary.wiley.com/doi/10.1002/adma.72895?af=R" TargetMode="External"/><Relationship Id="rId79" Type="http://schemas.openxmlformats.org/officeDocument/2006/relationships/hyperlink" Target="https://doi.org/10.1002/adma.72895" TargetMode="External"/><Relationship Id="rId80" Type="http://schemas.openxmlformats.org/officeDocument/2006/relationships/hyperlink" Target="https://onlinelibrary.wiley.com/doi/10.1002/anie.4036095?af=R" TargetMode="External"/><Relationship Id="rId81" Type="http://schemas.openxmlformats.org/officeDocument/2006/relationships/hyperlink" Target="https://doi.org/10.1002/anie.4036095" TargetMode="External"/><Relationship Id="rId82" Type="http://schemas.openxmlformats.org/officeDocument/2006/relationships/hyperlink" Target="http://dx.doi.org/10.1021/jacs.5c23072" TargetMode="External"/><Relationship Id="rId83" Type="http://schemas.openxmlformats.org/officeDocument/2006/relationships/hyperlink" Target="https://doi.org/10.1021/jacs.5c23072" TargetMode="External"/><Relationship Id="rId84" Type="http://schemas.openxmlformats.org/officeDocument/2006/relationships/hyperlink" Target="http://dx.doi.org/10.1021/jacs.5c21550" TargetMode="External"/><Relationship Id="rId85" Type="http://schemas.openxmlformats.org/officeDocument/2006/relationships/hyperlink" Target="https://doi.org/10.1021/jacs.5c21550" TargetMode="External"/><Relationship Id="rId86" Type="http://schemas.openxmlformats.org/officeDocument/2006/relationships/hyperlink" Target="https://advanced.onlinelibrary.wiley.com/doi/10.1002/adma.72977?af=R" TargetMode="External"/><Relationship Id="rId87" Type="http://schemas.openxmlformats.org/officeDocument/2006/relationships/hyperlink" Target="https://doi.org/10.1002/adma.72977" TargetMode="External"/><Relationship Id="rId88" Type="http://schemas.openxmlformats.org/officeDocument/2006/relationships/hyperlink" Target="https://onlinelibrary.wiley.com/doi/10.1002/anie.2890151?af=R" TargetMode="External"/><Relationship Id="rId89" Type="http://schemas.openxmlformats.org/officeDocument/2006/relationships/hyperlink" Target="https://doi.org/10.1002/anie.2890151" TargetMode="External"/><Relationship Id="rId90" Type="http://schemas.openxmlformats.org/officeDocument/2006/relationships/hyperlink" Target="https://onlinelibrary.wiley.com/doi/10.1002/anie.6066611?af=R" TargetMode="External"/><Relationship Id="rId91" Type="http://schemas.openxmlformats.org/officeDocument/2006/relationships/hyperlink" Target="https://doi.org/10.1002/anie.6066611" TargetMode="External"/><Relationship Id="rId92" Type="http://schemas.openxmlformats.org/officeDocument/2006/relationships/hyperlink" Target="http://dx.doi.org/10.1021/acsenergylett.6c00378" TargetMode="External"/><Relationship Id="rId93" Type="http://schemas.openxmlformats.org/officeDocument/2006/relationships/hyperlink" Target="https://doi.org/10.1021/acsenergylett.6c00378" TargetMode="External"/><Relationship Id="rId94" Type="http://schemas.openxmlformats.org/officeDocument/2006/relationships/hyperlink" Target="http://dx.doi.org/10.1021/acsenergylett.6c00428" TargetMode="External"/><Relationship Id="rId95" Type="http://schemas.openxmlformats.org/officeDocument/2006/relationships/hyperlink" Target="https://doi.org/10.1021/acsenergylett.6c00428" TargetMode="External"/><Relationship Id="rId96" Type="http://schemas.openxmlformats.org/officeDocument/2006/relationships/hyperlink" Target="http://pubs.rsc.org/en/Content/ArticleLanding/2026/EE/D5EE07317K" TargetMode="External"/><Relationship Id="rId97" Type="http://schemas.openxmlformats.org/officeDocument/2006/relationships/hyperlink" Target="http://dx.doi.org/10.1021/acsenergylett.6c00020" TargetMode="External"/><Relationship Id="rId98" Type="http://schemas.openxmlformats.org/officeDocument/2006/relationships/hyperlink" Target="https://doi.org/10.1021/acsenergylett.6c00020" TargetMode="External"/><Relationship Id="rId99" Type="http://schemas.openxmlformats.org/officeDocument/2006/relationships/hyperlink" Target="http://dx.doi.org/10.1021/acsenergylett.6c00606" TargetMode="External"/><Relationship Id="rId100" Type="http://schemas.openxmlformats.org/officeDocument/2006/relationships/hyperlink" Target="https://doi.org/10.1021/acsenergylett.6c00606" TargetMode="External"/><Relationship Id="rId101" Type="http://schemas.openxmlformats.org/officeDocument/2006/relationships/hyperlink" Target="https://advanced.onlinelibrary.wiley.com/doi/10.1002/adma.72963?af=R" TargetMode="External"/><Relationship Id="rId102" Type="http://schemas.openxmlformats.org/officeDocument/2006/relationships/hyperlink" Target="https://doi.org/10.1002/adma.72963" TargetMode="External"/><Relationship Id="rId103" Type="http://schemas.openxmlformats.org/officeDocument/2006/relationships/hyperlink" Target="http://dx.doi.org/10.1021/acsenergylett.6c00477" TargetMode="External"/><Relationship Id="rId104" Type="http://schemas.openxmlformats.org/officeDocument/2006/relationships/hyperlink" Target="https://doi.org/10.1021/acsenergylett.6c00477" TargetMode="External"/><Relationship Id="rId105" Type="http://schemas.openxmlformats.org/officeDocument/2006/relationships/hyperlink" Target="https://www.cell.com/joule/fulltext/S2542-4351(26)00086-3?rss=yes" TargetMode="External"/><Relationship Id="rId106" Type="http://schemas.openxmlformats.org/officeDocument/2006/relationships/hyperlink" Target="https://doi.org/10.1016/j.joule.2026.102402" TargetMode="External"/><Relationship Id="rId107" Type="http://schemas.openxmlformats.org/officeDocument/2006/relationships/hyperlink" Target="https://advanced.onlinelibrary.wiley.com/doi/10.1002/adma.72967?af=R" TargetMode="External"/><Relationship Id="rId108" Type="http://schemas.openxmlformats.org/officeDocument/2006/relationships/hyperlink" Target="https://doi.org/10.1002/adma.72967" TargetMode="External"/><Relationship Id="rId109" Type="http://schemas.openxmlformats.org/officeDocument/2006/relationships/hyperlink" Target="https://www.sciencedirect.com/science/article/pii/S0306261926004319?dgcid=rss_sd_all" TargetMode="External"/><Relationship Id="rId110" Type="http://schemas.openxmlformats.org/officeDocument/2006/relationships/hyperlink" Target="http://dx.doi.org/10.1021/acsenergylett.6c00232" TargetMode="External"/><Relationship Id="rId111" Type="http://schemas.openxmlformats.org/officeDocument/2006/relationships/hyperlink" Target="https://doi.org/10.1021/acsenergylett.6c00232" TargetMode="External"/><Relationship Id="rId112" Type="http://schemas.openxmlformats.org/officeDocument/2006/relationships/hyperlink" Target="https://advanced.onlinelibrary.wiley.com/doi/10.1002/aenm.70887?af=R" TargetMode="External"/><Relationship Id="rId113" Type="http://schemas.openxmlformats.org/officeDocument/2006/relationships/hyperlink" Target="https://doi.org/10.1002/aenm.70887" TargetMode="External"/><Relationship Id="rId114" Type="http://schemas.openxmlformats.org/officeDocument/2006/relationships/hyperlink" Target="https://advanced.onlinelibrary.wiley.com/doi/10.1002/aenm.70900?af=R" TargetMode="External"/><Relationship Id="rId115" Type="http://schemas.openxmlformats.org/officeDocument/2006/relationships/hyperlink" Target="https://doi.org/10.1002/aenm.70900" TargetMode="External"/><Relationship Id="rId116" Type="http://schemas.openxmlformats.org/officeDocument/2006/relationships/hyperlink" Target="https://advanced.onlinelibrary.wiley.com/doi/10.1002/aenm.70890?af=R" TargetMode="External"/><Relationship Id="rId117" Type="http://schemas.openxmlformats.org/officeDocument/2006/relationships/hyperlink" Target="https://doi.org/10.1002/aenm.70890" TargetMode="External"/><Relationship Id="rId118" Type="http://schemas.openxmlformats.org/officeDocument/2006/relationships/hyperlink" Target="https://onlinelibrary.wiley.com/doi/10.1002/anie.9127837?af=R" TargetMode="External"/><Relationship Id="rId119" Type="http://schemas.openxmlformats.org/officeDocument/2006/relationships/hyperlink" Target="https://doi.org/10.1002/anie.9127837" TargetMode="External"/><Relationship Id="rId120" Type="http://schemas.openxmlformats.org/officeDocument/2006/relationships/hyperlink" Target="https://advanced.onlinelibrary.wiley.com/doi/10.1002/adma.72939?af=R" TargetMode="External"/><Relationship Id="rId121" Type="http://schemas.openxmlformats.org/officeDocument/2006/relationships/hyperlink" Target="https://doi.org/10.1002/adma.72939" TargetMode="External"/><Relationship Id="rId122" Type="http://schemas.openxmlformats.org/officeDocument/2006/relationships/hyperlink" Target="https://onlinelibrary.wiley.com/doi/10.1002/anie.202521827?af=R" TargetMode="External"/><Relationship Id="rId123" Type="http://schemas.openxmlformats.org/officeDocument/2006/relationships/hyperlink" Target="https://doi.org/10.1002/anie.202521827" TargetMode="External"/><Relationship Id="rId124" Type="http://schemas.openxmlformats.org/officeDocument/2006/relationships/hyperlink" Target="https://advanced.onlinelibrary.wiley.com/doi/10.1002/aenm.202506734?af=R" TargetMode="External"/><Relationship Id="rId125" Type="http://schemas.openxmlformats.org/officeDocument/2006/relationships/hyperlink" Target="https://doi.org/10.1002/aenm.202506734" TargetMode="External"/><Relationship Id="rId126" Type="http://schemas.openxmlformats.org/officeDocument/2006/relationships/hyperlink" Target="https://www.sciencedirect.com/science/article/pii/S0306261926004009?dgcid=rss_sd_all" TargetMode="External"/><Relationship Id="rId127" Type="http://schemas.openxmlformats.org/officeDocument/2006/relationships/hyperlink" Target="https://advanced.onlinelibrary.wiley.com/doi/10.1002/aenm.202600012?af=R" TargetMode="External"/><Relationship Id="rId128" Type="http://schemas.openxmlformats.org/officeDocument/2006/relationships/hyperlink" Target="https://doi.org/10.1002/aenm.202600012" TargetMode="External"/><Relationship Id="rId129" Type="http://schemas.openxmlformats.org/officeDocument/2006/relationships/hyperlink" Target="https://www.sciencedirect.com/science/article/pii/S0306261926004150?dgcid=rss_sd_all" TargetMode="External"/><Relationship Id="rId130" Type="http://schemas.openxmlformats.org/officeDocument/2006/relationships/hyperlink" Target="https://www.sciencedirect.com/science/article/pii/S0306261926004058?dgcid=rss_sd_all" TargetMode="External"/><Relationship Id="rId131" Type="http://schemas.openxmlformats.org/officeDocument/2006/relationships/hyperlink" Target="https://www.sciencedirect.com/science/article/pii/S0306261926003740?dgcid=rss_sd_all" TargetMode="External"/><Relationship Id="rId132" Type="http://schemas.openxmlformats.org/officeDocument/2006/relationships/hyperlink" Target="https://www.sciencedirect.com/science/article/pii/S0306261926003569?dgcid=rss_sd_all" TargetMode="External"/><Relationship Id="rId133" Type="http://schemas.openxmlformats.org/officeDocument/2006/relationships/hyperlink" Target="http://pubs.rsc.org/en/Content/ArticleLanding/2026/EE/D5EE06413A" TargetMode="External"/><Relationship Id="rId134" Type="http://schemas.openxmlformats.org/officeDocument/2006/relationships/hyperlink" Target="https://academic.oup.com/nsr/advance-article/doi/10.1093/nsr/nwag198/8559445?rss=1" TargetMode="External"/><Relationship Id="rId135" Type="http://schemas.openxmlformats.org/officeDocument/2006/relationships/hyperlink" Target="https://doi.org/10.1093/nsr/nwag198" TargetMode="External"/><Relationship Id="rId136" Type="http://schemas.openxmlformats.org/officeDocument/2006/relationships/hyperlink" Target="https://advanced.onlinelibrary.wiley.com/doi/10.1002/aenm.70874?af=R" TargetMode="External"/><Relationship Id="rId137" Type="http://schemas.openxmlformats.org/officeDocument/2006/relationships/hyperlink" Target="https://doi.org/10.1002/aenm.70874" TargetMode="External"/><Relationship Id="rId138" Type="http://schemas.openxmlformats.org/officeDocument/2006/relationships/hyperlink" Target="http://dx.doi.org/10.1021/acsenergylett.6c00288" TargetMode="External"/><Relationship Id="rId139" Type="http://schemas.openxmlformats.org/officeDocument/2006/relationships/hyperlink" Target="https://doi.org/10.1021/acsenergylett.6c00288" TargetMode="External"/><Relationship Id="rId140" Type="http://schemas.openxmlformats.org/officeDocument/2006/relationships/hyperlink" Target="https://advanced.onlinelibrary.wiley.com/doi/10.1002/aenm.70896?af=R" TargetMode="External"/><Relationship Id="rId141" Type="http://schemas.openxmlformats.org/officeDocument/2006/relationships/hyperlink" Target="https://doi.org/10.1002/aenm.70896" TargetMode="External"/><Relationship Id="rId142" Type="http://schemas.openxmlformats.org/officeDocument/2006/relationships/hyperlink" Target="http://pubs.rsc.org/en/Content/ArticleLanding/2026/EE/D6EE00346J" TargetMode="External"/><Relationship Id="rId143" Type="http://schemas.openxmlformats.org/officeDocument/2006/relationships/hyperlink" Target="https://www.nature.com/articles/s41563-026-02568-9" TargetMode="External"/><Relationship Id="rId144" Type="http://schemas.openxmlformats.org/officeDocument/2006/relationships/hyperlink" Target="https://doi.org/10.1038/s41563-026-02568-9" TargetMode="External"/><Relationship Id="rId145" Type="http://schemas.openxmlformats.org/officeDocument/2006/relationships/hyperlink" Target="https://www.nature.com/articles/s41560-026-02022-9" TargetMode="External"/><Relationship Id="rId146" Type="http://schemas.openxmlformats.org/officeDocument/2006/relationships/hyperlink" Target="https://doi.org/10.1038/s41560-026-02022-9" TargetMode="External"/><Relationship Id="rId147" Type="http://schemas.openxmlformats.org/officeDocument/2006/relationships/hyperlink" Target="https://www.sciencedirect.com/science/article/pii/S0306261926004344?dgcid=rss_sd_all" TargetMode="External"/><Relationship Id="rId148" Type="http://schemas.openxmlformats.org/officeDocument/2006/relationships/hyperlink" Target="https://www.sciencedirect.com/science/article/pii/S030626192600406X?dgcid=rss_sd_all" TargetMode="External"/><Relationship Id="rId149" Type="http://schemas.openxmlformats.org/officeDocument/2006/relationships/hyperlink" Target="https://www.sciencedirect.com/science/article/pii/S030626192600156X?dgcid=rss_sd_all" TargetMode="External"/><Relationship Id="rId150" Type="http://schemas.openxmlformats.org/officeDocument/2006/relationships/hyperlink" Target="https://www.sciencedirect.com/science/article/pii/S030626192600320X?dgcid=rss_sd_all" TargetMode="External"/><Relationship Id="rId151" Type="http://schemas.openxmlformats.org/officeDocument/2006/relationships/hyperlink" Target="https://www.sciencedirect.com/science/article/pii/S0301421526001850?dgcid=rss_sd_all" TargetMode="External"/><Relationship Id="rId152" Type="http://schemas.openxmlformats.org/officeDocument/2006/relationships/hyperlink" Target="https://www.sciencedirect.com/science/article/pii/S0306261926003995?dgcid=rss_sd_all" TargetMode="External"/><Relationship Id="rId153" Type="http://schemas.openxmlformats.org/officeDocument/2006/relationships/hyperlink" Target="http://dx.doi.org/10.1021/jacs.5c19695" TargetMode="External"/><Relationship Id="rId154" Type="http://schemas.openxmlformats.org/officeDocument/2006/relationships/hyperlink" Target="https://doi.org/10.1021/jacs.5c19695" TargetMode="External"/><Relationship Id="rId155" Type="http://schemas.openxmlformats.org/officeDocument/2006/relationships/hyperlink" Target="https://www.sciencedirect.com/science/article/pii/S0306261926004113?dgcid=rss_sd_all" TargetMode="External"/><Relationship Id="rId156" Type="http://schemas.openxmlformats.org/officeDocument/2006/relationships/hyperlink" Target="https://www.sciencedirect.com/science/article/pii/S0306261926004289?dgcid=rss_sd_all" TargetMode="External"/><Relationship Id="rId157" Type="http://schemas.openxmlformats.org/officeDocument/2006/relationships/hyperlink" Target="https://www.sciencedirect.com/science/article/pii/S0306261926004174?dgcid=rss_sd_all" TargetMode="External"/><Relationship Id="rId158" Type="http://schemas.openxmlformats.org/officeDocument/2006/relationships/hyperlink" Target="https://advanced.onlinelibrary.wiley.com/doi/10.1002/aenm.70885?af=R" TargetMode="External"/><Relationship Id="rId159" Type="http://schemas.openxmlformats.org/officeDocument/2006/relationships/hyperlink" Target="https://doi.org/10.1002/aenm.70885" TargetMode="External"/><Relationship Id="rId160" Type="http://schemas.openxmlformats.org/officeDocument/2006/relationships/hyperlink" Target="http://dx.doi.org/10.1021/jacs.5c22728" TargetMode="External"/><Relationship Id="rId161" Type="http://schemas.openxmlformats.org/officeDocument/2006/relationships/hyperlink" Target="https://doi.org/10.1021/jacs.5c22728" TargetMode="External"/><Relationship Id="rId162" Type="http://schemas.openxmlformats.org/officeDocument/2006/relationships/hyperlink" Target="http://pubs.rsc.org/en/Content/ArticleLanding/2026/EE/D5EE07845H" TargetMode="External"/><Relationship Id="rId163" Type="http://schemas.openxmlformats.org/officeDocument/2006/relationships/hyperlink" Target="https://www.nature.com/articles/s41586-026-10204-4" TargetMode="External"/><Relationship Id="rId164" Type="http://schemas.openxmlformats.org/officeDocument/2006/relationships/hyperlink" Target="https://doi.org/10.1038/s41586-026-10204-4" TargetMode="External"/><Relationship Id="rId165" Type="http://schemas.openxmlformats.org/officeDocument/2006/relationships/hyperlink" Target="https://www.nature.com/articles/s41563-026-02562-1" TargetMode="External"/><Relationship Id="rId166" Type="http://schemas.openxmlformats.org/officeDocument/2006/relationships/hyperlink" Target="https://doi.org/10.1038/s41563-026-02562-1" TargetMode="External"/><Relationship Id="rId167" Type="http://schemas.openxmlformats.org/officeDocument/2006/relationships/hyperlink" Target="https://www.cell.com/matter/fulltext/S2590-2385(26)00128-1?rss=yes" TargetMode="External"/><Relationship Id="rId168" Type="http://schemas.openxmlformats.org/officeDocument/2006/relationships/hyperlink" Target="https://doi.org/10.1016/j.matt.2026.102765" TargetMode="External"/><Relationship Id="rId169" Type="http://schemas.openxmlformats.org/officeDocument/2006/relationships/hyperlink" Target="https://onlinelibrary.wiley.com/doi/10.1002/anie.9755292?af=R" TargetMode="External"/><Relationship Id="rId170" Type="http://schemas.openxmlformats.org/officeDocument/2006/relationships/hyperlink" Target="https://doi.org/10.1002/anie.9755292" TargetMode="External"/><Relationship Id="rId171" Type="http://schemas.openxmlformats.org/officeDocument/2006/relationships/hyperlink" Target="http://dx.doi.org/10.1021/jacs.5c22364" TargetMode="External"/><Relationship Id="rId172" Type="http://schemas.openxmlformats.org/officeDocument/2006/relationships/hyperlink" Target="https://doi.org/10.1021/jacs.5c22364" TargetMode="External"/><Relationship Id="rId173" Type="http://schemas.openxmlformats.org/officeDocument/2006/relationships/hyperlink" Target="http://dx.doi.org/10.1021/jacs.6c00705" TargetMode="External"/><Relationship Id="rId174" Type="http://schemas.openxmlformats.org/officeDocument/2006/relationships/hyperlink" Target="https://doi.org/10.1021/jacs.6c00705" TargetMode="External"/><Relationship Id="rId175" Type="http://schemas.openxmlformats.org/officeDocument/2006/relationships/hyperlink" Target="https://www.sciencedirect.com/science/article/pii/S0306261926004459?dgcid=rss_sd_all" TargetMode="External"/><Relationship Id="rId176" Type="http://schemas.openxmlformats.org/officeDocument/2006/relationships/hyperlink" Target="https://www.sciencedirect.com/science/article/pii/S0306261926003983?dgcid=rss_sd_all" TargetMode="External"/><Relationship Id="rId177" Type="http://schemas.openxmlformats.org/officeDocument/2006/relationships/hyperlink" Target="https://www.sciencedirect.com/science/article/pii/S0306261926004411?dgcid=rss_sd_all" TargetMode="External"/><Relationship Id="rId178" Type="http://schemas.openxmlformats.org/officeDocument/2006/relationships/hyperlink" Target="https://www.sciencedirect.com/science/article/pii/S0306261926003971?dgcid=rss_sd_all" TargetMode="External"/><Relationship Id="rId179" Type="http://schemas.openxmlformats.org/officeDocument/2006/relationships/hyperlink" Target="https://www.sciencedirect.com/science/article/pii/S0301421526002132?dgcid=rss_sd_all" TargetMode="External"/><Relationship Id="rId180" Type="http://schemas.openxmlformats.org/officeDocument/2006/relationships/hyperlink" Target="https://www.sciencedirect.com/science/article/pii/S0306261926003788?dgcid=rss_sd_all" TargetMode="External"/><Relationship Id="rId181" Type="http://schemas.openxmlformats.org/officeDocument/2006/relationships/hyperlink" Target="https://www.sciencedirect.com/science/article/pii/S0306261926004125?dgcid=rss_sd_all" TargetMode="External"/><Relationship Id="rId182" Type="http://schemas.openxmlformats.org/officeDocument/2006/relationships/hyperlink" Target="https://www.sciencedirect.com/science/article/pii/S0306261926004320?dgcid=rss_sd_all" TargetMode="External"/><Relationship Id="rId183" Type="http://schemas.openxmlformats.org/officeDocument/2006/relationships/hyperlink" Target="https://www.sciencedirect.com/science/article/pii/S0306261926004356?dgcid=rss_sd_all" TargetMode="External"/><Relationship Id="rId184" Type="http://schemas.openxmlformats.org/officeDocument/2006/relationships/hyperlink" Target="https://www.nature.com/articles/s41893-026-01797-9" TargetMode="External"/><Relationship Id="rId185" Type="http://schemas.openxmlformats.org/officeDocument/2006/relationships/hyperlink" Target="https://doi.org/10.1038/s41893-026-01797-9" TargetMode="External"/><Relationship Id="rId186" Type="http://schemas.openxmlformats.org/officeDocument/2006/relationships/hyperlink" Target="https://onlinelibrary.wiley.com/doi/10.1002/anie.6961230?af=R" TargetMode="External"/><Relationship Id="rId187" Type="http://schemas.openxmlformats.org/officeDocument/2006/relationships/hyperlink" Target="https://doi.org/10.1002/anie.6961230" TargetMode="External"/><Relationship Id="rId188" Type="http://schemas.openxmlformats.org/officeDocument/2006/relationships/hyperlink" Target="https://advanced.onlinelibrary.wiley.com/doi/10.1002/adma.202522368?af=R" TargetMode="External"/><Relationship Id="rId189" Type="http://schemas.openxmlformats.org/officeDocument/2006/relationships/hyperlink" Target="https://doi.org/10.1002/adma.202522368" TargetMode="External"/><Relationship Id="rId190" Type="http://schemas.openxmlformats.org/officeDocument/2006/relationships/hyperlink" Target="https://www.cell.com/chem/fulltext/S2451-9294(26)00068-9?rss=yes" TargetMode="External"/><Relationship Id="rId191" Type="http://schemas.openxmlformats.org/officeDocument/2006/relationships/hyperlink" Target="https://doi.org/10.1016/j.chempr.2026.103002" TargetMode="External"/><Relationship Id="rId192" Type="http://schemas.openxmlformats.org/officeDocument/2006/relationships/hyperlink" Target="https://www.cell.com/chem/fulltext/S2451-9294(26)00072-0?rss=yes" TargetMode="External"/><Relationship Id="rId193" Type="http://schemas.openxmlformats.org/officeDocument/2006/relationships/hyperlink" Target="https://doi.org/10.1016/j.chempr.2026.103006" TargetMode="External"/><Relationship Id="rId194" Type="http://schemas.openxmlformats.org/officeDocument/2006/relationships/hyperlink" Target="https://www.cell.com/joule/fulltext/S2542-4351(26)00079-6?rss=yes" TargetMode="External"/><Relationship Id="rId195" Type="http://schemas.openxmlformats.org/officeDocument/2006/relationships/hyperlink" Target="https://doi.org/10.1016/j.joule.2026.102395" TargetMode="External"/><Relationship Id="rId196" Type="http://schemas.openxmlformats.org/officeDocument/2006/relationships/hyperlink" Target="https://advanced.onlinelibrary.wiley.com/doi/10.1002/aenm.202506808?af=R" TargetMode="External"/><Relationship Id="rId197" Type="http://schemas.openxmlformats.org/officeDocument/2006/relationships/hyperlink" Target="https://doi.org/10.1002/aenm.202506808" TargetMode="External"/><Relationship Id="rId198" Type="http://schemas.openxmlformats.org/officeDocument/2006/relationships/hyperlink" Target="http://dx.doi.org/10.1021/jacs.5c23180" TargetMode="External"/><Relationship Id="rId199" Type="http://schemas.openxmlformats.org/officeDocument/2006/relationships/hyperlink" Target="https://doi.org/10.1021/jacs.5c23180" TargetMode="External"/><Relationship Id="rId200" Type="http://schemas.openxmlformats.org/officeDocument/2006/relationships/hyperlink" Target="https://www.cell.com/chem/fulltext/S2451-9294(26)00032-X?rss=yes" TargetMode="External"/><Relationship Id="rId201" Type="http://schemas.openxmlformats.org/officeDocument/2006/relationships/hyperlink" Target="https://doi.org/10.1016/j.chempr.2026.102966" TargetMode="External"/><Relationship Id="rId202" Type="http://schemas.openxmlformats.org/officeDocument/2006/relationships/hyperlink" Target="http://dx.doi.org/10.1021/jacs.5c22442" TargetMode="External"/><Relationship Id="rId203" Type="http://schemas.openxmlformats.org/officeDocument/2006/relationships/hyperlink" Target="https://doi.org/10.1021/jacs.5c22442" TargetMode="External"/><Relationship Id="rId204" Type="http://schemas.openxmlformats.org/officeDocument/2006/relationships/hyperlink" Target="http://dx.doi.org/10.1021/jacs.5c21265" TargetMode="External"/><Relationship Id="rId205" Type="http://schemas.openxmlformats.org/officeDocument/2006/relationships/hyperlink" Target="https://doi.org/10.1021/jacs.5c21265" TargetMode="External"/><Relationship Id="rId206" Type="http://schemas.openxmlformats.org/officeDocument/2006/relationships/hyperlink" Target="https://www.sciencedirect.com/science/article/pii/S0306261926003776?dgcid=rss_sd_all" TargetMode="External"/><Relationship Id="rId207" Type="http://schemas.openxmlformats.org/officeDocument/2006/relationships/hyperlink" Target="https://www.sciencedirect.com/science/article/pii/S0306261926003892?dgcid=rss_sd_all" TargetMode="External"/><Relationship Id="rId208" Type="http://schemas.openxmlformats.org/officeDocument/2006/relationships/hyperlink" Target="https://www.sciencedirect.com/science/article/pii/S0306261926004332?dgcid=rss_sd_all" TargetMode="External"/><Relationship Id="rId209" Type="http://schemas.openxmlformats.org/officeDocument/2006/relationships/hyperlink" Target="https://www.sciencedirect.com/science/article/pii/S0306261926003545?dgcid=rss_sd_all" TargetMode="External"/><Relationship Id="rId210" Type="http://schemas.openxmlformats.org/officeDocument/2006/relationships/hyperlink" Target="https://www.sciencedirect.com/science/article/pii/S030626192600396X?dgcid=rss_sd_all" TargetMode="External"/><Relationship Id="rId211" Type="http://schemas.openxmlformats.org/officeDocument/2006/relationships/hyperlink" Target="https://www.sciencedirect.com/science/article/pii/S0306261926003685?dgcid=rss_sd_all" TargetMode="External"/><Relationship Id="rId212" Type="http://schemas.openxmlformats.org/officeDocument/2006/relationships/hyperlink" Target="https://www.sciencedirect.com/science/article/pii/S0306261926003910?dgcid=rss_sd_all" TargetMode="External"/><Relationship Id="rId213" Type="http://schemas.openxmlformats.org/officeDocument/2006/relationships/hyperlink" Target="https://www.sciencedirect.com/science/article/pii/S0306261926003570?dgcid=rss_sd_all" TargetMode="External"/><Relationship Id="rId214" Type="http://schemas.openxmlformats.org/officeDocument/2006/relationships/hyperlink" Target="https://www.sciencedirect.com/science/article/pii/S030626192600334X?dgcid=rss_sd_all" TargetMode="External"/><Relationship Id="rId215" Type="http://schemas.openxmlformats.org/officeDocument/2006/relationships/hyperlink" Target="https://www.sciencedirect.com/science/article/pii/S0301421526001898?dgcid=rss_sd_all" TargetMode="External"/><Relationship Id="rId216" Type="http://schemas.openxmlformats.org/officeDocument/2006/relationships/hyperlink" Target="https://www.sciencedirect.com/science/article/pii/S0301421526001953?dgcid=rss_sd_all" TargetMode="External"/><Relationship Id="rId217" Type="http://schemas.openxmlformats.org/officeDocument/2006/relationships/hyperlink" Target="https://www.nature.com/articles/s41467-026-71107-6" TargetMode="External"/><Relationship Id="rId218" Type="http://schemas.openxmlformats.org/officeDocument/2006/relationships/hyperlink" Target="https://doi.org/10.1038/s41467-026-71107-6" TargetMode="External"/><Relationship Id="rId219" Type="http://schemas.openxmlformats.org/officeDocument/2006/relationships/hyperlink" Target="https://www.nature.com/articles/s41467-026-70423-1" TargetMode="External"/><Relationship Id="rId220" Type="http://schemas.openxmlformats.org/officeDocument/2006/relationships/hyperlink" Target="https://doi.org/10.1038/s41467-026-70423-1" TargetMode="External"/><Relationship Id="rId221" Type="http://schemas.openxmlformats.org/officeDocument/2006/relationships/hyperlink" Target="https://www.sciencedirect.com/science/article/pii/S0301421526001643?dgcid=rss_sd_all" TargetMode="External"/><Relationship Id="rId222" Type="http://schemas.openxmlformats.org/officeDocument/2006/relationships/hyperlink" Target="https://www.nature.com/articles/s41467-026-71194-5" TargetMode="External"/><Relationship Id="rId223" Type="http://schemas.openxmlformats.org/officeDocument/2006/relationships/hyperlink" Target="https://doi.org/10.1038/s41467-026-71194-5" TargetMode="External"/><Relationship Id="rId224" Type="http://schemas.openxmlformats.org/officeDocument/2006/relationships/hyperlink" Target="https://academic.oup.com/nsr/advance-article/doi/10.1093/nsr/nwag200/8554179?rss=1" TargetMode="External"/><Relationship Id="rId225" Type="http://schemas.openxmlformats.org/officeDocument/2006/relationships/hyperlink" Target="https://doi.org/10.1093/nsr/nwag200" TargetMode="External"/><Relationship Id="rId226" Type="http://schemas.openxmlformats.org/officeDocument/2006/relationships/hyperlink" Target="https://www.nature.com/articles/s41467-026-71246-w" TargetMode="External"/><Relationship Id="rId227" Type="http://schemas.openxmlformats.org/officeDocument/2006/relationships/hyperlink" Target="https://doi.org/10.1038/s41467-026-71246-w" TargetMode="External"/><Relationship Id="rId228" Type="http://schemas.openxmlformats.org/officeDocument/2006/relationships/hyperlink" Target="https://onlinelibrary.wiley.com/doi/10.1002/anie.8289757?af=R" TargetMode="External"/><Relationship Id="rId229" Type="http://schemas.openxmlformats.org/officeDocument/2006/relationships/hyperlink" Target="https://doi.org/10.1002/anie.8289757" TargetMode="External"/><Relationship Id="rId230" Type="http://schemas.openxmlformats.org/officeDocument/2006/relationships/hyperlink" Target="https://onlinelibrary.wiley.com/doi/10.1002/anie.4012708?af=R" TargetMode="External"/><Relationship Id="rId231" Type="http://schemas.openxmlformats.org/officeDocument/2006/relationships/hyperlink" Target="https://doi.org/10.1002/anie.4012708" TargetMode="External"/><Relationship Id="rId232" Type="http://schemas.openxmlformats.org/officeDocument/2006/relationships/hyperlink" Target="https://onlinelibrary.wiley.com/doi/10.1002/anie.202526144?af=R" TargetMode="External"/><Relationship Id="rId233" Type="http://schemas.openxmlformats.org/officeDocument/2006/relationships/hyperlink" Target="https://doi.org/10.1002/anie.202526144" TargetMode="External"/><Relationship Id="rId234" Type="http://schemas.openxmlformats.org/officeDocument/2006/relationships/hyperlink" Target="https://onlinelibrary.wiley.com/doi/10.1002/anie.7052958?af=R" TargetMode="External"/><Relationship Id="rId235" Type="http://schemas.openxmlformats.org/officeDocument/2006/relationships/hyperlink" Target="https://doi.org/10.1002/anie.7052958" TargetMode="External"/><Relationship Id="rId236" Type="http://schemas.openxmlformats.org/officeDocument/2006/relationships/hyperlink" Target="https://advanced.onlinelibrary.wiley.com/doi/10.1002/adma.202521898?af=R" TargetMode="External"/><Relationship Id="rId237" Type="http://schemas.openxmlformats.org/officeDocument/2006/relationships/hyperlink" Target="https://doi.org/10.1002/adma.202521898" TargetMode="External"/><Relationship Id="rId238" Type="http://schemas.openxmlformats.org/officeDocument/2006/relationships/hyperlink" Target="https://advanced.onlinelibrary.wiley.com/doi/10.1002/adma.202520074?af=R" TargetMode="External"/><Relationship Id="rId239" Type="http://schemas.openxmlformats.org/officeDocument/2006/relationships/hyperlink" Target="https://doi.org/10.1002/adma.202520074" TargetMode="External"/><Relationship Id="rId240" Type="http://schemas.openxmlformats.org/officeDocument/2006/relationships/hyperlink" Target="https://onlinelibrary.wiley.com/doi/10.1002/anie.6559866?af=R" TargetMode="External"/><Relationship Id="rId241" Type="http://schemas.openxmlformats.org/officeDocument/2006/relationships/hyperlink" Target="https://doi.org/10.1002/anie.6559866" TargetMode="External"/><Relationship Id="rId242" Type="http://schemas.openxmlformats.org/officeDocument/2006/relationships/hyperlink" Target="https://onlinelibrary.wiley.com/doi/10.1002/anie.9885717?af=R" TargetMode="External"/><Relationship Id="rId243" Type="http://schemas.openxmlformats.org/officeDocument/2006/relationships/hyperlink" Target="https://doi.org/10.1002/anie.9885717" TargetMode="External"/><Relationship Id="rId244" Type="http://schemas.openxmlformats.org/officeDocument/2006/relationships/hyperlink" Target="https://advanced.onlinelibrary.wiley.com/doi/10.1002/adma.202516761?af=R" TargetMode="External"/><Relationship Id="rId245" Type="http://schemas.openxmlformats.org/officeDocument/2006/relationships/hyperlink" Target="https://doi.org/10.1002/adma.202516761" TargetMode="External"/><Relationship Id="rId246" Type="http://schemas.openxmlformats.org/officeDocument/2006/relationships/hyperlink" Target="https://advanced.onlinelibrary.wiley.com/doi/10.1002/adma.202517382?af=R" TargetMode="External"/><Relationship Id="rId247" Type="http://schemas.openxmlformats.org/officeDocument/2006/relationships/hyperlink" Target="https://doi.org/10.1002/adma.202517382" TargetMode="External"/><Relationship Id="rId248" Type="http://schemas.openxmlformats.org/officeDocument/2006/relationships/hyperlink" Target="https://onlinelibrary.wiley.com/doi/10.1002/anie.9657522?af=R" TargetMode="External"/><Relationship Id="rId249" Type="http://schemas.openxmlformats.org/officeDocument/2006/relationships/hyperlink" Target="https://doi.org/10.1002/anie.9657522" TargetMode="External"/><Relationship Id="rId250" Type="http://schemas.openxmlformats.org/officeDocument/2006/relationships/hyperlink" Target="https://advanced.onlinelibrary.wiley.com/doi/10.1002/adma.202516840?af=R" TargetMode="External"/><Relationship Id="rId251" Type="http://schemas.openxmlformats.org/officeDocument/2006/relationships/hyperlink" Target="https://doi.org/10.1002/adma.202516840" TargetMode="External"/><Relationship Id="rId252" Type="http://schemas.openxmlformats.org/officeDocument/2006/relationships/hyperlink" Target="https://onlinelibrary.wiley.com/doi/10.1002/anie.7419264?af=R" TargetMode="External"/><Relationship Id="rId253" Type="http://schemas.openxmlformats.org/officeDocument/2006/relationships/hyperlink" Target="https://doi.org/10.1002/anie.7419264" TargetMode="External"/><Relationship Id="rId254" Type="http://schemas.openxmlformats.org/officeDocument/2006/relationships/hyperlink" Target="https://onlinelibrary.wiley.com/doi/10.1002/anie.8770556?af=R" TargetMode="External"/><Relationship Id="rId255" Type="http://schemas.openxmlformats.org/officeDocument/2006/relationships/hyperlink" Target="https://doi.org/10.1002/anie.8770556" TargetMode="External"/><Relationship Id="rId256" Type="http://schemas.openxmlformats.org/officeDocument/2006/relationships/hyperlink" Target="https://advanced.onlinelibrary.wiley.com/doi/10.1002/adma.72941?af=R" TargetMode="External"/><Relationship Id="rId257" Type="http://schemas.openxmlformats.org/officeDocument/2006/relationships/hyperlink" Target="https://doi.org/10.1002/adma.72941" TargetMode="External"/><Relationship Id="rId258" Type="http://schemas.openxmlformats.org/officeDocument/2006/relationships/hyperlink" Target="https://onlinelibrary.wiley.com/doi/10.1002/anie.2103432?af=R" TargetMode="External"/><Relationship Id="rId259" Type="http://schemas.openxmlformats.org/officeDocument/2006/relationships/hyperlink" Target="https://doi.org/10.1002/anie.2103432" TargetMode="External"/><Relationship Id="rId260" Type="http://schemas.openxmlformats.org/officeDocument/2006/relationships/hyperlink" Target="https://advanced.onlinelibrary.wiley.com/doi/10.1002/adma.72948?af=R" TargetMode="External"/><Relationship Id="rId261" Type="http://schemas.openxmlformats.org/officeDocument/2006/relationships/hyperlink" Target="https://doi.org/10.1002/adma.72948" TargetMode="External"/><Relationship Id="rId262" Type="http://schemas.openxmlformats.org/officeDocument/2006/relationships/hyperlink" Target="https://onlinelibrary.wiley.com/doi/10.1002/anie.3877634?af=R" TargetMode="External"/><Relationship Id="rId263" Type="http://schemas.openxmlformats.org/officeDocument/2006/relationships/hyperlink" Target="https://doi.org/10.1002/anie.3877634" TargetMode="External"/><Relationship Id="rId264" Type="http://schemas.openxmlformats.org/officeDocument/2006/relationships/hyperlink" Target="https://onlinelibrary.wiley.com/doi/10.1002/anie.9654585?af=R" TargetMode="External"/><Relationship Id="rId265" Type="http://schemas.openxmlformats.org/officeDocument/2006/relationships/hyperlink" Target="https://doi.org/10.1002/anie.9654585" TargetMode="External"/><Relationship Id="rId266" Type="http://schemas.openxmlformats.org/officeDocument/2006/relationships/hyperlink" Target="https://onlinelibrary.wiley.com/doi/10.1002/anie.202515814?af=R" TargetMode="External"/><Relationship Id="rId267" Type="http://schemas.openxmlformats.org/officeDocument/2006/relationships/hyperlink" Target="https://doi.org/10.1002/anie.202515814" TargetMode="External"/><Relationship Id="rId268" Type="http://schemas.openxmlformats.org/officeDocument/2006/relationships/hyperlink" Target="https://onlinelibrary.wiley.com/doi/10.1002/anie.6927983?af=R" TargetMode="External"/><Relationship Id="rId269" Type="http://schemas.openxmlformats.org/officeDocument/2006/relationships/hyperlink" Target="https://doi.org/10.1002/anie.6927983" TargetMode="External"/><Relationship Id="rId270" Type="http://schemas.openxmlformats.org/officeDocument/2006/relationships/hyperlink" Target="https://advanced.onlinelibrary.wiley.com/doi/10.1002/aenm.70889?af=R" TargetMode="External"/><Relationship Id="rId271" Type="http://schemas.openxmlformats.org/officeDocument/2006/relationships/hyperlink" Target="https://doi.org/10.1002/aenm.70889" TargetMode="External"/><Relationship Id="rId272" Type="http://schemas.openxmlformats.org/officeDocument/2006/relationships/hyperlink" Target="http://dx.doi.org/10.1021/jacs.5c22315" TargetMode="External"/><Relationship Id="rId273" Type="http://schemas.openxmlformats.org/officeDocument/2006/relationships/hyperlink" Target="https://doi.org/10.1021/jacs.5c22315" TargetMode="External"/><Relationship Id="rId274" Type="http://schemas.openxmlformats.org/officeDocument/2006/relationships/hyperlink" Target="http://dx.doi.org/10.1021/jacs.6c02132" TargetMode="External"/><Relationship Id="rId275" Type="http://schemas.openxmlformats.org/officeDocument/2006/relationships/hyperlink" Target="https://doi.org/10.1021/jacs.6c02132" TargetMode="External"/><Relationship Id="rId276" Type="http://schemas.openxmlformats.org/officeDocument/2006/relationships/hyperlink" Target="https://advanced.onlinelibrary.wiley.com/doi/10.1002/adma.202521603?af=R" TargetMode="External"/><Relationship Id="rId277" Type="http://schemas.openxmlformats.org/officeDocument/2006/relationships/hyperlink" Target="https://doi.org/10.1002/adma.202521603" TargetMode="External"/><Relationship Id="rId278" Type="http://schemas.openxmlformats.org/officeDocument/2006/relationships/hyperlink" Target="https://advanced.onlinelibrary.wiley.com/doi/10.1002/adma.202521450?af=R" TargetMode="External"/><Relationship Id="rId279" Type="http://schemas.openxmlformats.org/officeDocument/2006/relationships/hyperlink" Target="https://doi.org/10.1002/adma.202521450" TargetMode="External"/><Relationship Id="rId280" Type="http://schemas.openxmlformats.org/officeDocument/2006/relationships/hyperlink" Target="https://advanced.onlinelibrary.wiley.com/doi/10.1002/adma.202600026?af=R" TargetMode="External"/><Relationship Id="rId281" Type="http://schemas.openxmlformats.org/officeDocument/2006/relationships/hyperlink" Target="https://doi.org/10.1002/adma.202600026" TargetMode="External"/><Relationship Id="rId282" Type="http://schemas.openxmlformats.org/officeDocument/2006/relationships/hyperlink" Target="http://dx.doi.org/10.1021/jacs.6c02910" TargetMode="External"/><Relationship Id="rId283" Type="http://schemas.openxmlformats.org/officeDocument/2006/relationships/hyperlink" Target="https://doi.org/10.1021/jacs.6c02910" TargetMode="External"/><Relationship Id="rId284" Type="http://schemas.openxmlformats.org/officeDocument/2006/relationships/hyperlink" Target="https://www.nature.com/articles/s41467-026-71232-2" TargetMode="External"/><Relationship Id="rId285" Type="http://schemas.openxmlformats.org/officeDocument/2006/relationships/hyperlink" Target="https://doi.org/10.1038/s41467-026-71232-2" TargetMode="External"/><Relationship Id="rId286" Type="http://schemas.openxmlformats.org/officeDocument/2006/relationships/hyperlink" Target="https://www.nature.com/articles/s41467-026-71119-2" TargetMode="External"/><Relationship Id="rId287" Type="http://schemas.openxmlformats.org/officeDocument/2006/relationships/hyperlink" Target="https://doi.org/10.1038/s41467-026-71119-2" TargetMode="External"/><Relationship Id="rId288" Type="http://schemas.openxmlformats.org/officeDocument/2006/relationships/hyperlink" Target="https://www.nature.com/articles/s41467-026-71055-1" TargetMode="External"/><Relationship Id="rId289" Type="http://schemas.openxmlformats.org/officeDocument/2006/relationships/hyperlink" Target="https://doi.org/10.1038/s41467-026-71055-1" TargetMode="External"/><Relationship Id="rId290" Type="http://schemas.openxmlformats.org/officeDocument/2006/relationships/hyperlink" Target="https://www.nature.com/articles/s41467-026-71229-x" TargetMode="External"/><Relationship Id="rId291" Type="http://schemas.openxmlformats.org/officeDocument/2006/relationships/hyperlink" Target="https://doi.org/10.1038/s41467-026-71229-x" TargetMode="External"/><Relationship Id="rId292" Type="http://schemas.openxmlformats.org/officeDocument/2006/relationships/hyperlink" Target="https://www.sciencedirect.com/science/article/pii/S0306261926003351?dgcid=rss_sd_all" TargetMode="External"/><Relationship Id="rId293" Type="http://schemas.openxmlformats.org/officeDocument/2006/relationships/hyperlink" Target="https://www.sciencedirect.com/science/article/pii/S0306261926004095?dgcid=rss_sd_all" TargetMode="External"/><Relationship Id="rId294" Type="http://schemas.openxmlformats.org/officeDocument/2006/relationships/hyperlink" Target="https://www.sciencedirect.com/science/article/pii/S0306261926003879?dgcid=rss_sd_all" TargetMode="External"/><Relationship Id="rId295" Type="http://schemas.openxmlformats.org/officeDocument/2006/relationships/hyperlink" Target="https://www.sciencedirect.com/science/article/pii/S0306261926003156?dgcid=rss_sd_all" TargetMode="External"/><Relationship Id="rId296" Type="http://schemas.openxmlformats.org/officeDocument/2006/relationships/hyperlink" Target="https://www.sciencedirect.com/science/article/pii/S0306261926003806?dgcid=rss_sd_all" TargetMode="External"/><Relationship Id="rId297" Type="http://schemas.openxmlformats.org/officeDocument/2006/relationships/hyperlink" Target="https://www.sciencedirect.com/science/article/pii/S030626192600382X?dgcid=rss_sd_all" TargetMode="External"/><Relationship Id="rId298" Type="http://schemas.openxmlformats.org/officeDocument/2006/relationships/hyperlink" Target="https://www.sciencedirect.com/science/article/pii/S0301421526001977?dgcid=rss_sd_all" TargetMode="External"/><Relationship Id="rId299" Type="http://schemas.openxmlformats.org/officeDocument/2006/relationships/hyperlink" Target="https://www.sciencedirect.com/science/article/pii/S0301421526002041?dgcid=rss_sd_all" TargetMode="External"/><Relationship Id="rId300" Type="http://schemas.openxmlformats.org/officeDocument/2006/relationships/hyperlink" Target="https://www.sciencedirect.com/science/article/pii/S0306261926003934?dgcid=rss_sd_all" TargetMode="External"/><Relationship Id="rId301" Type="http://schemas.openxmlformats.org/officeDocument/2006/relationships/hyperlink" Target="https://www.sciencedirect.com/science/article/pii/S0306261926004216?dgcid=rss_sd_all" TargetMode="External"/><Relationship Id="rId302" Type="http://schemas.openxmlformats.org/officeDocument/2006/relationships/hyperlink" Target="http://dx.doi.org/10.1021/jacs.5c21548" TargetMode="External"/><Relationship Id="rId303" Type="http://schemas.openxmlformats.org/officeDocument/2006/relationships/hyperlink" Target="https://doi.org/10.1021/jacs.5c21548" TargetMode="External"/><Relationship Id="rId304" Type="http://schemas.openxmlformats.org/officeDocument/2006/relationships/hyperlink" Target="http://dx.doi.org/10.1021/jacs.5c21206" TargetMode="External"/><Relationship Id="rId305" Type="http://schemas.openxmlformats.org/officeDocument/2006/relationships/hyperlink" Target="https://doi.org/10.1021/jacs.5c21206" TargetMode="External"/><Relationship Id="rId306" Type="http://schemas.openxmlformats.org/officeDocument/2006/relationships/hyperlink" Target="http://dx.doi.org/10.1021/jacs.5c22455" TargetMode="External"/><Relationship Id="rId307" Type="http://schemas.openxmlformats.org/officeDocument/2006/relationships/hyperlink" Target="https://doi.org/10.1021/jacs.5c22455" TargetMode="External"/><Relationship Id="rId308" Type="http://schemas.openxmlformats.org/officeDocument/2006/relationships/hyperlink" Target="http://dx.doi.org/10.1021/jacs.5c23101" TargetMode="External"/><Relationship Id="rId309" Type="http://schemas.openxmlformats.org/officeDocument/2006/relationships/hyperlink" Target="https://doi.org/10.1021/jacs.5c23101" TargetMode="External"/><Relationship Id="rId310" Type="http://schemas.openxmlformats.org/officeDocument/2006/relationships/hyperlink" Target="http://pubs.rsc.org/en/Content/ArticleLanding/2026/CS/D6CS00107F" TargetMode="External"/><Relationship Id="rId311" Type="http://schemas.openxmlformats.org/officeDocument/2006/relationships/hyperlink" Target="https://www.nature.com/articles/s41557-026-02106-9" TargetMode="External"/><Relationship Id="rId312" Type="http://schemas.openxmlformats.org/officeDocument/2006/relationships/hyperlink" Target="https://doi.org/10.1038/s41557-026-02106-9" TargetMode="External"/><Relationship Id="rId313" Type="http://schemas.openxmlformats.org/officeDocument/2006/relationships/hyperlink" Target="https://www.nature.com/articles/d41586-026-01012-x" TargetMode="External"/><Relationship Id="rId314" Type="http://schemas.openxmlformats.org/officeDocument/2006/relationships/hyperlink" Target="https://doi.org/10.1038/d41586-026-01012-x" TargetMode="External"/><Relationship Id="rId315" Type="http://schemas.openxmlformats.org/officeDocument/2006/relationships/hyperlink" Target="https://www.nature.com/articles/d41586-026-00973-3" TargetMode="External"/><Relationship Id="rId316" Type="http://schemas.openxmlformats.org/officeDocument/2006/relationships/hyperlink" Target="https://doi.org/10.1038/d41586-026-00973-3" TargetMode="External"/><Relationship Id="rId317" Type="http://schemas.openxmlformats.org/officeDocument/2006/relationships/hyperlink" Target="https://www.nature.com/articles/d41586-025-04155-5" TargetMode="External"/><Relationship Id="rId318" Type="http://schemas.openxmlformats.org/officeDocument/2006/relationships/hyperlink" Target="https://doi.org/10.1038/d41586-025-04155-5" TargetMode="External"/><Relationship Id="rId319" Type="http://schemas.openxmlformats.org/officeDocument/2006/relationships/hyperlink" Target="https://www.nature.com/articles/d41586-026-00974-2" TargetMode="External"/><Relationship Id="rId320" Type="http://schemas.openxmlformats.org/officeDocument/2006/relationships/hyperlink" Target="https://doi.org/10.1038/d41586-026-00974-2" TargetMode="External"/><Relationship Id="rId321" Type="http://schemas.openxmlformats.org/officeDocument/2006/relationships/hyperlink" Target="https://www.nature.com/articles/d41586-026-00998-8" TargetMode="External"/><Relationship Id="rId322" Type="http://schemas.openxmlformats.org/officeDocument/2006/relationships/hyperlink" Target="https://doi.org/10.1038/d41586-026-00998-8" TargetMode="External"/><Relationship Id="rId323" Type="http://schemas.openxmlformats.org/officeDocument/2006/relationships/hyperlink" Target="https://www.nature.com/articles/d41586-026-01010-z" TargetMode="External"/><Relationship Id="rId324" Type="http://schemas.openxmlformats.org/officeDocument/2006/relationships/hyperlink" Target="https://doi.org/10.1038/d41586-026-01010-z" TargetMode="External"/><Relationship Id="rId325" Type="http://schemas.openxmlformats.org/officeDocument/2006/relationships/hyperlink" Target="https://www.nature.com/articles/d41586-026-00959-1" TargetMode="External"/><Relationship Id="rId326" Type="http://schemas.openxmlformats.org/officeDocument/2006/relationships/hyperlink" Target="https://doi.org/10.1038/d41586-026-00959-1" TargetMode="External"/><Relationship Id="rId327" Type="http://schemas.openxmlformats.org/officeDocument/2006/relationships/hyperlink" Target="https://www.nature.com/articles/s41557-026-02109-6" TargetMode="External"/><Relationship Id="rId328" Type="http://schemas.openxmlformats.org/officeDocument/2006/relationships/hyperlink" Target="https://doi.org/10.1038/s41557-026-02109-6" TargetMode="External"/><Relationship Id="rId329" Type="http://schemas.openxmlformats.org/officeDocument/2006/relationships/hyperlink" Target="https://www.nature.com/articles/s41560-026-02019-4" TargetMode="External"/><Relationship Id="rId330" Type="http://schemas.openxmlformats.org/officeDocument/2006/relationships/hyperlink" Target="https://doi.org/10.1038/s41560-026-02019-4" TargetMode="External"/><Relationship Id="rId331" Type="http://schemas.openxmlformats.org/officeDocument/2006/relationships/hyperlink" Target="https://www.cell.com/chem/fulltext/S2451-9294(26)00066-5?rss=yes" TargetMode="External"/><Relationship Id="rId332" Type="http://schemas.openxmlformats.org/officeDocument/2006/relationships/hyperlink" Target="https://doi.org/10.1016/j.chempr.2026.103000" TargetMode="External"/><Relationship Id="rId333" Type="http://schemas.openxmlformats.org/officeDocument/2006/relationships/hyperlink" Target="https://www.nature.com/articles/s41467-026-71456-2" TargetMode="External"/><Relationship Id="rId334" Type="http://schemas.openxmlformats.org/officeDocument/2006/relationships/hyperlink" Target="https://doi.org/10.1038/s41467-026-71456-2" TargetMode="External"/><Relationship Id="rId335" Type="http://schemas.openxmlformats.org/officeDocument/2006/relationships/hyperlink" Target="https://www.nature.com/articles/s41467-026-70543-8" TargetMode="External"/><Relationship Id="rId336" Type="http://schemas.openxmlformats.org/officeDocument/2006/relationships/hyperlink" Target="https://doi.org/10.1038/s41467-026-70543-8" TargetMode="External"/><Relationship Id="rId337" Type="http://schemas.openxmlformats.org/officeDocument/2006/relationships/hyperlink" Target="https://www.nature.com/articles/s41467-026-71206-4" TargetMode="External"/><Relationship Id="rId338" Type="http://schemas.openxmlformats.org/officeDocument/2006/relationships/hyperlink" Target="https://doi.org/10.1038/s41467-026-71206-4" TargetMode="External"/><Relationship Id="rId339" Type="http://schemas.openxmlformats.org/officeDocument/2006/relationships/hyperlink" Target="https://www.nature.com/articles/s44286-026-00363-6" TargetMode="External"/><Relationship Id="rId340" Type="http://schemas.openxmlformats.org/officeDocument/2006/relationships/hyperlink" Target="https://doi.org/10.1038/s44286-026-00363-6" TargetMode="External"/><Relationship Id="rId341" Type="http://schemas.openxmlformats.org/officeDocument/2006/relationships/hyperlink" Target="https://www.nature.com/articles/d41586-026-00970-6" TargetMode="External"/><Relationship Id="rId342" Type="http://schemas.openxmlformats.org/officeDocument/2006/relationships/hyperlink" Target="https://doi.org/10.1038/d41586-026-00970-6" TargetMode="External"/><Relationship Id="rId343" Type="http://schemas.openxmlformats.org/officeDocument/2006/relationships/hyperlink" Target="https://www.cell.com/chem/fulltext/S2451-9294(26)00097-5?rss=yes" TargetMode="External"/><Relationship Id="rId344" Type="http://schemas.openxmlformats.org/officeDocument/2006/relationships/hyperlink" Target="https://doi.org/10.1016/j.chempr.2026.103031" TargetMode="External"/><Relationship Id="rId345" Type="http://schemas.openxmlformats.org/officeDocument/2006/relationships/hyperlink" Target="https://www.cell.com/chem/fulltext/S2451-9294(26)00073-2?rss=yes" TargetMode="External"/><Relationship Id="rId346" Type="http://schemas.openxmlformats.org/officeDocument/2006/relationships/hyperlink" Target="https://doi.org/10.1016/j.chempr.2026.103007" TargetMode="External"/><Relationship Id="rId347" Type="http://schemas.openxmlformats.org/officeDocument/2006/relationships/hyperlink" Target="https://www.cell.com/chem/fulltext/S2451-9294(26)00070-7?rss=yes" TargetMode="External"/><Relationship Id="rId348" Type="http://schemas.openxmlformats.org/officeDocument/2006/relationships/hyperlink" Target="https://doi.org/10.1016/j.chempr.2026.103004" TargetMode="External"/><Relationship Id="rId349" Type="http://schemas.openxmlformats.org/officeDocument/2006/relationships/hyperlink" Target="https://www.nature.com/articles/d41586-026-01018-5" TargetMode="External"/><Relationship Id="rId350" Type="http://schemas.openxmlformats.org/officeDocument/2006/relationships/hyperlink" Target="https://doi.org/10.1038/d41586-026-01018-5" TargetMode="External"/><Relationship Id="rId351" Type="http://schemas.openxmlformats.org/officeDocument/2006/relationships/hyperlink" Target="https://www.nature.com/articles/s41467-026-70926-x" TargetMode="External"/><Relationship Id="rId352" Type="http://schemas.openxmlformats.org/officeDocument/2006/relationships/hyperlink" Target="https://doi.org/10.1038/s41467-026-70926-x" TargetMode="External"/><Relationship Id="rId353" Type="http://schemas.openxmlformats.org/officeDocument/2006/relationships/hyperlink" Target="https://www.nature.com/articles/s44286-026-00370-7" TargetMode="External"/><Relationship Id="rId354" Type="http://schemas.openxmlformats.org/officeDocument/2006/relationships/hyperlink" Target="https://doi.org/10.1038/s44286-026-00370-7" TargetMode="External"/><Relationship Id="rId355" Type="http://schemas.openxmlformats.org/officeDocument/2006/relationships/hyperlink" Target="https://academic.oup.com/nsr/advance-article/doi/10.1093/nsr/nwag194/8559453?rss=1" TargetMode="External"/><Relationship Id="rId356" Type="http://schemas.openxmlformats.org/officeDocument/2006/relationships/hyperlink" Target="https://doi.org/10.1093/nsr/nwag194" TargetMode="External"/><Relationship Id="rId357" Type="http://schemas.openxmlformats.org/officeDocument/2006/relationships/hyperlink" Target="https://www.cell.com/matter/fulltext/S2590-2385(26)00084-6?rss=yes" TargetMode="External"/><Relationship Id="rId358" Type="http://schemas.openxmlformats.org/officeDocument/2006/relationships/hyperlink" Target="https://doi.org/10.1016/j.matt.2026.102721" TargetMode="External"/><Relationship Id="rId359" Type="http://schemas.openxmlformats.org/officeDocument/2006/relationships/hyperlink" Target="https://www.cell.com/matter/fulltext/S2590-2385(26)00085-8?rss=yes" TargetMode="External"/><Relationship Id="rId360" Type="http://schemas.openxmlformats.org/officeDocument/2006/relationships/hyperlink" Target="https://doi.org/10.1016/j.matt.2026.102722" TargetMode="External"/><Relationship Id="rId361" Type="http://schemas.openxmlformats.org/officeDocument/2006/relationships/hyperlink" Target="https://www.cell.com/matter/fulltext/S2590-2385(26)00086-X?rss=yes" TargetMode="External"/><Relationship Id="rId362" Type="http://schemas.openxmlformats.org/officeDocument/2006/relationships/hyperlink" Target="https://doi.org/10.1016/j.matt.2026.102723" TargetMode="External"/><Relationship Id="rId363" Type="http://schemas.openxmlformats.org/officeDocument/2006/relationships/hyperlink" Target="https://academic.oup.com/nsr/advance-article/doi/10.1093/nsr/nwag199/8559447?rss=1" TargetMode="External"/><Relationship Id="rId364" Type="http://schemas.openxmlformats.org/officeDocument/2006/relationships/hyperlink" Target="https://doi.org/10.1093/nsr/nwag199" TargetMode="External"/><Relationship Id="rId365" Type="http://schemas.openxmlformats.org/officeDocument/2006/relationships/hyperlink" Target="https://www.cell.com/matter/fulltext/S2590-2385(26)00091-3?rss=yes" TargetMode="External"/><Relationship Id="rId366" Type="http://schemas.openxmlformats.org/officeDocument/2006/relationships/hyperlink" Target="https://doi.org/10.1016/j.matt.2026.102728" TargetMode="External"/><Relationship Id="rId367" Type="http://schemas.openxmlformats.org/officeDocument/2006/relationships/hyperlink" Target="https://www.cell.com/matter/fulltext/S2590-2385(26)00111-6?rss=yes" TargetMode="External"/><Relationship Id="rId368" Type="http://schemas.openxmlformats.org/officeDocument/2006/relationships/hyperlink" Target="https://doi.org/10.1016/j.matt.2026.102748" TargetMode="External"/><Relationship Id="rId369" Type="http://schemas.openxmlformats.org/officeDocument/2006/relationships/hyperlink" Target="https://www.cell.com/matter/fulltext/S2590-2385(26)00115-3?rss=yes" TargetMode="External"/><Relationship Id="rId370" Type="http://schemas.openxmlformats.org/officeDocument/2006/relationships/hyperlink" Target="https://doi.org/10.1016/j.matt.2026.102752" TargetMode="External"/><Relationship Id="rId371" Type="http://schemas.openxmlformats.org/officeDocument/2006/relationships/hyperlink" Target="https://www.cell.com/matter/fulltext/S2590-2385(26)00127-X?rss=yes" TargetMode="External"/><Relationship Id="rId372" Type="http://schemas.openxmlformats.org/officeDocument/2006/relationships/hyperlink" Target="https://doi.org/10.1016/j.matt.2026.102764" TargetMode="External"/><Relationship Id="rId373" Type="http://schemas.openxmlformats.org/officeDocument/2006/relationships/hyperlink" Target="https://www.cell.com/matter/fulltext/S2590-2385(26)00083-4?rss=yes" TargetMode="External"/><Relationship Id="rId374" Type="http://schemas.openxmlformats.org/officeDocument/2006/relationships/hyperlink" Target="https://doi.org/10.1016/j.matt.2026.102720" TargetMode="External"/><Relationship Id="rId375" Type="http://schemas.openxmlformats.org/officeDocument/2006/relationships/hyperlink" Target="https://www.nature.com/articles/s41928-026-01582-8" TargetMode="External"/><Relationship Id="rId376" Type="http://schemas.openxmlformats.org/officeDocument/2006/relationships/hyperlink" Target="https://doi.org/10.1038/s41928-026-01582-8" TargetMode="External"/><Relationship Id="rId377" Type="http://schemas.openxmlformats.org/officeDocument/2006/relationships/hyperlink" Target="https://www.nature.com/articles/s41928-026-01607-2" TargetMode="External"/><Relationship Id="rId378" Type="http://schemas.openxmlformats.org/officeDocument/2006/relationships/hyperlink" Target="https://doi.org/10.1038/s41928-026-01607-2" TargetMode="External"/><Relationship Id="rId379" Type="http://schemas.openxmlformats.org/officeDocument/2006/relationships/hyperlink" Target="https://www.cell.com/joule/fulltext/S2542-4351(26)00070-X?rss=yes" TargetMode="External"/><Relationship Id="rId380" Type="http://schemas.openxmlformats.org/officeDocument/2006/relationships/hyperlink" Target="https://doi.org/10.1016/j.joule.2026.102386" TargetMode="External"/><Relationship Id="rId381" Type="http://schemas.openxmlformats.org/officeDocument/2006/relationships/hyperlink" Target="https://www.cell.com/matter/fulltext/S2590-2385(26)00089-5?rss=yes" TargetMode="External"/><Relationship Id="rId382" Type="http://schemas.openxmlformats.org/officeDocument/2006/relationships/hyperlink" Target="https://doi.org/10.1016/j.matt.2026.102726" TargetMode="External"/><Relationship Id="rId383" Type="http://schemas.openxmlformats.org/officeDocument/2006/relationships/hyperlink" Target="https://www.cell.com/joule/fulltext/S2542-4351(26)00083-8?rss=yes" TargetMode="External"/><Relationship Id="rId384" Type="http://schemas.openxmlformats.org/officeDocument/2006/relationships/hyperlink" Target="https://doi.org/10.1016/j.joule.2026.102399" TargetMode="External"/><Relationship Id="rId385" Type="http://schemas.openxmlformats.org/officeDocument/2006/relationships/hyperlink" Target="https://www.cell.com/matter/fulltext/S2590-2385(26)00116-5?rss=yes" TargetMode="External"/><Relationship Id="rId386" Type="http://schemas.openxmlformats.org/officeDocument/2006/relationships/hyperlink" Target="https://doi.org/10.1016/j.matt.2026.102753" TargetMode="External"/><Relationship Id="rId387" Type="http://schemas.openxmlformats.org/officeDocument/2006/relationships/hyperlink" Target="https://www.nature.com/articles/s44359-026-00159-0" TargetMode="External"/><Relationship Id="rId388" Type="http://schemas.openxmlformats.org/officeDocument/2006/relationships/hyperlink" Target="https://doi.org/10.1038/s44359-026-00159-0" TargetMode="External"/><Relationship Id="rId389" Type="http://schemas.openxmlformats.org/officeDocument/2006/relationships/hyperlink" Target="https://www.sciencedirect.com/science/article/pii/S0306261926004186?dgcid=rss_sd_all" TargetMode="External"/><Relationship Id="rId390" Type="http://schemas.openxmlformats.org/officeDocument/2006/relationships/hyperlink" Target="https://www.sciencedirect.com/science/article/pii/S0306261926004228?dgcid=rss_sd_all" TargetMode="External"/><Relationship Id="rId391" Type="http://schemas.openxmlformats.org/officeDocument/2006/relationships/hyperlink" Target="https://www.cell.com/matter/fulltext/S2590-2385(26)00076-7?rss=yes" TargetMode="External"/><Relationship Id="rId392" Type="http://schemas.openxmlformats.org/officeDocument/2006/relationships/hyperlink" Target="https://doi.org/10.1016/j.matt.2026.102713" TargetMode="External"/><Relationship Id="rId393" Type="http://schemas.openxmlformats.org/officeDocument/2006/relationships/hyperlink" Target="https://www.nature.com/articles/s41560-026-02008-7" TargetMode="External"/><Relationship Id="rId394" Type="http://schemas.openxmlformats.org/officeDocument/2006/relationships/hyperlink" Target="https://doi.org/10.1038/s41560-026-02008-7" TargetMode="External"/><Relationship Id="rId395" Type="http://schemas.openxmlformats.org/officeDocument/2006/relationships/hyperlink" Target="https://www.nature.com/articles/d41586-026-00971-5" TargetMode="External"/><Relationship Id="rId396" Type="http://schemas.openxmlformats.org/officeDocument/2006/relationships/hyperlink" Target="https://doi.org/10.1038/d41586-026-00971-5" TargetMode="External"/><Relationship Id="rId397" Type="http://schemas.openxmlformats.org/officeDocument/2006/relationships/hyperlink" Target="https://www.nature.com/articles/s41557-026-02087-9" TargetMode="External"/><Relationship Id="rId398" Type="http://schemas.openxmlformats.org/officeDocument/2006/relationships/hyperlink" Target="https://doi.org/10.1038/s41557-026-02087-9" TargetMode="External"/><Relationship Id="rId399" Type="http://schemas.openxmlformats.org/officeDocument/2006/relationships/hyperlink" Target="https://www.nature.com/articles/s41557-026-02101-0" TargetMode="External"/><Relationship Id="rId400" Type="http://schemas.openxmlformats.org/officeDocument/2006/relationships/hyperlink" Target="https://doi.org/10.1038/s41557-026-02101-0" TargetMode="External"/><Relationship Id="rId401" Type="http://schemas.openxmlformats.org/officeDocument/2006/relationships/hyperlink" Target="https://advanced.onlinelibrary.wiley.com/doi/10.1002/adma.202522698?af=R" TargetMode="External"/><Relationship Id="rId402" Type="http://schemas.openxmlformats.org/officeDocument/2006/relationships/hyperlink" Target="https://doi.org/10.1002/adma.202522698" TargetMode="External"/><Relationship Id="rId403" Type="http://schemas.openxmlformats.org/officeDocument/2006/relationships/hyperlink" Target="https://advanced.onlinelibrary.wiley.com/doi/10.1002/adma.202522233?af=R" TargetMode="External"/><Relationship Id="rId404" Type="http://schemas.openxmlformats.org/officeDocument/2006/relationships/hyperlink" Target="https://doi.org/10.1002/adma.202522233" TargetMode="External"/><Relationship Id="rId405" Type="http://schemas.openxmlformats.org/officeDocument/2006/relationships/hyperlink" Target="https://advanced.onlinelibrary.wiley.com/doi/10.1002/adma.202514405?af=R" TargetMode="External"/><Relationship Id="rId406" Type="http://schemas.openxmlformats.org/officeDocument/2006/relationships/hyperlink" Target="https://doi.org/10.1002/adma.202514405" TargetMode="External"/><Relationship Id="rId407" Type="http://schemas.openxmlformats.org/officeDocument/2006/relationships/hyperlink" Target="https://onlinelibrary.wiley.com/doi/10.1002/anie.7436035?af=R" TargetMode="External"/><Relationship Id="rId408" Type="http://schemas.openxmlformats.org/officeDocument/2006/relationships/hyperlink" Target="https://doi.org/10.1002/anie.7436035" TargetMode="External"/><Relationship Id="rId409" Type="http://schemas.openxmlformats.org/officeDocument/2006/relationships/hyperlink" Target="https://advanced.onlinelibrary.wiley.com/doi/10.1002/aenm.70897?af=R" TargetMode="External"/><Relationship Id="rId410" Type="http://schemas.openxmlformats.org/officeDocument/2006/relationships/hyperlink" Target="https://doi.org/10.1002/aenm.70897" TargetMode="External"/><Relationship Id="rId411" Type="http://schemas.openxmlformats.org/officeDocument/2006/relationships/hyperlink" Target="https://advanced.onlinelibrary.wiley.com/doi/10.1002/adma.202511786?af=R" TargetMode="External"/><Relationship Id="rId412" Type="http://schemas.openxmlformats.org/officeDocument/2006/relationships/hyperlink" Target="https://doi.org/10.1002/adma.202511786" TargetMode="External"/><Relationship Id="rId413" Type="http://schemas.openxmlformats.org/officeDocument/2006/relationships/hyperlink" Target="https://www.pnas.org/doi/abs/10.1073/pnas.2602951123?mi=eymic2&amp;af=R&amp;access=on&amp;content=articlesChapters&amp;publication=pnas&amp;sortBy=Earliest&amp;target=default" TargetMode="External"/><Relationship Id="rId414" Type="http://schemas.openxmlformats.org/officeDocument/2006/relationships/hyperlink" Target="https://doi.org/10.1073/pnas.2602951123" TargetMode="External"/><Relationship Id="rId415" Type="http://schemas.openxmlformats.org/officeDocument/2006/relationships/hyperlink" Target="https://www.pnas.org/doi/abs/10.1073/pnas.2601891123?mi=eymic2&amp;af=R&amp;access=on&amp;content=articlesChapters&amp;publication=pnas&amp;sortBy=Earliest&amp;target=default" TargetMode="External"/><Relationship Id="rId416" Type="http://schemas.openxmlformats.org/officeDocument/2006/relationships/hyperlink" Target="https://doi.org/10.1073/pnas.2601891123" TargetMode="External"/><Relationship Id="rId417" Type="http://schemas.openxmlformats.org/officeDocument/2006/relationships/hyperlink" Target="https://www.pnas.org/doi/abs/10.1073/pnas.2511994123?mi=eymic2&amp;af=R&amp;access=on&amp;content=articlesChapters&amp;publication=pnas&amp;sortBy=Earliest&amp;target=default" TargetMode="External"/><Relationship Id="rId418" Type="http://schemas.openxmlformats.org/officeDocument/2006/relationships/hyperlink" Target="https://doi.org/10.1073/pnas.2511994123" TargetMode="External"/><Relationship Id="rId419" Type="http://schemas.openxmlformats.org/officeDocument/2006/relationships/hyperlink" Target="https://www.pnas.org/doi/abs/10.1073/pnas.2508286123?mi=eymic2&amp;af=R&amp;access=on&amp;content=articlesChapters&amp;publication=pnas&amp;sortBy=Earliest&amp;target=default" TargetMode="External"/><Relationship Id="rId420" Type="http://schemas.openxmlformats.org/officeDocument/2006/relationships/hyperlink" Target="https://doi.org/10.1073/pnas.2508286123" TargetMode="External"/><Relationship Id="rId421" Type="http://schemas.openxmlformats.org/officeDocument/2006/relationships/hyperlink" Target="https://www.pnas.org/doi/abs/10.1073/pnas.2513353123?mi=eymic2&amp;af=R&amp;access=on&amp;content=articlesChapters&amp;publication=pnas&amp;sortBy=Earliest&amp;target=default" TargetMode="External"/><Relationship Id="rId422" Type="http://schemas.openxmlformats.org/officeDocument/2006/relationships/hyperlink" Target="https://doi.org/10.1073/pnas.2513353123" TargetMode="External"/><Relationship Id="rId423" Type="http://schemas.openxmlformats.org/officeDocument/2006/relationships/hyperlink" Target="https://www.pnas.org/doi/abs/10.1073/pnas.2525424123?mi=eymic2&amp;af=R&amp;access=on&amp;content=articlesChapters&amp;publication=pnas&amp;sortBy=Earliest&amp;target=default" TargetMode="External"/><Relationship Id="rId424" Type="http://schemas.openxmlformats.org/officeDocument/2006/relationships/hyperlink" Target="https://doi.org/10.1073/pnas.2525424123" TargetMode="External"/><Relationship Id="rId425" Type="http://schemas.openxmlformats.org/officeDocument/2006/relationships/hyperlink" Target="https://www.pnas.org/doi/abs/10.1073/pnas.2515903123?mi=eymic2&amp;af=R&amp;access=on&amp;content=articlesChapters&amp;publication=pnas&amp;sortBy=Earliest&amp;target=default" TargetMode="External"/><Relationship Id="rId426" Type="http://schemas.openxmlformats.org/officeDocument/2006/relationships/hyperlink" Target="https://doi.org/10.1073/pnas.2515903123" TargetMode="External"/><Relationship Id="rId427" Type="http://schemas.openxmlformats.org/officeDocument/2006/relationships/hyperlink" Target="https://www.pnas.org/doi/abs/10.1073/pnas.2604886123?mi=eymic2&amp;af=R&amp;access=on&amp;content=articlesChapters&amp;publication=pnas&amp;sortBy=Earliest&amp;target=default" TargetMode="External"/><Relationship Id="rId428" Type="http://schemas.openxmlformats.org/officeDocument/2006/relationships/hyperlink" Target="https://doi.org/10.1073/pnas.2604886123" TargetMode="External"/><Relationship Id="rId429" Type="http://schemas.openxmlformats.org/officeDocument/2006/relationships/hyperlink" Target="https://www.pnas.org/doi/abs/10.1073/pnas.2517488123?mi=eymic2&amp;af=R&amp;access=on&amp;content=articlesChapters&amp;publication=pnas&amp;sortBy=Earliest&amp;target=default" TargetMode="External"/><Relationship Id="rId430" Type="http://schemas.openxmlformats.org/officeDocument/2006/relationships/hyperlink" Target="https://doi.org/10.1073/pnas.2517488123" TargetMode="External"/><Relationship Id="rId431" Type="http://schemas.openxmlformats.org/officeDocument/2006/relationships/hyperlink" Target="https://www.pnas.org/doi/abs/10.1073/pnas.2530979123?mi=eymic2&amp;af=R&amp;access=on&amp;content=articlesChapters&amp;publication=pnas&amp;sortBy=Earliest&amp;target=default" TargetMode="External"/><Relationship Id="rId432" Type="http://schemas.openxmlformats.org/officeDocument/2006/relationships/hyperlink" Target="https://doi.org/10.1073/pnas.2530979123" TargetMode="External"/><Relationship Id="rId433" Type="http://schemas.openxmlformats.org/officeDocument/2006/relationships/hyperlink" Target="https://www.pnas.org/doi/abs/10.1073/pnas.2535353123?mi=eymic2&amp;af=R&amp;access=on&amp;content=articlesChapters&amp;publication=pnas&amp;sortBy=Earliest&amp;target=default" TargetMode="External"/><Relationship Id="rId434" Type="http://schemas.openxmlformats.org/officeDocument/2006/relationships/hyperlink" Target="https://doi.org/10.1073/pnas.2535353123" TargetMode="External"/><Relationship Id="rId435" Type="http://schemas.openxmlformats.org/officeDocument/2006/relationships/hyperlink" Target="https://www.pnas.org/doi/abs/10.1073/pnas.2535113123?mi=eymic2&amp;af=R&amp;access=on&amp;content=articlesChapters&amp;publication=pnas&amp;sortBy=Earliest&amp;target=default" TargetMode="External"/><Relationship Id="rId436" Type="http://schemas.openxmlformats.org/officeDocument/2006/relationships/hyperlink" Target="https://doi.org/10.1073/pnas.2535113123" TargetMode="External"/><Relationship Id="rId437" Type="http://schemas.openxmlformats.org/officeDocument/2006/relationships/hyperlink" Target="https://www.pnas.org/doi/abs/10.1073/pnas.2534154123?mi=eymic2&amp;af=R&amp;access=on&amp;content=articlesChapters&amp;publication=pnas&amp;sortBy=Earliest&amp;target=default" TargetMode="External"/><Relationship Id="rId438" Type="http://schemas.openxmlformats.org/officeDocument/2006/relationships/hyperlink" Target="https://doi.org/10.1073/pnas.2534154123" TargetMode="External"/><Relationship Id="rId439" Type="http://schemas.openxmlformats.org/officeDocument/2006/relationships/hyperlink" Target="https://www.pnas.org/doi/abs/10.1073/pnas.2532672123?mi=eymic2&amp;af=R&amp;access=on&amp;content=articlesChapters&amp;publication=pnas&amp;sortBy=Earliest&amp;target=default" TargetMode="External"/><Relationship Id="rId440" Type="http://schemas.openxmlformats.org/officeDocument/2006/relationships/hyperlink" Target="https://doi.org/10.1073/pnas.2532672123" TargetMode="External"/><Relationship Id="rId441" Type="http://schemas.openxmlformats.org/officeDocument/2006/relationships/hyperlink" Target="https://www.pnas.org/doi/abs/10.1073/pnas.2531908123?mi=eymic2&amp;af=R&amp;access=on&amp;content=articlesChapters&amp;publication=pnas&amp;sortBy=Earliest&amp;target=default" TargetMode="External"/><Relationship Id="rId442" Type="http://schemas.openxmlformats.org/officeDocument/2006/relationships/hyperlink" Target="https://doi.org/10.1073/pnas.2531908123" TargetMode="External"/><Relationship Id="rId443" Type="http://schemas.openxmlformats.org/officeDocument/2006/relationships/hyperlink" Target="https://www.pnas.org/doi/abs/10.1073/pnas.2531563123?mi=eymic2&amp;af=R&amp;access=on&amp;content=articlesChapters&amp;publication=pnas&amp;sortBy=Earliest&amp;target=default" TargetMode="External"/><Relationship Id="rId444" Type="http://schemas.openxmlformats.org/officeDocument/2006/relationships/hyperlink" Target="https://doi.org/10.1073/pnas.2531563123" TargetMode="External"/><Relationship Id="rId445" Type="http://schemas.openxmlformats.org/officeDocument/2006/relationships/hyperlink" Target="https://www.pnas.org/doi/abs/10.1073/pnas.2537271123?mi=eymic2&amp;af=R&amp;access=on&amp;content=articlesChapters&amp;publication=pnas&amp;sortBy=Earliest&amp;target=default" TargetMode="External"/><Relationship Id="rId446" Type="http://schemas.openxmlformats.org/officeDocument/2006/relationships/hyperlink" Target="https://doi.org/10.1073/pnas.2537271123" TargetMode="External"/><Relationship Id="rId447" Type="http://schemas.openxmlformats.org/officeDocument/2006/relationships/hyperlink" Target="https://www.pnas.org/doi/abs/10.1073/pnas.2530859123?mi=eymic2&amp;af=R&amp;access=on&amp;content=articlesChapters&amp;publication=pnas&amp;sortBy=Earliest&amp;target=default" TargetMode="External"/><Relationship Id="rId448" Type="http://schemas.openxmlformats.org/officeDocument/2006/relationships/hyperlink" Target="https://doi.org/10.1073/pnas.2530859123" TargetMode="External"/><Relationship Id="rId449" Type="http://schemas.openxmlformats.org/officeDocument/2006/relationships/hyperlink" Target="https://www.pnas.org/doi/abs/10.1073/pnas.2424461123?mi=eymic2&amp;af=R&amp;access=on&amp;content=articlesChapters&amp;publication=pnas&amp;sortBy=Earliest&amp;target=default" TargetMode="External"/><Relationship Id="rId450" Type="http://schemas.openxmlformats.org/officeDocument/2006/relationships/hyperlink" Target="https://doi.org/10.1073/pnas.2424461123" TargetMode="External"/><Relationship Id="rId451" Type="http://schemas.openxmlformats.org/officeDocument/2006/relationships/hyperlink" Target="https://www.pnas.org/doi/abs/10.1073/pnas.2527895123?mi=eymic2&amp;af=R&amp;access=on&amp;content=articlesChapters&amp;publication=pnas&amp;sortBy=Earliest&amp;target=default" TargetMode="External"/><Relationship Id="rId452" Type="http://schemas.openxmlformats.org/officeDocument/2006/relationships/hyperlink" Target="https://doi.org/10.1073/pnas.2527895123" TargetMode="External"/><Relationship Id="rId453" Type="http://schemas.openxmlformats.org/officeDocument/2006/relationships/hyperlink" Target="http://dx.doi.org/10.1021/jacs.6c00561" TargetMode="External"/><Relationship Id="rId454" Type="http://schemas.openxmlformats.org/officeDocument/2006/relationships/hyperlink" Target="https://doi.org/10.1021/jacs.6c00561" TargetMode="External"/><Relationship Id="rId455" Type="http://schemas.openxmlformats.org/officeDocument/2006/relationships/hyperlink" Target="http://dx.doi.org/10.1021/jacs.5c20257" TargetMode="External"/><Relationship Id="rId456" Type="http://schemas.openxmlformats.org/officeDocument/2006/relationships/hyperlink" Target="https://doi.org/10.1021/jacs.5c20257" TargetMode="External"/><Relationship Id="rId457" Type="http://schemas.openxmlformats.org/officeDocument/2006/relationships/hyperlink" Target="https://onlinelibrary.wiley.com/doi/10.1002/anie.8330393?af=R" TargetMode="External"/><Relationship Id="rId458" Type="http://schemas.openxmlformats.org/officeDocument/2006/relationships/hyperlink" Target="https://doi.org/10.1002/anie.8330393" TargetMode="External"/><Relationship Id="rId459" Type="http://schemas.openxmlformats.org/officeDocument/2006/relationships/hyperlink" Target="http://dx.doi.org/10.1021/jacs.6c00140" TargetMode="External"/><Relationship Id="rId460" Type="http://schemas.openxmlformats.org/officeDocument/2006/relationships/hyperlink" Target="https://doi.org/10.1021/jacs.6c00140" TargetMode="External"/><Relationship Id="rId461" Type="http://schemas.openxmlformats.org/officeDocument/2006/relationships/hyperlink" Target="http://dx.doi.org/10.1021/jacs.6c03357" TargetMode="External"/><Relationship Id="rId462" Type="http://schemas.openxmlformats.org/officeDocument/2006/relationships/hyperlink" Target="https://doi.org/10.1021/jacs.6c03357" TargetMode="External"/><Relationship Id="rId463" Type="http://schemas.openxmlformats.org/officeDocument/2006/relationships/hyperlink" Target="https://advanced.onlinelibrary.wiley.com/doi/10.1002/adma.202519670?af=R" TargetMode="External"/><Relationship Id="rId464" Type="http://schemas.openxmlformats.org/officeDocument/2006/relationships/hyperlink" Target="https://doi.org/10.1002/adma.202519670" TargetMode="External"/><Relationship Id="rId465" Type="http://schemas.openxmlformats.org/officeDocument/2006/relationships/hyperlink" Target="https://onlinelibrary.wiley.com/doi/10.1002/anie.1569919?af=R" TargetMode="External"/><Relationship Id="rId466" Type="http://schemas.openxmlformats.org/officeDocument/2006/relationships/hyperlink" Target="https://doi.org/10.1002/anie.1569919" TargetMode="External"/><Relationship Id="rId467" Type="http://schemas.openxmlformats.org/officeDocument/2006/relationships/hyperlink" Target="https://onlinelibrary.wiley.com/doi/10.1002/anie.5210057?af=R" TargetMode="External"/><Relationship Id="rId468" Type="http://schemas.openxmlformats.org/officeDocument/2006/relationships/hyperlink" Target="https://doi.org/10.1002/anie.5210057" TargetMode="External"/><Relationship Id="rId469" Type="http://schemas.openxmlformats.org/officeDocument/2006/relationships/hyperlink" Target="https://onlinelibrary.wiley.com/doi/10.1002/anie.202519836?af=R" TargetMode="External"/><Relationship Id="rId470" Type="http://schemas.openxmlformats.org/officeDocument/2006/relationships/hyperlink" Target="https://doi.org/10.1002/anie.202519836" TargetMode="External"/><Relationship Id="rId471" Type="http://schemas.openxmlformats.org/officeDocument/2006/relationships/hyperlink" Target="https://onlinelibrary.wiley.com/doi/10.1002/anie.8959071?af=R" TargetMode="External"/><Relationship Id="rId472" Type="http://schemas.openxmlformats.org/officeDocument/2006/relationships/hyperlink" Target="https://doi.org/10.1002/anie.8959071" TargetMode="External"/><Relationship Id="rId473" Type="http://schemas.openxmlformats.org/officeDocument/2006/relationships/hyperlink" Target="https://advanced.onlinelibrary.wiley.com/doi/10.1002/aenm.70892?af=R" TargetMode="External"/><Relationship Id="rId474" Type="http://schemas.openxmlformats.org/officeDocument/2006/relationships/hyperlink" Target="https://doi.org/10.1002/aenm.70892" TargetMode="External"/><Relationship Id="rId475" Type="http://schemas.openxmlformats.org/officeDocument/2006/relationships/hyperlink" Target="http://dx.doi.org/10.1021/jacs.6c01473" TargetMode="External"/><Relationship Id="rId476" Type="http://schemas.openxmlformats.org/officeDocument/2006/relationships/hyperlink" Target="https://doi.org/10.1021/jacs.6c01473" TargetMode="External"/><Relationship Id="rId477" Type="http://schemas.openxmlformats.org/officeDocument/2006/relationships/hyperlink" Target="http://dx.doi.org/10.1021/jacs.6c03507" TargetMode="External"/><Relationship Id="rId478" Type="http://schemas.openxmlformats.org/officeDocument/2006/relationships/hyperlink" Target="https://doi.org/10.1021/jacs.6c03507" TargetMode="External"/><Relationship Id="rId479" Type="http://schemas.openxmlformats.org/officeDocument/2006/relationships/hyperlink" Target="https://onlinelibrary.wiley.com/doi/10.1002/anie.6508049?af=R" TargetMode="External"/><Relationship Id="rId480" Type="http://schemas.openxmlformats.org/officeDocument/2006/relationships/hyperlink" Target="https://doi.org/10.1002/anie.6508049" TargetMode="External"/><Relationship Id="rId481" Type="http://schemas.openxmlformats.org/officeDocument/2006/relationships/hyperlink" Target="https://onlinelibrary.wiley.com/doi/10.1002/anie.202523436?af=R" TargetMode="External"/><Relationship Id="rId482" Type="http://schemas.openxmlformats.org/officeDocument/2006/relationships/hyperlink" Target="https://doi.org/10.1002/anie.202523436" TargetMode="External"/><Relationship Id="rId483" Type="http://schemas.openxmlformats.org/officeDocument/2006/relationships/hyperlink" Target="http://dx.doi.org/10.1021/jacs.6c01019" TargetMode="External"/><Relationship Id="rId484" Type="http://schemas.openxmlformats.org/officeDocument/2006/relationships/hyperlink" Target="https://doi.org/10.1021/jacs.6c01019" TargetMode="External"/><Relationship Id="rId485" Type="http://schemas.openxmlformats.org/officeDocument/2006/relationships/hyperlink" Target="https://advanced.onlinelibrary.wiley.com/doi/10.1002/adma.202522094?af=R" TargetMode="External"/><Relationship Id="rId486" Type="http://schemas.openxmlformats.org/officeDocument/2006/relationships/hyperlink" Target="https://doi.org/10.1002/adma.202522094" TargetMode="External"/><Relationship Id="rId487" Type="http://schemas.openxmlformats.org/officeDocument/2006/relationships/hyperlink" Target="https://advanced.onlinelibrary.wiley.com/doi/10.1002/adma.202517794?af=R" TargetMode="External"/><Relationship Id="rId488" Type="http://schemas.openxmlformats.org/officeDocument/2006/relationships/hyperlink" Target="https://doi.org/10.1002/adma.202517794" TargetMode="External"/><Relationship Id="rId489" Type="http://schemas.openxmlformats.org/officeDocument/2006/relationships/hyperlink" Target="http://dx.doi.org/10.1021/jacs.6c03178" TargetMode="External"/><Relationship Id="rId490" Type="http://schemas.openxmlformats.org/officeDocument/2006/relationships/hyperlink" Target="https://doi.org/10.1021/jacs.6c03178" TargetMode="External"/><Relationship Id="rId491" Type="http://schemas.openxmlformats.org/officeDocument/2006/relationships/hyperlink" Target="http://dx.doi.org/10.1021/jacs.6c01872" TargetMode="External"/><Relationship Id="rId492" Type="http://schemas.openxmlformats.org/officeDocument/2006/relationships/hyperlink" Target="https://doi.org/10.1021/jacs.6c01872" TargetMode="External"/><Relationship Id="rId493" Type="http://schemas.openxmlformats.org/officeDocument/2006/relationships/hyperlink" Target="https://advanced.onlinelibrary.wiley.com/doi/10.1002/adma.202516989?af=R" TargetMode="External"/><Relationship Id="rId494" Type="http://schemas.openxmlformats.org/officeDocument/2006/relationships/hyperlink" Target="https://doi.org/10.1002/adma.202516989" TargetMode="External"/><Relationship Id="rId495" Type="http://schemas.openxmlformats.org/officeDocument/2006/relationships/hyperlink" Target="https://advanced.onlinelibrary.wiley.com/doi/10.1002/adma.202523665?af=R" TargetMode="External"/><Relationship Id="rId496" Type="http://schemas.openxmlformats.org/officeDocument/2006/relationships/hyperlink" Target="https://doi.org/10.1002/adma.202523665" TargetMode="External"/><Relationship Id="rId497" Type="http://schemas.openxmlformats.org/officeDocument/2006/relationships/hyperlink" Target="https://advanced.onlinelibrary.wiley.com/doi/10.1002/adma.72793?af=R" TargetMode="External"/><Relationship Id="rId498" Type="http://schemas.openxmlformats.org/officeDocument/2006/relationships/hyperlink" Target="https://doi.org/10.1002/adma.72793" TargetMode="External"/><Relationship Id="rId499" Type="http://schemas.openxmlformats.org/officeDocument/2006/relationships/hyperlink" Target="http://dx.doi.org/10.1021/jacs.5c23052" TargetMode="External"/><Relationship Id="rId500" Type="http://schemas.openxmlformats.org/officeDocument/2006/relationships/hyperlink" Target="https://doi.org/10.1021/jacs.5c23052" TargetMode="External"/><Relationship Id="rId501" Type="http://schemas.openxmlformats.org/officeDocument/2006/relationships/hyperlink" Target="http://dx.doi.org/10.1021/jacs.5c22531" TargetMode="External"/><Relationship Id="rId502" Type="http://schemas.openxmlformats.org/officeDocument/2006/relationships/hyperlink" Target="https://doi.org/10.1021/jacs.5c22531" TargetMode="External"/><Relationship Id="rId503" Type="http://schemas.openxmlformats.org/officeDocument/2006/relationships/hyperlink" Target="http://dx.doi.org/10.1021/jacs.6c01386" TargetMode="External"/><Relationship Id="rId504" Type="http://schemas.openxmlformats.org/officeDocument/2006/relationships/hyperlink" Target="https://doi.org/10.1021/jacs.6c01386" TargetMode="External"/><Relationship Id="rId505" Type="http://schemas.openxmlformats.org/officeDocument/2006/relationships/hyperlink" Target="http://dx.doi.org/10.1021/jacs.6c03292" TargetMode="External"/><Relationship Id="rId506" Type="http://schemas.openxmlformats.org/officeDocument/2006/relationships/hyperlink" Target="https://doi.org/10.1021/jacs.6c03292" TargetMode="External"/><Relationship Id="rId507" Type="http://schemas.openxmlformats.org/officeDocument/2006/relationships/hyperlink" Target="http://dx.doi.org/10.1021/jacs.5c11586" TargetMode="External"/><Relationship Id="rId508" Type="http://schemas.openxmlformats.org/officeDocument/2006/relationships/hyperlink" Target="https://doi.org/10.1021/jacs.5c11586" TargetMode="External"/><Relationship Id="rId509" Type="http://schemas.openxmlformats.org/officeDocument/2006/relationships/hyperlink" Target="http://dx.doi.org/10.1021/jacs.6c02561" TargetMode="External"/><Relationship Id="rId510" Type="http://schemas.openxmlformats.org/officeDocument/2006/relationships/hyperlink" Target="https://doi.org/10.1021/jacs.6c02561" TargetMode="External"/><Relationship Id="rId511" Type="http://schemas.openxmlformats.org/officeDocument/2006/relationships/hyperlink" Target="http://dx.doi.org/10.1021/jacs.5c23128" TargetMode="External"/><Relationship Id="rId512" Type="http://schemas.openxmlformats.org/officeDocument/2006/relationships/hyperlink" Target="https://doi.org/10.1021/jacs.5c23128" TargetMode="External"/><Relationship Id="rId513" Type="http://schemas.openxmlformats.org/officeDocument/2006/relationships/hyperlink" Target="http://dx.doi.org/10.1021/jacs.6c00754" TargetMode="External"/><Relationship Id="rId514" Type="http://schemas.openxmlformats.org/officeDocument/2006/relationships/hyperlink" Target="https://doi.org/10.1021/jacs.6c00754" TargetMode="External"/><Relationship Id="rId515" Type="http://schemas.openxmlformats.org/officeDocument/2006/relationships/hyperlink" Target="http://dx.doi.org/10.1021/jacs.5c22869" TargetMode="External"/><Relationship Id="rId516" Type="http://schemas.openxmlformats.org/officeDocument/2006/relationships/hyperlink" Target="https://doi.org/10.1021/jacs.5c22869" TargetMode="External"/><Relationship Id="rId517" Type="http://schemas.openxmlformats.org/officeDocument/2006/relationships/hyperlink" Target="http://dx.doi.org/10.1021/jacs.6c00875" TargetMode="External"/><Relationship Id="rId518" Type="http://schemas.openxmlformats.org/officeDocument/2006/relationships/hyperlink" Target="https://doi.org/10.1021/jacs.6c00875" TargetMode="External"/><Relationship Id="rId519" Type="http://schemas.openxmlformats.org/officeDocument/2006/relationships/hyperlink" Target="http://pubs.rsc.org/en/Content/ArticleLanding/2026/EE/D6EE00290K" TargetMode="External"/><Relationship Id="rId520" Type="http://schemas.openxmlformats.org/officeDocument/2006/relationships/hyperlink" Target="http://pubs.rsc.org/en/Content/ArticleLanding/2026/EE/D5EE07238G" TargetMode="External"/><Relationship Id="rId521" Type="http://schemas.openxmlformats.org/officeDocument/2006/relationships/hyperlink" Target="https://www.nature.com/articles/d41586-026-00966-2" TargetMode="External"/><Relationship Id="rId522" Type="http://schemas.openxmlformats.org/officeDocument/2006/relationships/hyperlink" Target="https://doi.org/10.1038/d41586-026-00966-2" TargetMode="External"/><Relationship Id="rId523" Type="http://schemas.openxmlformats.org/officeDocument/2006/relationships/hyperlink" Target="https://www.cell.com/chem/fulltext/S2451-9294(26)00064-1?rss=yes" TargetMode="External"/><Relationship Id="rId524" Type="http://schemas.openxmlformats.org/officeDocument/2006/relationships/hyperlink" Target="https://doi.org/10.1016/j.chempr.2026.102998" TargetMode="External"/><Relationship Id="rId525" Type="http://schemas.openxmlformats.org/officeDocument/2006/relationships/hyperlink" Target="https://www.nature.com/articles/d41586-026-00997-9" TargetMode="External"/><Relationship Id="rId526" Type="http://schemas.openxmlformats.org/officeDocument/2006/relationships/hyperlink" Target="https://doi.org/10.1038/d41586-026-00997-9" TargetMode="External"/><Relationship Id="rId527" Type="http://schemas.openxmlformats.org/officeDocument/2006/relationships/hyperlink" Target="https://www.cell.com/chem/fulltext/S2451-9294(26)00074-4?rss=yes" TargetMode="External"/><Relationship Id="rId528" Type="http://schemas.openxmlformats.org/officeDocument/2006/relationships/hyperlink" Target="https://doi.org/10.1016/j.chempr.2026.103008" TargetMode="External"/><Relationship Id="rId529" Type="http://schemas.openxmlformats.org/officeDocument/2006/relationships/hyperlink" Target="https://academic.oup.com/nsr/advance-article/doi/10.1093/nsr/nwag185/8566307?rss=1" TargetMode="External"/><Relationship Id="rId530" Type="http://schemas.openxmlformats.org/officeDocument/2006/relationships/hyperlink" Target="https://doi.org/10.1093/nsr/nwag185" TargetMode="External"/><Relationship Id="rId531" Type="http://schemas.openxmlformats.org/officeDocument/2006/relationships/hyperlink" Target="https://academic.oup.com/nsr/advance-article/doi/10.1093/nsr/nwag201/8566314?rss=1" TargetMode="External"/><Relationship Id="rId532" Type="http://schemas.openxmlformats.org/officeDocument/2006/relationships/hyperlink" Target="https://doi.org/10.1093/nsr/nwag201" TargetMode="External"/><Relationship Id="rId533" Type="http://schemas.openxmlformats.org/officeDocument/2006/relationships/hyperlink" Target="https://www.nature.com/articles/d41586-026-00987-x" TargetMode="External"/><Relationship Id="rId534" Type="http://schemas.openxmlformats.org/officeDocument/2006/relationships/hyperlink" Target="https://doi.org/10.1038/d41586-026-00987-x" TargetMode="External"/><Relationship Id="rId535" Type="http://schemas.openxmlformats.org/officeDocument/2006/relationships/hyperlink" Target="https://www.nature.com/articles/d41586-026-00968-0" TargetMode="External"/><Relationship Id="rId536" Type="http://schemas.openxmlformats.org/officeDocument/2006/relationships/hyperlink" Target="https://doi.org/10.1038/d41586-026-00968-0" TargetMode="External"/><Relationship Id="rId537" Type="http://schemas.openxmlformats.org/officeDocument/2006/relationships/hyperlink" Target="https://www.nature.com/articles/d41586-026-00901-5" TargetMode="External"/><Relationship Id="rId538" Type="http://schemas.openxmlformats.org/officeDocument/2006/relationships/hyperlink" Target="https://doi.org/10.1038/d41586-026-00901-5" TargetMode="External"/><Relationship Id="rId539" Type="http://schemas.openxmlformats.org/officeDocument/2006/relationships/hyperlink" Target="https://www.nature.com/articles/d41586-026-00964-4" TargetMode="External"/><Relationship Id="rId540" Type="http://schemas.openxmlformats.org/officeDocument/2006/relationships/hyperlink" Target="https://doi.org/10.1038/d41586-026-00964-4" TargetMode="External"/><Relationship Id="rId541" Type="http://schemas.openxmlformats.org/officeDocument/2006/relationships/hyperlink" Target="https://www.nature.com/articles/s41557-026-02108-7" TargetMode="External"/><Relationship Id="rId542" Type="http://schemas.openxmlformats.org/officeDocument/2006/relationships/hyperlink" Target="https://doi.org/10.1038/s41557-026-02108-7" TargetMode="External"/><Relationship Id="rId543" Type="http://schemas.openxmlformats.org/officeDocument/2006/relationships/hyperlink" Target="https://www.nature.com/articles/d41586-026-01008-7" TargetMode="External"/><Relationship Id="rId544" Type="http://schemas.openxmlformats.org/officeDocument/2006/relationships/hyperlink" Target="https://doi.org/10.1038/d41586-026-01008-7" TargetMode="External"/><Relationship Id="rId545" Type="http://schemas.openxmlformats.org/officeDocument/2006/relationships/hyperlink" Target="https://www.nature.com/articles/s41563-026-02569-8" TargetMode="External"/><Relationship Id="rId546" Type="http://schemas.openxmlformats.org/officeDocument/2006/relationships/hyperlink" Target="https://doi.org/10.1038/s41563-026-02569-8" TargetMode="External"/><Relationship Id="rId547" Type="http://schemas.openxmlformats.org/officeDocument/2006/relationships/hyperlink" Target="https://www.nature.com/articles/s41563-026-02544-3" TargetMode="External"/><Relationship Id="rId548" Type="http://schemas.openxmlformats.org/officeDocument/2006/relationships/hyperlink" Target="https://doi.org/10.1038/s41563-026-02544-3" TargetMode="External"/><Relationship Id="rId549" Type="http://schemas.openxmlformats.org/officeDocument/2006/relationships/hyperlink" Target="https://www.nature.com/articles/s41563-026-02560-3" TargetMode="External"/><Relationship Id="rId550" Type="http://schemas.openxmlformats.org/officeDocument/2006/relationships/hyperlink" Target="https://doi.org/10.1038/s41563-026-02560-3" TargetMode="External"/><Relationship Id="rId551" Type="http://schemas.openxmlformats.org/officeDocument/2006/relationships/hyperlink" Target="https://www.nature.com/articles/s41560-026-02017-6" TargetMode="External"/><Relationship Id="rId552" Type="http://schemas.openxmlformats.org/officeDocument/2006/relationships/hyperlink" Target="https://doi.org/10.1038/s41560-026-02017-6" TargetMode="External"/><Relationship Id="rId553" Type="http://schemas.openxmlformats.org/officeDocument/2006/relationships/hyperlink" Target="https://www.cell.com/joule/fulltext/S2542-4351(26)00085-1?rss=yes" TargetMode="External"/><Relationship Id="rId554" Type="http://schemas.openxmlformats.org/officeDocument/2006/relationships/hyperlink" Target="https://doi.org/10.1016/j.joule.2026.102401" TargetMode="External"/><Relationship Id="rId555" Type="http://schemas.openxmlformats.org/officeDocument/2006/relationships/hyperlink" Target="https://www.nature.com/articles/d41586-026-00912-2" TargetMode="External"/><Relationship Id="rId556" Type="http://schemas.openxmlformats.org/officeDocument/2006/relationships/hyperlink" Target="https://doi.org/10.1038/d41586-026-00912-2" TargetMode="External"/><Relationship Id="rId557" Type="http://schemas.openxmlformats.org/officeDocument/2006/relationships/hyperlink" Target="https://www.cell.com/chem/fulltext/S2451-9294(26)00069-0?rss=yes" TargetMode="External"/><Relationship Id="rId558" Type="http://schemas.openxmlformats.org/officeDocument/2006/relationships/hyperlink" Target="https://doi.org/10.1016/j.chempr.2026.103003" TargetMode="External"/><Relationship Id="rId559" Type="http://schemas.openxmlformats.org/officeDocument/2006/relationships/hyperlink" Target="https://www.nature.com/articles/d41586-026-01009-6" TargetMode="External"/><Relationship Id="rId560" Type="http://schemas.openxmlformats.org/officeDocument/2006/relationships/hyperlink" Target="https://doi.org/10.1038/d41586-026-01009-6" TargetMode="External"/><Relationship Id="rId561" Type="http://schemas.openxmlformats.org/officeDocument/2006/relationships/hyperlink" Target="https://www.nature.com/articles/d41586-026-01002-z" TargetMode="External"/><Relationship Id="rId562" Type="http://schemas.openxmlformats.org/officeDocument/2006/relationships/hyperlink" Target="https://doi.org/10.1038/d41586-026-01002-z" TargetMode="External"/><Relationship Id="rId563" Type="http://schemas.openxmlformats.org/officeDocument/2006/relationships/hyperlink" Target="https://www.nature.com/articles/s41586-026-10442-6" TargetMode="External"/><Relationship Id="rId564" Type="http://schemas.openxmlformats.org/officeDocument/2006/relationships/hyperlink" Target="https://doi.org/10.1038/s41586-026-10442-6" TargetMode="External"/><Relationship Id="rId565" Type="http://schemas.openxmlformats.org/officeDocument/2006/relationships/hyperlink" Target="https://www.nature.com/articles/s41586-026-10389-8" TargetMode="External"/><Relationship Id="rId566" Type="http://schemas.openxmlformats.org/officeDocument/2006/relationships/hyperlink" Target="https://doi.org/10.1038/s41586-026-10389-8" TargetMode="External"/><Relationship Id="rId567" Type="http://schemas.openxmlformats.org/officeDocument/2006/relationships/hyperlink" Target="https://www.sciencedirect.com/science/article/pii/S0306261926004101?dgcid=rss_sd_all" TargetMode="External"/><Relationship Id="rId568" Type="http://schemas.openxmlformats.org/officeDocument/2006/relationships/hyperlink" Target="https://www.sciencedirect.com/science/article/pii/S0306261926004204?dgcid=rss_sd_all" TargetMode="External"/><Relationship Id="rId569" Type="http://schemas.openxmlformats.org/officeDocument/2006/relationships/hyperlink" Target="https://www.sciencedirect.com/science/article/pii/S0306261926004071?dgcid=rss_sd_all" TargetMode="External"/><Relationship Id="rId570" Type="http://schemas.openxmlformats.org/officeDocument/2006/relationships/hyperlink" Target="https://www.nature.com/articles/s41928-026-01595-3" TargetMode="External"/><Relationship Id="rId571" Type="http://schemas.openxmlformats.org/officeDocument/2006/relationships/hyperlink" Target="https://doi.org/10.1038/s41928-026-01595-3" TargetMode="External"/><Relationship Id="rId572" Type="http://schemas.openxmlformats.org/officeDocument/2006/relationships/hyperlink" Target="https://www.nature.com/articles/s41928-026-01596-2" TargetMode="External"/><Relationship Id="rId573" Type="http://schemas.openxmlformats.org/officeDocument/2006/relationships/hyperlink" Target="https://doi.org/10.1038/s41928-026-01596-2" TargetMode="External"/><Relationship Id="rId574" Type="http://schemas.openxmlformats.org/officeDocument/2006/relationships/hyperlink" Target="https://www.sciencedirect.com/science/article/pii/S0306261926004423?dgcid=rss_sd_all" TargetMode="External"/><Relationship Id="rId575" Type="http://schemas.openxmlformats.org/officeDocument/2006/relationships/hyperlink" Target="https://www.cell.com/one-earth/fulltext/S2590-3322(26)00059-X?rss=yes" TargetMode="External"/><Relationship Id="rId576" Type="http://schemas.openxmlformats.org/officeDocument/2006/relationships/hyperlink" Target="https://doi.org/10.1016/j.oneear.2026.101658" TargetMode="External"/><Relationship Id="rId577" Type="http://schemas.openxmlformats.org/officeDocument/2006/relationships/hyperlink" Target="https://www.nature.com/articles/s41928-026-01592-6" TargetMode="External"/><Relationship Id="rId578" Type="http://schemas.openxmlformats.org/officeDocument/2006/relationships/hyperlink" Target="https://doi.org/10.1038/s41928-026-01592-6" TargetMode="External"/><Relationship Id="rId579" Type="http://schemas.openxmlformats.org/officeDocument/2006/relationships/hyperlink" Target="https://www.sciencedirect.com/science/article/pii/S0306261926004277?dgcid=rss_sd_all" TargetMode="External"/><Relationship Id="rId580" Type="http://schemas.openxmlformats.org/officeDocument/2006/relationships/hyperlink" Target="https://www.cell.com/matter/fulltext/S2590-2385(26)00124-4?rss=yes" TargetMode="External"/><Relationship Id="rId581" Type="http://schemas.openxmlformats.org/officeDocument/2006/relationships/hyperlink" Target="https://doi.org/10.1016/j.matt.2026.102761" TargetMode="External"/><Relationship Id="rId582" Type="http://schemas.openxmlformats.org/officeDocument/2006/relationships/hyperlink" Target="https://www.nature.com/articles/s41928-026-01589-1" TargetMode="External"/><Relationship Id="rId583" Type="http://schemas.openxmlformats.org/officeDocument/2006/relationships/hyperlink" Target="https://doi.org/10.1038/s41928-026-01589-1" TargetMode="External"/><Relationship Id="rId584" Type="http://schemas.openxmlformats.org/officeDocument/2006/relationships/hyperlink" Target="https://www.nature.com/articles/s41586-026-10335-8" TargetMode="External"/><Relationship Id="rId585" Type="http://schemas.openxmlformats.org/officeDocument/2006/relationships/hyperlink" Target="https://doi.org/10.1038/s41586-026-10335-8" TargetMode="External"/><Relationship Id="rId586" Type="http://schemas.openxmlformats.org/officeDocument/2006/relationships/hyperlink" Target="https://www.cell.com/matter/fulltext/S2590-2385(26)00120-7?rss=yes" TargetMode="External"/><Relationship Id="rId587" Type="http://schemas.openxmlformats.org/officeDocument/2006/relationships/hyperlink" Target="https://doi.org/10.1016/j.matt.2026.102757" TargetMode="External"/><Relationship Id="rId588" Type="http://schemas.openxmlformats.org/officeDocument/2006/relationships/hyperlink" Target="https://www.cell.com/matter/fulltext/S2590-2385(26)00087-1?rss=yes" TargetMode="External"/><Relationship Id="rId589" Type="http://schemas.openxmlformats.org/officeDocument/2006/relationships/hyperlink" Target="https://doi.org/10.1016/j.matt.2026.102724" TargetMode="External"/><Relationship Id="rId590" Type="http://schemas.openxmlformats.org/officeDocument/2006/relationships/hyperlink" Target="https://advanced.onlinelibrary.wiley.com/doi/10.1002/adma.202521078?af=R" TargetMode="External"/><Relationship Id="rId591" Type="http://schemas.openxmlformats.org/officeDocument/2006/relationships/hyperlink" Target="https://doi.org/10.1002/adma.202521078" TargetMode="External"/><Relationship Id="rId592" Type="http://schemas.openxmlformats.org/officeDocument/2006/relationships/hyperlink" Target="https://advanced.onlinelibrary.wiley.com/doi/10.1002/adma.202516661?af=R" TargetMode="External"/><Relationship Id="rId593" Type="http://schemas.openxmlformats.org/officeDocument/2006/relationships/hyperlink" Target="https://doi.org/10.1002/adma.202516661" TargetMode="External"/><Relationship Id="rId594" Type="http://schemas.openxmlformats.org/officeDocument/2006/relationships/hyperlink" Target="https://advanced.onlinelibrary.wiley.com/doi/10.1002/adma.72982?af=R" TargetMode="External"/><Relationship Id="rId595" Type="http://schemas.openxmlformats.org/officeDocument/2006/relationships/hyperlink" Target="https://doi.org/10.1002/adma.72982" TargetMode="External"/><Relationship Id="rId596" Type="http://schemas.openxmlformats.org/officeDocument/2006/relationships/hyperlink" Target="https://advanced.onlinelibrary.wiley.com/doi/10.1002/adma.72950?af=R" TargetMode="External"/><Relationship Id="rId597" Type="http://schemas.openxmlformats.org/officeDocument/2006/relationships/hyperlink" Target="https://doi.org/10.1002/adma.72950" TargetMode="External"/><Relationship Id="rId598" Type="http://schemas.openxmlformats.org/officeDocument/2006/relationships/hyperlink" Target="https://advanced.onlinelibrary.wiley.com/doi/10.1002/adma.72968?af=R" TargetMode="External"/><Relationship Id="rId599" Type="http://schemas.openxmlformats.org/officeDocument/2006/relationships/hyperlink" Target="https://doi.org/10.1002/adma.72968" TargetMode="External"/><Relationship Id="rId600" Type="http://schemas.openxmlformats.org/officeDocument/2006/relationships/hyperlink" Target="https://onlinelibrary.wiley.com/doi/10.1002/anie.9964729?af=R" TargetMode="External"/><Relationship Id="rId601" Type="http://schemas.openxmlformats.org/officeDocument/2006/relationships/hyperlink" Target="https://doi.org/10.1002/anie.9964729" TargetMode="External"/><Relationship Id="rId602" Type="http://schemas.openxmlformats.org/officeDocument/2006/relationships/hyperlink" Target="https://onlinelibrary.wiley.com/doi/10.1002/anie.202522119?af=R" TargetMode="External"/><Relationship Id="rId603" Type="http://schemas.openxmlformats.org/officeDocument/2006/relationships/hyperlink" Target="https://doi.org/10.1002/anie.202522119" TargetMode="External"/><Relationship Id="rId604" Type="http://schemas.openxmlformats.org/officeDocument/2006/relationships/hyperlink" Target="https://advanced.onlinelibrary.wiley.com/doi/10.1002/adma.72966?af=R" TargetMode="External"/><Relationship Id="rId605" Type="http://schemas.openxmlformats.org/officeDocument/2006/relationships/hyperlink" Target="https://doi.org/10.1002/adma.72966" TargetMode="External"/><Relationship Id="rId606" Type="http://schemas.openxmlformats.org/officeDocument/2006/relationships/hyperlink" Target="https://advanced.onlinelibrary.wiley.com/doi/10.1002/adma.72737?af=R" TargetMode="External"/><Relationship Id="rId607" Type="http://schemas.openxmlformats.org/officeDocument/2006/relationships/hyperlink" Target="https://doi.org/10.1002/adma.72737" TargetMode="External"/><Relationship Id="rId608" Type="http://schemas.openxmlformats.org/officeDocument/2006/relationships/hyperlink" Target="https://onlinelibrary.wiley.com/doi/10.1002/anie.2299436?af=R" TargetMode="External"/><Relationship Id="rId609" Type="http://schemas.openxmlformats.org/officeDocument/2006/relationships/hyperlink" Target="https://doi.org/10.1002/anie.2299436" TargetMode="External"/><Relationship Id="rId610" Type="http://schemas.openxmlformats.org/officeDocument/2006/relationships/hyperlink" Target="https://advanced.onlinelibrary.wiley.com/doi/10.1002/adma.72892?af=R" TargetMode="External"/><Relationship Id="rId611" Type="http://schemas.openxmlformats.org/officeDocument/2006/relationships/hyperlink" Target="https://doi.org/10.1002/adma.72892" TargetMode="External"/><Relationship Id="rId612" Type="http://schemas.openxmlformats.org/officeDocument/2006/relationships/hyperlink" Target="https://onlinelibrary.wiley.com/doi/10.1002/anie.6998509?af=R" TargetMode="External"/><Relationship Id="rId613" Type="http://schemas.openxmlformats.org/officeDocument/2006/relationships/hyperlink" Target="https://doi.org/10.1002/anie.6998509" TargetMode="External"/><Relationship Id="rId614" Type="http://schemas.openxmlformats.org/officeDocument/2006/relationships/hyperlink" Target="https://onlinelibrary.wiley.com/doi/10.1002/anie.8246739?af=R" TargetMode="External"/><Relationship Id="rId615" Type="http://schemas.openxmlformats.org/officeDocument/2006/relationships/hyperlink" Target="https://doi.org/10.1002/anie.8246739" TargetMode="External"/><Relationship Id="rId616" Type="http://schemas.openxmlformats.org/officeDocument/2006/relationships/hyperlink" Target="https://advanced.onlinelibrary.wiley.com/doi/10.1002/aenm.70891?af=R" TargetMode="External"/><Relationship Id="rId617" Type="http://schemas.openxmlformats.org/officeDocument/2006/relationships/hyperlink" Target="https://doi.org/10.1002/aenm.70891" TargetMode="External"/><Relationship Id="rId618" Type="http://schemas.openxmlformats.org/officeDocument/2006/relationships/hyperlink" Target="https://advanced.onlinelibrary.wiley.com/doi/10.1002/aenm.70893?af=R" TargetMode="External"/><Relationship Id="rId619" Type="http://schemas.openxmlformats.org/officeDocument/2006/relationships/hyperlink" Target="https://doi.org/10.1002/aenm.70893" TargetMode="External"/><Relationship Id="rId620" Type="http://schemas.openxmlformats.org/officeDocument/2006/relationships/hyperlink" Target="https://www.pnas.org/doi/abs/10.1073/pnas.2526203123?mi=eymic2&amp;af=R&amp;access=on&amp;content=articlesChapters&amp;publication=pnas&amp;sortBy=Earliest&amp;target=default" TargetMode="External"/><Relationship Id="rId621" Type="http://schemas.openxmlformats.org/officeDocument/2006/relationships/hyperlink" Target="https://doi.org/10.1073/pnas.2526203123" TargetMode="External"/><Relationship Id="rId622" Type="http://schemas.openxmlformats.org/officeDocument/2006/relationships/hyperlink" Target="https://www.pnas.org/doi/abs/10.1073/pnas.2509980123?mi=eymic2&amp;af=R&amp;access=on&amp;content=articlesChapters&amp;publication=pnas&amp;sortBy=Earliest&amp;target=default" TargetMode="External"/><Relationship Id="rId623" Type="http://schemas.openxmlformats.org/officeDocument/2006/relationships/hyperlink" Target="https://doi.org/10.1073/pnas.2509980123" TargetMode="External"/><Relationship Id="rId624" Type="http://schemas.openxmlformats.org/officeDocument/2006/relationships/hyperlink" Target="https://www.pnas.org/doi/abs/10.1073/pnas.2513613123?mi=eymic2&amp;af=R&amp;access=on&amp;content=articlesChapters&amp;publication=pnas&amp;sortBy=Earliest&amp;target=default" TargetMode="External"/><Relationship Id="rId625" Type="http://schemas.openxmlformats.org/officeDocument/2006/relationships/hyperlink" Target="https://doi.org/10.1073/pnas.2513613123" TargetMode="External"/><Relationship Id="rId626" Type="http://schemas.openxmlformats.org/officeDocument/2006/relationships/hyperlink" Target="https://www.pnas.org/doi/abs/10.1073/pnas.2517241123?mi=eymic2&amp;af=R&amp;access=on&amp;content=articlesChapters&amp;publication=pnas&amp;sortBy=Earliest&amp;target=default" TargetMode="External"/><Relationship Id="rId627" Type="http://schemas.openxmlformats.org/officeDocument/2006/relationships/hyperlink" Target="https://doi.org/10.1073/pnas.2517241123" TargetMode="External"/><Relationship Id="rId628" Type="http://schemas.openxmlformats.org/officeDocument/2006/relationships/hyperlink" Target="https://www.pnas.org/doi/abs/10.1073/pnas.2518221123?mi=eymic2&amp;af=R&amp;access=on&amp;content=articlesChapters&amp;publication=pnas&amp;sortBy=Earliest&amp;target=default" TargetMode="External"/><Relationship Id="rId629" Type="http://schemas.openxmlformats.org/officeDocument/2006/relationships/hyperlink" Target="https://doi.org/10.1073/pnas.2518221123" TargetMode="External"/><Relationship Id="rId630" Type="http://schemas.openxmlformats.org/officeDocument/2006/relationships/hyperlink" Target="https://www.pnas.org/doi/abs/10.1073/pnas.2520290123?mi=eymic2&amp;af=R&amp;access=on&amp;content=articlesChapters&amp;publication=pnas&amp;sortBy=Earliest&amp;target=default" TargetMode="External"/><Relationship Id="rId631" Type="http://schemas.openxmlformats.org/officeDocument/2006/relationships/hyperlink" Target="https://doi.org/10.1073/pnas.2520290123" TargetMode="External"/><Relationship Id="rId632" Type="http://schemas.openxmlformats.org/officeDocument/2006/relationships/hyperlink" Target="https://www.pnas.org/doi/abs/10.1073/pnas.2522270123?mi=eymic2&amp;af=R&amp;access=on&amp;content=articlesChapters&amp;publication=pnas&amp;sortBy=Earliest&amp;target=default" TargetMode="External"/><Relationship Id="rId633" Type="http://schemas.openxmlformats.org/officeDocument/2006/relationships/hyperlink" Target="https://doi.org/10.1073/pnas.2522270123" TargetMode="External"/><Relationship Id="rId634" Type="http://schemas.openxmlformats.org/officeDocument/2006/relationships/hyperlink" Target="https://www.pnas.org/doi/abs/10.1073/pnas.2522964123?mi=eymic2&amp;af=R&amp;access=on&amp;content=articlesChapters&amp;publication=pnas&amp;sortBy=Earliest&amp;target=default" TargetMode="External"/><Relationship Id="rId635" Type="http://schemas.openxmlformats.org/officeDocument/2006/relationships/hyperlink" Target="https://doi.org/10.1073/pnas.2522964123" TargetMode="External"/><Relationship Id="rId636" Type="http://schemas.openxmlformats.org/officeDocument/2006/relationships/hyperlink" Target="https://www.pnas.org/doi/abs/10.1073/pnas.2528216123?mi=eymic2&amp;af=R&amp;access=on&amp;content=articlesChapters&amp;publication=pnas&amp;sortBy=Earliest&amp;target=default" TargetMode="External"/><Relationship Id="rId637" Type="http://schemas.openxmlformats.org/officeDocument/2006/relationships/hyperlink" Target="https://doi.org/10.1073/pnas.2528216123" TargetMode="External"/><Relationship Id="rId638" Type="http://schemas.openxmlformats.org/officeDocument/2006/relationships/hyperlink" Target="https://www.pnas.org/doi/abs/10.1073/pnas.2532576123?mi=eymic2&amp;af=R&amp;access=on&amp;content=articlesChapters&amp;publication=pnas&amp;sortBy=Earliest&amp;target=default" TargetMode="External"/><Relationship Id="rId639" Type="http://schemas.openxmlformats.org/officeDocument/2006/relationships/hyperlink" Target="https://doi.org/10.1073/pnas.2532576123" TargetMode="External"/><Relationship Id="rId640" Type="http://schemas.openxmlformats.org/officeDocument/2006/relationships/hyperlink" Target="https://www.pnas.org/doi/abs/10.1073/pnas.2531259123?mi=eymic2&amp;af=R&amp;access=on&amp;content=articlesChapters&amp;publication=pnas&amp;sortBy=Earliest&amp;target=default" TargetMode="External"/><Relationship Id="rId641" Type="http://schemas.openxmlformats.org/officeDocument/2006/relationships/hyperlink" Target="https://doi.org/10.1073/pnas.2531259123" TargetMode="External"/><Relationship Id="rId642" Type="http://schemas.openxmlformats.org/officeDocument/2006/relationships/hyperlink" Target="https://www.pnas.org/doi/abs/10.1073/pnas.2532018123?mi=eymic2&amp;af=R&amp;access=on&amp;content=articlesChapters&amp;publication=pnas&amp;sortBy=Earliest&amp;target=default" TargetMode="External"/><Relationship Id="rId643" Type="http://schemas.openxmlformats.org/officeDocument/2006/relationships/hyperlink" Target="https://doi.org/10.1073/pnas.2532018123" TargetMode="External"/><Relationship Id="rId644" Type="http://schemas.openxmlformats.org/officeDocument/2006/relationships/hyperlink" Target="https://www.pnas.org/doi/abs/10.1073/pnas.2532422123?mi=eymic2&amp;af=R&amp;access=on&amp;content=articlesChapters&amp;publication=pnas&amp;sortBy=Earliest&amp;target=default" TargetMode="External"/><Relationship Id="rId645" Type="http://schemas.openxmlformats.org/officeDocument/2006/relationships/hyperlink" Target="https://doi.org/10.1073/pnas.2532422123" TargetMode="External"/><Relationship Id="rId646" Type="http://schemas.openxmlformats.org/officeDocument/2006/relationships/hyperlink" Target="https://www.pnas.org/doi/abs/10.1073/pnas.2601316123?mi=eymic2&amp;af=R&amp;access=on&amp;content=articlesChapters&amp;publication=pnas&amp;sortBy=Earliest&amp;target=default" TargetMode="External"/><Relationship Id="rId647" Type="http://schemas.openxmlformats.org/officeDocument/2006/relationships/hyperlink" Target="https://doi.org/10.1073/pnas.2601316123" TargetMode="External"/><Relationship Id="rId648" Type="http://schemas.openxmlformats.org/officeDocument/2006/relationships/hyperlink" Target="https://www.pnas.org/doi/abs/10.1073/pnas.2602694123?mi=eymic2&amp;af=R&amp;access=on&amp;content=articlesChapters&amp;publication=pnas&amp;sortBy=Earliest&amp;target=default" TargetMode="External"/><Relationship Id="rId649" Type="http://schemas.openxmlformats.org/officeDocument/2006/relationships/hyperlink" Target="https://doi.org/10.1073/pnas.2602694123" TargetMode="External"/><Relationship Id="rId650" Type="http://schemas.openxmlformats.org/officeDocument/2006/relationships/hyperlink" Target="https://www.pnas.org/doi/abs/10.1073/iti1326123?mi=eymic2&amp;af=R&amp;access=on&amp;content=articlesChapters&amp;publication=pnas&amp;sortBy=Earliest&amp;target=default" TargetMode="External"/><Relationship Id="rId651" Type="http://schemas.openxmlformats.org/officeDocument/2006/relationships/hyperlink" Target="https://doi.org/10.1073/iti1326123" TargetMode="External"/><Relationship Id="rId652" Type="http://schemas.openxmlformats.org/officeDocument/2006/relationships/hyperlink" Target="https://www.pnas.org/doi/abs/10.1073/pnas.2600004123?mi=eymic2&amp;af=R&amp;access=on&amp;content=articlesChapters&amp;publication=pnas&amp;sortBy=Earliest&amp;target=default" TargetMode="External"/><Relationship Id="rId653" Type="http://schemas.openxmlformats.org/officeDocument/2006/relationships/hyperlink" Target="https://doi.org/10.1073/pnas.2600004123" TargetMode="External"/><Relationship Id="rId654" Type="http://schemas.openxmlformats.org/officeDocument/2006/relationships/hyperlink" Target="https://www.pnas.org/doi/abs/10.1073/pnas.2529339123?mi=eymic2&amp;af=R&amp;access=on&amp;content=articlesChapters&amp;publication=pnas&amp;sortBy=Earliest&amp;target=default" TargetMode="External"/><Relationship Id="rId655" Type="http://schemas.openxmlformats.org/officeDocument/2006/relationships/hyperlink" Target="https://doi.org/10.1073/pnas.2529339123" TargetMode="External"/><Relationship Id="rId656" Type="http://schemas.openxmlformats.org/officeDocument/2006/relationships/hyperlink" Target="http://dx.doi.org/10.1021/jacs.5c20654" TargetMode="External"/><Relationship Id="rId657" Type="http://schemas.openxmlformats.org/officeDocument/2006/relationships/hyperlink" Target="https://doi.org/10.1021/jacs.5c20654" TargetMode="External"/><Relationship Id="rId658" Type="http://schemas.openxmlformats.org/officeDocument/2006/relationships/hyperlink" Target="http://dx.doi.org/10.1021/jacs.6c05572" TargetMode="External"/><Relationship Id="rId659" Type="http://schemas.openxmlformats.org/officeDocument/2006/relationships/hyperlink" Target="https://doi.org/10.1021/jacs.6c05572" TargetMode="External"/><Relationship Id="rId660" Type="http://schemas.openxmlformats.org/officeDocument/2006/relationships/hyperlink" Target="http://dx.doi.org/10.1021/acsenergylett.6c00613" TargetMode="External"/><Relationship Id="rId661" Type="http://schemas.openxmlformats.org/officeDocument/2006/relationships/hyperlink" Target="https://doi.org/10.1021/acsenergylett.6c00613" TargetMode="External"/><Relationship Id="rId662" Type="http://schemas.openxmlformats.org/officeDocument/2006/relationships/hyperlink" Target="https://onlinelibrary.wiley.com/doi/10.1002/anie.6178676?af=R" TargetMode="External"/><Relationship Id="rId663" Type="http://schemas.openxmlformats.org/officeDocument/2006/relationships/hyperlink" Target="https://doi.org/10.1002/anie.6178676" TargetMode="External"/><Relationship Id="rId664" Type="http://schemas.openxmlformats.org/officeDocument/2006/relationships/hyperlink" Target="https://advanced.onlinelibrary.wiley.com/doi/10.1002/adma.202522412?af=R" TargetMode="External"/><Relationship Id="rId665" Type="http://schemas.openxmlformats.org/officeDocument/2006/relationships/hyperlink" Target="https://doi.org/10.1002/adma.202522412" TargetMode="External"/><Relationship Id="rId666" Type="http://schemas.openxmlformats.org/officeDocument/2006/relationships/hyperlink" Target="https://advanced.onlinelibrary.wiley.com/doi/10.1002/adma.202522618?af=R" TargetMode="External"/><Relationship Id="rId667" Type="http://schemas.openxmlformats.org/officeDocument/2006/relationships/hyperlink" Target="https://doi.org/10.1002/adma.202522618" TargetMode="External"/><Relationship Id="rId668" Type="http://schemas.openxmlformats.org/officeDocument/2006/relationships/hyperlink" Target="http://dx.doi.org/10.1021/jacs.5c21444" TargetMode="External"/><Relationship Id="rId669" Type="http://schemas.openxmlformats.org/officeDocument/2006/relationships/hyperlink" Target="https://doi.org/10.1021/jacs.5c21444" TargetMode="External"/><Relationship Id="rId670" Type="http://schemas.openxmlformats.org/officeDocument/2006/relationships/hyperlink" Target="http://dx.doi.org/10.1021/jacs.6c02443" TargetMode="External"/><Relationship Id="rId671" Type="http://schemas.openxmlformats.org/officeDocument/2006/relationships/hyperlink" Target="https://doi.org/10.1021/jacs.6c02443" TargetMode="External"/><Relationship Id="rId672" Type="http://schemas.openxmlformats.org/officeDocument/2006/relationships/hyperlink" Target="http://dx.doi.org/10.1021/jacs.6c01757" TargetMode="External"/><Relationship Id="rId673" Type="http://schemas.openxmlformats.org/officeDocument/2006/relationships/hyperlink" Target="https://doi.org/10.1021/jacs.6c01757" TargetMode="External"/><Relationship Id="rId674" Type="http://schemas.openxmlformats.org/officeDocument/2006/relationships/hyperlink" Target="http://dx.doi.org/10.1021/acs.chemrev.5c00692" TargetMode="External"/><Relationship Id="rId675" Type="http://schemas.openxmlformats.org/officeDocument/2006/relationships/hyperlink" Target="https://doi.org/10.1021/acs.chemrev.5c00692" TargetMode="External"/><Relationship Id="rId676" Type="http://schemas.openxmlformats.org/officeDocument/2006/relationships/hyperlink" Target="http://dx.doi.org/10.1021/jacs.5c22765" TargetMode="External"/><Relationship Id="rId677" Type="http://schemas.openxmlformats.org/officeDocument/2006/relationships/hyperlink" Target="https://doi.org/10.1021/jacs.5c22765" TargetMode="External"/><Relationship Id="rId678" Type="http://schemas.openxmlformats.org/officeDocument/2006/relationships/hyperlink" Target="http://dx.doi.org/10.1021/jacs.6c01122" TargetMode="External"/><Relationship Id="rId679" Type="http://schemas.openxmlformats.org/officeDocument/2006/relationships/hyperlink" Target="https://doi.org/10.1021/jacs.6c01122" TargetMode="External"/><Relationship Id="rId680" Type="http://schemas.openxmlformats.org/officeDocument/2006/relationships/hyperlink" Target="http://dx.doi.org/10.1021/jacs.6c03204" TargetMode="External"/><Relationship Id="rId681" Type="http://schemas.openxmlformats.org/officeDocument/2006/relationships/hyperlink" Target="https://doi.org/10.1021/jacs.6c03204" TargetMode="External"/><Relationship Id="rId682" Type="http://schemas.openxmlformats.org/officeDocument/2006/relationships/hyperlink" Target="http://dx.doi.org/10.1021/acsenergylett.6c00166" TargetMode="External"/><Relationship Id="rId683" Type="http://schemas.openxmlformats.org/officeDocument/2006/relationships/hyperlink" Target="https://doi.org/10.1021/acsenergylett.6c00166" TargetMode="External"/><Relationship Id="rId684" Type="http://schemas.openxmlformats.org/officeDocument/2006/relationships/hyperlink" Target="http://dx.doi.org/10.1021/jacs.5c20366" TargetMode="External"/><Relationship Id="rId685" Type="http://schemas.openxmlformats.org/officeDocument/2006/relationships/hyperlink" Target="https://doi.org/10.1021/jacs.5c20366" TargetMode="External"/><Relationship Id="rId686" Type="http://schemas.openxmlformats.org/officeDocument/2006/relationships/hyperlink" Target="http://dx.doi.org/10.1021/jacs.6c02320" TargetMode="External"/><Relationship Id="rId687" Type="http://schemas.openxmlformats.org/officeDocument/2006/relationships/hyperlink" Target="https://doi.org/10.1021/jacs.6c02320" TargetMode="External"/><Relationship Id="rId688" Type="http://schemas.openxmlformats.org/officeDocument/2006/relationships/hyperlink" Target="http://dx.doi.org/10.1021/jacs.6c01416" TargetMode="External"/><Relationship Id="rId689" Type="http://schemas.openxmlformats.org/officeDocument/2006/relationships/hyperlink" Target="https://doi.org/10.1021/jacs.6c01416" TargetMode="External"/><Relationship Id="rId690" Type="http://schemas.openxmlformats.org/officeDocument/2006/relationships/hyperlink" Target="http://pubs.rsc.org/en/Content/ArticleLanding/2026/EE/D5EE07316B" TargetMode="External"/><Relationship Id="rId691" Type="http://schemas.openxmlformats.org/officeDocument/2006/relationships/hyperlink" Target="http://pubs.rsc.org/en/Content/ArticleLanding/2026/EE/D5EE03097H" TargetMode="External"/><Relationship Id="rId692" Type="http://schemas.openxmlformats.org/officeDocument/2006/relationships/hyperlink" Target="https://www.nature.com/articles/s41586-026-10303-2" TargetMode="External"/><Relationship Id="rId693" Type="http://schemas.openxmlformats.org/officeDocument/2006/relationships/hyperlink" Target="https://doi.org/10.1038/s41586-026-10303-2" TargetMode="External"/><Relationship Id="rId694" Type="http://schemas.openxmlformats.org/officeDocument/2006/relationships/hyperlink" Target="https://www.nature.com/articles/s41586-026-10359-0" TargetMode="External"/><Relationship Id="rId695" Type="http://schemas.openxmlformats.org/officeDocument/2006/relationships/hyperlink" Target="https://doi.org/10.1038/s41586-026-10359-0" TargetMode="External"/><Relationship Id="rId696" Type="http://schemas.openxmlformats.org/officeDocument/2006/relationships/hyperlink" Target="https://www.nature.com/articles/s41586-026-10295-z" TargetMode="External"/><Relationship Id="rId697" Type="http://schemas.openxmlformats.org/officeDocument/2006/relationships/hyperlink" Target="https://doi.org/10.1038/s41586-026-10295-z" TargetMode="External"/><Relationship Id="rId698" Type="http://schemas.openxmlformats.org/officeDocument/2006/relationships/hyperlink" Target="https://www.nature.com/articles/s41586-026-10286-0" TargetMode="External"/><Relationship Id="rId699" Type="http://schemas.openxmlformats.org/officeDocument/2006/relationships/hyperlink" Target="https://doi.org/10.1038/s41586-026-10286-0" TargetMode="External"/><Relationship Id="rId700" Type="http://schemas.openxmlformats.org/officeDocument/2006/relationships/hyperlink" Target="https://www.nature.com/articles/s41586-026-10203-5" TargetMode="External"/><Relationship Id="rId701" Type="http://schemas.openxmlformats.org/officeDocument/2006/relationships/hyperlink" Target="https://doi.org/10.1038/s41586-026-10203-5" TargetMode="External"/><Relationship Id="rId702" Type="http://schemas.openxmlformats.org/officeDocument/2006/relationships/hyperlink" Target="https://www.nature.com/articles/s41586-026-10321-0" TargetMode="External"/><Relationship Id="rId703" Type="http://schemas.openxmlformats.org/officeDocument/2006/relationships/hyperlink" Target="https://doi.org/10.1038/s41586-026-10321-0" TargetMode="External"/><Relationship Id="rId704" Type="http://schemas.openxmlformats.org/officeDocument/2006/relationships/hyperlink" Target="https://www.nature.com/articles/s41586-025-10078-y" TargetMode="External"/><Relationship Id="rId705" Type="http://schemas.openxmlformats.org/officeDocument/2006/relationships/hyperlink" Target="https://doi.org/10.1038/s41586-025-10078-y" TargetMode="External"/><Relationship Id="rId706" Type="http://schemas.openxmlformats.org/officeDocument/2006/relationships/hyperlink" Target="https://www.nature.com/articles/s41586-026-10357-2" TargetMode="External"/><Relationship Id="rId707" Type="http://schemas.openxmlformats.org/officeDocument/2006/relationships/hyperlink" Target="https://doi.org/10.1038/s41586-026-10357-2" TargetMode="External"/><Relationship Id="rId708" Type="http://schemas.openxmlformats.org/officeDocument/2006/relationships/hyperlink" Target="https://www.nature.com/articles/s41586-026-10312-1" TargetMode="External"/><Relationship Id="rId709" Type="http://schemas.openxmlformats.org/officeDocument/2006/relationships/hyperlink" Target="https://doi.org/10.1038/s41586-026-10312-1" TargetMode="External"/><Relationship Id="rId710" Type="http://schemas.openxmlformats.org/officeDocument/2006/relationships/hyperlink" Target="https://www.nature.com/articles/s41586-026-10340-x" TargetMode="External"/><Relationship Id="rId711" Type="http://schemas.openxmlformats.org/officeDocument/2006/relationships/hyperlink" Target="https://doi.org/10.1038/s41586-026-10340-x" TargetMode="External"/><Relationship Id="rId712" Type="http://schemas.openxmlformats.org/officeDocument/2006/relationships/hyperlink" Target="https://www.nature.com/articles/s41586-025-09844-9" TargetMode="External"/><Relationship Id="rId713" Type="http://schemas.openxmlformats.org/officeDocument/2006/relationships/hyperlink" Target="https://doi.org/10.1038/s41586-025-09844-9" TargetMode="External"/><Relationship Id="rId714" Type="http://schemas.openxmlformats.org/officeDocument/2006/relationships/hyperlink" Target="https://www.nature.com/articles/s41586-026-10364-3" TargetMode="External"/><Relationship Id="rId715" Type="http://schemas.openxmlformats.org/officeDocument/2006/relationships/hyperlink" Target="https://doi.org/10.1038/s41586-026-10364-3" TargetMode="External"/><Relationship Id="rId716" Type="http://schemas.openxmlformats.org/officeDocument/2006/relationships/hyperlink" Target="https://www.nature.com/articles/s41586-026-10284-2" TargetMode="External"/><Relationship Id="rId717" Type="http://schemas.openxmlformats.org/officeDocument/2006/relationships/hyperlink" Target="https://doi.org/10.1038/s41586-026-10284-2" TargetMode="External"/><Relationship Id="rId718" Type="http://schemas.openxmlformats.org/officeDocument/2006/relationships/hyperlink" Target="https://www.nature.com/articles/s41586-026-10333-w" TargetMode="External"/><Relationship Id="rId719" Type="http://schemas.openxmlformats.org/officeDocument/2006/relationships/hyperlink" Target="https://doi.org/10.1038/s41586-026-10333-w" TargetMode="External"/><Relationship Id="rId720" Type="http://schemas.openxmlformats.org/officeDocument/2006/relationships/hyperlink" Target="https://www.nature.com/articles/s41586-026-10251-x" TargetMode="External"/><Relationship Id="rId721" Type="http://schemas.openxmlformats.org/officeDocument/2006/relationships/hyperlink" Target="https://doi.org/10.1038/s41586-026-10251-x" TargetMode="External"/><Relationship Id="rId722" Type="http://schemas.openxmlformats.org/officeDocument/2006/relationships/hyperlink" Target="https://www.nature.com/articles/d41586-026-00805-4" TargetMode="External"/><Relationship Id="rId723" Type="http://schemas.openxmlformats.org/officeDocument/2006/relationships/hyperlink" Target="https://doi.org/10.1038/d41586-026-00805-4" TargetMode="External"/><Relationship Id="rId724" Type="http://schemas.openxmlformats.org/officeDocument/2006/relationships/hyperlink" Target="https://www.nature.com/articles/d41586-026-00969-z" TargetMode="External"/><Relationship Id="rId725" Type="http://schemas.openxmlformats.org/officeDocument/2006/relationships/hyperlink" Target="https://doi.org/10.1038/d41586-026-00969-z" TargetMode="External"/><Relationship Id="rId726" Type="http://schemas.openxmlformats.org/officeDocument/2006/relationships/hyperlink" Target="https://www.nature.com/articles/d41586-026-00972-4" TargetMode="External"/><Relationship Id="rId727" Type="http://schemas.openxmlformats.org/officeDocument/2006/relationships/hyperlink" Target="https://doi.org/10.1038/d41586-026-00972-4" TargetMode="External"/><Relationship Id="rId728" Type="http://schemas.openxmlformats.org/officeDocument/2006/relationships/hyperlink" Target="https://www.nature.com/articles/d41586-026-00803-6" TargetMode="External"/><Relationship Id="rId729" Type="http://schemas.openxmlformats.org/officeDocument/2006/relationships/hyperlink" Target="https://doi.org/10.1038/d41586-026-00803-6" TargetMode="External"/><Relationship Id="rId730" Type="http://schemas.openxmlformats.org/officeDocument/2006/relationships/hyperlink" Target="https://academic.oup.com/nsr/advance-article/doi/10.1093/nsr/nwag203/8571577?rss=1" TargetMode="External"/><Relationship Id="rId731" Type="http://schemas.openxmlformats.org/officeDocument/2006/relationships/hyperlink" Target="https://doi.org/10.1093/nsr/nwag203" TargetMode="External"/><Relationship Id="rId732" Type="http://schemas.openxmlformats.org/officeDocument/2006/relationships/hyperlink" Target="https://academic.oup.com/nsr/advance-article/doi/10.1093/nsr/nwag196/8571580?rss=1" TargetMode="External"/><Relationship Id="rId733" Type="http://schemas.openxmlformats.org/officeDocument/2006/relationships/hyperlink" Target="https://doi.org/10.1093/nsr/nwag196" TargetMode="External"/><Relationship Id="rId734" Type="http://schemas.openxmlformats.org/officeDocument/2006/relationships/hyperlink" Target="https://www.nature.com/articles/s41578-026-00916-4" TargetMode="External"/><Relationship Id="rId735" Type="http://schemas.openxmlformats.org/officeDocument/2006/relationships/hyperlink" Target="https://doi.org/10.1038/s41578-026-00916-4" TargetMode="External"/><Relationship Id="rId736" Type="http://schemas.openxmlformats.org/officeDocument/2006/relationships/hyperlink" Target="https://www.nature.com/articles/d41586-026-00978-y" TargetMode="External"/><Relationship Id="rId737" Type="http://schemas.openxmlformats.org/officeDocument/2006/relationships/hyperlink" Target="https://doi.org/10.1038/d41586-026-00978-y" TargetMode="External"/><Relationship Id="rId738" Type="http://schemas.openxmlformats.org/officeDocument/2006/relationships/hyperlink" Target="https://www.nature.com/articles/d41586-026-00808-1" TargetMode="External"/><Relationship Id="rId739" Type="http://schemas.openxmlformats.org/officeDocument/2006/relationships/hyperlink" Target="https://doi.org/10.1038/d41586-026-00808-1" TargetMode="External"/><Relationship Id="rId740" Type="http://schemas.openxmlformats.org/officeDocument/2006/relationships/hyperlink" Target="https://www.nature.com/articles/s41586-026-10348-3" TargetMode="External"/><Relationship Id="rId741" Type="http://schemas.openxmlformats.org/officeDocument/2006/relationships/hyperlink" Target="https://doi.org/10.1038/s41586-026-10348-3" TargetMode="External"/><Relationship Id="rId742" Type="http://schemas.openxmlformats.org/officeDocument/2006/relationships/hyperlink" Target="https://www.nature.com/articles/d41586-026-00965-3" TargetMode="External"/><Relationship Id="rId743" Type="http://schemas.openxmlformats.org/officeDocument/2006/relationships/hyperlink" Target="https://doi.org/10.1038/d41586-026-00965-3" TargetMode="External"/><Relationship Id="rId744" Type="http://schemas.openxmlformats.org/officeDocument/2006/relationships/hyperlink" Target="https://www.nature.com/articles/s41586-026-10331-y" TargetMode="External"/><Relationship Id="rId745" Type="http://schemas.openxmlformats.org/officeDocument/2006/relationships/hyperlink" Target="https://doi.org/10.1038/s41586-026-10331-y" TargetMode="External"/><Relationship Id="rId746" Type="http://schemas.openxmlformats.org/officeDocument/2006/relationships/hyperlink" Target="https://www.nature.com/articles/d41586-026-00616-7" TargetMode="External"/><Relationship Id="rId747" Type="http://schemas.openxmlformats.org/officeDocument/2006/relationships/hyperlink" Target="https://doi.org/10.1038/d41586-026-00616-7" TargetMode="External"/><Relationship Id="rId748" Type="http://schemas.openxmlformats.org/officeDocument/2006/relationships/hyperlink" Target="https://www.nature.com/articles/d41586-026-00684-9" TargetMode="External"/><Relationship Id="rId749" Type="http://schemas.openxmlformats.org/officeDocument/2006/relationships/hyperlink" Target="https://doi.org/10.1038/d41586-026-00684-9" TargetMode="External"/><Relationship Id="rId750" Type="http://schemas.openxmlformats.org/officeDocument/2006/relationships/hyperlink" Target="https://www.nature.com/articles/d41586-026-00807-2" TargetMode="External"/><Relationship Id="rId751" Type="http://schemas.openxmlformats.org/officeDocument/2006/relationships/hyperlink" Target="https://doi.org/10.1038/d41586-026-00807-2" TargetMode="External"/><Relationship Id="rId752" Type="http://schemas.openxmlformats.org/officeDocument/2006/relationships/hyperlink" Target="https://www.nature.com/articles/d41586-026-00955-5" TargetMode="External"/><Relationship Id="rId753" Type="http://schemas.openxmlformats.org/officeDocument/2006/relationships/hyperlink" Target="https://doi.org/10.1038/d41586-026-00955-5" TargetMode="External"/><Relationship Id="rId754" Type="http://schemas.openxmlformats.org/officeDocument/2006/relationships/hyperlink" Target="https://www.nature.com/articles/d41586-026-00931-z" TargetMode="External"/><Relationship Id="rId755" Type="http://schemas.openxmlformats.org/officeDocument/2006/relationships/hyperlink" Target="https://doi.org/10.1038/d41586-026-00931-z" TargetMode="External"/><Relationship Id="rId756" Type="http://schemas.openxmlformats.org/officeDocument/2006/relationships/hyperlink" Target="https://www.nature.com/articles/d41586-026-00264-x" TargetMode="External"/><Relationship Id="rId757" Type="http://schemas.openxmlformats.org/officeDocument/2006/relationships/hyperlink" Target="https://doi.org/10.1038/d41586-026-00264-x" TargetMode="External"/><Relationship Id="rId758" Type="http://schemas.openxmlformats.org/officeDocument/2006/relationships/hyperlink" Target="https://www.nature.com/articles/s41586-026-10290-4" TargetMode="External"/><Relationship Id="rId759" Type="http://schemas.openxmlformats.org/officeDocument/2006/relationships/hyperlink" Target="https://doi.org/10.1038/s41586-026-10290-4" TargetMode="External"/><Relationship Id="rId760" Type="http://schemas.openxmlformats.org/officeDocument/2006/relationships/hyperlink" Target="https://www.nature.com/articles/s41586-026-10296-y" TargetMode="External"/><Relationship Id="rId761" Type="http://schemas.openxmlformats.org/officeDocument/2006/relationships/hyperlink" Target="https://doi.org/10.1038/s41586-026-10296-y" TargetMode="External"/><Relationship Id="rId762" Type="http://schemas.openxmlformats.org/officeDocument/2006/relationships/hyperlink" Target="https://www.nature.com/articles/s41586-026-10304-1" TargetMode="External"/><Relationship Id="rId763" Type="http://schemas.openxmlformats.org/officeDocument/2006/relationships/hyperlink" Target="https://doi.org/10.1038/s41586-026-10304-1" TargetMode="External"/><Relationship Id="rId764" Type="http://schemas.openxmlformats.org/officeDocument/2006/relationships/hyperlink" Target="https://www.nature.com/articles/s41586-026-10301-4" TargetMode="External"/><Relationship Id="rId765" Type="http://schemas.openxmlformats.org/officeDocument/2006/relationships/hyperlink" Target="https://doi.org/10.1038/s41586-026-10301-4" TargetMode="External"/><Relationship Id="rId766" Type="http://schemas.openxmlformats.org/officeDocument/2006/relationships/hyperlink" Target="https://www.nature.com/articles/s41586-026-10313-0" TargetMode="External"/><Relationship Id="rId767" Type="http://schemas.openxmlformats.org/officeDocument/2006/relationships/hyperlink" Target="https://doi.org/10.1038/s41586-026-10313-0" TargetMode="External"/><Relationship Id="rId768" Type="http://schemas.openxmlformats.org/officeDocument/2006/relationships/hyperlink" Target="https://www.nature.com/articles/s41586-026-10322-z" TargetMode="External"/><Relationship Id="rId769" Type="http://schemas.openxmlformats.org/officeDocument/2006/relationships/hyperlink" Target="https://doi.org/10.1038/s41586-026-10322-z" TargetMode="External"/><Relationship Id="rId770" Type="http://schemas.openxmlformats.org/officeDocument/2006/relationships/hyperlink" Target="https://www.nature.com/articles/s41586-026-10315-y" TargetMode="External"/><Relationship Id="rId771" Type="http://schemas.openxmlformats.org/officeDocument/2006/relationships/hyperlink" Target="https://doi.org/10.1038/s41586-026-10315-y" TargetMode="External"/><Relationship Id="rId772" Type="http://schemas.openxmlformats.org/officeDocument/2006/relationships/hyperlink" Target="https://www.nature.com/articles/s41586-026-10230-2" TargetMode="External"/><Relationship Id="rId773" Type="http://schemas.openxmlformats.org/officeDocument/2006/relationships/hyperlink" Target="https://doi.org/10.1038/s41586-026-10230-2" TargetMode="External"/><Relationship Id="rId774" Type="http://schemas.openxmlformats.org/officeDocument/2006/relationships/hyperlink" Target="https://www.nature.com/articles/s41586-026-10310-3" TargetMode="External"/><Relationship Id="rId775" Type="http://schemas.openxmlformats.org/officeDocument/2006/relationships/hyperlink" Target="https://doi.org/10.1038/s41586-026-10310-3" TargetMode="External"/><Relationship Id="rId776" Type="http://schemas.openxmlformats.org/officeDocument/2006/relationships/hyperlink" Target="https://www.nature.com/articles/s41586-026-10299-9" TargetMode="External"/><Relationship Id="rId777" Type="http://schemas.openxmlformats.org/officeDocument/2006/relationships/hyperlink" Target="https://doi.org/10.1038/s41586-026-10299-9" TargetMode="External"/><Relationship Id="rId778" Type="http://schemas.openxmlformats.org/officeDocument/2006/relationships/hyperlink" Target="https://www.nature.com/articles/d41586-026-01052-3" TargetMode="External"/><Relationship Id="rId779" Type="http://schemas.openxmlformats.org/officeDocument/2006/relationships/hyperlink" Target="https://doi.org/10.1038/d41586-026-01052-3" TargetMode="External"/><Relationship Id="rId780" Type="http://schemas.openxmlformats.org/officeDocument/2006/relationships/hyperlink" Target="https://www.cell.com/chem/fulltext/S2451-9294(26)00093-8?rss=yes" TargetMode="External"/><Relationship Id="rId781" Type="http://schemas.openxmlformats.org/officeDocument/2006/relationships/hyperlink" Target="https://doi.org/10.1016/j.chempr.2026.103027" TargetMode="External"/><Relationship Id="rId782" Type="http://schemas.openxmlformats.org/officeDocument/2006/relationships/hyperlink" Target="https://www.nature.com/articles/d41586-026-01023-8" TargetMode="External"/><Relationship Id="rId783" Type="http://schemas.openxmlformats.org/officeDocument/2006/relationships/hyperlink" Target="https://doi.org/10.1038/d41586-026-01023-8" TargetMode="External"/><Relationship Id="rId784" Type="http://schemas.openxmlformats.org/officeDocument/2006/relationships/hyperlink" Target="https://www.nature.com/articles/s41563-026-02566-x" TargetMode="External"/><Relationship Id="rId785" Type="http://schemas.openxmlformats.org/officeDocument/2006/relationships/hyperlink" Target="https://doi.org/10.1038/s41563-026-02566-x" TargetMode="External"/><Relationship Id="rId786" Type="http://schemas.openxmlformats.org/officeDocument/2006/relationships/hyperlink" Target="https://www.nature.com/articles/s41893-026-01795-x" TargetMode="External"/><Relationship Id="rId787" Type="http://schemas.openxmlformats.org/officeDocument/2006/relationships/hyperlink" Target="https://doi.org/10.1038/s41893-026-01795-x" TargetMode="External"/><Relationship Id="rId788" Type="http://schemas.openxmlformats.org/officeDocument/2006/relationships/hyperlink" Target="https://www.nature.com/articles/s41893-026-01799-7" TargetMode="External"/><Relationship Id="rId789" Type="http://schemas.openxmlformats.org/officeDocument/2006/relationships/hyperlink" Target="https://doi.org/10.1038/s41893-026-01799-7" TargetMode="External"/><Relationship Id="rId790" Type="http://schemas.openxmlformats.org/officeDocument/2006/relationships/hyperlink" Target="https://www.nature.com/articles/s41467-026-71129-0" TargetMode="External"/><Relationship Id="rId791" Type="http://schemas.openxmlformats.org/officeDocument/2006/relationships/hyperlink" Target="https://doi.org/10.1038/s41467-026-71129-0" TargetMode="External"/><Relationship Id="rId792" Type="http://schemas.openxmlformats.org/officeDocument/2006/relationships/hyperlink" Target="https://www.nature.com/articles/s41586-026-10446-2" TargetMode="External"/><Relationship Id="rId793" Type="http://schemas.openxmlformats.org/officeDocument/2006/relationships/hyperlink" Target="https://doi.org/10.1038/s41586-026-10446-2" TargetMode="External"/><Relationship Id="rId794" Type="http://schemas.openxmlformats.org/officeDocument/2006/relationships/hyperlink" Target="https://www.nature.com/articles/d41586-026-00806-3" TargetMode="External"/><Relationship Id="rId795" Type="http://schemas.openxmlformats.org/officeDocument/2006/relationships/hyperlink" Target="https://doi.org/10.1038/d41586-026-00806-3" TargetMode="External"/><Relationship Id="rId796" Type="http://schemas.openxmlformats.org/officeDocument/2006/relationships/hyperlink" Target="https://www.nature.com/articles/d41586-026-01097-4" TargetMode="External"/><Relationship Id="rId797" Type="http://schemas.openxmlformats.org/officeDocument/2006/relationships/hyperlink" Target="https://doi.org/10.1038/d41586-026-01097-4" TargetMode="External"/><Relationship Id="rId798" Type="http://schemas.openxmlformats.org/officeDocument/2006/relationships/hyperlink" Target="https://www.nature.com/articles/s41467-026-71340-z" TargetMode="External"/><Relationship Id="rId799" Type="http://schemas.openxmlformats.org/officeDocument/2006/relationships/hyperlink" Target="https://doi.org/10.1038/s41467-026-71340-z" TargetMode="External"/><Relationship Id="rId800" Type="http://schemas.openxmlformats.org/officeDocument/2006/relationships/hyperlink" Target="https://www.nature.com/articles/s41467-026-71201-9" TargetMode="External"/><Relationship Id="rId801" Type="http://schemas.openxmlformats.org/officeDocument/2006/relationships/hyperlink" Target="https://doi.org/10.1038/s41467-026-71201-9" TargetMode="External"/><Relationship Id="rId802" Type="http://schemas.openxmlformats.org/officeDocument/2006/relationships/hyperlink" Target="https://www.nature.com/articles/s41563-026-02555-0" TargetMode="External"/><Relationship Id="rId803" Type="http://schemas.openxmlformats.org/officeDocument/2006/relationships/hyperlink" Target="https://doi.org/10.1038/s41563-026-02555-0" TargetMode="External"/><Relationship Id="rId804" Type="http://schemas.openxmlformats.org/officeDocument/2006/relationships/hyperlink" Target="https://www.nature.com/articles/s41467-026-71197-2" TargetMode="External"/><Relationship Id="rId805" Type="http://schemas.openxmlformats.org/officeDocument/2006/relationships/hyperlink" Target="https://doi.org/10.1038/s41467-026-71197-2" TargetMode="External"/><Relationship Id="rId806" Type="http://schemas.openxmlformats.org/officeDocument/2006/relationships/hyperlink" Target="https://www.nature.com/articles/s44359-026-00163-4" TargetMode="External"/><Relationship Id="rId807" Type="http://schemas.openxmlformats.org/officeDocument/2006/relationships/hyperlink" Target="https://doi.org/10.1038/s44359-026-00163-4" TargetMode="External"/><Relationship Id="rId808" Type="http://schemas.openxmlformats.org/officeDocument/2006/relationships/hyperlink" Target="https://www.nature.com/articles/s41467-026-71213-5" TargetMode="External"/><Relationship Id="rId809" Type="http://schemas.openxmlformats.org/officeDocument/2006/relationships/hyperlink" Target="https://doi.org/10.1038/s41467-026-71213-5" TargetMode="External"/><Relationship Id="rId810" Type="http://schemas.openxmlformats.org/officeDocument/2006/relationships/hyperlink" Target="https://www.nature.com/articles/s41467-026-70989-w" TargetMode="External"/><Relationship Id="rId811" Type="http://schemas.openxmlformats.org/officeDocument/2006/relationships/hyperlink" Target="https://doi.org/10.1038/s41467-026-70989-w" TargetMode="External"/><Relationship Id="rId812" Type="http://schemas.openxmlformats.org/officeDocument/2006/relationships/hyperlink" Target="https://www.nature.com/articles/s41467-026-71338-7" TargetMode="External"/><Relationship Id="rId813" Type="http://schemas.openxmlformats.org/officeDocument/2006/relationships/hyperlink" Target="https://doi.org/10.1038/s41467-026-71338-7" TargetMode="External"/><Relationship Id="rId814" Type="http://schemas.openxmlformats.org/officeDocument/2006/relationships/hyperlink" Target="https://www.cell.com/matter/fulltext/S2590-2385(26)00125-6?rss=yes" TargetMode="External"/><Relationship Id="rId815" Type="http://schemas.openxmlformats.org/officeDocument/2006/relationships/hyperlink" Target="https://doi.org/10.1016/j.matt.2026.102762" TargetMode="External"/><Relationship Id="rId816" Type="http://schemas.openxmlformats.org/officeDocument/2006/relationships/hyperlink" Target="https://www.sciencedirect.com/science/article/pii/S0306261926004393?dgcid=rss_sd_all" TargetMode="External"/><Relationship Id="rId817" Type="http://schemas.openxmlformats.org/officeDocument/2006/relationships/hyperlink" Target="https://www.sciencedirect.com/science/article/pii/S0306261926004368?dgcid=rss_sd_all" TargetMode="External"/><Relationship Id="rId818" Type="http://schemas.openxmlformats.org/officeDocument/2006/relationships/hyperlink" Target="https://www.nature.com/articles/s41586-026-10325-w" TargetMode="External"/><Relationship Id="rId819" Type="http://schemas.openxmlformats.org/officeDocument/2006/relationships/hyperlink" Target="https://doi.org/10.1038/s41586-026-10325-w" TargetMode="External"/><Relationship Id="rId820" Type="http://schemas.openxmlformats.org/officeDocument/2006/relationships/hyperlink" Target="https://www.nature.com/articles/s41467-026-71392-1" TargetMode="External"/><Relationship Id="rId821" Type="http://schemas.openxmlformats.org/officeDocument/2006/relationships/hyperlink" Target="https://doi.org/10.1038/s41467-026-71392-1" TargetMode="External"/><Relationship Id="rId822" Type="http://schemas.openxmlformats.org/officeDocument/2006/relationships/hyperlink" Target="https://www.science.org/doi/abs/10.1126/sciadv.aec9029?af=R" TargetMode="External"/><Relationship Id="rId823" Type="http://schemas.openxmlformats.org/officeDocument/2006/relationships/hyperlink" Target="https://doi.org/10.1126/sciadv.aec9029" TargetMode="External"/><Relationship Id="rId824" Type="http://schemas.openxmlformats.org/officeDocument/2006/relationships/hyperlink" Target="https://www.science.org/doi/abs/10.1126/sciadv.ady4536?af=R" TargetMode="External"/><Relationship Id="rId825" Type="http://schemas.openxmlformats.org/officeDocument/2006/relationships/hyperlink" Target="https://doi.org/10.1126/sciadv.ady4536" TargetMode="External"/><Relationship Id="rId826" Type="http://schemas.openxmlformats.org/officeDocument/2006/relationships/hyperlink" Target="https://www.science.org/doi/abs/10.1126/sciadv.aea5693?af=R" TargetMode="External"/><Relationship Id="rId827" Type="http://schemas.openxmlformats.org/officeDocument/2006/relationships/hyperlink" Target="https://doi.org/10.1126/sciadv.aea5693" TargetMode="External"/><Relationship Id="rId828" Type="http://schemas.openxmlformats.org/officeDocument/2006/relationships/hyperlink" Target="https://www.science.org/doi/abs/10.1126/sciadv.aea4262?af=R" TargetMode="External"/><Relationship Id="rId829" Type="http://schemas.openxmlformats.org/officeDocument/2006/relationships/hyperlink" Target="https://doi.org/10.1126/sciadv.aea4262" TargetMode="External"/><Relationship Id="rId830" Type="http://schemas.openxmlformats.org/officeDocument/2006/relationships/hyperlink" Target="https://www.science.org/doi/abs/10.1126/sciadv.aeb1699?af=R" TargetMode="External"/><Relationship Id="rId831" Type="http://schemas.openxmlformats.org/officeDocument/2006/relationships/hyperlink" Target="https://doi.org/10.1126/sciadv.aeb1699" TargetMode="External"/><Relationship Id="rId832" Type="http://schemas.openxmlformats.org/officeDocument/2006/relationships/hyperlink" Target="https://www.science.org/doi/abs/10.1126/sciadv.aee6110?af=R" TargetMode="External"/><Relationship Id="rId833" Type="http://schemas.openxmlformats.org/officeDocument/2006/relationships/hyperlink" Target="https://doi.org/10.1126/sciadv.aee6110" TargetMode="External"/><Relationship Id="rId834" Type="http://schemas.openxmlformats.org/officeDocument/2006/relationships/hyperlink" Target="https://www.science.org/doi/abs/10.1126/sciadv.aed4981?af=R" TargetMode="External"/><Relationship Id="rId835" Type="http://schemas.openxmlformats.org/officeDocument/2006/relationships/hyperlink" Target="https://doi.org/10.1126/sciadv.aed4981" TargetMode="External"/><Relationship Id="rId836" Type="http://schemas.openxmlformats.org/officeDocument/2006/relationships/hyperlink" Target="https://www.science.org/doi/abs/10.1126/sciadv.aec5100?af=R" TargetMode="External"/><Relationship Id="rId837" Type="http://schemas.openxmlformats.org/officeDocument/2006/relationships/hyperlink" Target="https://doi.org/10.1126/sciadv.aec5100" TargetMode="External"/><Relationship Id="rId838" Type="http://schemas.openxmlformats.org/officeDocument/2006/relationships/hyperlink" Target="https://www.science.org/doi/abs/10.1126/sciadv.aeb6384?af=R" TargetMode="External"/><Relationship Id="rId839" Type="http://schemas.openxmlformats.org/officeDocument/2006/relationships/hyperlink" Target="https://doi.org/10.1126/sciadv.aeb6384" TargetMode="External"/><Relationship Id="rId840" Type="http://schemas.openxmlformats.org/officeDocument/2006/relationships/hyperlink" Target="https://www.science.org/doi/abs/10.1126/sciadv.aec1721?af=R" TargetMode="External"/><Relationship Id="rId841" Type="http://schemas.openxmlformats.org/officeDocument/2006/relationships/hyperlink" Target="https://doi.org/10.1126/sciadv.aec1721" TargetMode="External"/><Relationship Id="rId842" Type="http://schemas.openxmlformats.org/officeDocument/2006/relationships/hyperlink" Target="https://www.science.org/doi/abs/10.1126/sciadv.aec0392?af=R" TargetMode="External"/><Relationship Id="rId843" Type="http://schemas.openxmlformats.org/officeDocument/2006/relationships/hyperlink" Target="https://doi.org/10.1126/sciadv.aec0392" TargetMode="External"/><Relationship Id="rId844" Type="http://schemas.openxmlformats.org/officeDocument/2006/relationships/hyperlink" Target="https://www.pnas.org/doi/abs/10.1073/pnas.2500624123?mi=eymic2&amp;af=R&amp;access=on&amp;content=articlesChapters&amp;publication=pnas&amp;sortBy=Earliest&amp;target=default" TargetMode="External"/><Relationship Id="rId845" Type="http://schemas.openxmlformats.org/officeDocument/2006/relationships/hyperlink" Target="https://doi.org/10.1073/pnas.2500624123" TargetMode="External"/><Relationship Id="rId846" Type="http://schemas.openxmlformats.org/officeDocument/2006/relationships/hyperlink" Target="https://www.science.org/doi/abs/10.1126/sciadv.aeb8556?af=R" TargetMode="External"/><Relationship Id="rId847" Type="http://schemas.openxmlformats.org/officeDocument/2006/relationships/hyperlink" Target="https://doi.org/10.1126/sciadv.aeb8556" TargetMode="External"/><Relationship Id="rId848" Type="http://schemas.openxmlformats.org/officeDocument/2006/relationships/hyperlink" Target="https://www.science.org/doi/abs/10.1126/sciadv.aeb7646?af=R" TargetMode="External"/><Relationship Id="rId849" Type="http://schemas.openxmlformats.org/officeDocument/2006/relationships/hyperlink" Target="https://doi.org/10.1126/sciadv.aeb7646" TargetMode="External"/><Relationship Id="rId850" Type="http://schemas.openxmlformats.org/officeDocument/2006/relationships/hyperlink" Target="https://www.pnas.org/doi/abs/10.1073/pnas.2609041123?mi=eymic2&amp;af=R&amp;access=on&amp;content=articlesChapters&amp;publication=pnas&amp;sortBy=Earliest&amp;target=default" TargetMode="External"/><Relationship Id="rId851" Type="http://schemas.openxmlformats.org/officeDocument/2006/relationships/hyperlink" Target="https://doi.org/10.1073/pnas.2609041123" TargetMode="External"/><Relationship Id="rId852" Type="http://schemas.openxmlformats.org/officeDocument/2006/relationships/hyperlink" Target="https://www.science.org/doi/abs/10.1126/sciadv.aeb6352?af=R" TargetMode="External"/><Relationship Id="rId853" Type="http://schemas.openxmlformats.org/officeDocument/2006/relationships/hyperlink" Target="https://doi.org/10.1126/sciadv.aeb6352" TargetMode="External"/><Relationship Id="rId854" Type="http://schemas.openxmlformats.org/officeDocument/2006/relationships/hyperlink" Target="https://www.science.org/doi/abs/10.1126/sciadv.aeb6165?af=R" TargetMode="External"/><Relationship Id="rId855" Type="http://schemas.openxmlformats.org/officeDocument/2006/relationships/hyperlink" Target="https://doi.org/10.1126/sciadv.aeb6165" TargetMode="External"/><Relationship Id="rId856" Type="http://schemas.openxmlformats.org/officeDocument/2006/relationships/hyperlink" Target="https://www.science.org/doi/abs/10.1126/sciadv.aeb3034?af=R" TargetMode="External"/><Relationship Id="rId857" Type="http://schemas.openxmlformats.org/officeDocument/2006/relationships/hyperlink" Target="https://doi.org/10.1126/sciadv.aeb3034" TargetMode="External"/><Relationship Id="rId858" Type="http://schemas.openxmlformats.org/officeDocument/2006/relationships/hyperlink" Target="https://www.science.org/doi/abs/10.1126/sciadv.aeb2333?af=R" TargetMode="External"/><Relationship Id="rId859" Type="http://schemas.openxmlformats.org/officeDocument/2006/relationships/hyperlink" Target="https://doi.org/10.1126/sciadv.aeb2333" TargetMode="External"/><Relationship Id="rId860" Type="http://schemas.openxmlformats.org/officeDocument/2006/relationships/hyperlink" Target="https://www.science.org/doi/abs/10.1126/sciadv.aeb0801?af=R" TargetMode="External"/><Relationship Id="rId861" Type="http://schemas.openxmlformats.org/officeDocument/2006/relationships/hyperlink" Target="https://doi.org/10.1126/sciadv.aeb0801" TargetMode="External"/><Relationship Id="rId862" Type="http://schemas.openxmlformats.org/officeDocument/2006/relationships/hyperlink" Target="https://www.pnas.org/doi/abs/10.1073/pnas.2609031123?mi=eymic2&amp;af=R&amp;access=on&amp;content=articlesChapters&amp;publication=pnas&amp;sortBy=Earliest&amp;target=default" TargetMode="External"/><Relationship Id="rId863" Type="http://schemas.openxmlformats.org/officeDocument/2006/relationships/hyperlink" Target="https://doi.org/10.1073/pnas.2609031123" TargetMode="External"/><Relationship Id="rId864" Type="http://schemas.openxmlformats.org/officeDocument/2006/relationships/hyperlink" Target="https://www.pnas.org/doi/abs/10.1073/pnas.2531612123?mi=eymic2&amp;af=R&amp;access=on&amp;content=articlesChapters&amp;publication=pnas&amp;sortBy=Earliest&amp;target=default" TargetMode="External"/><Relationship Id="rId865" Type="http://schemas.openxmlformats.org/officeDocument/2006/relationships/hyperlink" Target="https://doi.org/10.1073/pnas.2531612123" TargetMode="External"/><Relationship Id="rId866" Type="http://schemas.openxmlformats.org/officeDocument/2006/relationships/hyperlink" Target="https://www.pnas.org/doi/abs/10.1073/pnas.2608698123?mi=eymic2&amp;af=R&amp;access=on&amp;content=articlesChapters&amp;publication=pnas&amp;sortBy=Earliest&amp;target=default" TargetMode="External"/><Relationship Id="rId867" Type="http://schemas.openxmlformats.org/officeDocument/2006/relationships/hyperlink" Target="https://doi.org/10.1073/pnas.2608698123" TargetMode="External"/><Relationship Id="rId868" Type="http://schemas.openxmlformats.org/officeDocument/2006/relationships/hyperlink" Target="https://www.science.org/doi/abs/10.1126/sciadv.aeg9143?af=R" TargetMode="External"/><Relationship Id="rId869" Type="http://schemas.openxmlformats.org/officeDocument/2006/relationships/hyperlink" Target="https://doi.org/10.1126/sciadv.aeg9143" TargetMode="External"/><Relationship Id="rId870" Type="http://schemas.openxmlformats.org/officeDocument/2006/relationships/hyperlink" Target="https://www.science.org/doi/abs/10.1126/sciadv.aed0583?af=R" TargetMode="External"/><Relationship Id="rId871" Type="http://schemas.openxmlformats.org/officeDocument/2006/relationships/hyperlink" Target="https://doi.org/10.1126/sciadv.aed0583" TargetMode="External"/><Relationship Id="rId872" Type="http://schemas.openxmlformats.org/officeDocument/2006/relationships/hyperlink" Target="https://www.science.org/doi/abs/10.1126/sciadv.aec1931?af=R" TargetMode="External"/><Relationship Id="rId873" Type="http://schemas.openxmlformats.org/officeDocument/2006/relationships/hyperlink" Target="https://doi.org/10.1126/sciadv.aec1931" TargetMode="External"/><Relationship Id="rId874" Type="http://schemas.openxmlformats.org/officeDocument/2006/relationships/hyperlink" Target="https://www.science.org/doi/abs/10.1126/sciadv.aea8731?af=R" TargetMode="External"/><Relationship Id="rId875" Type="http://schemas.openxmlformats.org/officeDocument/2006/relationships/hyperlink" Target="https://doi.org/10.1126/sciadv.aea8731" TargetMode="External"/><Relationship Id="rId876" Type="http://schemas.openxmlformats.org/officeDocument/2006/relationships/hyperlink" Target="https://www.science.org/doi/abs/10.1126/sciadv.aec5012?af=R" TargetMode="External"/><Relationship Id="rId877" Type="http://schemas.openxmlformats.org/officeDocument/2006/relationships/hyperlink" Target="https://doi.org/10.1126/sciadv.aec5012" TargetMode="External"/><Relationship Id="rId878" Type="http://schemas.openxmlformats.org/officeDocument/2006/relationships/hyperlink" Target="https://www.science.org/doi/abs/10.1126/sciadv.aee1289?af=R" TargetMode="External"/><Relationship Id="rId879" Type="http://schemas.openxmlformats.org/officeDocument/2006/relationships/hyperlink" Target="https://doi.org/10.1126/sciadv.aee1289" TargetMode="External"/><Relationship Id="rId880" Type="http://schemas.openxmlformats.org/officeDocument/2006/relationships/hyperlink" Target="https://www.pnas.org/doi/abs/10.1073/pnas.2608879123?mi=eymic2&amp;af=R&amp;access=on&amp;content=articlesChapters&amp;publication=pnas&amp;sortBy=Earliest&amp;target=default" TargetMode="External"/><Relationship Id="rId881" Type="http://schemas.openxmlformats.org/officeDocument/2006/relationships/hyperlink" Target="https://doi.org/10.1073/pnas.2608879123" TargetMode="External"/><Relationship Id="rId882" Type="http://schemas.openxmlformats.org/officeDocument/2006/relationships/hyperlink" Target="https://www.science.org/doi/abs/10.1126/sciadv.ady4534?af=R" TargetMode="External"/><Relationship Id="rId883" Type="http://schemas.openxmlformats.org/officeDocument/2006/relationships/hyperlink" Target="https://doi.org/10.1126/sciadv.ady4534" TargetMode="External"/><Relationship Id="rId884" Type="http://schemas.openxmlformats.org/officeDocument/2006/relationships/hyperlink" Target="https://www.pnas.org/doi/abs/10.1073/pnas.2506122123?mi=eymic2&amp;af=R&amp;access=on&amp;content=articlesChapters&amp;publication=pnas&amp;sortBy=Earliest&amp;target=default" TargetMode="External"/><Relationship Id="rId885" Type="http://schemas.openxmlformats.org/officeDocument/2006/relationships/hyperlink" Target="https://doi.org/10.1073/pnas.2506122123" TargetMode="External"/><Relationship Id="rId886" Type="http://schemas.openxmlformats.org/officeDocument/2006/relationships/hyperlink" Target="https://www.science.org/doi/abs/10.1126/sciadv.adz8663?af=R" TargetMode="External"/><Relationship Id="rId887" Type="http://schemas.openxmlformats.org/officeDocument/2006/relationships/hyperlink" Target="https://doi.org/10.1126/sciadv.adz8663" TargetMode="External"/><Relationship Id="rId888" Type="http://schemas.openxmlformats.org/officeDocument/2006/relationships/hyperlink" Target="https://www.pnas.org/doi/abs/10.1073/pnas.2516293123?mi=eymic2&amp;af=R&amp;access=on&amp;content=articlesChapters&amp;publication=pnas&amp;sortBy=Earliest&amp;target=default" TargetMode="External"/><Relationship Id="rId889" Type="http://schemas.openxmlformats.org/officeDocument/2006/relationships/hyperlink" Target="https://doi.org/10.1073/pnas.2516293123" TargetMode="External"/><Relationship Id="rId890" Type="http://schemas.openxmlformats.org/officeDocument/2006/relationships/hyperlink" Target="https://www.pnas.org/doi/abs/10.1073/pnas.2512150123?mi=eymic2&amp;af=R&amp;access=on&amp;content=articlesChapters&amp;publication=pnas&amp;sortBy=Earliest&amp;target=default" TargetMode="External"/><Relationship Id="rId891" Type="http://schemas.openxmlformats.org/officeDocument/2006/relationships/hyperlink" Target="https://doi.org/10.1073/pnas.2512150123" TargetMode="External"/><Relationship Id="rId892" Type="http://schemas.openxmlformats.org/officeDocument/2006/relationships/hyperlink" Target="https://www.pnas.org/doi/abs/10.1073/pnas.2534956123?mi=eymic2&amp;af=R&amp;access=on&amp;content=articlesChapters&amp;publication=pnas&amp;sortBy=Earliest&amp;target=default" TargetMode="External"/><Relationship Id="rId893" Type="http://schemas.openxmlformats.org/officeDocument/2006/relationships/hyperlink" Target="https://doi.org/10.1073/pnas.2534956123" TargetMode="External"/><Relationship Id="rId894" Type="http://schemas.openxmlformats.org/officeDocument/2006/relationships/hyperlink" Target="https://www.pnas.org/doi/abs/10.1073/pnas.2532651123?mi=eymic2&amp;af=R&amp;access=on&amp;content=articlesChapters&amp;publication=pnas&amp;sortBy=Earliest&amp;target=default" TargetMode="External"/><Relationship Id="rId895" Type="http://schemas.openxmlformats.org/officeDocument/2006/relationships/hyperlink" Target="https://doi.org/10.1073/pnas.2532651123" TargetMode="External"/><Relationship Id="rId896" Type="http://schemas.openxmlformats.org/officeDocument/2006/relationships/hyperlink" Target="https://www.pnas.org/doi/abs/10.1073/pnas.2529164123?mi=eymic2&amp;af=R&amp;access=on&amp;content=articlesChapters&amp;publication=pnas&amp;sortBy=Earliest&amp;target=default" TargetMode="External"/><Relationship Id="rId897" Type="http://schemas.openxmlformats.org/officeDocument/2006/relationships/hyperlink" Target="https://doi.org/10.1073/pnas.2529164123" TargetMode="External"/><Relationship Id="rId898" Type="http://schemas.openxmlformats.org/officeDocument/2006/relationships/hyperlink" Target="https://www.pnas.org/doi/abs/10.1073/pnas.2608202123?mi=eymic2&amp;af=R&amp;access=on&amp;content=articlesChapters&amp;publication=pnas&amp;sortBy=Earliest&amp;target=default" TargetMode="External"/><Relationship Id="rId899" Type="http://schemas.openxmlformats.org/officeDocument/2006/relationships/hyperlink" Target="https://doi.org/10.1073/pnas.2608202123" TargetMode="External"/><Relationship Id="rId900" Type="http://schemas.openxmlformats.org/officeDocument/2006/relationships/hyperlink" Target="https://www.pnas.org/doi/abs/10.1073/pnas.2521848123?mi=eymic2&amp;af=R&amp;access=on&amp;content=articlesChapters&amp;publication=pnas&amp;sortBy=Earliest&amp;target=default" TargetMode="External"/><Relationship Id="rId901" Type="http://schemas.openxmlformats.org/officeDocument/2006/relationships/hyperlink" Target="https://doi.org/10.1073/pnas.2521848123" TargetMode="External"/><Relationship Id="rId902" Type="http://schemas.openxmlformats.org/officeDocument/2006/relationships/hyperlink" Target="https://www.pnas.org/doi/abs/10.1073/pnas.2521783123?mi=eymic2&amp;af=R&amp;access=on&amp;content=articlesChapters&amp;publication=pnas&amp;sortBy=Earliest&amp;target=default" TargetMode="External"/><Relationship Id="rId903" Type="http://schemas.openxmlformats.org/officeDocument/2006/relationships/hyperlink" Target="https://doi.org/10.1073/pnas.2521783123" TargetMode="External"/><Relationship Id="rId904" Type="http://schemas.openxmlformats.org/officeDocument/2006/relationships/hyperlink" Target="https://www.pnas.org/doi/abs/10.1073/pnas.2518472123?mi=eymic2&amp;af=R&amp;access=on&amp;content=articlesChapters&amp;publication=pnas&amp;sortBy=Earliest&amp;target=default" TargetMode="External"/><Relationship Id="rId905" Type="http://schemas.openxmlformats.org/officeDocument/2006/relationships/hyperlink" Target="https://doi.org/10.1073/pnas.2518472123" TargetMode="External"/><Relationship Id="rId906" Type="http://schemas.openxmlformats.org/officeDocument/2006/relationships/hyperlink" Target="https://www.pnas.org/doi/abs/10.1073/pnas.2525313123?mi=eymic2&amp;af=R&amp;access=on&amp;content=articlesChapters&amp;publication=pnas&amp;sortBy=Earliest&amp;target=default" TargetMode="External"/><Relationship Id="rId907" Type="http://schemas.openxmlformats.org/officeDocument/2006/relationships/hyperlink" Target="https://doi.org/10.1073/pnas.2525313123" TargetMode="External"/><Relationship Id="rId908" Type="http://schemas.openxmlformats.org/officeDocument/2006/relationships/hyperlink" Target="https://www.science.org/doi/abs/10.1126/sciadv.adz3398?af=R" TargetMode="External"/><Relationship Id="rId909" Type="http://schemas.openxmlformats.org/officeDocument/2006/relationships/hyperlink" Target="https://doi.org/10.1126/sciadv.adz3398" TargetMode="External"/><Relationship Id="rId910" Type="http://schemas.openxmlformats.org/officeDocument/2006/relationships/hyperlink" Target="https://onlinelibrary.wiley.com/doi/10.1002/anie.202521362?af=R" TargetMode="External"/><Relationship Id="rId911" Type="http://schemas.openxmlformats.org/officeDocument/2006/relationships/hyperlink" Target="https://doi.org/10.1002/anie.202521362" TargetMode="External"/><Relationship Id="rId912" Type="http://schemas.openxmlformats.org/officeDocument/2006/relationships/hyperlink" Target="https://advanced.onlinelibrary.wiley.com/doi/10.1002/adma.202516835?af=R" TargetMode="External"/><Relationship Id="rId913" Type="http://schemas.openxmlformats.org/officeDocument/2006/relationships/hyperlink" Target="https://doi.org/10.1002/adma.202516835" TargetMode="External"/><Relationship Id="rId914" Type="http://schemas.openxmlformats.org/officeDocument/2006/relationships/hyperlink" Target="https://advanced.onlinelibrary.wiley.com/doi/10.1002/adma.202522250?af=R" TargetMode="External"/><Relationship Id="rId915" Type="http://schemas.openxmlformats.org/officeDocument/2006/relationships/hyperlink" Target="https://doi.org/10.1002/adma.202522250" TargetMode="External"/><Relationship Id="rId916" Type="http://schemas.openxmlformats.org/officeDocument/2006/relationships/hyperlink" Target="https://onlinelibrary.wiley.com/doi/10.1002/anie.2667102?af=R" TargetMode="External"/><Relationship Id="rId917" Type="http://schemas.openxmlformats.org/officeDocument/2006/relationships/hyperlink" Target="https://doi.org/10.1002/anie.2667102" TargetMode="External"/><Relationship Id="rId918" Type="http://schemas.openxmlformats.org/officeDocument/2006/relationships/hyperlink" Target="https://onlinelibrary.wiley.com/doi/10.1002/anie.9721346?af=R" TargetMode="External"/><Relationship Id="rId919" Type="http://schemas.openxmlformats.org/officeDocument/2006/relationships/hyperlink" Target="https://doi.org/10.1002/anie.9721346" TargetMode="External"/><Relationship Id="rId920" Type="http://schemas.openxmlformats.org/officeDocument/2006/relationships/hyperlink" Target="https://onlinelibrary.wiley.com/doi/10.1002/anie.5144736?af=R" TargetMode="External"/><Relationship Id="rId921" Type="http://schemas.openxmlformats.org/officeDocument/2006/relationships/hyperlink" Target="https://doi.org/10.1002/anie.5144736" TargetMode="External"/><Relationship Id="rId922" Type="http://schemas.openxmlformats.org/officeDocument/2006/relationships/hyperlink" Target="https://onlinelibrary.wiley.com/doi/10.1002/anie.9313527?af=R" TargetMode="External"/><Relationship Id="rId923" Type="http://schemas.openxmlformats.org/officeDocument/2006/relationships/hyperlink" Target="https://doi.org/10.1002/anie.9313527" TargetMode="External"/><Relationship Id="rId924" Type="http://schemas.openxmlformats.org/officeDocument/2006/relationships/hyperlink" Target="http://dx.doi.org/10.1021/jacs.5c19016" TargetMode="External"/><Relationship Id="rId925" Type="http://schemas.openxmlformats.org/officeDocument/2006/relationships/hyperlink" Target="https://doi.org/10.1021/jacs.5c19016" TargetMode="External"/><Relationship Id="rId926" Type="http://schemas.openxmlformats.org/officeDocument/2006/relationships/hyperlink" Target="https://onlinelibrary.wiley.com/doi/10.1002/anie.7420770?af=R" TargetMode="External"/><Relationship Id="rId927" Type="http://schemas.openxmlformats.org/officeDocument/2006/relationships/hyperlink" Target="https://doi.org/10.1002/anie.7420770" TargetMode="External"/><Relationship Id="rId928" Type="http://schemas.openxmlformats.org/officeDocument/2006/relationships/hyperlink" Target="http://dx.doi.org/10.1021/jacs.5c21082" TargetMode="External"/><Relationship Id="rId929" Type="http://schemas.openxmlformats.org/officeDocument/2006/relationships/hyperlink" Target="https://doi.org/10.1021/jacs.5c21082" TargetMode="External"/><Relationship Id="rId930" Type="http://schemas.openxmlformats.org/officeDocument/2006/relationships/hyperlink" Target="http://dx.doi.org/10.1021/jacs.5c17281" TargetMode="External"/><Relationship Id="rId931" Type="http://schemas.openxmlformats.org/officeDocument/2006/relationships/hyperlink" Target="https://doi.org/10.1021/jacs.5c17281" TargetMode="External"/><Relationship Id="rId932" Type="http://schemas.openxmlformats.org/officeDocument/2006/relationships/hyperlink" Target="https://onlinelibrary.wiley.com/doi/10.1002/anie.2026-m1803062000?af=R" TargetMode="External"/><Relationship Id="rId933" Type="http://schemas.openxmlformats.org/officeDocument/2006/relationships/hyperlink" Target="https://doi.org/10.1002/anie.2026-m1803062000" TargetMode="External"/><Relationship Id="rId934" Type="http://schemas.openxmlformats.org/officeDocument/2006/relationships/hyperlink" Target="https://onlinelibrary.wiley.com/doi/10.1002/anie.1423389?af=R" TargetMode="External"/><Relationship Id="rId935" Type="http://schemas.openxmlformats.org/officeDocument/2006/relationships/hyperlink" Target="https://doi.org/10.1002/anie.1423389" TargetMode="External"/><Relationship Id="rId936" Type="http://schemas.openxmlformats.org/officeDocument/2006/relationships/hyperlink" Target="https://onlinelibrary.wiley.com/doi/10.1002/anie.5938299?af=R" TargetMode="External"/><Relationship Id="rId937" Type="http://schemas.openxmlformats.org/officeDocument/2006/relationships/hyperlink" Target="https://doi.org/10.1002/anie.5938299" TargetMode="External"/><Relationship Id="rId938" Type="http://schemas.openxmlformats.org/officeDocument/2006/relationships/hyperlink" Target="https://advanced.onlinelibrary.wiley.com/doi/10.1002/adma.72897?af=R" TargetMode="External"/><Relationship Id="rId939" Type="http://schemas.openxmlformats.org/officeDocument/2006/relationships/hyperlink" Target="https://doi.org/10.1002/adma.72897" TargetMode="External"/><Relationship Id="rId940" Type="http://schemas.openxmlformats.org/officeDocument/2006/relationships/hyperlink" Target="https://advanced.onlinelibrary.wiley.com/doi/10.1002/adma.72898?af=R" TargetMode="External"/><Relationship Id="rId941" Type="http://schemas.openxmlformats.org/officeDocument/2006/relationships/hyperlink" Target="https://doi.org/10.1002/adma.72898" TargetMode="External"/><Relationship Id="rId942" Type="http://schemas.openxmlformats.org/officeDocument/2006/relationships/hyperlink" Target="https://advanced.onlinelibrary.wiley.com/doi/10.1002/adma.72896?af=R" TargetMode="External"/><Relationship Id="rId943" Type="http://schemas.openxmlformats.org/officeDocument/2006/relationships/hyperlink" Target="https://doi.org/10.1002/adma.72896" TargetMode="External"/><Relationship Id="rId944" Type="http://schemas.openxmlformats.org/officeDocument/2006/relationships/hyperlink" Target="https://advanced.onlinelibrary.wiley.com/doi/10.1002/adma.72893?af=R" TargetMode="External"/><Relationship Id="rId945" Type="http://schemas.openxmlformats.org/officeDocument/2006/relationships/hyperlink" Target="https://doi.org/10.1002/adma.72893" TargetMode="External"/><Relationship Id="rId946" Type="http://schemas.openxmlformats.org/officeDocument/2006/relationships/hyperlink" Target="https://onlinelibrary.wiley.com/doi/10.1002/anie.202521358?af=R" TargetMode="External"/><Relationship Id="rId947" Type="http://schemas.openxmlformats.org/officeDocument/2006/relationships/hyperlink" Target="https://doi.org/10.1002/anie.202521358" TargetMode="External"/><Relationship Id="rId948" Type="http://schemas.openxmlformats.org/officeDocument/2006/relationships/hyperlink" Target="https://onlinelibrary.wiley.com/doi/10.1002/anie.7058246?af=R" TargetMode="External"/><Relationship Id="rId949" Type="http://schemas.openxmlformats.org/officeDocument/2006/relationships/hyperlink" Target="https://doi.org/10.1002/anie.7058246" TargetMode="External"/><Relationship Id="rId950" Type="http://schemas.openxmlformats.org/officeDocument/2006/relationships/hyperlink" Target="https://onlinelibrary.wiley.com/doi/10.1002/anie.4601691?af=R" TargetMode="External"/><Relationship Id="rId951" Type="http://schemas.openxmlformats.org/officeDocument/2006/relationships/hyperlink" Target="https://doi.org/10.1002/anie.4601691" TargetMode="External"/><Relationship Id="rId952" Type="http://schemas.openxmlformats.org/officeDocument/2006/relationships/hyperlink" Target="https://advanced.onlinelibrary.wiley.com/doi/10.1002/adma.72971?af=R" TargetMode="External"/><Relationship Id="rId953" Type="http://schemas.openxmlformats.org/officeDocument/2006/relationships/hyperlink" Target="https://doi.org/10.1002/adma.72971" TargetMode="External"/><Relationship Id="rId954" Type="http://schemas.openxmlformats.org/officeDocument/2006/relationships/hyperlink" Target="http://dx.doi.org/10.1021/jacs.6c03336" TargetMode="External"/><Relationship Id="rId955" Type="http://schemas.openxmlformats.org/officeDocument/2006/relationships/hyperlink" Target="https://doi.org/10.1021/jacs.6c03336" TargetMode="External"/><Relationship Id="rId956" Type="http://schemas.openxmlformats.org/officeDocument/2006/relationships/hyperlink" Target="https://advanced.onlinelibrary.wiley.com/doi/10.1002/adma.72981?af=R" TargetMode="External"/><Relationship Id="rId957" Type="http://schemas.openxmlformats.org/officeDocument/2006/relationships/hyperlink" Target="https://doi.org/10.1002/adma.72981" TargetMode="External"/><Relationship Id="rId958" Type="http://schemas.openxmlformats.org/officeDocument/2006/relationships/hyperlink" Target="https://advanced.onlinelibrary.wiley.com/doi/10.1002/adma.202523584?af=R" TargetMode="External"/><Relationship Id="rId959" Type="http://schemas.openxmlformats.org/officeDocument/2006/relationships/hyperlink" Target="https://doi.org/10.1002/adma.202523584" TargetMode="External"/><Relationship Id="rId960" Type="http://schemas.openxmlformats.org/officeDocument/2006/relationships/hyperlink" Target="https://advanced.onlinelibrary.wiley.com/doi/10.1002/adma.202522323?af=R" TargetMode="External"/><Relationship Id="rId961" Type="http://schemas.openxmlformats.org/officeDocument/2006/relationships/hyperlink" Target="https://doi.org/10.1002/adma.202522323" TargetMode="External"/><Relationship Id="rId962" Type="http://schemas.openxmlformats.org/officeDocument/2006/relationships/hyperlink" Target="https://onlinelibrary.wiley.com/doi/10.1002/anie.8671876?af=R" TargetMode="External"/><Relationship Id="rId963" Type="http://schemas.openxmlformats.org/officeDocument/2006/relationships/hyperlink" Target="https://doi.org/10.1002/anie.8671876" TargetMode="External"/><Relationship Id="rId964" Type="http://schemas.openxmlformats.org/officeDocument/2006/relationships/hyperlink" Target="http://dx.doi.org/10.1021/jacs.5c23171" TargetMode="External"/><Relationship Id="rId965" Type="http://schemas.openxmlformats.org/officeDocument/2006/relationships/hyperlink" Target="https://doi.org/10.1021/jacs.5c23171" TargetMode="External"/><Relationship Id="rId966" Type="http://schemas.openxmlformats.org/officeDocument/2006/relationships/hyperlink" Target="http://dx.doi.org/10.1021/jacs.6c00127" TargetMode="External"/><Relationship Id="rId967" Type="http://schemas.openxmlformats.org/officeDocument/2006/relationships/hyperlink" Target="https://doi.org/10.1021/jacs.6c00127" TargetMode="External"/><Relationship Id="rId968" Type="http://schemas.openxmlformats.org/officeDocument/2006/relationships/hyperlink" Target="http://dx.doi.org/10.1021/jacs.5c17621" TargetMode="External"/><Relationship Id="rId969" Type="http://schemas.openxmlformats.org/officeDocument/2006/relationships/hyperlink" Target="https://doi.org/10.1021/jacs.5c17621" TargetMode="External"/><Relationship Id="rId970" Type="http://schemas.openxmlformats.org/officeDocument/2006/relationships/hyperlink" Target="http://dx.doi.org/10.1021/jacs.6c01395" TargetMode="External"/><Relationship Id="rId971" Type="http://schemas.openxmlformats.org/officeDocument/2006/relationships/hyperlink" Target="https://doi.org/10.1021/jacs.6c01395" TargetMode="External"/><Relationship Id="rId972" Type="http://schemas.openxmlformats.org/officeDocument/2006/relationships/hyperlink" Target="https://onlinelibrary.wiley.com/doi/10.1002/anie.1079807?af=R" TargetMode="External"/><Relationship Id="rId973" Type="http://schemas.openxmlformats.org/officeDocument/2006/relationships/hyperlink" Target="https://doi.org/10.1002/anie.1079807" TargetMode="External"/><Relationship Id="rId974" Type="http://schemas.openxmlformats.org/officeDocument/2006/relationships/hyperlink" Target="http://dx.doi.org/10.1021/jacs.5c17347" TargetMode="External"/><Relationship Id="rId975" Type="http://schemas.openxmlformats.org/officeDocument/2006/relationships/hyperlink" Target="https://doi.org/10.1021/jacs.5c17347" TargetMode="External"/><Relationship Id="rId976" Type="http://schemas.openxmlformats.org/officeDocument/2006/relationships/hyperlink" Target="http://dx.doi.org/10.1021/jacs.5c22800" TargetMode="External"/><Relationship Id="rId977" Type="http://schemas.openxmlformats.org/officeDocument/2006/relationships/hyperlink" Target="https://doi.org/10.1021/jacs.5c22800" TargetMode="External"/><Relationship Id="rId978" Type="http://schemas.openxmlformats.org/officeDocument/2006/relationships/hyperlink" Target="http://dx.doi.org/10.1021/jacs.6c03013" TargetMode="External"/><Relationship Id="rId979" Type="http://schemas.openxmlformats.org/officeDocument/2006/relationships/hyperlink" Target="https://doi.org/10.1021/jacs.6c03013" TargetMode="External"/><Relationship Id="rId980" Type="http://schemas.openxmlformats.org/officeDocument/2006/relationships/hyperlink" Target="http://dx.doi.org/10.1021/jacs.5c21841" TargetMode="External"/><Relationship Id="rId981" Type="http://schemas.openxmlformats.org/officeDocument/2006/relationships/hyperlink" Target="https://doi.org/10.1021/jacs.5c21841" TargetMode="External"/><Relationship Id="rId982" Type="http://schemas.openxmlformats.org/officeDocument/2006/relationships/hyperlink" Target="http://dx.doi.org/10.1021/jacs.5c22456" TargetMode="External"/><Relationship Id="rId983" Type="http://schemas.openxmlformats.org/officeDocument/2006/relationships/hyperlink" Target="https://doi.org/10.1021/jacs.5c22456" TargetMode="External"/><Relationship Id="rId984" Type="http://schemas.openxmlformats.org/officeDocument/2006/relationships/hyperlink" Target="http://dx.doi.org/10.1021/jacs.6c00854" TargetMode="External"/><Relationship Id="rId985" Type="http://schemas.openxmlformats.org/officeDocument/2006/relationships/hyperlink" Target="https://doi.org/10.1021/jacs.6c00854" TargetMode="External"/><Relationship Id="rId986" Type="http://schemas.openxmlformats.org/officeDocument/2006/relationships/hyperlink" Target="http://dx.doi.org/10.1021/jacs.5c18602" TargetMode="External"/><Relationship Id="rId987" Type="http://schemas.openxmlformats.org/officeDocument/2006/relationships/hyperlink" Target="https://doi.org/10.1021/jacs.5c18602" TargetMode="External"/><Relationship Id="rId988" Type="http://schemas.openxmlformats.org/officeDocument/2006/relationships/hyperlink" Target="http://dx.doi.org/10.1021/jacs.5c23346" TargetMode="External"/><Relationship Id="rId989" Type="http://schemas.openxmlformats.org/officeDocument/2006/relationships/hyperlink" Target="https://doi.org/10.1021/jacs.5c23346" TargetMode="External"/><Relationship Id="rId990" Type="http://schemas.openxmlformats.org/officeDocument/2006/relationships/hyperlink" Target="http://dx.doi.org/10.1021/jacs.5c17562" TargetMode="External"/><Relationship Id="rId991" Type="http://schemas.openxmlformats.org/officeDocument/2006/relationships/hyperlink" Target="https://doi.org/10.1021/jacs.5c17562" TargetMode="External"/><Relationship Id="rId992" Type="http://schemas.openxmlformats.org/officeDocument/2006/relationships/hyperlink" Target="http://dx.doi.org/10.1021/jacs.5c21370" TargetMode="External"/><Relationship Id="rId993" Type="http://schemas.openxmlformats.org/officeDocument/2006/relationships/hyperlink" Target="https://doi.org/10.1021/jacs.5c21370" TargetMode="External"/><Relationship Id="rId994" Type="http://schemas.openxmlformats.org/officeDocument/2006/relationships/hyperlink" Target="http://pubs.rsc.org/en/Content/ArticleLanding/2026/EE/D5EE07622F" TargetMode="External"/><Relationship Id="rId995" Type="http://schemas.openxmlformats.org/officeDocument/2006/relationships/hyperlink" Target="http://pubs.rsc.org/en/Content/ArticleLanding/2026/CS/D5CS01236H" TargetMode="External"/><Relationship Id="rId996" Type="http://schemas.openxmlformats.org/officeDocument/2006/relationships/hyperlink" Target="http://pubs.rsc.org/en/Content/ArticleLanding/2026/CS/D5CS01430A" TargetMode="External"/><Relationship Id="rId997" Type="http://schemas.openxmlformats.org/officeDocument/2006/relationships/hyperlink" Target="https://www.nature.com/articles/d41586-026-00551-7" TargetMode="External"/><Relationship Id="rId998" Type="http://schemas.openxmlformats.org/officeDocument/2006/relationships/hyperlink" Target="https://doi.org/10.1038/d41586-026-00551-7" TargetMode="External"/><Relationship Id="rId999" Type="http://schemas.openxmlformats.org/officeDocument/2006/relationships/hyperlink" Target="https://www.nature.com/articles/s41563-026-02584-9" TargetMode="External"/><Relationship Id="rId1000" Type="http://schemas.openxmlformats.org/officeDocument/2006/relationships/hyperlink" Target="https://doi.org/10.1038/s41563-026-02584-9" TargetMode="External"/><Relationship Id="rId1001" Type="http://schemas.openxmlformats.org/officeDocument/2006/relationships/hyperlink" Target="https://www.cell.com/joule/fulltext/S2542-4351(26)00077-2?rss=yes" TargetMode="External"/><Relationship Id="rId1002" Type="http://schemas.openxmlformats.org/officeDocument/2006/relationships/hyperlink" Target="https://doi.org/10.1016/j.joule.2026.102393" TargetMode="External"/><Relationship Id="rId1003" Type="http://schemas.openxmlformats.org/officeDocument/2006/relationships/hyperlink" Target="https://www.nature.com/articles/d41586-026-01000-1" TargetMode="External"/><Relationship Id="rId1004" Type="http://schemas.openxmlformats.org/officeDocument/2006/relationships/hyperlink" Target="https://doi.org/10.1038/d41586-026-01000-1" TargetMode="External"/><Relationship Id="rId1005" Type="http://schemas.openxmlformats.org/officeDocument/2006/relationships/hyperlink" Target="https://www.nature.com/articles/d41586-026-01051-4" TargetMode="External"/><Relationship Id="rId1006" Type="http://schemas.openxmlformats.org/officeDocument/2006/relationships/hyperlink" Target="https://doi.org/10.1038/d41586-026-01051-4" TargetMode="External"/><Relationship Id="rId1007" Type="http://schemas.openxmlformats.org/officeDocument/2006/relationships/hyperlink" Target="https://www.nature.com/articles/d41586-026-01011-y" TargetMode="External"/><Relationship Id="rId1008" Type="http://schemas.openxmlformats.org/officeDocument/2006/relationships/hyperlink" Target="https://doi.org/10.1038/d41586-026-01011-y" TargetMode="External"/><Relationship Id="rId1009" Type="http://schemas.openxmlformats.org/officeDocument/2006/relationships/hyperlink" Target="https://www.nature.com/articles/d41586-026-01054-1" TargetMode="External"/><Relationship Id="rId1010" Type="http://schemas.openxmlformats.org/officeDocument/2006/relationships/hyperlink" Target="https://doi.org/10.1038/d41586-026-01054-1" TargetMode="External"/><Relationship Id="rId1011" Type="http://schemas.openxmlformats.org/officeDocument/2006/relationships/hyperlink" Target="https://www.nature.com/articles/d41586-026-01060-3" TargetMode="External"/><Relationship Id="rId1012" Type="http://schemas.openxmlformats.org/officeDocument/2006/relationships/hyperlink" Target="https://doi.org/10.1038/d41586-026-01060-3" TargetMode="External"/><Relationship Id="rId1013" Type="http://schemas.openxmlformats.org/officeDocument/2006/relationships/hyperlink" Target="https://www.nature.com/articles/d41586-026-00809-0" TargetMode="External"/><Relationship Id="rId1014" Type="http://schemas.openxmlformats.org/officeDocument/2006/relationships/hyperlink" Target="https://doi.org/10.1038/d41586-026-00809-0" TargetMode="External"/><Relationship Id="rId1015" Type="http://schemas.openxmlformats.org/officeDocument/2006/relationships/hyperlink" Target="https://www.nature.com/articles/d41586-026-01050-5" TargetMode="External"/><Relationship Id="rId1016" Type="http://schemas.openxmlformats.org/officeDocument/2006/relationships/hyperlink" Target="https://doi.org/10.1038/d41586-026-01050-5" TargetMode="External"/><Relationship Id="rId1017" Type="http://schemas.openxmlformats.org/officeDocument/2006/relationships/hyperlink" Target="https://www.nature.com/articles/d41586-026-01015-8" TargetMode="External"/><Relationship Id="rId1018" Type="http://schemas.openxmlformats.org/officeDocument/2006/relationships/hyperlink" Target="https://doi.org/10.1038/d41586-026-01015-8" TargetMode="External"/><Relationship Id="rId1019" Type="http://schemas.openxmlformats.org/officeDocument/2006/relationships/hyperlink" Target="https://www.nature.com/articles/s41578-026-00911-9" TargetMode="External"/><Relationship Id="rId1020" Type="http://schemas.openxmlformats.org/officeDocument/2006/relationships/hyperlink" Target="https://doi.org/10.1038/s41578-026-00911-9" TargetMode="External"/><Relationship Id="rId1021" Type="http://schemas.openxmlformats.org/officeDocument/2006/relationships/hyperlink" Target="https://www.nature.com/articles/s41557-026-02110-z" TargetMode="External"/><Relationship Id="rId1022" Type="http://schemas.openxmlformats.org/officeDocument/2006/relationships/hyperlink" Target="https://doi.org/10.1038/s41557-026-02110-z" TargetMode="External"/><Relationship Id="rId1023" Type="http://schemas.openxmlformats.org/officeDocument/2006/relationships/hyperlink" Target="https://www.nature.com/articles/s41557-026-02118-5" TargetMode="External"/><Relationship Id="rId1024" Type="http://schemas.openxmlformats.org/officeDocument/2006/relationships/hyperlink" Target="https://doi.org/10.1038/s41557-026-02118-5" TargetMode="External"/><Relationship Id="rId1025" Type="http://schemas.openxmlformats.org/officeDocument/2006/relationships/hyperlink" Target="https://academic.oup.com/nsr/advance-article/doi/10.1093/nsr/nwag202/8572520?rss=1" TargetMode="External"/><Relationship Id="rId1026" Type="http://schemas.openxmlformats.org/officeDocument/2006/relationships/hyperlink" Target="https://doi.org/10.1093/nsr/nwag202" TargetMode="External"/><Relationship Id="rId1027" Type="http://schemas.openxmlformats.org/officeDocument/2006/relationships/hyperlink" Target="https://www.nature.com/articles/d41586-026-01059-w" TargetMode="External"/><Relationship Id="rId1028" Type="http://schemas.openxmlformats.org/officeDocument/2006/relationships/hyperlink" Target="https://doi.org/10.1038/d41586-026-01059-w" TargetMode="External"/><Relationship Id="rId1029" Type="http://schemas.openxmlformats.org/officeDocument/2006/relationships/hyperlink" Target="https://academic.oup.com/nsr/advance-article/doi/10.1093/nsr/nwag205/8572508?rss=1" TargetMode="External"/><Relationship Id="rId1030" Type="http://schemas.openxmlformats.org/officeDocument/2006/relationships/hyperlink" Target="https://doi.org/10.1093/nsr/nwag205" TargetMode="External"/><Relationship Id="rId1031" Type="http://schemas.openxmlformats.org/officeDocument/2006/relationships/hyperlink" Target="https://www.nature.com/articles/s41565-026-02142-z" TargetMode="External"/><Relationship Id="rId1032" Type="http://schemas.openxmlformats.org/officeDocument/2006/relationships/hyperlink" Target="https://doi.org/10.1038/s41565-026-02142-z" TargetMode="External"/><Relationship Id="rId1033" Type="http://schemas.openxmlformats.org/officeDocument/2006/relationships/hyperlink" Target="https://www.sciencedirect.com/science/article/pii/S0306261926004472?dgcid=rss_sd_all" TargetMode="External"/><Relationship Id="rId1034" Type="http://schemas.openxmlformats.org/officeDocument/2006/relationships/hyperlink" Target="https://academic.oup.com/nsr/advance-article/doi/10.1093/nsr/nwag207/8572513?rss=1" TargetMode="External"/><Relationship Id="rId1035" Type="http://schemas.openxmlformats.org/officeDocument/2006/relationships/hyperlink" Target="https://doi.org/10.1093/nsr/nwag207" TargetMode="External"/><Relationship Id="rId1036" Type="http://schemas.openxmlformats.org/officeDocument/2006/relationships/hyperlink" Target="https://www.nature.com/articles/s41467-026-70904-3" TargetMode="External"/><Relationship Id="rId1037" Type="http://schemas.openxmlformats.org/officeDocument/2006/relationships/hyperlink" Target="https://doi.org/10.1038/s41467-026-70904-3" TargetMode="External"/><Relationship Id="rId1038" Type="http://schemas.openxmlformats.org/officeDocument/2006/relationships/hyperlink" Target="https://www.nature.com/articles/s44359-026-00165-2" TargetMode="External"/><Relationship Id="rId1039" Type="http://schemas.openxmlformats.org/officeDocument/2006/relationships/hyperlink" Target="https://doi.org/10.1038/s44359-026-00165-2" TargetMode="External"/><Relationship Id="rId1040" Type="http://schemas.openxmlformats.org/officeDocument/2006/relationships/hyperlink" Target="https://www.nature.com/articles/s41467-026-71413-z" TargetMode="External"/><Relationship Id="rId1041" Type="http://schemas.openxmlformats.org/officeDocument/2006/relationships/hyperlink" Target="https://doi.org/10.1038/s41467-026-71413-z" TargetMode="External"/><Relationship Id="rId1042" Type="http://schemas.openxmlformats.org/officeDocument/2006/relationships/hyperlink" Target="https://www.nature.com/articles/s41467-026-71072-0" TargetMode="External"/><Relationship Id="rId1043" Type="http://schemas.openxmlformats.org/officeDocument/2006/relationships/hyperlink" Target="https://doi.org/10.1038/s41467-026-71072-0" TargetMode="External"/><Relationship Id="rId1044" Type="http://schemas.openxmlformats.org/officeDocument/2006/relationships/hyperlink" Target="https://www.nature.com/articles/s41893-026-01796-w" TargetMode="External"/><Relationship Id="rId1045" Type="http://schemas.openxmlformats.org/officeDocument/2006/relationships/hyperlink" Target="https://doi.org/10.1038/s41893-026-01796-w" TargetMode="External"/><Relationship Id="rId1046" Type="http://schemas.openxmlformats.org/officeDocument/2006/relationships/hyperlink" Target="https://www.nature.com/articles/s41467-026-69976-y" TargetMode="External"/><Relationship Id="rId1047" Type="http://schemas.openxmlformats.org/officeDocument/2006/relationships/hyperlink" Target="https://doi.org/10.1038/s41467-026-69976-y" TargetMode="External"/><Relationship Id="rId1048" Type="http://schemas.openxmlformats.org/officeDocument/2006/relationships/hyperlink" Target="https://www.sciencedirect.com/science/article/pii/S0306261926004496?dgcid=rss_sd_all" TargetMode="External"/><Relationship Id="rId1049" Type="http://schemas.openxmlformats.org/officeDocument/2006/relationships/hyperlink" Target="https://www.sciencedirect.com/science/article/pii/S0306261926003831?dgcid=rss_sd_all" TargetMode="External"/><Relationship Id="rId1050" Type="http://schemas.openxmlformats.org/officeDocument/2006/relationships/hyperlink" Target="https://www.sciencedirect.com/science/article/pii/S030626192600440X?dgcid=rss_sd_all" TargetMode="External"/><Relationship Id="rId1051" Type="http://schemas.openxmlformats.org/officeDocument/2006/relationships/hyperlink" Target="https://www.nature.com/articles/s41928-026-01602-7" TargetMode="External"/><Relationship Id="rId1052" Type="http://schemas.openxmlformats.org/officeDocument/2006/relationships/hyperlink" Target="https://doi.org/10.1038/s41928-026-01602-7" TargetMode="External"/><Relationship Id="rId1053" Type="http://schemas.openxmlformats.org/officeDocument/2006/relationships/hyperlink" Target="https://www.science.org/doi/abs/10.1126/science.aeg4381?af=R" TargetMode="External"/><Relationship Id="rId1054" Type="http://schemas.openxmlformats.org/officeDocument/2006/relationships/hyperlink" Target="https://doi.org/10.1126/science.aeg4381" TargetMode="External"/><Relationship Id="rId1055" Type="http://schemas.openxmlformats.org/officeDocument/2006/relationships/hyperlink" Target="https://www.science.org/doi/abs/10.1126/science.aeh6874?af=R" TargetMode="External"/><Relationship Id="rId1056" Type="http://schemas.openxmlformats.org/officeDocument/2006/relationships/hyperlink" Target="https://doi.org/10.1126/science.aeh6874" TargetMode="External"/><Relationship Id="rId1057" Type="http://schemas.openxmlformats.org/officeDocument/2006/relationships/hyperlink" Target="https://www.science.org/doi/abs/10.1126/science.aeh6847?af=R" TargetMode="External"/><Relationship Id="rId1058" Type="http://schemas.openxmlformats.org/officeDocument/2006/relationships/hyperlink" Target="https://doi.org/10.1126/science.aeh6847" TargetMode="External"/><Relationship Id="rId1059" Type="http://schemas.openxmlformats.org/officeDocument/2006/relationships/hyperlink" Target="https://www.science.org/doi/abs/10.1126/science.aeh6473?af=R" TargetMode="External"/><Relationship Id="rId1060" Type="http://schemas.openxmlformats.org/officeDocument/2006/relationships/hyperlink" Target="https://doi.org/10.1126/science.aeh6473" TargetMode="External"/><Relationship Id="rId1061" Type="http://schemas.openxmlformats.org/officeDocument/2006/relationships/hyperlink" Target="https://www.science.org/doi/abs/10.1126/science.aeg3470?af=R" TargetMode="External"/><Relationship Id="rId1062" Type="http://schemas.openxmlformats.org/officeDocument/2006/relationships/hyperlink" Target="https://doi.org/10.1126/science.aeg3470" TargetMode="External"/><Relationship Id="rId1063" Type="http://schemas.openxmlformats.org/officeDocument/2006/relationships/hyperlink" Target="https://www.science.org/doi/abs/10.1126/science.aeg5480?af=R" TargetMode="External"/><Relationship Id="rId1064" Type="http://schemas.openxmlformats.org/officeDocument/2006/relationships/hyperlink" Target="https://doi.org/10.1126/science.aeg5480" TargetMode="External"/><Relationship Id="rId1065" Type="http://schemas.openxmlformats.org/officeDocument/2006/relationships/hyperlink" Target="https://www.science.org/doi/abs/10.1126/science.aeh6878?af=R" TargetMode="External"/><Relationship Id="rId1066" Type="http://schemas.openxmlformats.org/officeDocument/2006/relationships/hyperlink" Target="https://doi.org/10.1126/science.aeh6878" TargetMode="External"/><Relationship Id="rId1067" Type="http://schemas.openxmlformats.org/officeDocument/2006/relationships/hyperlink" Target="https://www.science.org/doi/abs/10.1126/science.aeg3426?af=R" TargetMode="External"/><Relationship Id="rId1068" Type="http://schemas.openxmlformats.org/officeDocument/2006/relationships/hyperlink" Target="https://doi.org/10.1126/science.aeg3426" TargetMode="External"/><Relationship Id="rId1069" Type="http://schemas.openxmlformats.org/officeDocument/2006/relationships/hyperlink" Target="https://www.science.org/doi/abs/10.1126/science.aeh6472?af=R" TargetMode="External"/><Relationship Id="rId1070" Type="http://schemas.openxmlformats.org/officeDocument/2006/relationships/hyperlink" Target="https://doi.org/10.1126/science.aeh6472" TargetMode="External"/><Relationship Id="rId1071" Type="http://schemas.openxmlformats.org/officeDocument/2006/relationships/hyperlink" Target="https://www.science.org/doi/abs/10.1126/science.aeg1547?af=R" TargetMode="External"/><Relationship Id="rId1072" Type="http://schemas.openxmlformats.org/officeDocument/2006/relationships/hyperlink" Target="https://doi.org/10.1126/science.aeg1547" TargetMode="External"/><Relationship Id="rId1073" Type="http://schemas.openxmlformats.org/officeDocument/2006/relationships/hyperlink" Target="https://www.science.org/doi/abs/10.1126/science.aeg4325?af=R" TargetMode="External"/><Relationship Id="rId1074" Type="http://schemas.openxmlformats.org/officeDocument/2006/relationships/hyperlink" Target="https://doi.org/10.1126/science.aeg4325" TargetMode="External"/><Relationship Id="rId1075" Type="http://schemas.openxmlformats.org/officeDocument/2006/relationships/hyperlink" Target="https://www.science.org/doi/abs/10.1126/science.aeg1913?af=R" TargetMode="External"/><Relationship Id="rId1076" Type="http://schemas.openxmlformats.org/officeDocument/2006/relationships/hyperlink" Target="https://doi.org/10.1126/science.aeg1913" TargetMode="External"/><Relationship Id="rId1077" Type="http://schemas.openxmlformats.org/officeDocument/2006/relationships/hyperlink" Target="https://www.science.org/doi/abs/10.1126/science.aeh5777?af=R" TargetMode="External"/><Relationship Id="rId1078" Type="http://schemas.openxmlformats.org/officeDocument/2006/relationships/hyperlink" Target="https://doi.org/10.1126/science.aeh5777" TargetMode="External"/><Relationship Id="rId1079" Type="http://schemas.openxmlformats.org/officeDocument/2006/relationships/hyperlink" Target="https://www.science.org/doi/abs/10.1126/science.aeg4663?af=R" TargetMode="External"/><Relationship Id="rId1080" Type="http://schemas.openxmlformats.org/officeDocument/2006/relationships/hyperlink" Target="https://doi.org/10.1126/science.aeg4663" TargetMode="External"/><Relationship Id="rId1081" Type="http://schemas.openxmlformats.org/officeDocument/2006/relationships/hyperlink" Target="https://www.science.org/doi/abs/10.1126/science.adr7162?af=R" TargetMode="External"/><Relationship Id="rId1082" Type="http://schemas.openxmlformats.org/officeDocument/2006/relationships/hyperlink" Target="https://doi.org/10.1126/science.adr7162" TargetMode="External"/><Relationship Id="rId1083" Type="http://schemas.openxmlformats.org/officeDocument/2006/relationships/hyperlink" Target="https://www.science.org/doi/abs/10.1126/science.aeh6873?af=R" TargetMode="External"/><Relationship Id="rId1084" Type="http://schemas.openxmlformats.org/officeDocument/2006/relationships/hyperlink" Target="https://doi.org/10.1126/science.aeh6873" TargetMode="External"/><Relationship Id="rId1085" Type="http://schemas.openxmlformats.org/officeDocument/2006/relationships/hyperlink" Target="https://www.science.org/doi/abs/10.1126/science.aeh6471?af=R" TargetMode="External"/><Relationship Id="rId1086" Type="http://schemas.openxmlformats.org/officeDocument/2006/relationships/hyperlink" Target="https://doi.org/10.1126/science.aeh6471" TargetMode="External"/><Relationship Id="rId1087" Type="http://schemas.openxmlformats.org/officeDocument/2006/relationships/hyperlink" Target="https://www.science.org/doi/abs/10.1126/science.aeh6875?af=R" TargetMode="External"/><Relationship Id="rId1088" Type="http://schemas.openxmlformats.org/officeDocument/2006/relationships/hyperlink" Target="https://doi.org/10.1126/science.aeh6875" TargetMode="External"/><Relationship Id="rId1089" Type="http://schemas.openxmlformats.org/officeDocument/2006/relationships/hyperlink" Target="https://www.science.org/doi/abs/10.1126/science.aef9968?af=R" TargetMode="External"/><Relationship Id="rId1090" Type="http://schemas.openxmlformats.org/officeDocument/2006/relationships/hyperlink" Target="https://doi.org/10.1126/science.aef9968" TargetMode="External"/><Relationship Id="rId1091" Type="http://schemas.openxmlformats.org/officeDocument/2006/relationships/hyperlink" Target="https://www.science.org/doi/abs/10.1126/science.aef9970?af=R" TargetMode="External"/><Relationship Id="rId1092" Type="http://schemas.openxmlformats.org/officeDocument/2006/relationships/hyperlink" Target="https://doi.org/10.1126/science.aef9970" TargetMode="External"/><Relationship Id="rId1093" Type="http://schemas.openxmlformats.org/officeDocument/2006/relationships/hyperlink" Target="https://www.science.org/doi/abs/10.1126/science.aec9652?af=R" TargetMode="External"/><Relationship Id="rId1094" Type="http://schemas.openxmlformats.org/officeDocument/2006/relationships/hyperlink" Target="https://doi.org/10.1126/science.aec9652" TargetMode="External"/><Relationship Id="rId1095" Type="http://schemas.openxmlformats.org/officeDocument/2006/relationships/hyperlink" Target="https://www.science.org/doi/abs/10.1126/science.adz2894?af=R" TargetMode="External"/><Relationship Id="rId1096" Type="http://schemas.openxmlformats.org/officeDocument/2006/relationships/hyperlink" Target="https://doi.org/10.1126/science.adz2894" TargetMode="External"/><Relationship Id="rId1097" Type="http://schemas.openxmlformats.org/officeDocument/2006/relationships/hyperlink" Target="https://www.science.org/doi/abs/10.1126/science.aeh6876?af=R" TargetMode="External"/><Relationship Id="rId1098" Type="http://schemas.openxmlformats.org/officeDocument/2006/relationships/hyperlink" Target="https://doi.org/10.1126/science.aeh6876" TargetMode="External"/><Relationship Id="rId1099" Type="http://schemas.openxmlformats.org/officeDocument/2006/relationships/hyperlink" Target="https://www.science.org/doi/abs/10.1126/science.aee6927?af=R" TargetMode="External"/><Relationship Id="rId1100" Type="http://schemas.openxmlformats.org/officeDocument/2006/relationships/hyperlink" Target="https://doi.org/10.1126/science.aee6927" TargetMode="External"/><Relationship Id="rId1101" Type="http://schemas.openxmlformats.org/officeDocument/2006/relationships/hyperlink" Target="https://www.science.org/doi/abs/10.1126/science.adr1707?af=R" TargetMode="External"/><Relationship Id="rId1102" Type="http://schemas.openxmlformats.org/officeDocument/2006/relationships/hyperlink" Target="https://doi.org/10.1126/science.adr1707" TargetMode="External"/><Relationship Id="rId1103" Type="http://schemas.openxmlformats.org/officeDocument/2006/relationships/hyperlink" Target="https://www.science.org/doi/abs/10.1126/science.aeg4324?af=R" TargetMode="External"/><Relationship Id="rId1104" Type="http://schemas.openxmlformats.org/officeDocument/2006/relationships/hyperlink" Target="https://doi.org/10.1126/science.aeg4324" TargetMode="External"/><Relationship Id="rId1105" Type="http://schemas.openxmlformats.org/officeDocument/2006/relationships/hyperlink" Target="https://www.science.org/doi/abs/10.1126/science.adu5646?af=R" TargetMode="External"/><Relationship Id="rId1106" Type="http://schemas.openxmlformats.org/officeDocument/2006/relationships/hyperlink" Target="https://doi.org/10.1126/science.adu5646" TargetMode="External"/><Relationship Id="rId1107" Type="http://schemas.openxmlformats.org/officeDocument/2006/relationships/hyperlink" Target="https://www.science.org/doi/abs/10.1126/science.adu2291?af=R" TargetMode="External"/><Relationship Id="rId1108" Type="http://schemas.openxmlformats.org/officeDocument/2006/relationships/hyperlink" Target="https://doi.org/10.1126/science.adu2291" TargetMode="External"/><Relationship Id="rId1109" Type="http://schemas.openxmlformats.org/officeDocument/2006/relationships/hyperlink" Target="https://www.science.org/doi/abs/10.1126/science.aeh6877?af=R" TargetMode="External"/><Relationship Id="rId1110" Type="http://schemas.openxmlformats.org/officeDocument/2006/relationships/hyperlink" Target="https://doi.org/10.1126/science.aeh6877" TargetMode="External"/><Relationship Id="rId1111" Type="http://schemas.openxmlformats.org/officeDocument/2006/relationships/hyperlink" Target="https://www.science.org/doi/abs/10.1126/science.adw2469?af=R" TargetMode="External"/><Relationship Id="rId1112" Type="http://schemas.openxmlformats.org/officeDocument/2006/relationships/hyperlink" Target="https://doi.org/10.1126/science.adw2469" TargetMode="External"/><Relationship Id="rId1113" Type="http://schemas.openxmlformats.org/officeDocument/2006/relationships/hyperlink" Target="https://www.science.org/doi/abs/10.1126/science.aeh6474?af=R" TargetMode="External"/><Relationship Id="rId1114" Type="http://schemas.openxmlformats.org/officeDocument/2006/relationships/hyperlink" Target="https://doi.org/10.1126/science.aeh6474" TargetMode="External"/><Relationship Id="rId1115" Type="http://schemas.openxmlformats.org/officeDocument/2006/relationships/hyperlink" Target="https://www.science.org/doi/abs/10.1126/science.aeh6475?af=R" TargetMode="External"/><Relationship Id="rId1116" Type="http://schemas.openxmlformats.org/officeDocument/2006/relationships/hyperlink" Target="https://doi.org/10.1126/science.aeh6475" TargetMode="External"/><Relationship Id="rId1117" Type="http://schemas.openxmlformats.org/officeDocument/2006/relationships/hyperlink" Target="https://www.science.org/doi/abs/10.1126/science.aec7804?af=R" TargetMode="External"/><Relationship Id="rId1118" Type="http://schemas.openxmlformats.org/officeDocument/2006/relationships/hyperlink" Target="https://doi.org/10.1126/science.aec7804" TargetMode="External"/><Relationship Id="rId1119" Type="http://schemas.openxmlformats.org/officeDocument/2006/relationships/hyperlink" Target="https://www.science.org/doi/abs/10.1126/science.aef9967?af=R" TargetMode="External"/><Relationship Id="rId1120" Type="http://schemas.openxmlformats.org/officeDocument/2006/relationships/hyperlink" Target="https://doi.org/10.1126/science.aef9967" TargetMode="External"/><Relationship Id="rId1121" Type="http://schemas.openxmlformats.org/officeDocument/2006/relationships/hyperlink" Target="https://www.science.org/doi/abs/10.1126/science.aed2309?af=R" TargetMode="External"/><Relationship Id="rId1122" Type="http://schemas.openxmlformats.org/officeDocument/2006/relationships/hyperlink" Target="https://doi.org/10.1126/science.aed2309" TargetMode="External"/><Relationship Id="rId1123" Type="http://schemas.openxmlformats.org/officeDocument/2006/relationships/hyperlink" Target="https://onlinelibrary.wiley.com/doi/10.1002/anie.7073224?af=R" TargetMode="External"/><Relationship Id="rId1124" Type="http://schemas.openxmlformats.org/officeDocument/2006/relationships/hyperlink" Target="https://doi.org/10.1002/anie.7073224" TargetMode="External"/><Relationship Id="rId1125" Type="http://schemas.openxmlformats.org/officeDocument/2006/relationships/hyperlink" Target="https://www.science.org/doi/abs/10.1126/science.adv6582?af=R" TargetMode="External"/><Relationship Id="rId1126" Type="http://schemas.openxmlformats.org/officeDocument/2006/relationships/hyperlink" Target="https://doi.org/10.1126/science.adv6582" TargetMode="External"/><Relationship Id="rId1127" Type="http://schemas.openxmlformats.org/officeDocument/2006/relationships/hyperlink" Target="https://www.pnas.org/doi/abs/10.1073/pnas.2604884123?mi=eymic2&amp;af=R&amp;access=on&amp;content=articlesChapters&amp;publication=pnas&amp;sortBy=Earliest&amp;target=default" TargetMode="External"/><Relationship Id="rId1128" Type="http://schemas.openxmlformats.org/officeDocument/2006/relationships/hyperlink" Target="https://doi.org/10.1073/pnas.2604884123" TargetMode="External"/><Relationship Id="rId1129" Type="http://schemas.openxmlformats.org/officeDocument/2006/relationships/hyperlink" Target="https://www.science.org/doi/abs/10.1126/science.aeb3627?af=R" TargetMode="External"/><Relationship Id="rId1130" Type="http://schemas.openxmlformats.org/officeDocument/2006/relationships/hyperlink" Target="https://doi.org/10.1126/science.aeb3627" TargetMode="External"/><Relationship Id="rId1131" Type="http://schemas.openxmlformats.org/officeDocument/2006/relationships/hyperlink" Target="https://www.science.org/doi/abs/10.1126/science.adu5500?af=R" TargetMode="External"/><Relationship Id="rId1132" Type="http://schemas.openxmlformats.org/officeDocument/2006/relationships/hyperlink" Target="https://doi.org/10.1126/science.adu5500" TargetMode="External"/><Relationship Id="rId1133" Type="http://schemas.openxmlformats.org/officeDocument/2006/relationships/hyperlink" Target="https://www.science.org/doi/abs/10.1126/science.aea8782?af=R" TargetMode="External"/><Relationship Id="rId1134" Type="http://schemas.openxmlformats.org/officeDocument/2006/relationships/hyperlink" Target="https://doi.org/10.1126/science.aea8782" TargetMode="External"/><Relationship Id="rId1135" Type="http://schemas.openxmlformats.org/officeDocument/2006/relationships/hyperlink" Target="https://www.science.org/doi/abs/10.1126/science.aee4513?af=R" TargetMode="External"/><Relationship Id="rId1136" Type="http://schemas.openxmlformats.org/officeDocument/2006/relationships/hyperlink" Target="https://doi.org/10.1126/science.aee4513" TargetMode="External"/><Relationship Id="rId1137" Type="http://schemas.openxmlformats.org/officeDocument/2006/relationships/hyperlink" Target="https://www.science.org/doi/abs/10.1126/science.adx1736?af=R" TargetMode="External"/><Relationship Id="rId1138" Type="http://schemas.openxmlformats.org/officeDocument/2006/relationships/hyperlink" Target="https://doi.org/10.1126/science.adx1736" TargetMode="External"/><Relationship Id="rId1139" Type="http://schemas.openxmlformats.org/officeDocument/2006/relationships/hyperlink" Target="https://www.pnas.org/doi/abs/10.1073/pnas.2523047123?mi=eymic2&amp;af=R&amp;access=on&amp;content=articlesChapters&amp;publication=pnas&amp;sortBy=Earliest&amp;target=default" TargetMode="External"/><Relationship Id="rId1140" Type="http://schemas.openxmlformats.org/officeDocument/2006/relationships/hyperlink" Target="https://doi.org/10.1073/pnas.2523047123" TargetMode="External"/><Relationship Id="rId1141" Type="http://schemas.openxmlformats.org/officeDocument/2006/relationships/hyperlink" Target="https://www.pnas.org/doi/abs/10.1073/pnas.2527009123?mi=eymic2&amp;af=R&amp;access=on&amp;content=articlesChapters&amp;publication=pnas&amp;sortBy=Earliest&amp;target=default" TargetMode="External"/><Relationship Id="rId1142" Type="http://schemas.openxmlformats.org/officeDocument/2006/relationships/hyperlink" Target="https://doi.org/10.1073/pnas.2527009123" TargetMode="External"/><Relationship Id="rId1143" Type="http://schemas.openxmlformats.org/officeDocument/2006/relationships/hyperlink" Target="https://www.science.org/doi/abs/10.1126/science.aeg6014?af=R" TargetMode="External"/><Relationship Id="rId1144" Type="http://schemas.openxmlformats.org/officeDocument/2006/relationships/hyperlink" Target="https://doi.org/10.1126/science.aeg6014" TargetMode="External"/><Relationship Id="rId1145" Type="http://schemas.openxmlformats.org/officeDocument/2006/relationships/hyperlink" Target="https://www.pnas.org/doi/abs/10.1073/pnas.2508255123?mi=eymic2&amp;af=R&amp;access=on&amp;content=articlesChapters&amp;publication=pnas&amp;sortBy=Earliest&amp;target=default" TargetMode="External"/><Relationship Id="rId1146" Type="http://schemas.openxmlformats.org/officeDocument/2006/relationships/hyperlink" Target="https://doi.org/10.1073/pnas.2508255123" TargetMode="External"/><Relationship Id="rId1147" Type="http://schemas.openxmlformats.org/officeDocument/2006/relationships/hyperlink" Target="https://www.pnas.org/doi/abs/10.1073/pnas.2522851123?mi=eymic2&amp;af=R&amp;access=on&amp;content=articlesChapters&amp;publication=pnas&amp;sortBy=Earliest&amp;target=default" TargetMode="External"/><Relationship Id="rId1148" Type="http://schemas.openxmlformats.org/officeDocument/2006/relationships/hyperlink" Target="https://doi.org/10.1073/pnas.2522851123" TargetMode="External"/><Relationship Id="rId1149" Type="http://schemas.openxmlformats.org/officeDocument/2006/relationships/hyperlink" Target="https://www.pnas.org/doi/abs/10.1073/pnas.2525139123?mi=eymic2&amp;af=R&amp;access=on&amp;content=articlesChapters&amp;publication=pnas&amp;sortBy=Earliest&amp;target=default" TargetMode="External"/><Relationship Id="rId1150" Type="http://schemas.openxmlformats.org/officeDocument/2006/relationships/hyperlink" Target="https://doi.org/10.1073/pnas.2525139123" TargetMode="External"/><Relationship Id="rId1151" Type="http://schemas.openxmlformats.org/officeDocument/2006/relationships/hyperlink" Target="https://www.pnas.org/doi/abs/10.1073/pnas.2534936123?mi=eymic2&amp;af=R&amp;access=on&amp;content=articlesChapters&amp;publication=pnas&amp;sortBy=Earliest&amp;target=default" TargetMode="External"/><Relationship Id="rId1152" Type="http://schemas.openxmlformats.org/officeDocument/2006/relationships/hyperlink" Target="https://doi.org/10.1073/pnas.2534936123" TargetMode="External"/><Relationship Id="rId1153" Type="http://schemas.openxmlformats.org/officeDocument/2006/relationships/hyperlink" Target="https://onlinelibrary.wiley.com/doi/10.1002/anie.3756149?af=R" TargetMode="External"/><Relationship Id="rId1154" Type="http://schemas.openxmlformats.org/officeDocument/2006/relationships/hyperlink" Target="https://doi.org/10.1002/anie.3756149" TargetMode="External"/><Relationship Id="rId1155" Type="http://schemas.openxmlformats.org/officeDocument/2006/relationships/hyperlink" Target="http://dx.doi.org/10.1021/jacs.6c03427" TargetMode="External"/><Relationship Id="rId1156" Type="http://schemas.openxmlformats.org/officeDocument/2006/relationships/hyperlink" Target="https://doi.org/10.1021/jacs.6c03427" TargetMode="External"/><Relationship Id="rId1157" Type="http://schemas.openxmlformats.org/officeDocument/2006/relationships/hyperlink" Target="http://dx.doi.org/10.1021/jacs.5c23406" TargetMode="External"/><Relationship Id="rId1158" Type="http://schemas.openxmlformats.org/officeDocument/2006/relationships/hyperlink" Target="https://doi.org/10.1021/jacs.5c234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