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2026-02-27</w:t>
      </w:r>
    </w:p>
    <w:p>
      <w:pPr>
        <w:spacing w:before="160" w:after="40" w:line="240" w:lineRule="auto"/>
      </w:pPr>
      <w:r>
        <w:rPr>
          <w:b/>
        </w:rPr>
        <w:t xml:space="preserve">[1] </w:t>
      </w:r>
      <w:hyperlink r:id="rId9">
        <w:r>
          <w:rPr>
            <w:color w:val="1155CC"/>
            <w:u w:val="single"/>
          </w:rPr>
          <w:t>用于超敏感生物遥感的液体光分子分子微型激光器</w:t>
        </w:r>
      </w:hyperlink>
    </w:p>
    <w:p>
      <w:pPr>
        <w:spacing w:before="0" w:after="80"/>
      </w:pPr>
      <w:r>
        <w:rPr>
          <w:i/>
          <w:sz w:val="20"/>
        </w:rPr>
        <w:t>EN: Liquid photonic-molecule microlasers for ultrasensitive biosensing</w:t>
      </w:r>
    </w:p>
    <w:p>
      <w:pPr>
        <w:spacing w:before="0" w:after="120"/>
      </w:pPr>
      <w:r>
        <w:rPr>
          <w:b/>
        </w:rPr>
        <w:t xml:space="preserve">Source: </w:t>
      </w:r>
      <w:r>
        <w:t>Nature Communications</w:t>
      </w:r>
      <w:r>
        <w:t xml:space="preserve">    </w:t>
      </w:r>
      <w:r>
        <w:rPr>
          <w:b/>
        </w:rPr>
        <w:t xml:space="preserve">Pub date: </w:t>
      </w:r>
      <w:r>
        <w:t>2026-02-21 00:00:00+00:00</w:t>
      </w:r>
    </w:p>
    <w:p>
      <w:pPr>
        <w:spacing w:before="0" w:after="120"/>
      </w:pPr>
      <w:r>
        <w:rPr>
          <w:b/>
        </w:rPr>
        <w:t xml:space="preserve">Notes: </w:t>
      </w:r>
      <w:r>
        <w:t>abstract_source=nature_html</w:t>
      </w:r>
    </w:p>
    <w:p>
      <w:pPr>
        <w:spacing w:before="0" w:after="80" w:lineRule="auto" w:line="276"/>
      </w:pPr>
      <w:r>
        <w:rPr>
          <w:b/>
        </w:rPr>
        <w:t xml:space="preserve">摘要（ZH）: </w:t>
      </w:r>
      <w:r>
        <w:t>液滴微激光器作为生物光谱学和生物医学的极有前景的工具,由于其灵活的可调和性、对刺激性高度敏感和无标签的生物遥感能力,取得了迅速的进展。然而,设计这些生物传感器的同时具有低层阈值、高光谱纯度和终极灵敏度等关键特性的生物传感器仍然具有挑战性。在这里,我们提出了一个多功能战略,将所有这些特性结合到一个单一装置中。我们发现,通过调整光谱光谱维力重叠的尺寸相近滴子,这一装置能够使单模式光束以~610 nJmm-2的低阈值进行,利用分子立构战略为动态金枪鱼设计LPM激光,从而产生光谱。</w:t>
      </w:r>
    </w:p>
    <w:p>
      <w:pPr>
        <w:spacing w:before="0" w:after="200" w:lineRule="auto" w:line="276"/>
      </w:pPr>
      <w:r>
        <w:rPr>
          <w:b/>
        </w:rPr>
        <w:t xml:space="preserve">Abstract (EN): </w:t>
      </w:r>
      <w:r>
        <w:t>Droplet microlasers, as promising tools for biophotonics and biomedical sciences, have witnessed rapid advances due to their flexible reconfigurability, high sensitivity to stimuli, and label-free biosensing ability. However, designing these biosensors with simultaneously critical properties of low lasing threshold, high spectral purity, and ultimate sensitivity remains challenging. Here, we propose a versatile strategy to build liquid photonic molecules (LPMs) that combine all these features in a single device. We find that through tailoring the spectral Vernier overlap in size-mismatched droplets, this device enables single-mode lasing with a low threshold of ~610 nJ mm−2. The LPM lasers are engineered for dynamic tunability using a molecular isomerization strategy, which induces spectral mode hopping and thus yields a nearly ten-fold enhancement in spectral sensitivity over single droplets. Moreover, by leveraging the self-referenced intensity response of the LPM lasing modes, we demonstrate a three-orders-of-magnitude enhancement in biomolecular sensing, with a detection limit of 30 aM and a dynamic range spanning nine orders of magnitude. Our work offers exciting prospects for bio-integrated liquid sensors in diverse applications.</w:t>
      </w:r>
    </w:p>
    <w:p>
      <w:pPr>
        <w:spacing w:before="120" w:after="120"/>
      </w:pPr>
      <w:r>
        <w:rPr>
          <w:sz w:val="18"/>
        </w:rPr>
        <w:t>——————————————————————————————————————————————————————————————————————</w:t>
      </w:r>
    </w:p>
    <w:p>
      <w:pPr>
        <w:spacing w:before="160" w:after="40" w:line="240" w:lineRule="auto"/>
      </w:pPr>
      <w:r>
        <w:rPr>
          <w:b/>
        </w:rPr>
        <w:t xml:space="preserve">[2] </w:t>
      </w:r>
      <w:hyperlink r:id="rId10">
        <w:r>
          <w:rPr>
            <w:color w:val="1155CC"/>
            <w:u w:val="single"/>
          </w:rPr>
          <w:t>用于综合中红外综合调制导器的蓝宝石上的丁胶胶片锂硝酸盐</w:t>
        </w:r>
      </w:hyperlink>
    </w:p>
    <w:p>
      <w:pPr>
        <w:spacing w:before="0" w:after="80"/>
      </w:pPr>
      <w:r>
        <w:rPr>
          <w:i/>
          <w:sz w:val="20"/>
        </w:rPr>
        <w:t>EN: Thin film lithium niobate on sapphire for integrated mid-infrared modulator</w:t>
      </w:r>
    </w:p>
    <w:p>
      <w:pPr>
        <w:spacing w:before="0" w:after="120"/>
      </w:pPr>
      <w:r>
        <w:rPr>
          <w:b/>
        </w:rPr>
        <w:t xml:space="preserve">Source: </w:t>
      </w:r>
      <w:r>
        <w:t>Nature Communications</w:t>
      </w:r>
      <w:r>
        <w:t xml:space="preserve">    </w:t>
      </w:r>
      <w:r>
        <w:rPr>
          <w:b/>
        </w:rPr>
        <w:t xml:space="preserve">Pub date: </w:t>
      </w:r>
      <w:r>
        <w:t>2026-02-21 00:00:00+00:00</w:t>
      </w:r>
    </w:p>
    <w:p>
      <w:pPr>
        <w:spacing w:before="0" w:after="120"/>
      </w:pPr>
      <w:r>
        <w:rPr>
          <w:b/>
        </w:rPr>
        <w:t xml:space="preserve">Notes: </w:t>
      </w:r>
      <w:r>
        <w:t>abstract_source=nature_html</w:t>
      </w:r>
    </w:p>
    <w:p>
      <w:pPr>
        <w:spacing w:before="0" w:after="80" w:lineRule="auto" w:line="276"/>
      </w:pPr>
      <w:r>
        <w:rPr>
          <w:b/>
        </w:rPr>
        <w:t xml:space="preserve">摘要（ZH）: </w:t>
      </w:r>
      <w:r>
        <w:t>中红外频谱范围从3微米到14微米不等,对分子光谱学和自由空间光学通信大有希望,受益于强烈的分子吸收和大气衰减。虽然由于源和探测器的改进、集成低损失、高性能调制器仍然有限,MIR光子的进展加快了,但是由于源和探测器的改进,集成低损、高性能调制器的进展仍然有限。为了缩小这一差距,我们在蓝宝石Mach Zehnder电子光导调器上展示了宽带、高速锂硝酸盐,从3.95微米到4.5微米运行。该设备显示3dB带宽超过20千兆赫,17dB灭绝率,VL=22千厘米,光输出功率在半毫瓦特水平上。我们展示了10千位S-1数据传输和70千兆赫宽频波束,特别结合,La。</w:t>
      </w:r>
    </w:p>
    <w:p>
      <w:pPr>
        <w:spacing w:before="0" w:after="200" w:lineRule="auto" w:line="276"/>
      </w:pPr>
      <w:r>
        <w:rPr>
          <w:b/>
        </w:rPr>
        <w:t xml:space="preserve">Abstract (EN): </w:t>
      </w:r>
      <w:r>
        <w:t>The mid-infrared spectrum, spanning from 3 to 14 µm, holds great promise for molecular spectroscopy and free space optical communication, benefiting from strong molecular absorption and reduced atmospheric attenuation. While progress in MIR photonics has accelerated due to improved sources and detectors, integrated low-loss, high -performance modulators remain limited. In order to address this gap, we demonstrate a broadband, high speed lithium niobate on sapphire Mach Zehnder electro optic modulator operating from 3.95 to 4.5 µm. The device shows a 3 dB bandwidth above 20 GHz, 17 dB extinction ratio, and Vπ L = 22 V ⋅ cm, with optical output power at the half milliwatt level. We demonstrate 10 Gbit s−1 data transmission and a 70 GHz broad frequency comb, uniquely combining integration, low propagation loss, extinction ratio and high-speed operation.</w:t>
      </w:r>
    </w:p>
    <w:p>
      <w:pPr>
        <w:spacing w:before="120" w:after="120"/>
      </w:pPr>
      <w:r>
        <w:rPr>
          <w:sz w:val="18"/>
        </w:rPr>
        <w:t>——————————————————————————————————————————————————————————————————————</w:t>
      </w:r>
    </w:p>
    <w:p>
      <w:pPr>
        <w:spacing w:before="160" w:after="40" w:line="240" w:lineRule="auto"/>
      </w:pPr>
      <w:r>
        <w:rPr>
          <w:b/>
        </w:rPr>
        <w:t xml:space="preserve">[3] </w:t>
      </w:r>
      <w:hyperlink r:id="rId11">
        <w:r>
          <w:rPr>
            <w:color w:val="1155CC"/>
            <w:u w:val="single"/>
          </w:rPr>
          <w:t>利用中品级铁矿石生产氢基绿色钢的能源系统优化</w:t>
        </w:r>
      </w:hyperlink>
    </w:p>
    <w:p>
      <w:pPr>
        <w:spacing w:before="0" w:after="80"/>
      </w:pPr>
      <w:r>
        <w:rPr>
          <w:i/>
          <w:sz w:val="20"/>
        </w:rPr>
        <w:t>EN: Energy-system optimization for hydrogen-based green steel production from medium-grade iron ore</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2">
        <w:r>
          <w:rPr>
            <w:color w:val="1155CC"/>
            <w:u w:val="single"/>
          </w:rPr>
          <w:t>小异丁二烯伙伴通过抑制磷酸酯中的IKKβ/NF-NF-NF-NF-NF-NF-NF-NF-NF-B调解的基质降解酶酶,防止骨髓炎。</w:t>
        </w:r>
      </w:hyperlink>
    </w:p>
    <w:p>
      <w:pPr>
        <w:spacing w:before="0" w:after="80"/>
      </w:pPr>
      <w:r>
        <w:rPr>
          <w:i/>
          <w:sz w:val="20"/>
        </w:rPr>
        <w:t>EN: Small heterodimer partner protects against osteoarthritis by inhibiting IKKβ/NF-κB-mediated matrix-degrading enzymes in chondrocytes</w:t>
      </w:r>
    </w:p>
    <w:p>
      <w:pPr>
        <w:spacing w:before="0" w:after="120"/>
      </w:pPr>
      <w:r>
        <w:rPr>
          <w:b/>
        </w:rPr>
        <w:t xml:space="preserve">Source: </w:t>
      </w:r>
      <w:r>
        <w:t>Nature Communications</w:t>
      </w:r>
      <w:r>
        <w:t xml:space="preserve">    </w:t>
      </w:r>
      <w:r>
        <w:rPr>
          <w:b/>
        </w:rPr>
        <w:t xml:space="preserve">Pub date: </w:t>
      </w:r>
      <w:r>
        <w:t>2026-02-21 00:00:00+00:00</w:t>
      </w:r>
    </w:p>
    <w:p>
      <w:pPr>
        <w:spacing w:before="0" w:after="120"/>
      </w:pPr>
      <w:r>
        <w:rPr>
          <w:b/>
        </w:rPr>
        <w:t xml:space="preserve">Notes: </w:t>
      </w:r>
      <w:r>
        <w:t>abstract_source=nature_html</w:t>
      </w:r>
    </w:p>
    <w:p>
      <w:pPr>
        <w:spacing w:before="0" w:after="80" w:lineRule="auto" w:line="276"/>
      </w:pPr>
      <w:r>
        <w:rPr>
          <w:b/>
        </w:rPr>
        <w:t xml:space="preserve">摘要（ZH）: </w:t>
      </w:r>
      <w:r>
        <w:t>以软骨破坏为特征的骨髓炎(OA)是最常见的变性联合疾病,其特点是软骨损伤,是最常见的变性联合疾病,然而,目前没有有效的对疾病进行治疗的OA疗法,因此,我们在报告中报告,孤儿核受体受体小型异血二二体伙伴(SHP, NR0B2)是OA病发病的新型代谢调节器。 NR0B2 的表情明显下调,来自OA病人的软骨管明显下调。 全球或堂化细胞特有的Nr0b2 雄性小鼠的切除与OA有关的疼痛和结构变化加剧,因为中脊膜膜炎外科手术不稳定,同时在铬化细胞中增加了基质金属蛋白酶(MMP)-3和MMP-13表达。相反,在雄性小鼠的膝关关关口部防范加速膝盖OA导致的与病毒有关的直径过量(N0b2)。</w:t>
      </w:r>
    </w:p>
    <w:p>
      <w:pPr>
        <w:spacing w:before="0" w:after="200" w:lineRule="auto" w:line="276"/>
      </w:pPr>
      <w:r>
        <w:rPr>
          <w:b/>
        </w:rPr>
        <w:t xml:space="preserve">Abstract (EN): </w:t>
      </w:r>
      <w:r>
        <w:t>Osteoarthritis (OA), characterised by cartilage destruction, is the most common degenerative joint disease. However, no effective disease-modifying OA therapy is currently available. Herein, we report orphan nuclear receptor small heterodimer partner (SHP, NR0B2) as a novel catabolic regulator of OA pathogenesis. NR0B2 expression was markedly downregulated in cartilage from patients with OA. Global or chondrocyte-specific Nr0b2 deletion in male mice exacerbated OA-related pain and structural changes following surgical destabilization of the medial meniscus, accompanied by increased matrix metalloproteinase (MMP)-3 and MMP-13 expression in chondrocytes. Conversely, adeno-associated virus-mediated Nr0b2 overexpression in knee joints of male mice protected against accelerated knee OA caused by Nr0b2 deficiency. Mechanistically, NR0B2 inhibited IKKβ kinase activity via IKK complex interaction, downregulating NF-κB signalling. Our results demonstrate that NR0B2 has a chondroprotective role in OA progression by regulating matrix-degrading enzymes in an IKKβ/NF-κB-dependent manner, and gene therapy targeting Nr0b2 may be a promising therapeutic strategy for OA.</w:t>
      </w:r>
    </w:p>
    <w:p>
      <w:pPr>
        <w:spacing w:before="120" w:after="120"/>
      </w:pPr>
      <w:r>
        <w:rPr>
          <w:sz w:val="18"/>
        </w:rPr>
        <w:t>——————————————————————————————————————————————————————————————————————</w:t>
      </w:r>
    </w:p>
    <w:p>
      <w:pPr>
        <w:spacing w:before="160" w:after="40" w:line="240" w:lineRule="auto"/>
      </w:pPr>
      <w:r>
        <w:rPr>
          <w:b/>
        </w:rPr>
        <w:t xml:space="preserve">[5] </w:t>
      </w:r>
      <w:hyperlink r:id="rId13">
        <w:r>
          <w:rPr>
            <w:color w:val="1155CC"/>
            <w:u w:val="single"/>
          </w:rPr>
          <w:t>用于对电化学固体-液体界面进行操作监测的软X射线散射</w:t>
        </w:r>
      </w:hyperlink>
    </w:p>
    <w:p>
      <w:pPr>
        <w:spacing w:before="0" w:after="80"/>
      </w:pPr>
      <w:r>
        <w:rPr>
          <w:i/>
          <w:sz w:val="20"/>
        </w:rPr>
        <w:t>EN: Pattern-enhanced Resonant Soft X-ray Scattering for Operando monitoring of electrochemical solid-liquid interfaces</w:t>
      </w:r>
    </w:p>
    <w:p>
      <w:pPr>
        <w:spacing w:before="0" w:after="120"/>
      </w:pPr>
      <w:r>
        <w:rPr>
          <w:b/>
        </w:rPr>
        <w:t xml:space="preserve">Source: </w:t>
      </w:r>
      <w:r>
        <w:t>Nature Communications</w:t>
      </w:r>
      <w:r>
        <w:t xml:space="preserve">    </w:t>
      </w:r>
      <w:r>
        <w:rPr>
          <w:b/>
        </w:rPr>
        <w:t xml:space="preserve">Pub date: </w:t>
      </w:r>
      <w:r>
        <w:t>2026-02-21 00:00:00+00:00</w:t>
      </w:r>
    </w:p>
    <w:p>
      <w:pPr>
        <w:spacing w:before="0" w:after="120"/>
      </w:pPr>
      <w:r>
        <w:rPr>
          <w:b/>
        </w:rPr>
        <w:t xml:space="preserve">Notes: </w:t>
      </w:r>
      <w:r>
        <w:t>abstract_source=nature_html</w:t>
      </w:r>
    </w:p>
    <w:p>
      <w:pPr>
        <w:spacing w:before="0" w:after="80" w:lineRule="auto" w:line="276"/>
      </w:pPr>
      <w:r>
        <w:rPr>
          <w:b/>
        </w:rPr>
        <w:t xml:space="preserve">摘要（ZH）: </w:t>
      </w:r>
      <w:r>
        <w:t>然而,由于固体液态界面具有高维敏感度和时间分辨率的特性,由于这些界面的动态性质和常规探测器无法进入,因此仍然具有挑战性。在这里,我们提出了一个方法,即 " 模式增强的Resonant Soft X射线散射 ",以克服挑战。这一技术根植于 " 光学样本 " 理念,利用精确设计的线性纳米板来调节近场X射线照明,并一致加强线性引线仪的散射信号。我们在电化学水氧化中采用“尼线调整纳米模型”的方法。定期的纳米结构作为分辨选择。</w:t>
      </w:r>
    </w:p>
    <w:p>
      <w:pPr>
        <w:spacing w:before="0" w:after="200" w:lineRule="auto" w:line="276"/>
      </w:pPr>
      <w:r>
        <w:rPr>
          <w:b/>
        </w:rPr>
        <w:t xml:space="preserve">Abstract (EN): </w:t>
      </w:r>
      <w:r>
        <w:t>Unveiling interfaces at sub-nanometer scales is essential for advancing the understanding of complex chemical transformations. However, characterizing solid-liquid interfaces with high dimensional sensitivity and temporal resolution remains challenging, due to their dynamic nature and inaccessibility by conventional probes. Here we present an approach, Pattern-enhanced Resonant Soft X-ray Scattering, to overcome the challenges. Rooted in a “sample-as-optics” philosophy, this technique utilizes precisely engineered line-grating nanopatterns to modulate near-field X-ray illumination, coherently enhancing scattering signals from the line-gratings. We implement the method using Ni line-grating nanopatterns in electrochemical water oxidation. The periodic nanostructures serve as diffractive optical elements to reveal the Ni oxidation gradients and structural dynamics at the electrode-electrolyte interfaces. Finite-element simulations corroborate the observed trends by modeling variations in compositions and structures during electrocatalysis. Through integrating advanced sample design with coherent wave nature of soft X-rays, our approach opens accessible pathways to operando exploring chemical evolution and sub-nanometer dimensional variations simultaneously in electrochemical systems. This non-destructive method is efficient and element-specific, making it valuable for probing chemical and dimensional dynamics with appropriate modeling.</w:t>
      </w:r>
    </w:p>
    <w:p>
      <w:pPr>
        <w:spacing w:before="120" w:after="120"/>
      </w:pPr>
      <w:r>
        <w:rPr>
          <w:sz w:val="18"/>
        </w:rPr>
        <w:t>——————————————————————————————————————————————————————————————————————</w:t>
      </w:r>
    </w:p>
    <w:p>
      <w:pPr>
        <w:spacing w:before="160" w:after="40" w:line="240" w:lineRule="auto"/>
      </w:pPr>
      <w:r>
        <w:rPr>
          <w:b/>
        </w:rPr>
        <w:t xml:space="preserve">[6] </w:t>
      </w:r>
      <w:hyperlink r:id="rId14">
        <w:r>
          <w:rPr>
            <w:color w:val="1155CC"/>
            <w:u w:val="single"/>
          </w:rPr>
          <w:t>地面表面季节性能源储存:氢及其衍生物的比较分析</w:t>
        </w:r>
      </w:hyperlink>
    </w:p>
    <w:p>
      <w:pPr>
        <w:spacing w:before="0" w:after="80"/>
      </w:pPr>
      <w:r>
        <w:rPr>
          <w:i/>
          <w:sz w:val="20"/>
        </w:rPr>
        <w:t>EN: Aboveground seasonal energy storage: comparative analysis of hydrogen and its derivatives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5">
        <w:r>
          <w:rPr>
            <w:color w:val="1155CC"/>
            <w:u w:val="single"/>
          </w:rPr>
          <w:t>通过电池模块式管理和能力租赁,协调社区能源储存系统和FCAS的收费单</w:t>
        </w:r>
      </w:hyperlink>
    </w:p>
    <w:p>
      <w:pPr>
        <w:spacing w:before="0" w:after="80"/>
      </w:pPr>
      <w:r>
        <w:rPr>
          <w:i/>
          <w:sz w:val="20"/>
        </w:rPr>
        <w:t>EN: Coordination of community energy storage system and prosumers for FCAS via battery modular management and capacity rental</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6">
        <w:r>
          <w:rPr>
            <w:color w:val="1155CC"/>
            <w:u w:val="single"/>
          </w:rPr>
          <w:t>“公路运输电气化情景对气候目标的影响”</w:t>
        </w:r>
      </w:hyperlink>
    </w:p>
    <w:p>
      <w:pPr>
        <w:spacing w:before="0" w:after="80"/>
      </w:pPr>
      <w:r>
        <w:rPr>
          <w:i/>
          <w:sz w:val="20"/>
        </w:rPr>
        <w:t>EN: “The influence of electrification scenarios in road transport on the climate targets”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
        <w:r>
          <w:rPr>
            <w:color w:val="1155CC"/>
            <w:u w:val="single"/>
          </w:rPr>
          <w:t>灵活24/7/24/7的混合购买电力协议 能源交付 -- -- 全面审查目前的做法和研究途径</w:t>
        </w:r>
      </w:hyperlink>
    </w:p>
    <w:p>
      <w:pPr>
        <w:spacing w:before="0" w:after="80"/>
      </w:pPr>
      <w:r>
        <w:rPr>
          <w:i/>
          <w:sz w:val="20"/>
        </w:rPr>
        <w:t>EN: Hybrid power purchase agreements for flexible 24/7 Energy delivery – A comprehensive review of current practices and research pathways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8">
        <w:r>
          <w:rPr>
            <w:color w:val="1155CC"/>
            <w:u w:val="single"/>
          </w:rPr>
          <w:t>IoT电池管理系统中SOC估计SOC的变压器:实现节能和可解释的模型化</w:t>
        </w:r>
      </w:hyperlink>
    </w:p>
    <w:p>
      <w:pPr>
        <w:spacing w:before="0" w:after="80"/>
      </w:pPr>
      <w:r>
        <w:rPr>
          <w:i/>
          <w:sz w:val="20"/>
        </w:rPr>
        <w:t>EN: Pattern-aware transformer for SOC estimation in IoT-based battery management systems: Toward energy-efficient and interpretable modeling</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
        <w:r>
          <w:rPr>
            <w:color w:val="1155CC"/>
            <w:u w:val="single"/>
          </w:rPr>
          <w:t>光伏驱动多级膜膜蒸馏系统模型框架和绩效分析,以促进高效水电联合供应</w:t>
        </w:r>
      </w:hyperlink>
    </w:p>
    <w:p>
      <w:pPr>
        <w:spacing w:before="0" w:after="80"/>
      </w:pPr>
      <w:r>
        <w:rPr>
          <w:i/>
          <w:sz w:val="20"/>
        </w:rPr>
        <w:t>EN: Model framework and performance analysis of photovoltaic-driven multistage membrane distillation systems for efficient water-power co-supply</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0">
        <w:r>
          <w:rPr>
            <w:color w:val="1155CC"/>
            <w:u w:val="single"/>
          </w:rPr>
          <w:t>实时电价预测实时电价预测学习网格物理知情和适应时间的堆叠式学习:短期至中期办法</w:t>
        </w:r>
      </w:hyperlink>
    </w:p>
    <w:p>
      <w:pPr>
        <w:spacing w:before="0" w:after="80"/>
      </w:pPr>
      <w:r>
        <w:rPr>
          <w:i/>
          <w:sz w:val="20"/>
        </w:rPr>
        <w:t>EN: Grid physics-informed and time-adaptive stacked learning for real-time electricity price forecasting: a short-term to mid-term approach</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1">
        <w:r>
          <w:rPr>
            <w:color w:val="1155CC"/>
            <w:u w:val="single"/>
          </w:rPr>
          <w:t>对进入光催化共价有机框架的光催化作用的 光催化四成分反应</w:t>
        </w:r>
      </w:hyperlink>
    </w:p>
    <w:p>
      <w:pPr>
        <w:spacing w:before="0" w:after="80"/>
      </w:pPr>
      <w:r>
        <w:rPr>
          <w:i/>
          <w:sz w:val="20"/>
        </w:rPr>
        <w:t>EN: Photocatalytic four-component reaction to access covalent organic frameworks for photocatalysis</w:t>
      </w:r>
    </w:p>
    <w:p>
      <w:pPr>
        <w:spacing w:before="0" w:after="120"/>
      </w:pPr>
      <w:r>
        <w:rPr>
          <w:b/>
        </w:rPr>
        <w:t xml:space="preserve">Source: </w:t>
      </w:r>
      <w:r>
        <w:t>Nature Communications</w:t>
      </w:r>
      <w:r>
        <w:t xml:space="preserve">    </w:t>
      </w:r>
      <w:r>
        <w:rPr>
          <w:b/>
        </w:rPr>
        <w:t xml:space="preserve">Pub date: </w:t>
      </w:r>
      <w:r>
        <w:t>2026-02-21 00:00:00+00:00</w:t>
      </w:r>
    </w:p>
    <w:p>
      <w:pPr>
        <w:spacing w:before="0" w:after="120"/>
      </w:pPr>
      <w:r>
        <w:rPr>
          <w:b/>
        </w:rPr>
        <w:t xml:space="preserve">Notes: </w:t>
      </w:r>
      <w:r>
        <w:t>abstract_source=nature_html</w:t>
      </w:r>
    </w:p>
    <w:p>
      <w:pPr>
        <w:spacing w:before="0" w:after="80" w:lineRule="auto" w:line="276"/>
      </w:pPr>
      <w:r>
        <w:rPr>
          <w:b/>
        </w:rPr>
        <w:t xml:space="preserve">摘要（ZH）: </w:t>
      </w:r>
      <w:r>
        <w:t>光化催化四成分反应是一种高效和环保的合成战略,以其步骤节约和操作简单性而著称,有利于生产多种有机产品,然而,在合成共价有机框架(COFs)中应用这一战略仍未探索。这里,我们报告通过光化催化四成分反应对具有高晶度和永久孔隙性的功能化COFs类别进行合理合成的情况。这一战略不仅解决了常规COFs合成方法中严酷反应条件的长期挑战,而且还使四种不同类型的单体集成器能够融入一站式过程,以创建结构上不同的COFs。此外,由此产生的Cp-tBU-N3-COF可以发挥有效的作用。</w:t>
      </w:r>
    </w:p>
    <w:p>
      <w:pPr>
        <w:spacing w:before="0" w:after="200" w:lineRule="auto" w:line="276"/>
      </w:pPr>
      <w:r>
        <w:rPr>
          <w:b/>
        </w:rPr>
        <w:t xml:space="preserve">Abstract (EN): </w:t>
      </w:r>
      <w:r>
        <w:t>Photocatalytic four-component reaction is an efficient and environmentally friendly synthetic strategy known for its step economy and operational simplicity, enabling the preparation of diverse organic products. However, its application in synthesizing covalent organic frameworks (COFs) remains unexplored. Here, we report the rational synthesis of a class of functionalized COFs with high crystallinity and permanent porosity via the photocatalytic four-component reaction. This strategy not only addresses the long-standing challenge of harsh reaction conditions in conventional COFs synthesis methods, but also enables the integration of four different types of monomers in a one-pot process to create structurally diverse COFs. Furthermore, the resulting Cp-tBu-N3-COF can function as an efficient photocatalyst for the visible-light-driven synthesis of benzimidazoles. This work provides a promising strategy to access COFs in a mild and sustainable way.</w:t>
      </w:r>
    </w:p>
    <w:p>
      <w:pPr>
        <w:spacing w:before="120" w:after="120"/>
      </w:pPr>
      <w:r>
        <w:rPr>
          <w:sz w:val="18"/>
        </w:rPr>
        <w:t>——————————————————————————————————————————————————————————————————————</w:t>
      </w:r>
    </w:p>
    <w:p>
      <w:pPr>
        <w:spacing w:before="160" w:after="40" w:line="240" w:lineRule="auto"/>
      </w:pPr>
      <w:r>
        <w:rPr>
          <w:b/>
        </w:rPr>
        <w:t xml:space="preserve">[14] </w:t>
      </w:r>
      <w:hyperlink r:id="rId22">
        <w:r>
          <w:rPr>
            <w:color w:val="1155CC"/>
            <w:u w:val="single"/>
          </w:rPr>
          <w:t>具有半二维、不固定动动诱导器的子元素中局部化准粒粒子</w:t>
        </w:r>
      </w:hyperlink>
    </w:p>
    <w:p>
      <w:pPr>
        <w:spacing w:before="0" w:after="80"/>
      </w:pPr>
      <w:r>
        <w:rPr>
          <w:i/>
          <w:sz w:val="20"/>
        </w:rPr>
        <w:t>EN: Localized quasiparticles in a fluxonium with quasi-two-dimensional amorphous kinetic inductors</w:t>
      </w:r>
    </w:p>
    <w:p>
      <w:pPr>
        <w:spacing w:before="0" w:after="120"/>
      </w:pPr>
      <w:r>
        <w:rPr>
          <w:b/>
        </w:rPr>
        <w:t xml:space="preserve">Source: </w:t>
      </w:r>
      <w:r>
        <w:t>Nature Communications</w:t>
      </w:r>
      <w:r>
        <w:t xml:space="preserve">    </w:t>
      </w:r>
      <w:r>
        <w:rPr>
          <w:b/>
        </w:rPr>
        <w:t xml:space="preserve">Pub date: </w:t>
      </w:r>
      <w:r>
        <w:t>2026-02-21 00:00:00+00:00</w:t>
      </w:r>
    </w:p>
    <w:p>
      <w:pPr>
        <w:spacing w:before="0" w:after="120"/>
      </w:pPr>
      <w:r>
        <w:rPr>
          <w:b/>
        </w:rPr>
        <w:t xml:space="preserve">Notes: </w:t>
      </w:r>
      <w:r>
        <w:t>abstract_source=nature_html</w:t>
      </w:r>
    </w:p>
    <w:p>
      <w:pPr>
        <w:spacing w:before="0" w:after="80" w:lineRule="auto" w:line="276"/>
      </w:pPr>
      <w:r>
        <w:rPr>
          <w:b/>
        </w:rPr>
        <w:t xml:space="preserve">摘要（ZH）: </w:t>
      </w:r>
      <w:r>
        <w:t>高动能诱导力高的有序超导材料是产生量子电路非线性并创造高阻扰环境的重要资源,在从这些材料制造的薄膜中,混乱和低有效维度结合导致秩序参数波动增加,动能诱导值提高,在连贯装置中利用这些化合物的难题包括它们靠近超导体-导导体阶段过渡和处于无序结构中的两层系统。在这里,我们从准二维胶片中制造了硫化硅化物电线,并将其嵌入微波共振器和通感诱导器,其中动感导导能提供电路的感导部分。</w:t>
      </w:r>
    </w:p>
    <w:p>
      <w:pPr>
        <w:spacing w:before="0" w:after="200" w:lineRule="auto" w:line="276"/>
      </w:pPr>
      <w:r>
        <w:rPr>
          <w:b/>
        </w:rPr>
        <w:t xml:space="preserve">Abstract (EN): </w:t>
      </w:r>
      <w:r>
        <w:t>Disordered superconducting materials with high kinetic inductance are an important resource for generating nonlinearity in quantum circuits and creating high-impedance environments. In thin films fabricated from these materials, the combination of disorder and low effective dimensionality leads to increased order parameter fluctuations and enhanced kinetic inductance values. Among the challenges of harnessing these compounds in coherent devices are their proximity to the superconductor-insulator phase transition and the two-level systems located in the disordered structure. Here, we fabricate tungsten silicide wires from quasi-two-dimensional films and embed them into microwave resonators and fluxonium qubits, where the kinetic inductance provides the inductive part of the circuits. In this work, we study the dependence of loss on the frequency, disorder, and geometry of the devices, and find that the loss increases with the level of disorder and is dominated by the localized quasiparticles trapped in the spatial variations of the superconducting gap.</w:t>
      </w:r>
    </w:p>
    <w:p>
      <w:pPr>
        <w:spacing w:before="120" w:after="120"/>
      </w:pPr>
      <w:r>
        <w:rPr>
          <w:sz w:val="18"/>
        </w:rPr>
        <w:t>——————————————————————————————————————————————————————————————————————</w:t>
      </w:r>
    </w:p>
    <w:p>
      <w:pPr>
        <w:spacing w:before="160" w:after="40" w:line="240" w:lineRule="auto"/>
      </w:pPr>
      <w:r>
        <w:rPr>
          <w:b/>
        </w:rPr>
        <w:t xml:space="preserve">[15] </w:t>
      </w:r>
      <w:hyperlink r:id="rId23">
        <w:r>
          <w:rPr>
            <w:color w:val="1155CC"/>
            <w:u w:val="single"/>
          </w:rPr>
          <w:t>释放密集包装的双面曲线曲线光伏发电的潜力:优化能源产量和经济可行性的全方位建模方法</w:t>
        </w:r>
      </w:hyperlink>
    </w:p>
    <w:p>
      <w:pPr>
        <w:spacing w:before="0" w:after="80"/>
      </w:pPr>
      <w:r>
        <w:rPr>
          <w:i/>
          <w:sz w:val="20"/>
        </w:rPr>
        <w:t>EN: Unlocking the potential of densely-packed bifacial curved photovoltaics: Holistic Modeling approach for optimizing energy yield and economic viability</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 </w:t>
      </w:r>
      <w:hyperlink r:id="rId24">
        <w:r>
          <w:rPr>
            <w:color w:val="1155CC"/>
            <w:u w:val="single"/>
          </w:rPr>
          <w:t>在零以下温度捕捉电化学异质的锂离电池在零下温度下捕捉电化学多粒化</w:t>
        </w:r>
      </w:hyperlink>
    </w:p>
    <w:p>
      <w:pPr>
        <w:spacing w:before="0" w:after="80"/>
      </w:pPr>
      <w:r>
        <w:rPr>
          <w:i/>
          <w:sz w:val="20"/>
        </w:rPr>
        <w:t>EN: Reduced-order multi-particle model of lithium-ion batteries capturing electrochemical heterogeneity at subzero temperatures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5">
        <w:r>
          <w:rPr>
            <w:color w:val="1155CC"/>
            <w:u w:val="single"/>
          </w:rPr>
          <w:t>通过深层学习对偏斜分布进行偏斜分布,探索化学和催化</w:t>
        </w:r>
      </w:hyperlink>
    </w:p>
    <w:p>
      <w:pPr>
        <w:spacing w:before="0" w:after="80"/>
      </w:pPr>
      <w:r>
        <w:rPr>
          <w:i/>
          <w:sz w:val="20"/>
        </w:rPr>
        <w:t>EN: Exploring chemistry and catalysis by biasing skewed distributions via deep learning</w:t>
      </w:r>
    </w:p>
    <w:p>
      <w:pPr>
        <w:spacing w:before="0" w:after="120"/>
      </w:pPr>
      <w:r>
        <w:rPr>
          <w:b/>
        </w:rPr>
        <w:t xml:space="preserve">Source: </w:t>
      </w:r>
      <w:r>
        <w:t>Nature Communications</w:t>
      </w:r>
      <w:r>
        <w:t xml:space="preserve">    </w:t>
      </w:r>
      <w:r>
        <w:rPr>
          <w:b/>
        </w:rPr>
        <w:t xml:space="preserve">Pub date: </w:t>
      </w:r>
      <w:r>
        <w:t>2026-02-21 00:00:00+00:00</w:t>
      </w:r>
    </w:p>
    <w:p>
      <w:pPr>
        <w:spacing w:before="0" w:after="120"/>
      </w:pPr>
      <w:r>
        <w:rPr>
          <w:b/>
        </w:rPr>
        <w:t xml:space="preserve">Notes: </w:t>
      </w:r>
      <w:r>
        <w:t>abstract_source=nature_html</w:t>
      </w:r>
    </w:p>
    <w:p>
      <w:pPr>
        <w:spacing w:before="0" w:after="80" w:lineRule="auto" w:line="276"/>
      </w:pPr>
      <w:r>
        <w:rPr>
          <w:b/>
        </w:rPr>
        <w:t xml:space="preserve">摘要（ZH）: </w:t>
      </w:r>
      <w:r>
        <w:t>自动发现化学反应和催化反应仍然是计算化学方面的一大挑战,特别是在常规方法难以确定最佳搜索方向的复杂系统中。在这里,我们提议采用Loxo动力学,即一种机械学习驱动的方法,通过偏向分子动态进行反应探索。通过利用当地概率分布的扭曲性,Loxo动力学动态地决定了低能量屏障方向,有效地引导系统走向元化状态。我们框架的核心是Skewencoder,一个自动编码器,它以基于扭曲的损耗功能增强,从最小采样数据中提取反应坐标。通过迭接的采样和研究周期,该系统可适应地绘制自由能源表面的地图,卡图。</w:t>
      </w:r>
    </w:p>
    <w:p>
      <w:pPr>
        <w:spacing w:before="0" w:after="200" w:lineRule="auto" w:line="276"/>
      </w:pPr>
      <w:r>
        <w:rPr>
          <w:b/>
        </w:rPr>
        <w:t xml:space="preserve">Abstract (EN): </w:t>
      </w:r>
      <w:r>
        <w:t>The automated discovery of chemical and catalytic reactions remains a major challenge in computational chemistry, particularly in complex systems where conventional methods struggle to identify optimal searching directions. Here, we propose Loxodynamics, a machine-learning-driven approach for reaction exploration via biased molecular dynamics. By leveraging the skewness of local probability distributions, Loxodynamics dynamically determines low-energy barrier directions, efficiently guiding the system toward metastable states. The core of our framework is Skewencoder, an Autoencoder augmented with a skewness-based loss function that extracts reaction coordinates from minimal sampling data. Through iterative sample-and-search cycles, the system adaptively maps the free energy surface, capturing finite-temperature effects critical to complex reactive environments. We validate our method across model potentials, gas-phase reactions (SN 2 and Diels-Alder), and catalytic alcohol dehydration in acidic chabazite under operando conditions. Loxodynamics provides a systematic framework for reaction discovery that addresses key limitations of conventional techniques, notably by allowing acceleration without elevated temperatures or a priori knowledge of collective variables.</w:t>
      </w:r>
    </w:p>
    <w:p>
      <w:pPr>
        <w:spacing w:before="120" w:after="120"/>
      </w:pPr>
      <w:r>
        <w:rPr>
          <w:sz w:val="18"/>
        </w:rPr>
        <w:t>——————————————————————————————————————————————————————————————————————</w:t>
      </w:r>
    </w:p>
    <w:p>
      <w:pPr>
        <w:spacing w:before="160" w:after="40" w:line="240" w:lineRule="auto"/>
      </w:pPr>
      <w:r>
        <w:rPr>
          <w:b/>
        </w:rPr>
        <w:t xml:space="preserve">[18] </w:t>
      </w:r>
      <w:hyperlink r:id="rId26">
        <w:r>
          <w:rPr>
            <w:color w:val="1155CC"/>
            <w:u w:val="single"/>
          </w:rPr>
          <w:t>使用信息同位素对AI公司未经授权的培训数据进行审计后生成的内容</w:t>
        </w:r>
      </w:hyperlink>
    </w:p>
    <w:p>
      <w:pPr>
        <w:spacing w:before="0" w:after="80"/>
      </w:pPr>
      <w:r>
        <w:rPr>
          <w:i/>
          <w:sz w:val="20"/>
        </w:rPr>
        <w:t>EN: Auditing unauthorized training data from AI generated content using information isotopes</w:t>
      </w:r>
    </w:p>
    <w:p>
      <w:pPr>
        <w:spacing w:before="0" w:after="120"/>
      </w:pPr>
      <w:r>
        <w:rPr>
          <w:b/>
        </w:rPr>
        <w:t xml:space="preserve">Source: </w:t>
      </w:r>
      <w:r>
        <w:t>Nature Communications</w:t>
      </w:r>
      <w:r>
        <w:t xml:space="preserve">    </w:t>
      </w:r>
      <w:r>
        <w:rPr>
          <w:b/>
        </w:rPr>
        <w:t xml:space="preserve">Pub date: </w:t>
      </w:r>
      <w:r>
        <w:t>2026-02-21 00:00:00+00:00</w:t>
      </w:r>
    </w:p>
    <w:p>
      <w:pPr>
        <w:spacing w:before="0" w:after="120"/>
      </w:pPr>
      <w:r>
        <w:rPr>
          <w:b/>
        </w:rPr>
        <w:t xml:space="preserve">Notes: </w:t>
      </w:r>
      <w:r>
        <w:t>abstract_source=nature_html</w:t>
      </w:r>
    </w:p>
    <w:p>
      <w:pPr>
        <w:spacing w:before="0" w:after="80" w:lineRule="auto" w:line="276"/>
      </w:pPr>
      <w:r>
        <w:rPr>
          <w:b/>
        </w:rPr>
        <w:t xml:space="preserve">摘要（ZH）: </w:t>
      </w:r>
      <w:r>
        <w:t>大规模人类数据推动了AI系统的迅速增长,使人们更加关切在示范培训期间未经授权使用知识产权和对隐私敏感的内容。审计这种滥用尤其具有挑战性,因为主流AI服务作为黑箱运作,暴露的只是产生的产出,同时掩盖其培训和推论过程。在这项工作中,在化学同位素追踪的启发下,我们引入了信息同位素概念,以便在不透明的AI系统中追踪培训数据。我们提出了一个信息同位素追踪框架,有选择地标出目标数据要素,并在模型产出中检测其传播情况,提供在黑箱访问下利用数据的具体证据。</w:t>
      </w:r>
    </w:p>
    <w:p>
      <w:pPr>
        <w:spacing w:before="0" w:after="200" w:lineRule="auto" w:line="276"/>
      </w:pPr>
      <w:r>
        <w:rPr>
          <w:b/>
        </w:rPr>
        <w:t xml:space="preserve">Abstract (EN): </w:t>
      </w:r>
      <w:r>
        <w:t>The rapid growth of AI systems has been fueled by large-scale human data, intensifying concerns over the unauthorized use of intellectual property and privacy-sensitive content during model training. Auditing such misuse is particularly challenging since mainstream AI services operate as black boxes, exposing only generated outputs while concealing their training and inference processes. In this work, inspired by chemical isotope tracing, we introduce the concept of information isotopes to trace training data within opaque AI systems. We propose an information-isotope tracing framework that selectively marks target data elements and detects their propagation in model outputs, providing concrete evidence of data utilization under black-box access. Experiments on thirteen AI models across six datasets demonstrate that our method distinguishes training from non-training data with up to 99% accuracy and strong statistical significance (p</w:t>
      </w:r>
    </w:p>
    <w:p>
      <w:pPr>
        <w:spacing w:before="120" w:after="120"/>
      </w:pPr>
      <w:r>
        <w:rPr>
          <w:sz w:val="18"/>
        </w:rPr>
        <w:t>——————————————————————————————————————————————————————————————————————</w:t>
      </w:r>
    </w:p>
    <w:p>
      <w:pPr>
        <w:spacing w:before="160" w:after="40" w:line="240" w:lineRule="auto"/>
      </w:pPr>
      <w:r>
        <w:rPr>
          <w:b/>
        </w:rPr>
        <w:t xml:space="preserve">[19] </w:t>
      </w:r>
      <w:hyperlink r:id="rId27">
        <w:r>
          <w:rPr>
            <w:color w:val="1155CC"/>
            <w:u w:val="single"/>
          </w:rPr>
          <w:t>尼泊尔家庭烹饪:经济分析</w:t>
        </w:r>
      </w:hyperlink>
    </w:p>
    <w:p>
      <w:pPr>
        <w:spacing w:before="0" w:after="80"/>
      </w:pPr>
      <w:r>
        <w:rPr>
          <w:i/>
          <w:sz w:val="20"/>
        </w:rPr>
        <w:t>EN: Household cooking in Nepal: An economic analysis</w:t>
      </w:r>
    </w:p>
    <w:p>
      <w:pPr>
        <w:spacing w:before="0" w:after="120"/>
      </w:pPr>
      <w:r>
        <w:rPr>
          <w:b/>
        </w:rPr>
        <w:t xml:space="preserve">Source: </w:t>
      </w:r>
      <w:r>
        <w:t>ScienceDirect Publication: Energy Policy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8">
        <w:r>
          <w:rPr>
            <w:color w:val="1155CC"/>
            <w:u w:val="single"/>
          </w:rPr>
          <w:t>评估对冰岛输电和配电系统充电电池-电力HDDV的影响评估</w:t>
        </w:r>
      </w:hyperlink>
    </w:p>
    <w:p>
      <w:pPr>
        <w:spacing w:before="0" w:after="80"/>
      </w:pPr>
      <w:r>
        <w:rPr>
          <w:i/>
          <w:sz w:val="20"/>
        </w:rPr>
        <w:t>EN: Impact assessment of battery-electric HDVs charging loads on the transmission and distribution system in Iceland</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29">
        <w:r>
          <w:rPr>
            <w:color w:val="1155CC"/>
            <w:u w:val="single"/>
          </w:rPr>
          <w:t>台风对近海风力农场60年来台风引发的影响:对抗御能力的全面高分辨率评价</w:t>
        </w:r>
      </w:hyperlink>
    </w:p>
    <w:p>
      <w:pPr>
        <w:spacing w:before="0" w:after="80"/>
      </w:pPr>
      <w:r>
        <w:rPr>
          <w:i/>
          <w:sz w:val="20"/>
        </w:rPr>
        <w:t>EN: 60 years of typhoon-induced impacts on offshore wind farms: A holistic high-resolution evaluation of resilience</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0">
        <w:r>
          <w:rPr>
            <w:color w:val="1155CC"/>
            <w:u w:val="single"/>
          </w:rPr>
          <w:t>在HVAC系统中进行轻重量和自动发现故障和诊断的自监督学习</w:t>
        </w:r>
      </w:hyperlink>
    </w:p>
    <w:p>
      <w:pPr>
        <w:spacing w:before="0" w:after="80"/>
      </w:pPr>
      <w:r>
        <w:rPr>
          <w:i/>
          <w:sz w:val="20"/>
        </w:rPr>
        <w:t>EN: Contrastive self-supervised learning for lightweight and automated fault detection and diagnosis in HVAC systems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1">
        <w:r>
          <w:rPr>
            <w:color w:val="1155CC"/>
            <w:u w:val="single"/>
          </w:rPr>
          <w:t>对微型电网中分配的能源资源进行具有攻击抗力和通信高效的分布式二级控制:方法和行内硬件验证</w:t>
        </w:r>
      </w:hyperlink>
    </w:p>
    <w:p>
      <w:pPr>
        <w:spacing w:before="0" w:after="80"/>
      </w:pPr>
      <w:r>
        <w:rPr>
          <w:i/>
          <w:sz w:val="20"/>
        </w:rPr>
        <w:t>EN: Attack-resilient and communication-efficient distributed secondary control of distributed energy resources in microgrids: Methods and hardware-in-the-loop validations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2">
        <w:r>
          <w:rPr>
            <w:color w:val="1155CC"/>
            <w:u w:val="single"/>
          </w:rPr>
          <w:t>系统综合地面太阳辐照预报的天空图像增强技术</w:t>
        </w:r>
      </w:hyperlink>
    </w:p>
    <w:p>
      <w:pPr>
        <w:spacing w:before="0" w:after="80"/>
      </w:pPr>
      <w:r>
        <w:rPr>
          <w:i/>
          <w:sz w:val="20"/>
        </w:rPr>
        <w:t>EN: A systematic synthesis of sky image enhancement techniques for ground-based solar irradiance forecasting</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3">
        <w:r>
          <w:rPr>
            <w:color w:val="1155CC"/>
            <w:u w:val="single"/>
          </w:rPr>
          <w:t>有活性物质损失的利离电池电池的电热利用模型</w:t>
        </w:r>
      </w:hyperlink>
    </w:p>
    <w:p>
      <w:pPr>
        <w:spacing w:before="0" w:after="80"/>
      </w:pPr>
      <w:r>
        <w:rPr>
          <w:i/>
          <w:sz w:val="20"/>
        </w:rPr>
        <w:t>EN: Electro-thermal-aging modeling of Li-ion batteries with active-material loss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4">
        <w:r>
          <w:rPr>
            <w:color w:val="1155CC"/>
            <w:u w:val="single"/>
          </w:rPr>
          <w:t>为明确需求回应提供可再生能源枢纽和热水准备的可再生能源中心作出最优化的日头日程安排</w:t>
        </w:r>
      </w:hyperlink>
    </w:p>
    <w:p>
      <w:pPr>
        <w:spacing w:before="0" w:after="80"/>
      </w:pPr>
      <w:r>
        <w:rPr>
          <w:i/>
          <w:sz w:val="20"/>
        </w:rPr>
        <w:t>EN: Optimal day-ahead scheduling for explicit demand response provision of a renewable energy hub with hot water preparation</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[27] </w:t>
      </w:r>
      <w:hyperlink r:id="rId35">
        <w:r>
          <w:rPr>
            <w:color w:val="1155CC"/>
            <w:u w:val="single"/>
          </w:rPr>
          <w:t>高性能锂/钠离电电电电电极:机制、进步和未来前景</w:t>
        </w:r>
      </w:hyperlink>
    </w:p>
    <w:p>
      <w:pPr>
        <w:spacing w:before="0" w:after="80"/>
      </w:pPr>
      <w:r>
        <w:rPr>
          <w:i/>
          <w:sz w:val="20"/>
        </w:rPr>
        <w:t>EN: Defect engineering for high-performance lithium/sodium-ion capacitor electrodes: mechanisms, advances, and future perspectives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 </w:t>
      </w:r>
      <w:hyperlink r:id="rId36">
        <w:r>
          <w:rPr>
            <w:color w:val="1155CC"/>
            <w:u w:val="single"/>
          </w:rPr>
          <w:t>电价投入方法对经济优化模式的影响:芬兰地区供热热热能储存案例研究</w:t>
        </w:r>
      </w:hyperlink>
    </w:p>
    <w:p>
      <w:pPr>
        <w:spacing w:before="0" w:after="80"/>
      </w:pPr>
      <w:r>
        <w:rPr>
          <w:i/>
          <w:sz w:val="20"/>
        </w:rPr>
        <w:t>EN: Impact of electricity price input methods on economic optimisation models: A case study of district heating thermal energy storage in Finland</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 </w:t>
      </w:r>
      <w:hyperlink r:id="rId37">
        <w:r>
          <w:rPr>
            <w:color w:val="1155CC"/>
            <w:u w:val="single"/>
          </w:rPr>
          <w:t>模拟联合王国使用氢解碳化对空气质量的影响</w:t>
        </w:r>
      </w:hyperlink>
    </w:p>
    <w:p>
      <w:pPr>
        <w:spacing w:before="0" w:after="80"/>
      </w:pPr>
      <w:r>
        <w:rPr>
          <w:i/>
          <w:sz w:val="20"/>
        </w:rPr>
        <w:t>EN: Modelling UK air quality implications of decarbonisation using hydrogen</w:t>
      </w:r>
    </w:p>
    <w:p>
      <w:pPr>
        <w:spacing w:before="0" w:after="120"/>
      </w:pPr>
      <w:r>
        <w:rPr>
          <w:b/>
        </w:rPr>
        <w:t xml:space="preserve">Source: </w:t>
      </w:r>
      <w:r>
        <w:t>ScienceDirect Publication: Energy Policy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 </w:t>
      </w:r>
      <w:hyperlink r:id="rId38">
        <w:r>
          <w:rPr>
            <w:color w:val="1155CC"/>
            <w:u w:val="single"/>
          </w:rPr>
          <w:t>光伏发电退化的气候驱动因素:区域变异性和物质途径</w:t>
        </w:r>
      </w:hyperlink>
    </w:p>
    <w:p>
      <w:pPr>
        <w:spacing w:before="0" w:after="80"/>
      </w:pPr>
      <w:r>
        <w:rPr>
          <w:i/>
          <w:sz w:val="20"/>
        </w:rPr>
        <w:t>EN: Climate drivers of photovoltaic degradation: Regional variability and material pathways</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 </w:t>
      </w:r>
      <w:hyperlink r:id="rId39">
        <w:r>
          <w:rPr>
            <w:color w:val="1155CC"/>
            <w:u w:val="single"/>
          </w:rPr>
          <w:t>能源独立和经济复原力</w:t>
        </w:r>
      </w:hyperlink>
    </w:p>
    <w:p>
      <w:pPr>
        <w:spacing w:before="0" w:after="80"/>
      </w:pPr>
      <w:r>
        <w:rPr>
          <w:i/>
          <w:sz w:val="20"/>
        </w:rPr>
        <w:t>EN: Energy independence and economic resilience</w:t>
      </w:r>
    </w:p>
    <w:p>
      <w:pPr>
        <w:spacing w:before="0" w:after="120"/>
      </w:pPr>
      <w:r>
        <w:rPr>
          <w:b/>
        </w:rPr>
        <w:t xml:space="preserve">Source: </w:t>
      </w:r>
      <w:r>
        <w:t>ScienceDirect Publication: Energy Policy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 </w:t>
      </w:r>
      <w:hyperlink r:id="rId40">
        <w:r>
          <w:rPr>
            <w:color w:val="1155CC"/>
            <w:u w:val="single"/>
          </w:rPr>
          <w:t>以P2P交易方式协调规划多能源微电微电网的协调稳健规划:基于差异的不平等分配办法</w:t>
        </w:r>
      </w:hyperlink>
    </w:p>
    <w:p>
      <w:pPr>
        <w:spacing w:before="0" w:after="80"/>
      </w:pPr>
      <w:r>
        <w:rPr>
          <w:i/>
          <w:sz w:val="20"/>
        </w:rPr>
        <w:t>EN: Coordinated robust planning of multi-energy microgrids with P2P trading: A variational inequality based distributed approach</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 </w:t>
      </w:r>
      <w:hyperlink r:id="rId41">
        <w:r>
          <w:rPr>
            <w:color w:val="1155CC"/>
            <w:u w:val="single"/>
          </w:rPr>
          <w:t>固体氧化物电池短堆中空间溶解诊断-纯氢操作下的多抽样分析</w:t>
        </w:r>
      </w:hyperlink>
    </w:p>
    <w:p>
      <w:pPr>
        <w:spacing w:before="0" w:after="80"/>
      </w:pPr>
      <w:r>
        <w:rPr>
          <w:i/>
          <w:sz w:val="20"/>
        </w:rPr>
        <w:t>EN: Spatially resolved diagnostic in solid oxide cell short stack – multisampling analysis under pure hydrogen operation</w:t>
      </w:r>
    </w:p>
    <w:p>
      <w:pPr>
        <w:spacing w:before="0" w:after="120"/>
      </w:pPr>
      <w:r>
        <w:rPr>
          <w:b/>
        </w:rPr>
        <w:t xml:space="preserve">Source: </w:t>
      </w:r>
      <w:r>
        <w:t>ScienceDirect Publication: Applied Energy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[34] </w:t>
      </w:r>
      <w:hyperlink r:id="rId42">
        <w:r>
          <w:rPr>
            <w:color w:val="1155CC"/>
            <w:u w:val="single"/>
          </w:rPr>
          <w:t>超越领导人和落后者:现任者如何领导变革政策任务</w:t>
        </w:r>
      </w:hyperlink>
    </w:p>
    <w:p>
      <w:pPr>
        <w:spacing w:before="0" w:after="80"/>
      </w:pPr>
      <w:r>
        <w:rPr>
          <w:i/>
          <w:sz w:val="20"/>
        </w:rPr>
        <w:t>EN: Beyond leaders and laggards: How incumbents navigate transformative policy missions</w:t>
      </w:r>
    </w:p>
    <w:p>
      <w:pPr>
        <w:spacing w:before="0" w:after="120"/>
      </w:pPr>
      <w:r>
        <w:rPr>
          <w:b/>
        </w:rPr>
        <w:t xml:space="preserve">Source: </w:t>
      </w:r>
      <w:r>
        <w:t>ScienceDirect Publication: Energy Policy</w:t>
      </w:r>
      <w:r>
        <w:t xml:space="preserve">    </w:t>
      </w:r>
      <w:r>
        <w:rPr>
          <w:b/>
        </w:rPr>
        <w:t xml:space="preserve">Pub date: </w:t>
      </w:r>
      <w:r>
        <w:t>2026-02-21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[35] </w:t>
      </w:r>
      <w:hyperlink r:id="rId43">
        <w:r>
          <w:rPr>
            <w:color w:val="1155CC"/>
            <w:u w:val="single"/>
          </w:rPr>
          <w:t>具有长期稳定力的可伸张力强的治疗创伤激励力的可伸缩的湿质热电发电机</w:t>
        </w:r>
      </w:hyperlink>
    </w:p>
    <w:p>
      <w:pPr>
        <w:spacing w:before="0" w:after="80"/>
      </w:pPr>
      <w:r>
        <w:rPr>
          <w:i/>
          <w:sz w:val="20"/>
        </w:rPr>
        <w:t>EN: Scalable Hygroscopic Moisture‐Electric Generator With Long‐Term Stability for Self‐Powered Wound‐Healing Stimulation</w:t>
      </w:r>
    </w:p>
    <w:p>
      <w:pPr>
        <w:spacing w:before="0" w:after="120"/>
      </w:pPr>
      <w:r>
        <w:rPr>
          <w:b/>
        </w:rPr>
        <w:t xml:space="preserve">Source: </w:t>
      </w:r>
      <w:r>
        <w:t>Wiley: Advanced Materials: Table of Contents</w:t>
      </w:r>
      <w:r>
        <w:t xml:space="preserve">    </w:t>
      </w:r>
      <w:r>
        <w:rPr>
          <w:b/>
        </w:rPr>
        <w:t xml:space="preserve">Pub date: </w:t>
      </w:r>
      <w:r>
        <w:t>2026-02-21 08:44:58+00:00</w:t>
      </w:r>
      <w:r>
        <w:t xml:space="preserve">    </w:t>
      </w:r>
      <w:r>
        <w:rPr>
          <w:b/>
        </w:rPr>
        <w:t xml:space="preserve">DOI: </w:t>
      </w:r>
      <w:hyperlink r:id="rId44">
        <w:r>
          <w:rPr>
            <w:color w:val="1155CC"/>
            <w:u w:val="single"/>
          </w:rPr>
          <w:t>10.1002/adma.202523315</w:t>
        </w:r>
      </w:hyperlink>
    </w:p>
    <w:p>
      <w:pPr>
        <w:spacing w:before="0" w:after="120"/>
      </w:pPr>
      <w:r>
        <w:rPr>
          <w:b/>
        </w:rPr>
        <w:t xml:space="preserve">Notes: </w:t>
      </w:r>
      <w:r>
        <w:t>abstract_source=crossref</w:t>
      </w:r>
    </w:p>
    <w:p>
      <w:pPr>
        <w:spacing w:before="0" w:after="80" w:lineRule="auto" w:line="276"/>
      </w:pPr>
      <w:r>
        <w:rPr>
          <w:b/>
        </w:rPr>
        <w:t xml:space="preserve">摘要（ZH）: </w:t>
      </w:r>
      <w:r>
        <w:t>对可持续能源解决方案的需求不断增长,增加了人们对环境能源采集器的兴趣,环境能源采集器能够在不同的环境条件下持续运行。在这里,我们报告有一个湿质湿湿水发电发电机(HMEG),通过由混合硅石和氯化钙构成的不对称结构,实现长期、自我维持的发电。将湿质材料纳入穿孔硬币体结构中,能够进行方向湿度迁移和持久性离子梯度,产生0.55V的稳定的开路电压和74 μA的短路电流,30天,相对湿度为50%。该装置提供的最大电密度为3.582 μW cm。</w:t>
      </w:r>
    </w:p>
    <w:p>
      <w:pPr>
        <w:spacing w:before="0" w:after="200" w:lineRule="auto" w:line="276"/>
      </w:pPr>
      <w:r>
        <w:rPr>
          <w:b/>
        </w:rPr>
        <w:t xml:space="preserve">Abstract (EN): </w:t>
      </w:r>
      <w:r>
        <w:t>The growing demand for sustainable energy solutions has increased interest in ambient energy harvesters capable of continuous operation under diverse environmental conditions. Here, we report a hygroscopic moisture‐electric generator (HMEG) that achieves long‐term, self‐sustained power generation through an asymmetric architecture composed of montmorillonite and calcium chloride. The integration of hygroscopic materials within a perforated coin‐cell structure enables directional moisture transport and persistent ionic gradients, producing a stable open‐circuit voltage of 0.55 V and a short‐circuit current of 74 µA for 30 days at 50% relative humidity. The device delivers a maximum power density of 3.582 µW cm</w:t>
      </w:r>
      <w:r>
        <w:t xml:space="preserve"> </w:t>
      </w:r>
      <w:r>
        <w:t>−</w:t>
      </w:r>
      <w:r>
        <w:rPr>
          <w:vertAlign w:val="subscript"/>
        </w:rPr>
        <w:t>2</w:t>
      </w:r>
      <w:r>
        <w:t>and exhibits strong scalability, with a large‐area HMEG (7 × 7 cm</w:t>
      </w:r>
      <w:r>
        <w:rPr>
          <w:vertAlign w:val="subscript"/>
        </w:rPr>
        <w:t>2</w:t>
      </w:r>
      <w:r>
        <w:t>) producing 0.64 V and 816 µA for three days. A ten‐unit array further outputs 5.5 V and 670 µA, confirming modular energy‐harvesting capability. Beyond power generation, a single HMEG enabled in vitro electrical stimulation of L929 fibroblast cells, enhancing wound‐healing‐related behaviors. The stimulated group showed a 152% increase in cell‐covered area on day 3 and 241% on day 5, along with elevated metabolic activity (32.1% and 23.4%). These results establish a durable and biocompatible platform linking moisture‐driven energy harvesting with regenerative bioelectronics.</w:t>
      </w:r>
    </w:p>
    <w:p>
      <w:pPr>
        <w:spacing w:before="120" w:after="120"/>
      </w:pPr>
      <w:r>
        <w:rPr>
          <w:sz w:val="18"/>
        </w:rPr>
        <w:t>——————————————————————————————————————————————————————————————————————</w:t>
      </w:r>
    </w:p>
    <w:p>
      <w:pPr>
        <w:spacing w:before="160" w:after="40" w:line="240" w:lineRule="auto"/>
      </w:pPr>
      <w:r>
        <w:rPr>
          <w:b/>
        </w:rPr>
        <w:t xml:space="preserve">[36] </w:t>
      </w:r>
      <w:hyperlink r:id="rId45">
        <w:r>
          <w:rPr>
            <w:color w:val="1155CC"/>
            <w:u w:val="single"/>
          </w:rPr>
          <w:t>利用共效有机框架重新确定高能锌电池的分离器设计和水活动</w:t>
        </w:r>
      </w:hyperlink>
    </w:p>
    <w:p>
      <w:pPr>
        <w:spacing w:before="0" w:after="80"/>
      </w:pPr>
      <w:r>
        <w:rPr>
          <w:i/>
          <w:sz w:val="20"/>
        </w:rPr>
        <w:t>EN: Redefining Separator Design and Water Activity for High‐Energy Zinc Batteries Using Covalent Organic Framework</w:t>
      </w:r>
    </w:p>
    <w:p>
      <w:pPr>
        <w:spacing w:before="0" w:after="120"/>
      </w:pPr>
      <w:r>
        <w:rPr>
          <w:b/>
        </w:rPr>
        <w:t xml:space="preserve">Source: </w:t>
      </w:r>
      <w:r>
        <w:t>Wiley: Advanced Materials: Table of Contents</w:t>
      </w:r>
      <w:r>
        <w:t xml:space="preserve">    </w:t>
      </w:r>
      <w:r>
        <w:rPr>
          <w:b/>
        </w:rPr>
        <w:t xml:space="preserve">Pub date: </w:t>
      </w:r>
      <w:r>
        <w:t>2026-02-21 08:47:09+00:00</w:t>
      </w:r>
      <w:r>
        <w:t xml:space="preserve">    </w:t>
      </w:r>
      <w:r>
        <w:rPr>
          <w:b/>
        </w:rPr>
        <w:t xml:space="preserve">DOI: </w:t>
      </w:r>
      <w:hyperlink r:id="rId46">
        <w:r>
          <w:rPr>
            <w:color w:val="1155CC"/>
            <w:u w:val="single"/>
          </w:rPr>
          <w:t>10.1002/adma.202523580</w:t>
        </w:r>
      </w:hyperlink>
    </w:p>
    <w:p>
      <w:pPr>
        <w:spacing w:before="0" w:after="120"/>
      </w:pPr>
      <w:r>
        <w:rPr>
          <w:b/>
        </w:rPr>
        <w:t xml:space="preserve">Notes: </w:t>
      </w:r>
      <w:r>
        <w:t>abstract_source=crossref</w:t>
      </w:r>
    </w:p>
    <w:p>
      <w:pPr>
        <w:spacing w:before="0" w:after="80" w:lineRule="auto" w:line="276"/>
      </w:pPr>
      <w:r>
        <w:rPr>
          <w:b/>
        </w:rPr>
        <w:t xml:space="preserve">摘要（ZH）: </w:t>
      </w:r>
      <w:r>
        <w:t>尽管锌金属电池具有天然丰度、安全和可持续性等吸引物,但普遍采用锌金属电池受到关键和未得到充分探索的限制的阻碍:设备本身的能量密度低;尽管先前的研究已优先稳定锌阳极以抑制脱晶,但实际的能量密度仍受控制装置质量和体积的过度非活动部件(分离器、电解解器)的限制。</w:t>
      </w:r>
    </w:p>
    <w:p>
      <w:pPr>
        <w:spacing w:before="0" w:after="200" w:lineRule="auto" w:line="276"/>
      </w:pPr>
      <w:r>
        <w:rPr>
          <w:b/>
        </w:rPr>
        <w:t xml:space="preserve">Abstract (EN): </w:t>
      </w:r>
      <w:r>
        <w:t>Despite zinc metal batteries offering attractions such as natural abundance, safety, and sustainability, their widespread adoption is hindered by a critical, underexplored limitation: intrinsically low device‐level energy density. While previous research has prioritized stabilizing zinc anodes to suppress dendrites, practical energy densities remain constrained by excessive inactive components (separators, electrolytes) that dominate device mass and volume. Conventional strategies, such as cell upscaling, exacerbate this issue by necessitating surplus electrolyte, leading to inflated electrolyte to capacity ratios (&amp;gt; 10 g Ah</w:t>
      </w:r>
      <w:r>
        <w:t xml:space="preserve"> </w:t>
      </w:r>
      <w:r>
        <w:t>−1</w:t>
      </w:r>
      <w:r>
        <w:t xml:space="preserve"> </w:t>
      </w:r>
      <w:r>
        <w:t>) and poor specific/volumetric energy metrics (e.g., ∼5 Wh kg</w:t>
      </w:r>
      <w:r>
        <w:t xml:space="preserve"> </w:t>
      </w:r>
      <w:r>
        <w:t>−1</w:t>
      </w:r>
      <w:r>
        <w:t xml:space="preserve"> </w:t>
      </w:r>
      <w:r>
        <w:t>). Current reporting practices, focusing on Ah or idealized active‐material metrics, further obscure true performance, masking the urgent need for holistic design innovations. Crucially, lean‐electrolyte operation, essential for high energy density, introduces unaddressed challenges like interfacial water depletion and activity mismanagement. This work bridges this gap by systematically unraveling failure mechanisms under lean conditions and pioneering a functional separator that optimizes water management and ion transport. By redefining hydrogen‐bonding networks to mitigate water consumption and enable rapid infiltration, the developed COF@PAN separator achieves unprecedented energy densities (54.0 Wh kg</w:t>
      </w:r>
      <w:r>
        <w:t xml:space="preserve"> </w:t>
      </w:r>
      <w:r>
        <w:t>−1</w:t>
      </w:r>
      <w:r>
        <w:t xml:space="preserve"> </w:t>
      </w:r>
      <w:r>
        <w:t>, 185.3 Wh L</w:t>
      </w:r>
      <w:r>
        <w:t xml:space="preserve"> </w:t>
      </w:r>
      <w:r>
        <w:t>−1</w:t>
      </w:r>
      <w:r>
        <w:t xml:space="preserve"> </w:t>
      </w:r>
      <w:r>
        <w:t>) and cycle stability (over 800 cycles) in practical pouch cells. These insights and designs advance Zn metal batteries beyond lab‐scale promises, positioning them as viable contenders for energy‐dense, real‐world applications.</w:t>
      </w:r>
    </w:p>
    <w:p>
      <w:pPr>
        <w:spacing w:before="120" w:after="120"/>
      </w:pPr>
      <w:r>
        <w:rPr>
          <w:sz w:val="18"/>
        </w:rPr>
        <w:t>——————————————————————————————————————————————————————————————————————</w:t>
      </w:r>
    </w:p>
    <w:p>
      <w:pPr>
        <w:spacing w:before="160" w:after="40" w:line="240" w:lineRule="auto"/>
      </w:pPr>
      <w:r>
        <w:rPr>
          <w:b/>
        </w:rPr>
        <w:t xml:space="preserve">[37] </w:t>
      </w:r>
      <w:hyperlink r:id="rId47">
        <w:r>
          <w:rPr>
            <w:color w:val="1155CC"/>
            <w:u w:val="single"/>
          </w:rPr>
          <w:t>利用Zn2-Zc-Accquend 动态量性氢气龙头网络极端温度操作解决Zn-Ion电池的防冻/自助贸易问题</w:t>
        </w:r>
      </w:hyperlink>
    </w:p>
    <w:p>
      <w:pPr>
        <w:spacing w:before="0" w:after="80"/>
      </w:pPr>
      <w:r>
        <w:rPr>
          <w:i/>
          <w:sz w:val="20"/>
        </w:rPr>
        <w:t>EN: Resolving the Anti‐freezing/Self‐healing Trade‐off in Zn‐Ion Batteries with a Zn2+‐Anchored Dynamic Quaternary Hydrogen‐Bond Network for Extreme‐Temperature Operation</w:t>
      </w:r>
    </w:p>
    <w:p>
      <w:pPr>
        <w:spacing w:before="0" w:after="120"/>
      </w:pPr>
      <w:r>
        <w:rPr>
          <w:b/>
        </w:rPr>
        <w:t xml:space="preserve">Source: </w:t>
      </w:r>
      <w:r>
        <w:t>Wiley: Advanced Energy Materials: Table of Contents</w:t>
      </w:r>
      <w:r>
        <w:t xml:space="preserve">    </w:t>
      </w:r>
      <w:r>
        <w:rPr>
          <w:b/>
        </w:rPr>
        <w:t xml:space="preserve">Pub date: </w:t>
      </w:r>
      <w:r>
        <w:t>2026-02-21 08:47:25+00:00</w:t>
      </w:r>
      <w:r>
        <w:t xml:space="preserve">    </w:t>
      </w:r>
      <w:r>
        <w:rPr>
          <w:b/>
        </w:rPr>
        <w:t xml:space="preserve">DOI: </w:t>
      </w:r>
      <w:hyperlink r:id="rId48">
        <w:r>
          <w:rPr>
            <w:color w:val="1155CC"/>
            <w:u w:val="single"/>
          </w:rPr>
          <w:t>10.1002/aenm.202506522</w:t>
        </w:r>
      </w:hyperlink>
    </w:p>
    <w:p>
      <w:pPr>
        <w:spacing w:before="0" w:after="120"/>
      </w:pPr>
      <w:r>
        <w:rPr>
          <w:b/>
        </w:rPr>
        <w:t xml:space="preserve">Notes: </w:t>
      </w:r>
      <w:r>
        <w:t>abstract_source=crossref</w:t>
      </w:r>
    </w:p>
    <w:p>
      <w:pPr>
        <w:spacing w:before="0" w:after="80" w:lineRule="auto" w:line="276"/>
      </w:pPr>
      <w:r>
        <w:rPr>
          <w:b/>
        </w:rPr>
        <w:t xml:space="preserve">摘要（ZH）: </w:t>
      </w:r>
      <w:r>
        <w:t>水锌-锌电池的商业化受到一个基本悖论的阻碍:具有防冻特性的电解解槽通常缺乏自愈能力,反之亦然。在这里,我们通过在电解解槽内设计一个协同网络的巧妙设计,将这一交换方法分离出来。这个网络由作为硬锚的Zn 2+协调加以管理,同时有一个动态的四氟氢苯(HB)网络,包括甘油、ClO 4 - 、水和聚丙烯化物作为灵活的桥梁。在这个配置中,Zn 2+协调和密度氢联结是强大的Zn 2+。</w:t>
      </w:r>
    </w:p>
    <w:p>
      <w:pPr>
        <w:spacing w:before="0" w:after="200" w:lineRule="auto" w:line="276"/>
      </w:pPr>
      <w:r>
        <w:rPr>
          <w:b/>
        </w:rPr>
        <w:t xml:space="preserve">Abstract (EN): </w:t>
      </w:r>
      <w:r>
        <w:t>The commercialization of aqueous zinc‐ion batteries is hampered by a fundamental paradox: electrolytes with anti‐freezing properties typically lack self‐healing capability, and vice versa. Herein, we decouple this trade‐off through the ingenious design of a synergistic network within a eutectogel electrolyte. This network is governed by strong Zn</w:t>
      </w:r>
      <w:r>
        <w:t xml:space="preserve"> </w:t>
      </w:r>
      <w:r>
        <w:t>2+</w:t>
      </w:r>
      <w:r>
        <w:t xml:space="preserve"> </w:t>
      </w:r>
      <w:r>
        <w:t>coordination acting as rigid anchors, coupled with a dynamic quaternary hydrogen‐bond (HB) network involving glycerol, ClO</w:t>
      </w:r>
      <w:r>
        <w:rPr>
          <w:vertAlign w:val="subscript"/>
        </w:rPr>
        <w:t>4</w:t>
      </w:r>
      <w:r>
        <w:t>−</w:t>
      </w:r>
      <w:r>
        <w:t>, water, and polyacrylamide serving as flexible bridges. In this configuration, the strong Zn</w:t>
      </w:r>
      <w:r>
        <w:t xml:space="preserve"> </w:t>
      </w:r>
      <w:r>
        <w:t>2+</w:t>
      </w:r>
      <w:r>
        <w:t xml:space="preserve"> </w:t>
      </w:r>
      <w:r>
        <w:t>coordination and dense hydrogen bonds synergistically inhibit ice lattice formation to ensure anti‐freezing, while the reversible hydrogen bonds enable dynamic molecular reconfiguration for self‐healing. The resulting gel remains ice‐free at −75°C and self‐heals within 10 min even at −20°C. Concurrently, this unique structure reconstructs the Zn</w:t>
      </w:r>
      <w:r>
        <w:t xml:space="preserve"> </w:t>
      </w:r>
      <w:r>
        <w:t>2+</w:t>
      </w:r>
      <w:r>
        <w:t xml:space="preserve"> </w:t>
      </w:r>
      <w:r>
        <w:t>solvation sheath, significantly reducing the water coordination number from 3.65 to 2.62, which effectively suppresses water‐induced parasitic reactions. Coupled with robust in situ interfacial engineering, the assembled battery exhibits a high specific capacity and exceptional cycling stability (97.0% capacity retention after 1000 cycles at 5 A g</w:t>
      </w:r>
      <w:r>
        <w:t xml:space="preserve"> </w:t>
      </w:r>
      <w:r>
        <w:t>−1</w:t>
      </w:r>
      <w:r>
        <w:t xml:space="preserve"> </w:t>
      </w:r>
      <w:r>
        <w:t>) over a wide temperature range of 80°C (−20°C–60°C). This work not only provides a high‐performance electrolyte for practical zinc batteries but also establishes an innovative design paradigm for resolving property conflicts in advanced functional materials.</w:t>
      </w:r>
    </w:p>
    <w:p>
      <w:pPr>
        <w:spacing w:before="120" w:after="120"/>
      </w:pPr>
      <w:r>
        <w:rPr>
          <w:sz w:val="18"/>
        </w:rPr>
        <w:t>——————————————————————————————————————————————————————————————————————</w:t>
      </w:r>
    </w:p>
    <w:p>
      <w:pPr>
        <w:spacing w:before="160" w:after="40" w:line="240" w:lineRule="auto"/>
      </w:pPr>
      <w:r>
        <w:rPr>
          <w:b/>
        </w:rPr>
        <w:t xml:space="preserve">[38] </w:t>
      </w:r>
      <w:hyperlink r:id="rId49">
        <w:r>
          <w:rPr>
            <w:color w:val="1155CC"/>
            <w:u w:val="single"/>
          </w:rPr>
          <w:t>Akenol和Mg(OH)2</w:t>
        </w:r>
      </w:hyperlink>
    </w:p>
    <w:p>
      <w:pPr>
        <w:spacing w:before="0" w:after="80"/>
      </w:pPr>
      <w:r>
        <w:rPr>
          <w:i/>
          <w:sz w:val="20"/>
        </w:rPr>
        <w:t>EN: Proton Sponge Tailoring of Interfacial H‐Bond Networks Enables Seawater Electrosynthesis for Concomitant Alkenol and Mg(OH)2</w:t>
      </w:r>
    </w:p>
    <w:p>
      <w:pPr>
        <w:spacing w:before="0" w:after="120"/>
      </w:pPr>
      <w:r>
        <w:rPr>
          <w:b/>
        </w:rPr>
        <w:t xml:space="preserve">Source: </w:t>
      </w:r>
      <w:r>
        <w:t>Wiley: Advanced Materials: Table of Contents</w:t>
      </w:r>
      <w:r>
        <w:t xml:space="preserve">    </w:t>
      </w:r>
      <w:r>
        <w:rPr>
          <w:b/>
        </w:rPr>
        <w:t xml:space="preserve">Pub date: </w:t>
      </w:r>
      <w:r>
        <w:t>2026-02-21 08:48:22+00:00</w:t>
      </w:r>
      <w:r>
        <w:t xml:space="preserve">    </w:t>
      </w:r>
      <w:r>
        <w:rPr>
          <w:b/>
        </w:rPr>
        <w:t xml:space="preserve">DOI: </w:t>
      </w:r>
      <w:hyperlink r:id="rId50">
        <w:r>
          <w:rPr>
            <w:color w:val="1155CC"/>
            <w:u w:val="single"/>
          </w:rPr>
          <w:t>10.1002/adma.72628</w:t>
        </w:r>
      </w:hyperlink>
    </w:p>
    <w:p>
      <w:pPr>
        <w:spacing w:before="0" w:after="120"/>
      </w:pPr>
      <w:r>
        <w:rPr>
          <w:b/>
        </w:rPr>
        <w:t xml:space="preserve">Notes: </w:t>
      </w:r>
      <w:r>
        <w:t>abstract_source=crossref</w:t>
      </w:r>
    </w:p>
    <w:p>
      <w:pPr>
        <w:spacing w:before="0" w:after="80" w:lineRule="auto" w:line="276"/>
      </w:pPr>
      <w:r>
        <w:rPr>
          <w:b/>
        </w:rPr>
        <w:t xml:space="preserve">摘要（ZH）: </w:t>
      </w:r>
      <w:r>
        <w:t>海水电解为烷醇的电催化半氢化(ECSH)提供了一个可持续的氢源,但受到严重的氢进化和缺乏有效的间歇管理的影响。在这里,我们建造了质子海绵(1,8(二甲基氨基)甲二烯)经过改良的PdIn 间金属(PdIn Pdenetal elene (Pd 1 in 1 ne@DMAN)),现场FTIR和初始分子动态模拟显示,这种改变破坏了氢氮气气气气气的跨子水分子网络,而DFT计算表明,水分分离和活性氢品种的生成得到了促进。</w:t>
      </w:r>
    </w:p>
    <w:p>
      <w:pPr>
        <w:spacing w:before="0" w:after="200" w:lineRule="auto" w:line="276"/>
      </w:pPr>
      <w:r>
        <w:rPr>
          <w:b/>
        </w:rPr>
        <w:t xml:space="preserve">Abstract (EN): </w:t>
      </w:r>
      <w:r>
        <w:t>Seawater electrolysis provides a sustainable hydrogen source for electrocatalytic semi‐hydrogenation (ECSH) of alkynols, but it suffers from severe hydrogen evolution and a lack of effective interfacial management. Here, we construct a proton sponge (1,8‐bis(dimethylamino)naphthalene) modified PdIn intermetallic metallene (Pd</w:t>
      </w:r>
      <w:r>
        <w:rPr>
          <w:vertAlign w:val="subscript"/>
        </w:rPr>
        <w:t>1</w:t>
      </w:r>
      <w:r>
        <w:t>In</w:t>
      </w:r>
      <w:r>
        <w:rPr>
          <w:vertAlign w:val="subscript"/>
        </w:rPr>
        <w:t>1</w:t>
      </w:r>
      <w:r>
        <w:t>ene@DMAN). In situ FTIR and ab initio molecular dynamics simulations reveal that this modification disrupts the hydrogen‐bond network of interfacial water molecules, while DFT calculations indicate facilitated water dissociation and enhanced generation of active hydrogen species. The Pd</w:t>
      </w:r>
      <w:r>
        <w:rPr>
          <w:vertAlign w:val="subscript"/>
        </w:rPr>
        <w:t>1</w:t>
      </w:r>
      <w:r>
        <w:t>In</w:t>
      </w:r>
      <w:r>
        <w:rPr>
          <w:vertAlign w:val="subscript"/>
        </w:rPr>
        <w:t>1</w:t>
      </w:r>
      <w:r>
        <w:t>ene@DMAN achieves a Faradaic efficiency (FE) of 94.43% for 2‐methyl‐3‐buten‐2‐ol (MBE) production at −100 mA cm</w:t>
      </w:r>
      <w:r>
        <w:t xml:space="preserve"> </w:t>
      </w:r>
      <w:r>
        <w:t>−2</w:t>
      </w:r>
      <w:r>
        <w:t xml:space="preserve"> </w:t>
      </w:r>
      <w:r>
        <w:t>, a dramatic increase from the 44.93% attained by the Pd</w:t>
      </w:r>
      <w:r>
        <w:rPr>
          <w:vertAlign w:val="subscript"/>
        </w:rPr>
        <w:t>1</w:t>
      </w:r>
      <w:r>
        <w:t>In</w:t>
      </w:r>
      <w:r>
        <w:rPr>
          <w:vertAlign w:val="subscript"/>
        </w:rPr>
        <w:t>1</w:t>
      </w:r>
      <w:r>
        <w:t>ene, with an operational stability over 500 h. In a membrane‐electrode assembly (MEA) electrolyzer, it enables the efficient conversion of alkynol to alkenol at a current of 2 A, delivering a FE of 84.16%, a selectivity of 98.54% toward MBE, and excellent stability for up to 200 h. Concurrently, the cathodically generated OH</w:t>
      </w:r>
      <w:r>
        <w:t xml:space="preserve"> </w:t>
      </w:r>
      <w:r>
        <w:t>−</w:t>
      </w:r>
      <w:r>
        <w:t>selectively precipitates Mg</w:t>
      </w:r>
      <w:r>
        <w:t xml:space="preserve"> </w:t>
      </w:r>
      <w:r>
        <w:t>2+</w:t>
      </w:r>
      <w:r>
        <w:t xml:space="preserve"> </w:t>
      </w:r>
      <w:r>
        <w:t>as high‐purity Mg(OH)</w:t>
      </w:r>
      <w:r>
        <w:rPr>
          <w:vertAlign w:val="subscript"/>
        </w:rPr>
        <w:t>2</w:t>
      </w:r>
      <w:r>
        <w:t>by precise pH control, enabling the co‐production of value‐added MBE and Mg(OH)</w:t>
      </w:r>
      <w:r>
        <w:rPr>
          <w:vertAlign w:val="subscript"/>
        </w:rPr>
        <w:t>2</w:t>
      </w:r>
      <w:r>
        <w:t>. This work establishes a seawater‐based electrochemical system, which regulates the hydrogen bond microenvironment through molecular interface engineering, providing a new strategy for efficient electrochemical hydrogenation in complex media.</w:t>
      </w:r>
    </w:p>
    <w:p>
      <w:pPr>
        <w:spacing w:before="120" w:after="120"/>
      </w:pPr>
      <w:r>
        <w:rPr>
          <w:sz w:val="18"/>
        </w:rPr>
        <w:t>——————————————————————————————————————————————————————————————————————</w:t>
      </w:r>
    </w:p>
    <w:p>
      <w:pPr>
        <w:spacing w:before="160" w:after="40" w:line="240" w:lineRule="auto"/>
      </w:pPr>
      <w:r>
        <w:rPr>
          <w:b/>
        </w:rPr>
        <w:t xml:space="preserve">[39] </w:t>
      </w:r>
      <w:hyperlink r:id="rId51">
        <w:r>
          <w:rPr>
            <w:color w:val="1155CC"/>
            <w:u w:val="single"/>
          </w:rPr>
          <w:t>保护VSMC VSMC 与Situ circRNA] 中间导导的Olaratutumab 内天耳膜工程以防止血管引力加速化</w:t>
        </w:r>
      </w:hyperlink>
    </w:p>
    <w:p>
      <w:pPr>
        <w:spacing w:before="0" w:after="80"/>
      </w:pPr>
      <w:r>
        <w:rPr>
          <w:i/>
          <w:sz w:val="20"/>
        </w:rPr>
        <w:t>EN: Safeguarding VSMC Contractile Phenotype With In Situ circRNA‐mediated Endothelial Olaratumab Engineering to Prevent Vascular Graft Stenosis</w:t>
      </w:r>
    </w:p>
    <w:p>
      <w:pPr>
        <w:spacing w:before="0" w:after="120"/>
      </w:pPr>
      <w:r>
        <w:rPr>
          <w:b/>
        </w:rPr>
        <w:t xml:space="preserve">Source: </w:t>
      </w:r>
      <w:r>
        <w:t>Wiley: Advanced Materials: Table of Contents</w:t>
      </w:r>
      <w:r>
        <w:t xml:space="preserve">    </w:t>
      </w:r>
      <w:r>
        <w:rPr>
          <w:b/>
        </w:rPr>
        <w:t xml:space="preserve">Pub date: </w:t>
      </w:r>
      <w:r>
        <w:t>2026-02-21 08:49:00+00:00</w:t>
      </w:r>
      <w:r>
        <w:t xml:space="preserve">    </w:t>
      </w:r>
      <w:r>
        <w:rPr>
          <w:b/>
        </w:rPr>
        <w:t xml:space="preserve">DOI: </w:t>
      </w:r>
      <w:hyperlink r:id="rId52">
        <w:r>
          <w:rPr>
            <w:color w:val="1155CC"/>
            <w:u w:val="single"/>
          </w:rPr>
          <w:t>10.1002/adma.202522615</w:t>
        </w:r>
      </w:hyperlink>
    </w:p>
    <w:p>
      <w:pPr>
        <w:spacing w:before="0" w:after="120"/>
      </w:pPr>
      <w:r>
        <w:rPr>
          <w:b/>
        </w:rPr>
        <w:t xml:space="preserve">Notes: </w:t>
      </w:r>
      <w:r>
        <w:t>abstract_source=crossref</w:t>
      </w:r>
    </w:p>
    <w:p>
      <w:pPr>
        <w:spacing w:before="0" w:after="80" w:lineRule="auto" w:line="276"/>
      </w:pPr>
      <w:r>
        <w:rPr>
          <w:b/>
        </w:rPr>
        <w:t xml:space="preserve">摘要（ZH）: </w:t>
      </w:r>
      <w:r>
        <w:t>ABSTACT 小型血管移植(SDVGs) 通常无法实现,原因是内分泌细胞(EC) 驱动的再生松动,将血管光滑肌肉细胞(VSMCs)转移到合成苯型。尽管机械学的洞察力、耐久的、局部的和细胞对这个交叉曲子的特定控制仍然难以捉摸。在这里,我们开发了基于CircRNA的现场抗体工程战略,使SDVGs功能化,将ECs重新编程成地方生物系统,将Olaratumab(Ola)秘密的PDGFFFR-SMC(ODFFFF)抗体转化为精确调制ECVSMC信号。在现场,OLA工程逆转了PGBBZ(PGB)诱导出VS PS PESNotyP,明显抑制了迁移、入侵和过度的超细胞矩阵沉降,方法是通过加速MAPK和PI3KKKAT途径。</w:t>
      </w:r>
    </w:p>
    <w:p>
      <w:pPr>
        <w:spacing w:before="0" w:after="200" w:lineRule="auto" w:line="276"/>
      </w:pPr>
      <w:r>
        <w:rPr>
          <w:b/>
        </w:rPr>
        <w:t xml:space="preserve">Abstract (EN): </w:t>
      </w:r>
      <w:r>
        <w:t>Small‐diameter vascular grafts (SDVGs) often fail due to restenosis driven by endothelial cell (EC)‐derived PDGF‐BB, which shifts vascular smooth muscle cells (VSMCs) toward a synthetic phenotype. Despite mechanistic insights, durable, localized, and cell‐specific control of this crosstalk remains elusive. Here, we developed a circRNA‐based in situ antibody engineering strategy to functionalize SDVGs, reprogramming ECs into local biofactories that secrete Olaratumab (Ola), a PDGFR‐α‐neutralizing antibody, to precisely modulate EC‐VSMC signaling. In vitro, in situ Ola engineering reversed PDGF‐BB‐induced VSMC phenotypic switching, markedly suppressing migration, invasion, and excessive extracellular matrix deposition by attenuating MAPK and PI3K‐AKT pathways. In the rat model, this approach enabled sustained local antibody secretion for up to 24 days, accelerated endothelialization, and significantly reduced neointimal hyperplasia and graft calcification over 6 months, thereby lowering the risk of SDVG restenosis. CircRNA‐based in situ antibody engineering offers a powerful modality to modulate intercellular crosstalk and sustain the VSMC contractile phenotype.</w:t>
      </w:r>
    </w:p>
    <w:p>
      <w:pPr>
        <w:spacing w:before="120" w:after="120"/>
      </w:pPr>
      <w:r>
        <w:rPr>
          <w:sz w:val="18"/>
        </w:rPr>
        <w:t>——————————————————————————————————————————————————————————————————————</w:t>
      </w:r>
    </w:p>
    <w:p>
      <w:pPr>
        <w:spacing w:before="160" w:after="40" w:line="240" w:lineRule="auto"/>
      </w:pPr>
      <w:r>
        <w:rPr>
          <w:b/>
        </w:rPr>
        <w:t xml:space="preserve">[40] </w:t>
      </w:r>
      <w:hyperlink r:id="rId53">
        <w:r>
          <w:rPr>
            <w:color w:val="1155CC"/>
            <w:u w:val="single"/>
          </w:rPr>
          <w:t>利用扭曲的分级结构改造的Fatigue Resigue Resefort Hydriggels</w:t>
        </w:r>
      </w:hyperlink>
    </w:p>
    <w:p>
      <w:pPr>
        <w:spacing w:before="0" w:after="80"/>
      </w:pPr>
      <w:r>
        <w:rPr>
          <w:i/>
          <w:sz w:val="20"/>
        </w:rPr>
        <w:t>EN: Fatigue Resistant Hydrogels Engineered With Twisting Hierarchical Structures</w:t>
      </w:r>
    </w:p>
    <w:p>
      <w:pPr>
        <w:spacing w:before="0" w:after="120"/>
      </w:pPr>
      <w:r>
        <w:rPr>
          <w:b/>
        </w:rPr>
        <w:t xml:space="preserve">Source: </w:t>
      </w:r>
      <w:r>
        <w:t>Wiley: Advanced Materials: Table of Contents</w:t>
      </w:r>
      <w:r>
        <w:t xml:space="preserve">    </w:t>
      </w:r>
      <w:r>
        <w:rPr>
          <w:b/>
        </w:rPr>
        <w:t xml:space="preserve">Pub date: </w:t>
      </w:r>
      <w:r>
        <w:t>2026-02-21 08:53:45+00:00</w:t>
      </w:r>
      <w:r>
        <w:t xml:space="preserve">    </w:t>
      </w:r>
      <w:r>
        <w:rPr>
          <w:b/>
        </w:rPr>
        <w:t xml:space="preserve">DOI: </w:t>
      </w:r>
      <w:hyperlink r:id="rId54">
        <w:r>
          <w:rPr>
            <w:color w:val="1155CC"/>
            <w:u w:val="single"/>
          </w:rPr>
          <w:t>10.1002/adma.202522623</w:t>
        </w:r>
      </w:hyperlink>
    </w:p>
    <w:p>
      <w:pPr>
        <w:spacing w:before="0" w:after="120"/>
      </w:pPr>
      <w:r>
        <w:rPr>
          <w:b/>
        </w:rPr>
        <w:t xml:space="preserve">Notes: </w:t>
      </w:r>
      <w:r>
        <w:t>abstract_source=crossref</w:t>
      </w:r>
    </w:p>
    <w:p>
      <w:pPr>
        <w:spacing w:before="0" w:after="80" w:lineRule="auto" w:line="276"/>
      </w:pPr>
      <w:r>
        <w:rPr>
          <w:b/>
        </w:rPr>
        <w:t xml:space="preserve">摘要（ZH）: </w:t>
      </w:r>
      <w:r>
        <w:t>水凝胶具有巨大的软机器人和生物医学应用潜力,因为其高水含量、组织上类似软性和生物兼容性,但其实际效用仍然受到长期动态装载期间疲劳抗力低的制约。这里,我们提出了一个扭曲战略,通过生物激发的蒸汽法,提高水凝胶材料的机械耐久性,从而促成高效的负载转移和能量消散。由此形成的纤维表现出更高的抗拉强度、可容性以及前所未有的疲劳阈值,同时保持长期循环的结构性完整性。我们的战略也与多种水凝胶系统兼容,包括聚乙烯醇、悬浮剂、纤维素和相应的合成合成系统。</w:t>
      </w:r>
    </w:p>
    <w:p>
      <w:pPr>
        <w:spacing w:before="0" w:after="200" w:lineRule="auto" w:line="276"/>
      </w:pPr>
      <w:r>
        <w:rPr>
          <w:b/>
        </w:rPr>
        <w:t xml:space="preserve">Abstract (EN): </w:t>
      </w:r>
      <w:r>
        <w:t>Hydrogels hold significant potential for soft robotics and biomedical applications due to their high‐water content, tissue‐like softness, and biocompatibility, yet their practical utility remains limited by poor fatigue resistance during long‐term dynamic loading. Here, we present a twisting strategy that enhances hydrogel materials' mechanical durability through bioinspired torsion methodology, enabling efficient load transfer and energy dissipation. The resulting fibers exhibit improved tensile strength, stretchability, and unprecedented fatigue thresholds while maintaining structural integrity across prolonged cycling. Our strategy is also compatible with various hydrogel systems including poly(vinyl alcohol), alginate, cellulose and corresponding composite systems. This approach benefits from multiscale simulations, revealing that moderate twisting promotes uniform stress distribution through inter‐fiber sliding, while excessive twisting causes geometric locking. Proof‐of‐concept demonstrations include a frog‐tongue‐inspired actuator showing rapid yet reversible motion under high‐frequency cycling, highlighting its exceptional fatigue tolerance. This bioinspired architecture establishes a universal design paradigm for fatigue‐resistant hydrogel systems, unlocking their potential in demanding applications from implantable medical devices to adaptive soft robotics.</w:t>
      </w:r>
    </w:p>
    <w:p>
      <w:pPr>
        <w:spacing w:before="120" w:after="120"/>
      </w:pPr>
      <w:r>
        <w:rPr>
          <w:sz w:val="18"/>
        </w:rPr>
        <w:t>——————————————————————————————————————————————————————————————————————</w:t>
      </w:r>
    </w:p>
    <w:p>
      <w:pPr>
        <w:spacing w:before="160" w:after="40" w:line="240" w:lineRule="auto"/>
      </w:pPr>
      <w:r>
        <w:rPr>
          <w:b/>
        </w:rPr>
        <w:t xml:space="preserve">[41] </w:t>
      </w:r>
      <w:hyperlink r:id="rId55">
        <w:r>
          <w:rPr>
            <w:color w:val="1155CC"/>
            <w:u w:val="single"/>
          </w:rPr>
          <w:t>Ln3+ 诱导和模制 LnAgP3 集束体中热活性热活性延迟荧光延迟荧光</w:t>
        </w:r>
      </w:hyperlink>
    </w:p>
    <w:p>
      <w:pPr>
        <w:spacing w:before="0" w:after="80"/>
      </w:pPr>
      <w:r>
        <w:rPr>
          <w:i/>
          <w:sz w:val="20"/>
        </w:rPr>
        <w:t>EN: Spin‐Orbit Coupling of Ln3+ Induces and Modulates Thermally Activated Delayed Fluorescence in Heterometallic LnAgP3 Clusters</w:t>
      </w:r>
    </w:p>
    <w:p>
      <w:pPr>
        <w:spacing w:before="0" w:after="120"/>
      </w:pPr>
      <w:r>
        <w:rPr>
          <w:b/>
        </w:rPr>
        <w:t xml:space="preserve">Source: </w:t>
      </w:r>
      <w:r>
        <w:t>Wiley: Angewandte Chemie International Edition: Table of Contents</w:t>
      </w:r>
      <w:r>
        <w:t xml:space="preserve">    </w:t>
      </w:r>
      <w:r>
        <w:rPr>
          <w:b/>
        </w:rPr>
        <w:t xml:space="preserve">Pub date: </w:t>
      </w:r>
      <w:r>
        <w:t>2026-02-21 08:57:50+00:00</w:t>
      </w:r>
      <w:r>
        <w:t xml:space="preserve">    </w:t>
      </w:r>
      <w:r>
        <w:rPr>
          <w:b/>
        </w:rPr>
        <w:t xml:space="preserve">DOI: </w:t>
      </w:r>
      <w:hyperlink r:id="rId56">
        <w:r>
          <w:rPr>
            <w:color w:val="1155CC"/>
            <w:u w:val="single"/>
          </w:rPr>
          <w:t>10.1002/anie.202525030</w:t>
        </w:r>
      </w:hyperlink>
    </w:p>
    <w:p>
      <w:pPr>
        <w:spacing w:before="0" w:after="120"/>
      </w:pPr>
      <w:r>
        <w:rPr>
          <w:b/>
        </w:rPr>
        <w:t xml:space="preserve">Notes: </w:t>
      </w:r>
      <w:r>
        <w:t>abstract_source=crossref</w:t>
      </w:r>
    </w:p>
    <w:p>
      <w:pPr>
        <w:spacing w:before="0" w:after="80" w:lineRule="auto" w:line="276"/>
      </w:pPr>
      <w:r>
        <w:rPr>
          <w:b/>
        </w:rPr>
        <w:t xml:space="preserve">摘要（ZH）: </w:t>
      </w:r>
      <w:r>
        <w:t>Ag(I)-基于热活热延迟荧光延迟荧光材料的合理设计要求从根本上理解结构 — — 控制其排放特性的财产关系。在这项工作中,与Ln 3+离子的协调将由此产生的化合物LnAgP 3 (Ln = Gd/Eu/Y)与显光光性联系起来。温度依赖排放光谱和衰变寿命测量显示,Y 3+和Gd 3+的结合导致在[AgP 3]中不同的TDF活动。</w:t>
      </w:r>
    </w:p>
    <w:p>
      <w:pPr>
        <w:spacing w:before="0" w:after="200" w:lineRule="auto" w:line="276"/>
      </w:pPr>
      <w:r>
        <w:rPr>
          <w:b/>
        </w:rPr>
        <w:t xml:space="preserve">Abstract (EN): </w:t>
      </w:r>
      <w:r>
        <w:t>The rational design of Ag(I)‐based thermally activated delayed fluorescence (TADF) materials requires fundamental understanding of structure–property relationship governing their emission characteristics. In this work, coordination with Ln</w:t>
      </w:r>
      <w:r>
        <w:t xml:space="preserve"> </w:t>
      </w:r>
      <w:r>
        <w:t>3+</w:t>
      </w:r>
      <w:r>
        <w:t xml:space="preserve"> </w:t>
      </w:r>
      <w:r>
        <w:t>ions endows the resulting compounds</w:t>
      </w:r>
      <w:r>
        <w:t xml:space="preserve"> </w:t>
      </w:r>
      <w:r>
        <w:t>LnAgP</w:t>
      </w:r>
      <w:r>
        <w:rPr>
          <w:vertAlign w:val="subscript"/>
        </w:rPr>
        <w:t>3</w:t>
      </w:r>
      <w:r>
        <w:t xml:space="preserve"> </w:t>
      </w:r>
      <w:r>
        <w:t>(Ln = Gd/Eu/Y) with pronounced photoluminescence. Temperature‐dependent emission spectra and decay lifetime measurements reveal that Y</w:t>
      </w:r>
      <w:r>
        <w:t xml:space="preserve"> </w:t>
      </w:r>
      <w:r>
        <w:t>3+</w:t>
      </w:r>
      <w:r>
        <w:t xml:space="preserve"> </w:t>
      </w:r>
      <w:r>
        <w:t>and Gd</w:t>
      </w:r>
      <w:r>
        <w:t xml:space="preserve"> </w:t>
      </w:r>
      <w:r>
        <w:t>3+</w:t>
      </w:r>
      <w:r>
        <w:t xml:space="preserve"> </w:t>
      </w:r>
      <w:r>
        <w:t>incorporation induces distinct TADF activity in the [AgP</w:t>
      </w:r>
      <w:r>
        <w:rPr>
          <w:vertAlign w:val="subscript"/>
        </w:rPr>
        <w:t>3</w:t>
      </w:r>
      <w:r>
        <w:t>] moiety. In</w:t>
      </w:r>
      <w:r>
        <w:t xml:space="preserve"> </w:t>
      </w:r>
      <w:r>
        <w:t>EuAgP</w:t>
      </w:r>
      <w:r>
        <w:rPr>
          <w:vertAlign w:val="subscript"/>
        </w:rPr>
        <w:t>3</w:t>
      </w:r>
      <w:r>
        <w:t xml:space="preserve"> </w:t>
      </w:r>
      <w:r>
        <w:t>, combined the experimental results supports efficient energy transfer from [AgP</w:t>
      </w:r>
      <w:r>
        <w:rPr>
          <w:vertAlign w:val="subscript"/>
        </w:rPr>
        <w:t>3</w:t>
      </w:r>
      <w:r>
        <w:t>] to Eu</w:t>
      </w:r>
      <w:r>
        <w:t xml:space="preserve"> </w:t>
      </w:r>
      <w:r>
        <w:t>3+</w:t>
      </w:r>
      <w:r>
        <w:t xml:space="preserve"> </w:t>
      </w:r>
      <w:r>
        <w:t>via both singlet energy transfer (SET) and triplet energy transfer (TET) pathways. Modulating the Eu:Gd molar ratio within a lattice enables precise control over the TADF performance of the [AgP</w:t>
      </w:r>
      <w:r>
        <w:rPr>
          <w:vertAlign w:val="subscript"/>
        </w:rPr>
        <w:t>3</w:t>
      </w:r>
      <w:r>
        <w:t>] unit. At a Eu:Gd ratio of 0.5:0.5, optimal TADF performance of the [AgP</w:t>
      </w:r>
      <w:r>
        <w:rPr>
          <w:vertAlign w:val="subscript"/>
        </w:rPr>
        <w:t>3</w:t>
      </w:r>
      <w:r>
        <w:t>] moiety is observed with a larger</w:t>
      </w:r>
      <w:r>
        <w:t xml:space="preserve"> </w:t>
      </w:r>
      <w:r>
        <w:t>k</w:t>
      </w:r>
      <w:r>
        <w:t xml:space="preserve"> </w:t>
      </w:r>
      <w:r>
        <w:t>(S</w:t>
      </w:r>
      <w:r>
        <w:rPr>
          <w:vertAlign w:val="subscript"/>
        </w:rPr>
        <w:t>1</w:t>
      </w:r>
      <w:r>
        <w:t>→S</w:t>
      </w:r>
      <w:r>
        <w:rPr>
          <w:vertAlign w:val="subscript"/>
        </w:rPr>
        <w:t>0</w:t>
      </w:r>
      <w:r>
        <w:t>) value of 1.05 × 10</w:t>
      </w:r>
      <w:r>
        <w:rPr>
          <w:vertAlign w:val="subscript"/>
        </w:rPr>
        <w:t>7</w:t>
      </w:r>
      <w:r>
        <w:t>s</w:t>
      </w:r>
      <w:r>
        <w:t xml:space="preserve"> </w:t>
      </w:r>
      <w:r>
        <w:t>−1</w:t>
      </w:r>
      <w:r>
        <w:t xml:space="preserve"> </w:t>
      </w:r>
      <w:r>
        <w:t>and a shorter TADF decay time of 6.45 µs. Theoretical calculations further reveal that the SOC of the 4</w:t>
      </w:r>
      <w:r>
        <w:t xml:space="preserve"> </w:t>
      </w:r>
      <w:r>
        <w:t>f</w:t>
      </w:r>
      <w:r>
        <w:t xml:space="preserve"> </w:t>
      </w:r>
      <w:r>
        <w:t>orbitals perturbs the electronic structure of [AgP</w:t>
      </w:r>
      <w:r>
        <w:rPr>
          <w:vertAlign w:val="subscript"/>
        </w:rPr>
        <w:t>3</w:t>
      </w:r>
      <w:r>
        <w:t>], compressing Δ</w:t>
      </w:r>
      <w:r>
        <w:t xml:space="preserve"> </w:t>
      </w:r>
      <w:r>
        <w:t>E</w:t>
      </w:r>
      <w:r>
        <w:t xml:space="preserve"> </w:t>
      </w:r>
      <w:r>
        <w:t>(S</w:t>
      </w:r>
      <w:r>
        <w:rPr>
          <w:vertAlign w:val="subscript"/>
        </w:rPr>
        <w:t>1</w:t>
      </w:r>
      <w:r>
        <w:t>‐T</w:t>
      </w:r>
      <w:r>
        <w:rPr>
          <w:vertAlign w:val="subscript"/>
        </w:rPr>
        <w:t>1</w:t>
      </w:r>
      <w:r>
        <w:t>) to &amp;lt;0.2 eV, which enables reverse intersystem crossing (RISC) and thus TADF. Consequently, varying the Eu:Gd ratio provides an indirect handle over the SOC‐mediated Ag↔Eu energy‐transfer pathway, offering an effective route to regulate the TADF performance of the [AgP</w:t>
      </w:r>
      <w:r>
        <w:rPr>
          <w:vertAlign w:val="subscript"/>
        </w:rPr>
        <w:t>3</w:t>
      </w:r>
      <w:r>
        <w:t>] moiety.</w:t>
      </w:r>
    </w:p>
    <w:p>
      <w:pPr>
        <w:spacing w:before="120" w:after="120"/>
      </w:pPr>
      <w:r>
        <w:rPr>
          <w:sz w:val="18"/>
        </w:rPr>
        <w:t>——————————————————————————————————————————————————————————————————————</w:t>
      </w:r>
    </w:p>
    <w:p>
      <w:pPr>
        <w:spacing w:before="160" w:after="40" w:line="240" w:lineRule="auto"/>
      </w:pPr>
      <w:r>
        <w:rPr>
          <w:b/>
        </w:rPr>
        <w:t xml:space="preserve">[42] </w:t>
      </w:r>
      <w:hyperlink r:id="rId57">
        <w:r>
          <w:rPr>
            <w:color w:val="1155CC"/>
            <w:u w:val="single"/>
          </w:rPr>
          <w:t>用于质子Exchange membrane燃料电池的基于三维多元分光阴极阴极催化剂层的复合有机聚合物</w:t>
        </w:r>
      </w:hyperlink>
    </w:p>
    <w:p>
      <w:pPr>
        <w:spacing w:before="0" w:after="80"/>
      </w:pPr>
      <w:r>
        <w:rPr>
          <w:i/>
          <w:sz w:val="20"/>
        </w:rPr>
        <w:t>EN: Initial Iron‐Phthalocyanine Covalent Organic Polymer Based Three‐Dimensional Porous Cathode Catalysts Layer Directly for Proton‐Exchange Membrane Fuel Cells</w:t>
      </w:r>
    </w:p>
    <w:p>
      <w:pPr>
        <w:spacing w:before="0" w:after="120"/>
      </w:pPr>
      <w:r>
        <w:rPr>
          <w:b/>
        </w:rPr>
        <w:t xml:space="preserve">Source: </w:t>
      </w:r>
      <w:r>
        <w:t>Wiley: Angewandte Chemie International Edition: Table of Contents</w:t>
      </w:r>
      <w:r>
        <w:t xml:space="preserve">    </w:t>
      </w:r>
      <w:r>
        <w:rPr>
          <w:b/>
        </w:rPr>
        <w:t xml:space="preserve">Pub date: </w:t>
      </w:r>
      <w:r>
        <w:t>2026-02-21 08:59:11+00:00</w:t>
      </w:r>
      <w:r>
        <w:t xml:space="preserve">    </w:t>
      </w:r>
      <w:r>
        <w:rPr>
          <w:b/>
        </w:rPr>
        <w:t xml:space="preserve">DOI: </w:t>
      </w:r>
      <w:hyperlink r:id="rId58">
        <w:r>
          <w:rPr>
            <w:color w:val="1155CC"/>
            <w:u w:val="single"/>
          </w:rPr>
          <w:t>10.1002/anie.202524753</w:t>
        </w:r>
      </w:hyperlink>
    </w:p>
    <w:p>
      <w:pPr>
        <w:spacing w:before="0" w:after="120"/>
      </w:pPr>
      <w:r>
        <w:rPr>
          <w:b/>
        </w:rPr>
        <w:t xml:space="preserve">Notes: </w:t>
      </w:r>
      <w:r>
        <w:t>abstract_source=crossref</w:t>
      </w:r>
    </w:p>
    <w:p>
      <w:pPr>
        <w:spacing w:before="0" w:after="80" w:lineRule="auto" w:line="276"/>
      </w:pPr>
      <w:r>
        <w:rPr>
          <w:b/>
        </w:rPr>
        <w:t xml:space="preserve">摘要（ZH）: </w:t>
      </w:r>
      <w:r>
        <w:t>Covalent 有机聚合物(COPs),及其定义明确和可金枪鱼结构,显示出作为减少氧反应(ORR)的分子电解器的有希望的前景。然而,相交的二维结构通过直接聚集在分子稠密层中,严重妨碍多维氧运输通道,从而损害质子交换薄膜燃料电池(PEMFCs)的性能。在这里,我们建造了一个三维氮-dopped 石墨板,用于一种基于铁-phalocyan-covalent 的共价有机聚合物的就地生长,产生被称为COP Fe@3DNG的复合材料。我们利用非破坏性的计算成模。</w:t>
      </w:r>
    </w:p>
    <w:p>
      <w:pPr>
        <w:spacing w:before="0" w:after="200" w:lineRule="auto" w:line="276"/>
      </w:pPr>
      <w:r>
        <w:rPr>
          <w:b/>
        </w:rPr>
        <w:t xml:space="preserve">Abstract (EN): </w:t>
      </w:r>
      <w:r>
        <w:t>Covalent organic polymers (COPs), with their well‐defined and tunable structures, show promising prospects as molecular electrocatalysts for the oxygen reduction reaction (ORR). However, the conjugated two‐dimensional structures assemble through direct π–π stacking into molecularly dense layers that severely obstruct the multidimensional oxygen transport pathways, thus compromising performance in proton exchange membrane fuel cells (PEMFCs). Herein, we constructed a three‐dimensional nitrogen‐doped graphene scaffold for the in situ growth of an iron‐phthalocyanine‐based covalent organic polymer, yielding the composite material denoted as COP</w:t>
      </w:r>
      <w:r>
        <w:t xml:space="preserve"> </w:t>
      </w:r>
      <w:r>
        <w:t>Fe</w:t>
      </w:r>
      <w:r>
        <w:t xml:space="preserve"> </w:t>
      </w:r>
      <w:r>
        <w:t>@3D‐NG. By leveraging nondestructive x‐ray computed tomography and Avizo processing, we reconstructed their realistic porous structures. The further pore‐scale multiphysics simulations demonstrated that the 3D porous network significantly enhances mass transport with an increase of oxygen diffusion coefficient compared to the 2D structure. As a result, the PEMFCs fabricated with COP</w:t>
      </w:r>
      <w:r>
        <w:t xml:space="preserve"> </w:t>
      </w:r>
      <w:r>
        <w:t>Fe</w:t>
      </w:r>
      <w:r>
        <w:t xml:space="preserve"> </w:t>
      </w:r>
      <w:r>
        <w:t>@3D‐NG as the cathode catalyst demonstrated a ∼2.7‐fold increase of higher peak power density than the 2D analogue. These findings highlight a fundamental principle for next‐generation cathode design that engineering 3D porosity to create multidimensional mass transport pathways is crucial for accelerating oxygen transfer and achieving high‐performance PEMFCs.</w:t>
      </w:r>
    </w:p>
    <w:p>
      <w:pPr>
        <w:spacing w:before="120" w:after="120"/>
      </w:pPr>
      <w:r>
        <w:rPr>
          <w:sz w:val="18"/>
        </w:rPr>
        <w:t>——————————————————————————————————————————————————————————————————————</w:t>
      </w:r>
    </w:p>
    <w:p>
      <w:pPr>
        <w:spacing w:before="160" w:after="40" w:line="240" w:lineRule="auto"/>
      </w:pPr>
      <w:r>
        <w:rPr>
          <w:b/>
        </w:rPr>
        <w:t xml:space="preserve">[43] </w:t>
      </w:r>
      <w:hyperlink r:id="rId59">
        <w:r>
          <w:rPr>
            <w:color w:val="1155CC"/>
            <w:u w:val="single"/>
          </w:rPr>
          <w:t>低功率 低功率 启动后带裸眼的紫外纳米蛋白 高抗热成像脑炎能见度</w:t>
        </w:r>
      </w:hyperlink>
    </w:p>
    <w:p>
      <w:pPr>
        <w:spacing w:before="0" w:after="80"/>
      </w:pPr>
      <w:r>
        <w:rPr>
          <w:i/>
          <w:sz w:val="20"/>
        </w:rPr>
        <w:t>EN: Low‐Power‐Activated Afterglow Nanoprobes With Naked‐Eye Visibility for High‐Contrast Imaging of Brain Inflammation</w:t>
      </w:r>
    </w:p>
    <w:p>
      <w:pPr>
        <w:spacing w:before="0" w:after="120"/>
      </w:pPr>
      <w:r>
        <w:rPr>
          <w:b/>
        </w:rPr>
        <w:t xml:space="preserve">Source: </w:t>
      </w:r>
      <w:r>
        <w:t>Wiley: Angewandte Chemie International Edition: Table of Contents</w:t>
      </w:r>
      <w:r>
        <w:t xml:space="preserve">    </w:t>
      </w:r>
      <w:r>
        <w:rPr>
          <w:b/>
        </w:rPr>
        <w:t xml:space="preserve">Pub date: </w:t>
      </w:r>
      <w:r>
        <w:t>2026-02-21 09:01:24+00:00</w:t>
      </w:r>
      <w:r>
        <w:t xml:space="preserve">    </w:t>
      </w:r>
      <w:r>
        <w:rPr>
          <w:b/>
        </w:rPr>
        <w:t xml:space="preserve">DOI: </w:t>
      </w:r>
      <w:hyperlink r:id="rId60">
        <w:r>
          <w:rPr>
            <w:color w:val="1155CC"/>
            <w:u w:val="single"/>
          </w:rPr>
          <w:t>10.1002/anie.3145716</w:t>
        </w:r>
      </w:hyperlink>
    </w:p>
    <w:p>
      <w:pPr>
        <w:spacing w:before="0" w:after="120"/>
      </w:pPr>
      <w:r>
        <w:rPr>
          <w:b/>
        </w:rPr>
        <w:t xml:space="preserve">Notes: </w:t>
      </w:r>
      <w:r>
        <w:t>abstract_source=crossref</w:t>
      </w:r>
    </w:p>
    <w:p>
      <w:pPr>
        <w:spacing w:before="0" w:after="80" w:lineRule="auto" w:line="276"/>
      </w:pPr>
      <w:r>
        <w:rPr>
          <w:b/>
        </w:rPr>
        <w:t xml:space="preserve">摘要（ZH）: </w:t>
      </w:r>
      <w:r>
        <w:t>ABSTACT ABSTACT 光光后光光成像巧妙地绕过了实时刺激的需要,从而大大消除了背景干扰。 尽管如此,在水下条件下,脑成像的应用仍受到低光后光亮的阻碍。 在这里,我们展示了低光能光能下光光能为高光谱的脑炎成像而激化的裸光后光线。 通过在战略上将高效的捐赠者 — — 接受者 — — 捐赠者(D-A-D)发光源分子融入光化后光化系统,我们开发了一系列在黄、橙和红光谱区域释放的极右后光材料。 由此产生的光光后纳米粒子即使在超低光能下仍可探测。</w:t>
      </w:r>
    </w:p>
    <w:p>
      <w:pPr>
        <w:spacing w:before="0" w:after="200" w:lineRule="auto" w:line="276"/>
      </w:pPr>
      <w:r>
        <w:rPr>
          <w:b/>
        </w:rPr>
        <w:t xml:space="preserve">Abstract (EN): </w:t>
      </w:r>
      <w:r>
        <w:t>Afterglow luminescence imaging ingeniously circumvents the need for real‐time excitation, thereby substantially eliminating background interference. Nevertheless, its application in brain imaging has been hindered by low afterglow brightness under aqueous conditions. Here, we present naked‐eye‐visible afterglow nanoprobes excited by low‐power light for high‐contrast imaging of brain inflammation. By strategically integrating highly efficient donor–acceptor–donor (D–A–D) luminescent molecules into photochemical afterglow systems, we developed a series of ultrabright afterglow materials emitting in the yellow, orange, and red spectral regions. The resulting afterglow nanoparticles remain naked‐eye detectable even under ultralow excitation power (0.73 mW cm</w:t>
      </w:r>
      <w:r>
        <w:t xml:space="preserve"> </w:t>
      </w:r>
      <w:r>
        <w:t>−2</w:t>
      </w:r>
      <w:r>
        <w:t xml:space="preserve"> </w:t>
      </w:r>
      <w:r>
        <w:t>). Their afterglow brightness is over 1300 times higher than that of commonly used afterglow nanoparticles, and they still maintain a 3‐fold advantage compared to previously developed blue‐emitting nanoparticles based on molecular fusion strategies. Leveraging this exceptional performance, we accomplished real‐time naked‐eye observation of freely moving mice. Moreover, macrophage‐encapsulated nanoparticles enabled blood–brain barrier (BBB) penetration and high‐contrast imaging of brain inflammation. This work introduces a new paradigm for constructing high‐brightness afterglow materials and opens transformative avenues for real‐time visualization of brain disorders.</w:t>
      </w:r>
    </w:p>
    <w:p>
      <w:pPr>
        <w:spacing w:before="120" w:after="120"/>
      </w:pPr>
      <w:r>
        <w:rPr>
          <w:sz w:val="18"/>
        </w:rPr>
        <w:t>——————————————————————————————————————————————————————————————————————</w:t>
      </w:r>
    </w:p>
    <w:p>
      <w:pPr>
        <w:spacing w:before="160" w:after="40" w:line="240" w:lineRule="auto"/>
      </w:pPr>
      <w:r>
        <w:rPr>
          <w:b/>
        </w:rPr>
        <w:t xml:space="preserve">[44] </w:t>
      </w:r>
      <w:hyperlink r:id="rId61">
        <w:r>
          <w:rPr>
            <w:color w:val="1155CC"/>
            <w:u w:val="single"/>
          </w:rPr>
          <w:t>在神经细胞中,使用DNAzyme Probes Redox 平衡与艾米洛病理学之间的脱氧新氧化碳与神经细胞中的Cu+和Cu2+同步成像</w:t>
        </w:r>
      </w:hyperlink>
    </w:p>
    <w:p>
      <w:pPr>
        <w:spacing w:before="0" w:after="80"/>
      </w:pPr>
      <w:r>
        <w:rPr>
          <w:i/>
          <w:sz w:val="20"/>
        </w:rPr>
        <w:t>EN: Simultaneous Imaging of Cu+ and Cu2+ in Neural Cells Using DNAzyme Probes Reveals Mechanistic Link Between Copper Redox Imbalance and Amyloid Pathology</w:t>
      </w:r>
    </w:p>
    <w:p>
      <w:pPr>
        <w:spacing w:before="0" w:after="120"/>
      </w:pPr>
      <w:r>
        <w:rPr>
          <w:b/>
        </w:rPr>
        <w:t xml:space="preserve">Source: </w:t>
      </w:r>
      <w:r>
        <w:t>Wiley: Angewandte Chemie International Edition: Table of Contents</w:t>
      </w:r>
      <w:r>
        <w:t xml:space="preserve">    </w:t>
      </w:r>
      <w:r>
        <w:rPr>
          <w:b/>
        </w:rPr>
        <w:t xml:space="preserve">Pub date: </w:t>
      </w:r>
      <w:r>
        <w:t>2026-02-21 09:03:28+00:00</w:t>
      </w:r>
      <w:r>
        <w:t xml:space="preserve">    </w:t>
      </w:r>
      <w:r>
        <w:rPr>
          <w:b/>
        </w:rPr>
        <w:t xml:space="preserve">DOI: </w:t>
      </w:r>
      <w:hyperlink r:id="rId62">
        <w:r>
          <w:rPr>
            <w:color w:val="1155CC"/>
            <w:u w:val="single"/>
          </w:rPr>
          <w:t>10.1002/anie.202524237</w:t>
        </w:r>
      </w:hyperlink>
    </w:p>
    <w:p>
      <w:pPr>
        <w:spacing w:before="0" w:after="120"/>
      </w:pPr>
      <w:r>
        <w:rPr>
          <w:b/>
        </w:rPr>
        <w:t xml:space="preserve">Notes: </w:t>
      </w:r>
      <w:r>
        <w:t>abstract_source=crossref</w:t>
      </w:r>
    </w:p>
    <w:p>
      <w:pPr>
        <w:spacing w:before="0" w:after="80" w:lineRule="auto" w:line="276"/>
      </w:pPr>
      <w:r>
        <w:rPr>
          <w:b/>
        </w:rPr>
        <w:t xml:space="preserve">摘要（ZH）: </w:t>
      </w:r>
      <w:r>
        <w:t>ABSTACT 铜质调控与诸如阿尔茨海默氏病(AD)等神经降解性疾病有关,但该病在神经系统死亡方面的确切作用尚不清楚。为了解决这个问题,我们首次引入了一对Cu + 和 Cu 2 + 和 cu 2 + 特定DNAzymeze-基于DNA的荧光探针,使单一活神经体中两种铜的红氧化物同时可视化。我们发现,使用这种双色系统,雄性贝塔(Aeta)的寡头寡头化会促进细胞内铜的积累,不同于人工电离子负荷引起的铜积累。</w:t>
      </w:r>
    </w:p>
    <w:p>
      <w:pPr>
        <w:spacing w:before="0" w:after="200" w:lineRule="auto" w:line="276"/>
      </w:pPr>
      <w:r>
        <w:rPr>
          <w:b/>
        </w:rPr>
        <w:t xml:space="preserve">Abstract (EN): </w:t>
      </w:r>
      <w:r>
        <w:t>Copper dysregulation is implicated in neurodegenerative diseases such as Alzheimer's disease (AD), yet its precise role in neuronal death remains unclear. To address this issue, here, we introduce a pair of Cu</w:t>
      </w:r>
      <w:r>
        <w:t xml:space="preserve"> </w:t>
      </w:r>
      <w:r>
        <w:t>+</w:t>
      </w:r>
      <w:r>
        <w:t xml:space="preserve"> </w:t>
      </w:r>
      <w:r>
        <w:t>and Cu</w:t>
      </w:r>
      <w:r>
        <w:rPr>
          <w:vertAlign w:val="subscript"/>
        </w:rPr>
        <w:t>2</w:t>
      </w:r>
      <w:r>
        <w:t>+</w:t>
      </w:r>
      <w:r>
        <w:t xml:space="preserve"> </w:t>
      </w:r>
      <w:r>
        <w:t>specific DNAzymes‐based fluorescent probes, for the first time, enabling simultaneous visualization of both redox states of copper in single living neurons. Using this dual‐color system, we found that amyloid‐beta (Aβ) oligomerization promotes intracellular copper accumulation, distinct from that induced by artificial ionophore loading. Elevated Cu</w:t>
      </w:r>
      <w:r>
        <w:t xml:space="preserve"> </w:t>
      </w:r>
      <w:r>
        <w:t>+</w:t>
      </w:r>
      <w:r>
        <w:t xml:space="preserve"> </w:t>
      </w:r>
      <w:r>
        <w:t>drives reactive oxygen species (ROS) generation, lipoylated protein aggregation, and FDX1‐dependent cuproptosis, while Cu</w:t>
      </w:r>
      <w:r>
        <w:t xml:space="preserve"> </w:t>
      </w:r>
      <w:r>
        <w:t>+</w:t>
      </w:r>
      <w:r>
        <w:t xml:space="preserve"> </w:t>
      </w:r>
      <w:r>
        <w:t>chelation or FDX1 knockdown completely prevents cell death. In contrast, ROS scavengers only partially rescue viability, demonstrating that neuronal death is driven by copper overload, not oxidative stress itself. These findings redefine the mechanistic framework linking copper redox imbalance to Aβ pathology and neuronal vulnerability and demonstrate a selective, sensitive approach for monitoring copper homeostasis and its disruption in neurodegenerative disease.</w:t>
      </w:r>
    </w:p>
    <w:p>
      <w:pPr>
        <w:spacing w:before="120" w:after="120"/>
      </w:pPr>
      <w:r>
        <w:rPr>
          <w:sz w:val="18"/>
        </w:rPr>
        <w:t>——————————————————————————————————————————————————————————————————————</w:t>
      </w:r>
    </w:p>
    <w:p>
      <w:pPr>
        <w:spacing w:before="160" w:after="40" w:line="240" w:lineRule="auto"/>
      </w:pPr>
      <w:r>
        <w:rPr>
          <w:b/>
        </w:rPr>
        <w:t xml:space="preserve">[45] </w:t>
      </w:r>
      <w:hyperlink r:id="rId63">
        <w:r>
          <w:rPr>
            <w:color w:val="1155CC"/>
            <w:u w:val="single"/>
          </w:rPr>
          <w:t>简单非活性 Alkenes 液态和直接合成的液态和直接合成</w:t>
        </w:r>
      </w:hyperlink>
    </w:p>
    <w:p>
      <w:pPr>
        <w:spacing w:before="0" w:after="80"/>
      </w:pPr>
      <w:r>
        <w:rPr>
          <w:i/>
          <w:sz w:val="20"/>
        </w:rPr>
        <w:t>EN: Modular and Direct Synthesis of γ‐Sultines From Simple Unactivated Alkenes</w:t>
      </w:r>
    </w:p>
    <w:p>
      <w:pPr>
        <w:spacing w:before="0" w:after="120"/>
      </w:pPr>
      <w:r>
        <w:rPr>
          <w:b/>
        </w:rPr>
        <w:t xml:space="preserve">Source: </w:t>
      </w:r>
      <w:r>
        <w:t>Wiley: Angewandte Chemie International Edition: Table of Contents</w:t>
      </w:r>
      <w:r>
        <w:t xml:space="preserve">    </w:t>
      </w:r>
      <w:r>
        <w:rPr>
          <w:b/>
        </w:rPr>
        <w:t xml:space="preserve">Pub date: </w:t>
      </w:r>
      <w:r>
        <w:t>2026-02-21 09:04:10+00:00</w:t>
      </w:r>
      <w:r>
        <w:t xml:space="preserve">    </w:t>
      </w:r>
      <w:r>
        <w:rPr>
          <w:b/>
        </w:rPr>
        <w:t xml:space="preserve">DOI: </w:t>
      </w:r>
      <w:hyperlink r:id="rId64">
        <w:r>
          <w:rPr>
            <w:color w:val="1155CC"/>
            <w:u w:val="single"/>
          </w:rPr>
          <w:t>10.1002/anie.202522431</w:t>
        </w:r>
      </w:hyperlink>
    </w:p>
    <w:p>
      <w:pPr>
        <w:spacing w:before="0" w:after="120"/>
      </w:pPr>
      <w:r>
        <w:rPr>
          <w:b/>
        </w:rPr>
        <w:t xml:space="preserve">Notes: </w:t>
      </w:r>
      <w:r>
        <w:t>abstract_source=crossref</w:t>
      </w:r>
    </w:p>
    <w:p>
      <w:pPr>
        <w:spacing w:before="0" w:after="80" w:lineRule="auto" w:line="276"/>
      </w:pPr>
      <w:r>
        <w:rPr>
          <w:b/>
        </w:rPr>
        <w:t xml:space="preserve">摘要（ZH）: </w:t>
      </w:r>
      <w:r>
        <w:t>尽管长期关注硫酸盐,但其高效和一般合成仍然难以实现。现有方法通常依赖氧化或重新排列途径或前功能化同同质基质,从而限制实用性和范围。我们第一次展示了可见光驱动继电器,将简单的未活性硫化硫化物和DABSO作为SO 2来源,直接将简单的未活性硫化硫化烷转化为硫。该反应涉及极性反转产生的高电离裂性激进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w:t>
      </w:r>
    </w:p>
    <w:p>
      <w:pPr>
        <w:spacing w:before="0" w:after="200" w:lineRule="auto" w:line="276"/>
      </w:pPr>
      <w:r>
        <w:rPr>
          <w:b/>
        </w:rPr>
        <w:t xml:space="preserve">Abstract (EN): </w:t>
      </w:r>
      <w:r>
        <w:t>Despite long‐standing interest in sultines, their efficient and general synthesis remains elusive. Existing methods typically rely on oxidative or rearrangement pathways or on prefunctionalized homoallylic substrates, thus limiting practicality and scope. For the first time, we demonstrate a visible‐light‐driven relay that directly converts simple unactivated alkenes into γ‐sultines using sulfoxonium ylides and DABSO as an SO</w:t>
      </w:r>
      <w:r>
        <w:rPr>
          <w:vertAlign w:val="subscript"/>
        </w:rPr>
        <w:t>2</w:t>
      </w:r>
      <w:r>
        <w:t>source. The reaction involves a highly electrophilic distonic radical cation, generated through polarity inversion, which initiates addition to unactivated alkenes and, acting as an intrinsic leaving‐group precursor, orchestrates radical relay and cyclization in a single photochemical sequence. This modular and operationally simple strategy exhibits broad substrate scope and excellent functional‐group tolerance and is applicable to late‐stage functionalization of complex molecules, opening new avenues for γ‐sultine synthesis and diversification.</w:t>
      </w:r>
    </w:p>
    <w:p>
      <w:pPr>
        <w:spacing w:before="120" w:after="120"/>
      </w:pPr>
      <w:r>
        <w:rPr>
          <w:sz w:val="18"/>
        </w:rPr>
        <w:t>——————————————————————————————————————————————————————————————————————</w:t>
      </w:r>
    </w:p>
    <w:p>
      <w:pPr>
        <w:spacing w:before="160" w:after="40" w:line="240" w:lineRule="auto"/>
      </w:pPr>
      <w:r>
        <w:rPr>
          <w:b/>
        </w:rPr>
        <w:t xml:space="preserve">[46] </w:t>
      </w:r>
      <w:hyperlink r:id="rId65">
        <w:r>
          <w:rPr>
            <w:color w:val="1155CC"/>
            <w:u w:val="single"/>
          </w:rPr>
          <w:t>具有电子金属支持互动作用的工程支持的金属纳米粒子的激光自爆自爆战略</w:t>
        </w:r>
      </w:hyperlink>
    </w:p>
    <w:p>
      <w:pPr>
        <w:spacing w:before="0" w:after="80"/>
      </w:pPr>
      <w:r>
        <w:rPr>
          <w:i/>
          <w:sz w:val="20"/>
        </w:rPr>
        <w:t>EN: A Laser‐Triggered Self‐Decomposition Strategy for Engineering Boridene‐Supported Metal Nanoparticles With Electronic Metal‐Support Interactions</w:t>
      </w:r>
    </w:p>
    <w:p>
      <w:pPr>
        <w:spacing w:before="0" w:after="120"/>
      </w:pPr>
      <w:r>
        <w:rPr>
          <w:b/>
        </w:rPr>
        <w:t xml:space="preserve">Source: </w:t>
      </w:r>
      <w:r>
        <w:t>Wiley: Advanced Energy Materials: Table of Contents</w:t>
      </w:r>
      <w:r>
        <w:t xml:space="preserve">    </w:t>
      </w:r>
      <w:r>
        <w:rPr>
          <w:b/>
        </w:rPr>
        <w:t xml:space="preserve">Pub date: </w:t>
      </w:r>
      <w:r>
        <w:t>2026-02-21 09:05:14+00:00</w:t>
      </w:r>
      <w:r>
        <w:t xml:space="preserve">    </w:t>
      </w:r>
      <w:r>
        <w:rPr>
          <w:b/>
        </w:rPr>
        <w:t xml:space="preserve">DOI: </w:t>
      </w:r>
      <w:hyperlink r:id="rId66">
        <w:r>
          <w:rPr>
            <w:color w:val="1155CC"/>
            <w:u w:val="single"/>
          </w:rPr>
          <w:t>10.1002/aenm.70786</w:t>
        </w:r>
      </w:hyperlink>
    </w:p>
    <w:p>
      <w:pPr>
        <w:spacing w:before="0" w:after="120"/>
      </w:pPr>
      <w:r>
        <w:rPr>
          <w:b/>
        </w:rPr>
        <w:t xml:space="preserve">Notes: </w:t>
      </w:r>
      <w:r>
        <w:t>abstract_source=crossref</w:t>
      </w:r>
    </w:p>
    <w:p>
      <w:pPr>
        <w:spacing w:before="0" w:after="80" w:lineRule="auto" w:line="276"/>
      </w:pPr>
      <w:r>
        <w:rPr>
          <w:b/>
        </w:rPr>
        <w:t xml:space="preserve">摘要（ZH）: </w:t>
      </w:r>
      <w:r>
        <w:t>ABSTACT 2D 过渡性金属胚胎(MBENES),如Boridene (MO 4/3 B 2 T x ) 等,具有极好的催化潜力,但受到不稳定、高抗力和加载纳米粒子失能的影响。 在这里,开发了激光触发自分解战略,以激活热不稳定的Boridene,分离MO-B债券,产生有缺陷的Mo纳米粒子(MO V ),形成与Boridene基质的电子金属支持互动(MO V/Boridene ) 。 对Gibbs自由能源和粘合能的分析证实了内在的内涵。</w:t>
      </w:r>
    </w:p>
    <w:p>
      <w:pPr>
        <w:spacing w:before="0" w:after="200" w:lineRule="auto" w:line="276"/>
      </w:pPr>
      <w:r>
        <w:rPr>
          <w:b/>
        </w:rPr>
        <w:t xml:space="preserve">Abstract (EN): </w:t>
      </w:r>
      <w:r>
        <w:t>2D transition‐metal borides (MBenes), such as Boridene (Mo</w:t>
      </w:r>
      <w:r>
        <w:t xml:space="preserve"> </w:t>
      </w:r>
      <w:r>
        <w:t>4/3</w:t>
      </w:r>
      <w:r>
        <w:t xml:space="preserve"> </w:t>
      </w:r>
      <w:r>
        <w:t>B</w:t>
      </w:r>
      <w:r>
        <w:rPr>
          <w:vertAlign w:val="subscript"/>
        </w:rPr>
        <w:t>2</w:t>
      </w:r>
      <w:r>
        <w:t>T</w:t>
      </w:r>
      <w:r>
        <w:t xml:space="preserve"> </w:t>
      </w:r>
      <w:r>
        <w:t>x</w:t>
      </w:r>
      <w:r>
        <w:t xml:space="preserve"> </w:t>
      </w:r>
      <w:r>
        <w:t>), exhibit excellent catalytic potential but suffer from instability, high resistivity, and loaded nanoparticle deactivation. Here, a laser‐triggered self‐decomposition strategy is developed to activate thermally unstable Boridene, cleaving Mo─B bonds and producing defective Mo nanoparticles (Mo</w:t>
      </w:r>
      <w:r>
        <w:t xml:space="preserve"> </w:t>
      </w:r>
      <w:r>
        <w:t>V</w:t>
      </w:r>
      <w:r>
        <w:t xml:space="preserve"> </w:t>
      </w:r>
      <w:r>
        <w:t>) that form electronic metal‐support interactions (EMSIs) with the Boridene substrate (Mo</w:t>
      </w:r>
      <w:r>
        <w:t xml:space="preserve"> </w:t>
      </w:r>
      <w:r>
        <w:t>V</w:t>
      </w:r>
      <w:r>
        <w:t xml:space="preserve"> </w:t>
      </w:r>
      <w:r>
        <w:t>/Boridene). Analyses of Gibbs free energy and bond energetics confirm the intrinsic instability of Boridene, revealing that its negative Gibbs free energy and relatively weak Mo─B bonds drive a thermodynamic propensity for controlled decomposition. Driven by EMSIs that enhance interface durability and optimize the electronic structure for accelerated oxygen electrocatalysis, the Mo</w:t>
      </w:r>
      <w:r>
        <w:t xml:space="preserve"> </w:t>
      </w:r>
      <w:r>
        <w:t>V</w:t>
      </w:r>
      <w:r>
        <w:t xml:space="preserve"> </w:t>
      </w:r>
      <w:r>
        <w:t>/Boridene cathode achieves a low overpotential (0.32/0.40 V) and ultralong cyclability (550 cycles), surpassing most existing Mo‐based lithium‐oxygen batteries (LOBs) to date. This strategy is further demonstrated in another Mo</w:t>
      </w:r>
      <w:r>
        <w:rPr>
          <w:vertAlign w:val="subscript"/>
        </w:rPr>
        <w:t>2</w:t>
      </w:r>
      <w:r>
        <w:t>C MXene system with EMSI effects, establishing a versatile platform for activating MBenes/MXenes and expanding their potential applications in energy storage and conversion.</w:t>
      </w:r>
    </w:p>
    <w:p>
      <w:pPr>
        <w:spacing w:before="120" w:after="120"/>
      </w:pPr>
      <w:r>
        <w:rPr>
          <w:sz w:val="18"/>
        </w:rPr>
        <w:t>——————————————————————————————————————————————————————————————————————</w:t>
      </w:r>
    </w:p>
    <w:p>
      <w:pPr>
        <w:spacing w:before="160" w:after="40" w:line="240" w:lineRule="auto"/>
      </w:pPr>
      <w:r>
        <w:rPr>
          <w:b/>
        </w:rPr>
        <w:t xml:space="preserve">[47] </w:t>
      </w:r>
      <w:hyperlink r:id="rId67">
        <w:r>
          <w:rPr>
            <w:color w:val="1155CC"/>
            <w:u w:val="single"/>
          </w:rPr>
          <w:t>Lewis Casetized DYKAT 带灰度试剂的MYKAT 带青度子子子子子体</w:t>
        </w:r>
      </w:hyperlink>
    </w:p>
    <w:p>
      <w:pPr>
        <w:spacing w:before="0" w:after="80"/>
      </w:pPr>
      <w:r>
        <w:rPr>
          <w:i/>
          <w:sz w:val="20"/>
        </w:rPr>
        <w:t>EN: Lewis Base‐Catalyzed DYKAT of Racemic Chlorohydrosilanes With Grignard Reagents En Route to Si‐Stereogenic Hydrosilanes</w:t>
      </w:r>
    </w:p>
    <w:p>
      <w:pPr>
        <w:spacing w:before="0" w:after="120"/>
      </w:pPr>
      <w:r>
        <w:rPr>
          <w:b/>
        </w:rPr>
        <w:t xml:space="preserve">Source: </w:t>
      </w:r>
      <w:r>
        <w:t>Wiley: Angewandte Chemie International Edition: Table of Contents</w:t>
      </w:r>
      <w:r>
        <w:t xml:space="preserve">    </w:t>
      </w:r>
      <w:r>
        <w:rPr>
          <w:b/>
        </w:rPr>
        <w:t xml:space="preserve">Pub date: </w:t>
      </w:r>
      <w:r>
        <w:t>2026-02-21 09:07:43+00:00</w:t>
      </w:r>
      <w:r>
        <w:t xml:space="preserve">    </w:t>
      </w:r>
      <w:r>
        <w:rPr>
          <w:b/>
        </w:rPr>
        <w:t xml:space="preserve">DOI: </w:t>
      </w:r>
      <w:hyperlink r:id="rId68">
        <w:r>
          <w:rPr>
            <w:color w:val="1155CC"/>
            <w:u w:val="single"/>
          </w:rPr>
          <w:t>10.1002/anie.3901082</w:t>
        </w:r>
      </w:hyperlink>
    </w:p>
    <w:p>
      <w:pPr>
        <w:spacing w:before="0" w:after="120"/>
      </w:pPr>
      <w:r>
        <w:rPr>
          <w:b/>
        </w:rPr>
        <w:t xml:space="preserve">Notes: </w:t>
      </w:r>
      <w:r>
        <w:t>abstract_source=crossref</w:t>
      </w:r>
    </w:p>
    <w:p>
      <w:pPr>
        <w:spacing w:before="0" w:after="80" w:lineRule="auto" w:line="276"/>
      </w:pPr>
      <w:r>
        <w:rPr>
          <w:b/>
        </w:rPr>
        <w:t xml:space="preserve">摘要（ZH）: </w:t>
      </w:r>
      <w:r>
        <w:t>由于有机化学不同领域的关联性,具有Si 动因成型中心的ABSTACT antial-entraced 氢硅烷基硅烷基,由于具有有机化学不同领域的关联性,已引起相当的重视。它们的合成主要限于单立立体减少硅酸盐或硅烷,或催化二氢硅基原体脱硫。我们在此披露一种机械化的独特战略:一种(S,R)苯甲二丁丁基甲基动力分析动力对称变化(DYKAT),一种带有青光剂的氯氯氟烷基硅烷基环(DYKAT),这种方法使得Si能够形成同源Si的SiC债券。</w:t>
      </w:r>
    </w:p>
    <w:p>
      <w:pPr>
        <w:spacing w:before="0" w:after="200" w:lineRule="auto" w:line="276"/>
      </w:pPr>
      <w:r>
        <w:rPr>
          <w:b/>
        </w:rPr>
        <w:t xml:space="preserve">Abstract (EN): </w:t>
      </w:r>
      <w:r>
        <w:t>Enantioenriched hydrosilanes bearing a</w:t>
      </w:r>
      <w:r>
        <w:t xml:space="preserve"> </w:t>
      </w:r>
      <w:r>
        <w:t>Si</w:t>
      </w:r>
      <w:r>
        <w:t xml:space="preserve"> </w:t>
      </w:r>
      <w:r>
        <w:t>‐stereogenic center have garnered considerable attention due to the relevance in diverse areas of organic chemistry. Their synthesis has predominantly been limited to stereospecific reduction of chiral silylethers or silazanes, or catalytic desymmetrization of prochiral dihydrosilanes. Herein, we disclose a mechanistically distinct strategy: a (</w:t>
      </w:r>
      <w:r>
        <w:t xml:space="preserve"> </w:t>
      </w:r>
      <w:r>
        <w:t>S</w:t>
      </w:r>
      <w:r>
        <w:t xml:space="preserve"> </w:t>
      </w:r>
      <w:r>
        <w:t>,</w:t>
      </w:r>
      <w:r>
        <w:t xml:space="preserve"> </w:t>
      </w:r>
      <w:r>
        <w:t>R</w:t>
      </w:r>
      <w:r>
        <w:t xml:space="preserve"> </w:t>
      </w:r>
      <w:r>
        <w:t>)‐benzotetramisole‐catalyzed dynamic kinetic asymmetric transformation (DYKAT) of racemic chlorohydrosilanes with Grignard reagents. The method enables enantioconvergent Si*─C bond formation, giving</w:t>
      </w:r>
      <w:r>
        <w:t xml:space="preserve"> </w:t>
      </w:r>
      <w:r>
        <w:t>Si</w:t>
      </w:r>
      <w:r>
        <w:t xml:space="preserve"> </w:t>
      </w:r>
      <w:r>
        <w:t>‐stereogenic hydrosilanes—many of which are challenging to access</w:t>
      </w:r>
      <w:r>
        <w:t xml:space="preserve"> </w:t>
      </w:r>
      <w:r>
        <w:t>via</w:t>
      </w:r>
      <w:r>
        <w:t xml:space="preserve"> </w:t>
      </w:r>
      <w:r>
        <w:t>desymmetrization—in high yields and with high enantioselectivity (34 examples, up to 99% yield, 99:1</w:t>
      </w:r>
      <w:r>
        <w:t xml:space="preserve"> </w:t>
      </w:r>
      <w:r>
        <w:t>er</w:t>
      </w:r>
      <w:r>
        <w:t xml:space="preserve"> </w:t>
      </w:r>
      <w:r>
        <w:t>).</w:t>
      </w:r>
    </w:p>
    <w:p>
      <w:pPr>
        <w:spacing w:before="120" w:after="120"/>
      </w:pPr>
      <w:r>
        <w:rPr>
          <w:sz w:val="18"/>
        </w:rPr>
        <w:t>——————————————————————————————————————————————————————————————————————</w:t>
      </w:r>
    </w:p>
    <w:p>
      <w:pPr>
        <w:spacing w:before="160" w:after="40" w:line="240" w:lineRule="auto"/>
      </w:pPr>
      <w:r>
        <w:rPr>
          <w:b/>
        </w:rPr>
        <w:t xml:space="preserve">[48] </w:t>
      </w:r>
      <w:hyperlink r:id="rId69">
        <w:r>
          <w:rPr>
            <w:color w:val="1155CC"/>
            <w:u w:val="single"/>
          </w:rPr>
          <w:t>超敏感超超超超超超光谱成结构定位感敏性探测器,能够对人体-海洋相互作用进行目视跟踪</w:t>
        </w:r>
      </w:hyperlink>
    </w:p>
    <w:p>
      <w:pPr>
        <w:spacing w:before="0" w:after="80"/>
      </w:pPr>
      <w:r>
        <w:rPr>
          <w:i/>
          <w:sz w:val="20"/>
        </w:rPr>
        <w:t>EN: Ultrasensitive Mesh‐Structured Position‐Sensitive Detectors Enabling Eye Tracking for Human‐Machine Interaction</w:t>
      </w:r>
    </w:p>
    <w:p>
      <w:pPr>
        <w:spacing w:before="0" w:after="120"/>
      </w:pPr>
      <w:r>
        <w:rPr>
          <w:b/>
        </w:rPr>
        <w:t xml:space="preserve">Source: </w:t>
      </w:r>
      <w:r>
        <w:t>Wiley: Advanced Materials: Table of Contents</w:t>
      </w:r>
      <w:r>
        <w:t xml:space="preserve">    </w:t>
      </w:r>
      <w:r>
        <w:rPr>
          <w:b/>
        </w:rPr>
        <w:t xml:space="preserve">Pub date: </w:t>
      </w:r>
      <w:r>
        <w:t>2026-02-21 09:09:48+00:00</w:t>
      </w:r>
      <w:r>
        <w:t xml:space="preserve">    </w:t>
      </w:r>
      <w:r>
        <w:rPr>
          <w:b/>
        </w:rPr>
        <w:t xml:space="preserve">DOI: </w:t>
      </w:r>
      <w:hyperlink r:id="rId70">
        <w:r>
          <w:rPr>
            <w:color w:val="1155CC"/>
            <w:u w:val="single"/>
          </w:rPr>
          <w:t>10.1002/adma.202521363</w:t>
        </w:r>
      </w:hyperlink>
    </w:p>
    <w:p>
      <w:pPr>
        <w:spacing w:before="0" w:after="120"/>
      </w:pPr>
      <w:r>
        <w:rPr>
          <w:b/>
        </w:rPr>
        <w:t xml:space="preserve">Notes: </w:t>
      </w:r>
      <w:r>
        <w:t>abstract_source=crossref</w:t>
      </w:r>
    </w:p>
    <w:p>
      <w:pPr>
        <w:spacing w:before="0" w:after="80" w:lineRule="auto" w:line="276"/>
      </w:pPr>
      <w:r>
        <w:rPr>
          <w:b/>
        </w:rPr>
        <w:t xml:space="preserve">摘要（ZH）: </w:t>
      </w:r>
      <w:r>
        <w:t>ABSTACT 眼睛跟踪通过测量眼睛运动和显示用户注意和意图,提供高效、直觉和无缝的人体机器互动,通过测量眼睛运动和显示用户注意和意图,目前,录相的眼跟踪系统在达到次度准确性的同时,由于数据采集和处理多余像素而消耗了高功率。在这里,我们展示了一个节能的眼跟踪系统,该系统使用定位敏感探测器(PSD)和光导光学透视仪(PSD),它只有4个读出信号,数据量比视频系统减少3个以上的数量级,同时达到更高的准确性。随着横向光电和相互扰动的协同效应,Mesh-SASaf下有结构化的私营部门司运行。</w:t>
      </w:r>
    </w:p>
    <w:p>
      <w:pPr>
        <w:spacing w:before="0" w:after="200" w:lineRule="auto" w:line="276"/>
      </w:pPr>
      <w:r>
        <w:rPr>
          <w:b/>
        </w:rPr>
        <w:t xml:space="preserve">Abstract (EN): </w:t>
      </w:r>
      <w:r>
        <w:t>Eye tracking provides highly efficient, intuitive, and seamless human‐machine interaction by measuring eye movements and revealing user attention and intention. Currently, video‐based eye tracking systems, while achieving sub‐degree accuracy, suffer from high power consumption due to data acquisition and processing of redundant pixels. Here, we present an energy‐efficient eye‐tracking system employing a position‐sensitive detector (PSD) with a graphene photoconductive mesh, which operates with only four readout signals, reducing data volume by over three orders of magnitude compared to video‐based systems, while achieving superior accuracy. With the synergistic effects of lateral photoelectric and interfacial gating, the mesh‐structured PSD operates under eye‐safe ultra‐weak light (as low as 10 pW) without a detection dead zone. Leveraging the real‐time, precise tracking capability of the PSD, the eye‐tracking system determines gaze orientation by tracking the reflected trajectories of light beams from the cornea, achieving a 1 kHz tracking frequency and &amp;lt; 0.1° angular accuracy. Human‐machine interaction applications such as eye‐controlled typing and a Gluttonous Snake game are demonstrated using the PSD‐enabled eye tracker. The PSD‐based eye tracking holds significant promise for the application of human‐machine interaction in miniaturized systems.</w:t>
      </w:r>
    </w:p>
    <w:p>
      <w:pPr>
        <w:spacing w:before="120" w:after="120"/>
      </w:pPr>
      <w:r>
        <w:rPr>
          <w:sz w:val="18"/>
        </w:rPr>
        <w:t>——————————————————————————————————————————————————————————————————————</w:t>
      </w:r>
    </w:p>
    <w:p>
      <w:pPr>
        <w:spacing w:before="160" w:after="40" w:line="240" w:lineRule="auto"/>
      </w:pPr>
      <w:r>
        <w:rPr>
          <w:b/>
        </w:rPr>
        <w:t xml:space="preserve">[49] </w:t>
      </w:r>
      <w:hyperlink r:id="rId71">
        <w:r>
          <w:rPr>
            <w:color w:val="1155CC"/>
            <w:u w:val="single"/>
          </w:rPr>
          <w:t>促进持久能力脱离的重新规划</w:t>
        </w:r>
      </w:hyperlink>
    </w:p>
    <w:p>
      <w:pPr>
        <w:spacing w:before="0" w:after="80"/>
      </w:pPr>
      <w:r>
        <w:rPr>
          <w:i/>
          <w:sz w:val="20"/>
        </w:rPr>
        <w:t>EN: Interlayer Covalent Reinforcement‐Enabled Lattice Reprogramming for Durable Capacitive Deionization</w:t>
      </w:r>
    </w:p>
    <w:p>
      <w:pPr>
        <w:spacing w:before="0" w:after="120"/>
      </w:pPr>
      <w:r>
        <w:rPr>
          <w:b/>
        </w:rPr>
        <w:t xml:space="preserve">Source: </w:t>
      </w:r>
      <w:r>
        <w:t>Wiley: Angewandte Chemie International Edition: Table of Contents</w:t>
      </w:r>
      <w:r>
        <w:t xml:space="preserve">    </w:t>
      </w:r>
      <w:r>
        <w:rPr>
          <w:b/>
        </w:rPr>
        <w:t xml:space="preserve">Pub date: </w:t>
      </w:r>
      <w:r>
        <w:t>2026-02-21 09:11:53+00:00</w:t>
      </w:r>
      <w:r>
        <w:t xml:space="preserve">    </w:t>
      </w:r>
      <w:r>
        <w:rPr>
          <w:b/>
        </w:rPr>
        <w:t xml:space="preserve">DOI: </w:t>
      </w:r>
      <w:hyperlink r:id="rId72">
        <w:r>
          <w:rPr>
            <w:color w:val="1155CC"/>
            <w:u w:val="single"/>
          </w:rPr>
          <w:t>10.1002/anie.202525780</w:t>
        </w:r>
      </w:hyperlink>
    </w:p>
    <w:p>
      <w:pPr>
        <w:spacing w:before="0" w:after="120"/>
      </w:pPr>
      <w:r>
        <w:rPr>
          <w:b/>
        </w:rPr>
        <w:t xml:space="preserve">Notes: </w:t>
      </w:r>
      <w:r>
        <w:t>abstract_source=crossref</w:t>
      </w:r>
    </w:p>
    <w:p>
      <w:pPr>
        <w:spacing w:before="0" w:after="80" w:lineRule="auto" w:line="276"/>
      </w:pPr>
      <w:r>
        <w:rPr>
          <w:b/>
        </w:rPr>
        <w:t xml:space="preserve">摘要（ZH）: </w:t>
      </w:r>
      <w:r>
        <w:t>ABSTACT 能力脱离电解离(CDI) 提供了一个低能脱盐途径,但受到缺乏高离离子储存和耐久性的电极的阻碍。 在这里,我们展示了一种共价支持的跨层工程战略,将分层硫化物(MOS 2)转化为高性性能电极,其容量和稳定性非常稳定。我们精确地将丁烷1,4二醇相互隔热,用硬性共价连接取代弱的范德华相互作用,同时扩大两层间距,并促成局部2Hto1T lattctice重建。这种双重结构重组,从根本上重组了摩斯轨道混合化,产生强大的高能抗扰动状态。</w:t>
      </w:r>
    </w:p>
    <w:p>
      <w:pPr>
        <w:spacing w:before="0" w:after="200" w:lineRule="auto" w:line="276"/>
      </w:pPr>
      <w:r>
        <w:rPr>
          <w:b/>
        </w:rPr>
        <w:t xml:space="preserve">Abstract (EN): </w:t>
      </w:r>
      <w:r>
        <w:t>Capacitive deionization (CDI) offers a low‐energy route for desalination but is hindered by electrodes lacking both high ion storage and durability. Here we present a covalently supported interlayer engineering strategy that transforms layered molybdenum sulfide (MoS</w:t>
      </w:r>
      <w:r>
        <w:rPr>
          <w:vertAlign w:val="subscript"/>
        </w:rPr>
        <w:t>2</w:t>
      </w:r>
      <w:r>
        <w:t>) into a high‐performance electrode with exceptional capacity and stability. By precisely intercalating butane‐1,4‐diol, we replace weak van der Waals interactions with rigid covalent linkages, simultaneously expanding interlayer spacing and inducing local 2H‐to‐1T lattice reconstruction. This dual structural reprogramming fundamentally reconfigures Mo‐S orbital hybridization, generating high‐energy antibonding states that promote strong Na</w:t>
      </w:r>
      <w:r>
        <w:t xml:space="preserve"> </w:t>
      </w:r>
      <w:r>
        <w:t>+</w:t>
      </w:r>
      <w:r>
        <w:t xml:space="preserve"> </w:t>
      </w:r>
      <w:r>
        <w:t>chemisorption while preventing framework collapse. Consequently, the engineered electrode delivers an ultrahigh salt removal capacity of 77.4 mg g</w:t>
      </w:r>
      <w:r>
        <w:t xml:space="preserve"> </w:t>
      </w:r>
      <w:r>
        <w:t>−1</w:t>
      </w:r>
      <w:r>
        <w:t xml:space="preserve"> </w:t>
      </w:r>
      <w:r>
        <w:t>, over threefold higher than pristine MoS</w:t>
      </w:r>
      <w:r>
        <w:rPr>
          <w:vertAlign w:val="subscript"/>
        </w:rPr>
        <w:t>2</w:t>
      </w:r>
      <w:r>
        <w:t>, without measurable decay over 50 cycles, and demonstrates scalable brine treatment outperforming state‐of‐the‐art 2D electrodes. This work establishes a generalized paradigm for covalently reinforced 2D frameworks, resolving the long‐standing performance‐stability paradox in CDI and advancing practical, high‐capacity desalination.</w:t>
      </w:r>
    </w:p>
    <w:p>
      <w:pPr>
        <w:spacing w:before="120" w:after="120"/>
      </w:pPr>
      <w:r>
        <w:rPr>
          <w:sz w:val="18"/>
        </w:rPr>
        <w:t>——————————————————————————————————————————————————————————————————————</w:t>
      </w:r>
    </w:p>
    <w:p>
      <w:pPr>
        <w:spacing w:before="160" w:after="40" w:line="240" w:lineRule="auto"/>
      </w:pPr>
      <w:r>
        <w:rPr>
          <w:b/>
        </w:rPr>
        <w:t xml:space="preserve">[50] </w:t>
      </w:r>
      <w:hyperlink r:id="rId73">
        <w:r>
          <w:rPr>
            <w:color w:val="1155CC"/>
            <w:u w:val="single"/>
          </w:rPr>
          <w:t>蒸发/蒸发/白化 1.68 eV Perovskite太阳能电池中的聚变磷磷酸分解谷物分解分界线消化</w:t>
        </w:r>
      </w:hyperlink>
    </w:p>
    <w:p>
      <w:pPr>
        <w:spacing w:before="0" w:after="80"/>
      </w:pPr>
      <w:r>
        <w:rPr>
          <w:i/>
          <w:sz w:val="20"/>
        </w:rPr>
        <w:t>EN: Molten Phosphonoalkanoic Acid‐Driven Grain Boundary Passivation in Evaporated/Blade‐Coated 1.68‐eV Perovskite Solar Cells</w:t>
      </w:r>
    </w:p>
    <w:p>
      <w:pPr>
        <w:spacing w:before="0" w:after="120"/>
      </w:pPr>
      <w:r>
        <w:rPr>
          <w:b/>
        </w:rPr>
        <w:t xml:space="preserve">Source: </w:t>
      </w:r>
      <w:r>
        <w:t>Wiley: Advanced Energy Materials: Table of Contents</w:t>
      </w:r>
      <w:r>
        <w:t xml:space="preserve">    </w:t>
      </w:r>
      <w:r>
        <w:rPr>
          <w:b/>
        </w:rPr>
        <w:t xml:space="preserve">Pub date: </w:t>
      </w:r>
      <w:r>
        <w:t>2026-02-21 09:13:15+00:00</w:t>
      </w:r>
      <w:r>
        <w:t xml:space="preserve">    </w:t>
      </w:r>
      <w:r>
        <w:rPr>
          <w:b/>
        </w:rPr>
        <w:t xml:space="preserve">DOI: </w:t>
      </w:r>
      <w:hyperlink r:id="rId74">
        <w:r>
          <w:rPr>
            <w:color w:val="1155CC"/>
            <w:u w:val="single"/>
          </w:rPr>
          <w:t>10.1002/aenm.202505854</w:t>
        </w:r>
      </w:hyperlink>
    </w:p>
    <w:p>
      <w:pPr>
        <w:spacing w:before="0" w:after="120"/>
      </w:pPr>
      <w:r>
        <w:rPr>
          <w:b/>
        </w:rPr>
        <w:t xml:space="preserve">Notes: </w:t>
      </w:r>
      <w:r>
        <w:t>abstract_source=crossref</w:t>
      </w:r>
    </w:p>
    <w:p>
      <w:pPr>
        <w:spacing w:before="0" w:after="80" w:lineRule="auto" w:line="276"/>
      </w:pPr>
      <w:r>
        <w:rPr>
          <w:b/>
        </w:rPr>
        <w:t xml:space="preserve">摘要（ZH）: </w:t>
      </w:r>
      <w:r>
        <w:t>由于谷物边界缺陷,ABSTACT 非放射性再融合因谷物边界缺陷引起的非放射性再融合仍然是一个重大挑战,限制了百草枯太阳能电池的性能。这项工作提议在百草枯结晶化过程中采用熔溶4--磷-丁酸(4-PBA)的动态消能机制。与固态消能器不同,熔化磷化磷酸分子深入散居区,进入本来无法接触到的隐蔽缺陷地点。在熔化状态下,磷化(-PO 3 H 2)和碳箱状(-COOH)团体表现出高度的顺质自由,能够自动旋转和最佳空间调整,以与百草枯原子安排相匹配。在熔化状态下,磷化(-H2)和碳箱状体(-COOH)团体表现出高度的顺质自由,能够自转和最佳空间协调。</w:t>
      </w:r>
    </w:p>
    <w:p>
      <w:pPr>
        <w:spacing w:before="0" w:after="200" w:lineRule="auto" w:line="276"/>
      </w:pPr>
      <w:r>
        <w:rPr>
          <w:b/>
        </w:rPr>
        <w:t xml:space="preserve">Abstract (EN): </w:t>
      </w:r>
      <w:r>
        <w:t>Non‐radiative recombination induced by grain boundary defects remains a critical challenge limiting the performance of perovskite solar cells (PSCs). This work proposes a dynamic passivation mechanism using molten 4‐phosphonobutyric acid (4‐PBA) during perovskite crystallization. Unlike solid‐state passivators, molten phosphonoalkanoic acid molecules penetrate deeply into bulk regions and access hidden defect sites that are otherwise unreachable. In the molten state, the phosphonic (─PO</w:t>
      </w:r>
      <w:r>
        <w:rPr>
          <w:vertAlign w:val="subscript"/>
        </w:rPr>
        <w:t>3</w:t>
      </w:r>
      <w:r>
        <w:t>H</w:t>
      </w:r>
      <w:r>
        <w:rPr>
          <w:vertAlign w:val="subscript"/>
        </w:rPr>
        <w:t>2</w:t>
      </w:r>
      <w:r>
        <w:t>) and carboxylic (─COOH) groups exhibit high conformational freedom, enabling spontaneous rotation and optimal spatial alignment to match the atomic arrangement of perovskite defects. The butane chain in 4‐PBA creates an ideal separation of 5.4–7.7 Å between its ─PO</w:t>
      </w:r>
      <w:r>
        <w:rPr>
          <w:vertAlign w:val="subscript"/>
        </w:rPr>
        <w:t>3</w:t>
      </w:r>
      <w:r>
        <w:t>H</w:t>
      </w:r>
      <w:r>
        <w:rPr>
          <w:vertAlign w:val="subscript"/>
        </w:rPr>
        <w:t>2</w:t>
      </w:r>
      <w:r>
        <w:t>and ─COOH groups. This allows it to bridge the dual defects in adjacent [PbI</w:t>
      </w:r>
      <w:r>
        <w:rPr>
          <w:vertAlign w:val="subscript"/>
        </w:rPr>
        <w:t>6</w:t>
      </w:r>
      <w:r>
        <w:t>]</w:t>
      </w:r>
      <w:r>
        <w:t xml:space="preserve"> </w:t>
      </w:r>
      <w:r>
        <w:t>4−</w:t>
      </w:r>
      <w:r>
        <w:t>octahedra, enabling cooperative dual‐site passivation. As a result, 1.68 eV wide‐bandgap PSCs employing this bulk‐doping strategy with the evaporation‐coating hybrid method achieve a power conversion efficiency (PCE) of 22.53% (certified 21.95%) and show minimal efficiency degradation over time, demonstrating robust operational stability.</w:t>
      </w:r>
    </w:p>
    <w:p>
      <w:pPr>
        <w:spacing w:before="120" w:after="120"/>
      </w:pPr>
      <w:r>
        <w:rPr>
          <w:sz w:val="18"/>
        </w:rPr>
        <w:t>——————————————————————————————————————————————————————————————————————</w:t>
      </w:r>
    </w:p>
    <w:p>
      <w:pPr>
        <w:spacing w:before="160" w:after="40" w:line="240" w:lineRule="auto"/>
      </w:pPr>
      <w:r>
        <w:rPr>
          <w:b/>
        </w:rPr>
        <w:t xml:space="preserve">[51] </w:t>
      </w:r>
      <w:hyperlink r:id="rId75">
        <w:r>
          <w:rPr>
            <w:color w:val="1155CC"/>
            <w:u w:val="single"/>
          </w:rPr>
          <w:t>用于超稳定高利用率和超稳定高空储存的空空南层结构与硬碳封闭层的同步工程</w:t>
        </w:r>
      </w:hyperlink>
    </w:p>
    <w:p>
      <w:pPr>
        <w:spacing w:before="0" w:after="80"/>
      </w:pPr>
      <w:r>
        <w:rPr>
          <w:i/>
          <w:sz w:val="20"/>
        </w:rPr>
        <w:t>EN: Synergistic Engineering of Hollow Nanospherical Structure and Closed‐Pore in Hard Carbons for Ultra‐Stable and High‐Utilization Sodium Storage</w:t>
      </w:r>
    </w:p>
    <w:p>
      <w:pPr>
        <w:spacing w:before="0" w:after="120"/>
      </w:pPr>
      <w:r>
        <w:rPr>
          <w:b/>
        </w:rPr>
        <w:t xml:space="preserve">Source: </w:t>
      </w:r>
      <w:r>
        <w:t>Wiley: Advanced Energy Materials: Table of Contents</w:t>
      </w:r>
      <w:r>
        <w:t xml:space="preserve">    </w:t>
      </w:r>
      <w:r>
        <w:rPr>
          <w:b/>
        </w:rPr>
        <w:t xml:space="preserve">Pub date: </w:t>
      </w:r>
      <w:r>
        <w:t>2026-02-21 09:13:17+00:00</w:t>
      </w:r>
      <w:r>
        <w:t xml:space="preserve">    </w:t>
      </w:r>
      <w:r>
        <w:rPr>
          <w:b/>
        </w:rPr>
        <w:t xml:space="preserve">DOI: </w:t>
      </w:r>
      <w:hyperlink r:id="rId76">
        <w:r>
          <w:rPr>
            <w:color w:val="1155CC"/>
            <w:u w:val="single"/>
          </w:rPr>
          <w:t>10.1002/aenm.202506523</w:t>
        </w:r>
      </w:hyperlink>
    </w:p>
    <w:p>
      <w:pPr>
        <w:spacing w:before="0" w:after="120"/>
      </w:pPr>
      <w:r>
        <w:rPr>
          <w:b/>
        </w:rPr>
        <w:t xml:space="preserve">Notes: </w:t>
      </w:r>
      <w:r>
        <w:t>abstract_source=crossref</w:t>
      </w:r>
    </w:p>
    <w:p>
      <w:pPr>
        <w:spacing w:before="0" w:after="80" w:lineRule="auto" w:line="276"/>
      </w:pPr>
      <w:r>
        <w:rPr>
          <w:b/>
        </w:rPr>
        <w:t xml:space="preserve">摘要（ZH）: </w:t>
      </w:r>
      <w:r>
        <w:t>硬碳是钠电池中最有前途的阳极材料之一,但多种规模的协同建筑控制仍然难以实现,以改善全面的纳+储存性能。在这里,我们提议在纳米壳内用盐介介小鼠间聚变来细微的纳米层膨胀/缩小和封闭小孔,用于出色的综合纳+储存。 金属盐的筛选表明,Mn 2+提倡通过水解驱动小鼠膨胀而使空空球膨胀,而Cu 2+氧化聚合在小鼠体内形成单体,导致缩缩缩。</w:t>
      </w:r>
    </w:p>
    <w:p>
      <w:pPr>
        <w:spacing w:before="0" w:after="200" w:lineRule="auto" w:line="276"/>
      </w:pPr>
      <w:r>
        <w:rPr>
          <w:b/>
        </w:rPr>
        <w:t xml:space="preserve">Abstract (EN): </w:t>
      </w:r>
      <w:r>
        <w:t>Hard carbons are among the most promising anode materials for sodium‐ion batteries, yet synergistic architectural control across multiple scales to improve comprehensive Na</w:t>
      </w:r>
      <w:r>
        <w:t xml:space="preserve"> </w:t>
      </w:r>
      <w:r>
        <w:t>+</w:t>
      </w:r>
      <w:r>
        <w:t xml:space="preserve"> </w:t>
      </w:r>
      <w:r>
        <w:t>storage performances remains elusive. Herein, we propose a salt‐mediated micelle interfacial polymerization to fine nanospherical swelling/shrinkage and closed‐pore within nanoshells for excellent holistic Na</w:t>
      </w:r>
      <w:r>
        <w:t xml:space="preserve"> </w:t>
      </w:r>
      <w:r>
        <w:t>+</w:t>
      </w:r>
      <w:r>
        <w:t xml:space="preserve"> </w:t>
      </w:r>
      <w:r>
        <w:t>storage. Metal salts screening reveals that Mn</w:t>
      </w:r>
      <w:r>
        <w:t xml:space="preserve"> </w:t>
      </w:r>
      <w:r>
        <w:t>2+</w:t>
      </w:r>
      <w:r>
        <w:t xml:space="preserve"> </w:t>
      </w:r>
      <w:r>
        <w:t>promotes hollow sphere swelling via hydrolysis‐driven micelle expansion, while Cu</w:t>
      </w:r>
      <w:r>
        <w:t xml:space="preserve"> </w:t>
      </w:r>
      <w:r>
        <w:t>2+</w:t>
      </w:r>
      <w:r>
        <w:t xml:space="preserve"> </w:t>
      </w:r>
      <w:r>
        <w:t>oxidatively polymerizes monomer within micelles, causing shrinkage to solid spheres. The hollow architecture enables bidirectional Na</w:t>
      </w:r>
      <w:r>
        <w:t xml:space="preserve"> </w:t>
      </w:r>
      <w:r>
        <w:t>+</w:t>
      </w:r>
      <w:r>
        <w:t xml:space="preserve"> </w:t>
      </w:r>
      <w:r>
        <w:t>diffusion with &amp;gt;95% storage‐site utilization, outperforming unidirectional‐limited solid spheres with size‐dependent utilization. Meanwhile, this architecture, combined with 0D isotropy mitigates sodiation‐induced stress upon ultralong cycling. In situ salt‐induced expanded closed pores within the nanoscale shell enhance low‐potential capacity with fast kinetics. Such synergistic multi‐scale design leads to simultaneous exceptional high capacity of 324 mA g</w:t>
      </w:r>
      <w:r>
        <w:t xml:space="preserve"> </w:t>
      </w:r>
      <w:r>
        <w:t>−1</w:t>
      </w:r>
      <w:r>
        <w:t xml:space="preserve"> </w:t>
      </w:r>
      <w:r>
        <w:t>, outstanding rate capability retention of 90.5% at 1 A g</w:t>
      </w:r>
      <w:r>
        <w:t xml:space="preserve"> </w:t>
      </w:r>
      <w:r>
        <w:t>−1</w:t>
      </w:r>
      <w:r>
        <w:t xml:space="preserve"> </w:t>
      </w:r>
      <w:r>
        <w:t>, and unprecedented cyclic stability up to 20000 cycles with decay rate as low as 0.0014% per cycle. Negligible volume expansion (&amp;lt;0.0002 % per cycle) is observed for hollow spheres, nearly 15 times less than that of solid spheres (0.0026%). This work establishes fundamental design principle of multi‐scale architectural engineering for advanced hard carbon anodes.</w:t>
      </w:r>
    </w:p>
    <w:p>
      <w:pPr>
        <w:spacing w:before="120" w:after="120"/>
      </w:pPr>
      <w:r>
        <w:rPr>
          <w:sz w:val="18"/>
        </w:rPr>
        <w:t>——————————————————————————————————————————————————————————————————————</w:t>
      </w:r>
    </w:p>
    <w:p>
      <w:pPr>
        <w:spacing w:before="160" w:after="40" w:line="240" w:lineRule="auto"/>
      </w:pPr>
      <w:r>
        <w:rPr>
          <w:b/>
        </w:rPr>
        <w:t xml:space="preserve">[52] </w:t>
      </w:r>
      <w:hyperlink r:id="rId77">
        <w:r>
          <w:rPr>
            <w:color w:val="1155CC"/>
            <w:u w:val="single"/>
          </w:rPr>
          <w:t>通过Nanoropore工程公司</w:t>
        </w:r>
      </w:hyperlink>
    </w:p>
    <w:p>
      <w:pPr>
        <w:spacing w:before="0" w:after="80"/>
      </w:pPr>
      <w:r>
        <w:rPr>
          <w:i/>
          <w:sz w:val="20"/>
        </w:rPr>
        <w:t>EN: Tailoring Electronic Properties of Precision Graphene Nanoribbons via Nanopore Engineering</w:t>
      </w:r>
    </w:p>
    <w:p>
      <w:pPr>
        <w:spacing w:before="0" w:after="120"/>
      </w:pPr>
      <w:r>
        <w:rPr>
          <w:b/>
        </w:rPr>
        <w:t xml:space="preserve">Source: </w:t>
      </w:r>
      <w:r>
        <w:t>Wiley: Angewandte Chemie International Edition: Table of Contents</w:t>
      </w:r>
      <w:r>
        <w:t xml:space="preserve">    </w:t>
      </w:r>
      <w:r>
        <w:rPr>
          <w:b/>
        </w:rPr>
        <w:t xml:space="preserve">Pub date: </w:t>
      </w:r>
      <w:r>
        <w:t>2026-02-21 09:15:24+00:00</w:t>
      </w:r>
      <w:r>
        <w:t xml:space="preserve">    </w:t>
      </w:r>
      <w:r>
        <w:rPr>
          <w:b/>
        </w:rPr>
        <w:t xml:space="preserve">DOI: </w:t>
      </w:r>
      <w:hyperlink r:id="rId78">
        <w:r>
          <w:rPr>
            <w:color w:val="1155CC"/>
            <w:u w:val="single"/>
          </w:rPr>
          <w:t>10.1002/anie.202524299</w:t>
        </w:r>
      </w:hyperlink>
    </w:p>
    <w:p>
      <w:pPr>
        <w:spacing w:before="0" w:after="120"/>
      </w:pPr>
      <w:r>
        <w:rPr>
          <w:b/>
        </w:rPr>
        <w:t xml:space="preserve">Notes: </w:t>
      </w:r>
      <w:r>
        <w:t>abstract_source=crossref</w:t>
      </w:r>
    </w:p>
    <w:p>
      <w:pPr>
        <w:spacing w:before="0" w:after="80" w:lineRule="auto" w:line="276"/>
      </w:pPr>
      <w:r>
        <w:rPr>
          <w:b/>
        </w:rPr>
        <w:t xml:space="preserve">摘要（ZH）: </w:t>
      </w:r>
      <w:r>
        <w:t>精确地将纳米粒子纳入石墨纳米核子(GNRs)提供了一种补充战略,用以调节超出常规宽度和边缘工程的光电子特性,然而,由于缺乏合理的合成战略,对渗漏的GNRs的结构和电子特性(pGNRs)的结构和电子特性(电子特性)的系统理解仍然没有进行实验性探讨。</w:t>
      </w:r>
    </w:p>
    <w:p>
      <w:pPr>
        <w:spacing w:before="0" w:after="200" w:lineRule="auto" w:line="276"/>
      </w:pPr>
      <w:r>
        <w:rPr>
          <w:b/>
        </w:rPr>
        <w:t xml:space="preserve">Abstract (EN): </w:t>
      </w:r>
      <w:r>
        <w:t>The precise incorporation of nanopores into graphene nanoribbons (GNRs) offers a complementary strategy for modulating their opto‐electronic properties beyond conventional width and edge engineering. However, a systematic understanding of the relationship between the structure and electronic properties of porous GNRs (</w:t>
      </w:r>
      <w:r>
        <w:t xml:space="preserve"> </w:t>
      </w:r>
      <w:r>
        <w:t>pGNRs</w:t>
      </w:r>
      <w:r>
        <w:t xml:space="preserve"> </w:t>
      </w:r>
      <w:r>
        <w:t>) remains experimentally unexplored due to the lack of rational synthetic strategies. Herein, we report two novel porous GNRs (</w:t>
      </w:r>
      <w:r>
        <w:t xml:space="preserve"> </w:t>
      </w:r>
      <w:r>
        <w:t>pGNR 1</w:t>
      </w:r>
      <w:r>
        <w:t xml:space="preserve"> </w:t>
      </w:r>
      <w:r>
        <w:t>and</w:t>
      </w:r>
      <w:r>
        <w:t xml:space="preserve"> </w:t>
      </w:r>
      <w:r>
        <w:t>pGNR 2</w:t>
      </w:r>
      <w:r>
        <w:t xml:space="preserve"> </w:t>
      </w:r>
      <w:r>
        <w:t>) synthesized via solution‐phase methods, featuring periodically arranged [18]annulene nanopores and gulf‐edged architectures, along with a nonporous GNR (</w:t>
      </w:r>
      <w:r>
        <w:t xml:space="preserve"> </w:t>
      </w:r>
      <w:r>
        <w:t>npGNR</w:t>
      </w:r>
      <w:r>
        <w:t xml:space="preserve"> </w:t>
      </w:r>
      <w:r>
        <w:t>) as a counterpart. Utilizing efficient Diels‐Alder polymerization and Scholl‐type cyclization, these GNRs attain average lengths of up to 60 nm. The chemical identities of the synthesized GNRs were comprehensively characterized by IR, Raman, and solid‐state NMR spectroscopy, complemented by theoretical calculations. To further elucidate the structural features underlying the observed properties, three representative model compounds (</w:t>
      </w:r>
      <w:r>
        <w:rPr>
          <w:vertAlign w:val="subscript"/>
        </w:rPr>
        <w:t>1</w:t>
      </w:r>
      <w:r>
        <w:t>,</w:t>
      </w:r>
      <w:r>
        <w:rPr>
          <w:vertAlign w:val="subscript"/>
        </w:rPr>
        <w:t>2</w:t>
      </w:r>
      <w:r>
        <w:t>, and</w:t>
      </w:r>
      <w:r>
        <w:rPr>
          <w:vertAlign w:val="subscript"/>
        </w:rPr>
        <w:t>3</w:t>
      </w:r>
      <w:r>
        <w:t>) corresponding to segments of the respective GNRs were synthesized and analyzed. UV–vis and THz spectroscopic analyses demonstrate that</w:t>
      </w:r>
      <w:r>
        <w:t xml:space="preserve"> </w:t>
      </w:r>
      <w:r>
        <w:t>npGNR</w:t>
      </w:r>
      <w:r>
        <w:t xml:space="preserve"> </w:t>
      </w:r>
      <w:r>
        <w:t>exhibits a relatively narrow optical bandgap of 1.63 eV and a high intrinsic charge carrier mobility of ∼40 cm</w:t>
      </w:r>
      <w:r>
        <w:rPr>
          <w:vertAlign w:val="subscript"/>
        </w:rPr>
        <w:t>2</w:t>
      </w:r>
      <w:r>
        <w:t>V</w:t>
      </w:r>
      <w:r>
        <w:t xml:space="preserve"> </w:t>
      </w:r>
      <w:r>
        <w:t>−1</w:t>
      </w:r>
      <w:r>
        <w:t xml:space="preserve"> </w:t>
      </w:r>
      <w:r>
        <w:t>s</w:t>
      </w:r>
      <w:r>
        <w:t xml:space="preserve"> </w:t>
      </w:r>
      <w:r>
        <w:t>−1</w:t>
      </w:r>
      <w:r>
        <w:t xml:space="preserve"> </w:t>
      </w:r>
      <w:r>
        <w:t>, whereas</w:t>
      </w:r>
      <w:r>
        <w:t xml:space="preserve"> </w:t>
      </w:r>
      <w:r>
        <w:t>pGNR 2</w:t>
      </w:r>
      <w:r>
        <w:t xml:space="preserve"> </w:t>
      </w:r>
      <w:r>
        <w:t>displays a wider bandgap of 1.91 eV with a reduced mobility of ∼27 cm</w:t>
      </w:r>
      <w:r>
        <w:rPr>
          <w:vertAlign w:val="subscript"/>
        </w:rPr>
        <w:t>2</w:t>
      </w:r>
      <w:r>
        <w:t>V</w:t>
      </w:r>
      <w:r>
        <w:t xml:space="preserve"> </w:t>
      </w:r>
      <w:r>
        <w:t>−1</w:t>
      </w:r>
      <w:r>
        <w:t xml:space="preserve"> </w:t>
      </w:r>
      <w:r>
        <w:t>s</w:t>
      </w:r>
      <w:r>
        <w:t xml:space="preserve"> </w:t>
      </w:r>
      <w:r>
        <w:t>−1</w:t>
      </w:r>
      <w:r>
        <w:t xml:space="preserve"> </w:t>
      </w:r>
      <w:r>
        <w:t>. This study systematically elucidates the effects of nanopore incorporation on the electronic structure and charge transport properties of GNRs, offering a rational design framework for the design of nanopore‐engineered carbon‐based electronic materials.</w:t>
      </w:r>
    </w:p>
    <w:p>
      <w:pPr>
        <w:spacing w:before="120" w:after="120"/>
      </w:pPr>
      <w:r>
        <w:rPr>
          <w:sz w:val="18"/>
        </w:rPr>
        <w:t>——————————————————————————————————————————————————————————————————————</w:t>
      </w:r>
    </w:p>
    <w:p>
      <w:pPr>
        <w:spacing w:before="160" w:after="40" w:line="240" w:lineRule="auto"/>
      </w:pPr>
      <w:r>
        <w:rPr>
          <w:b/>
        </w:rPr>
        <w:t xml:space="preserve">[53] </w:t>
      </w:r>
      <w:hyperlink r:id="rId79">
        <w:r>
          <w:rPr>
            <w:color w:val="1155CC"/>
            <w:u w:val="single"/>
          </w:rPr>
          <w:t>借助动态液态Hydrogel接口,通过同步物理化学过程而启用的高时氢蒸气装置</w:t>
        </w:r>
      </w:hyperlink>
    </w:p>
    <w:p>
      <w:pPr>
        <w:spacing w:before="0" w:after="80"/>
      </w:pPr>
      <w:r>
        <w:rPr>
          <w:i/>
          <w:sz w:val="20"/>
        </w:rPr>
        <w:t>EN: High‐Current Hydrovoltaic Devices Enabled by Synergistic Physicochemical Processes via a Dynamic Liquid‐Hydrogel Interface</w:t>
      </w:r>
    </w:p>
    <w:p>
      <w:pPr>
        <w:spacing w:before="0" w:after="120"/>
      </w:pPr>
      <w:r>
        <w:rPr>
          <w:b/>
        </w:rPr>
        <w:t xml:space="preserve">Source: </w:t>
      </w:r>
      <w:r>
        <w:t>Wiley: Advanced Energy Materials: Table of Contents</w:t>
      </w:r>
      <w:r>
        <w:t xml:space="preserve">    </w:t>
      </w:r>
      <w:r>
        <w:rPr>
          <w:b/>
        </w:rPr>
        <w:t xml:space="preserve">Pub date: </w:t>
      </w:r>
      <w:r>
        <w:t>2026-02-21 09:15:33+00:00</w:t>
      </w:r>
      <w:r>
        <w:t xml:space="preserve">    </w:t>
      </w:r>
      <w:r>
        <w:rPr>
          <w:b/>
        </w:rPr>
        <w:t xml:space="preserve">DOI: </w:t>
      </w:r>
      <w:hyperlink r:id="rId80">
        <w:r>
          <w:rPr>
            <w:color w:val="1155CC"/>
            <w:u w:val="single"/>
          </w:rPr>
          <w:t>10.1002/aenm.70777</w:t>
        </w:r>
      </w:hyperlink>
    </w:p>
    <w:p>
      <w:pPr>
        <w:spacing w:before="0" w:after="120"/>
      </w:pPr>
      <w:r>
        <w:rPr>
          <w:b/>
        </w:rPr>
        <w:t xml:space="preserve">Notes: </w:t>
      </w:r>
      <w:r>
        <w:t>abstract_source=crossref</w:t>
      </w:r>
    </w:p>
    <w:p>
      <w:pPr>
        <w:spacing w:before="0" w:after="80" w:lineRule="auto" w:line="276"/>
      </w:pPr>
      <w:r>
        <w:rPr>
          <w:b/>
        </w:rPr>
        <w:t xml:space="preserve">摘要（ZH）: </w:t>
      </w:r>
      <w:r>
        <w:t>碳材料和惰性金属即使在这些系统中也通常被视为化学惰性电极,有可能高估物理贡献和化学过程的利用不足。在这里,我们通过一种协同的物理化学方法,通过动态液化凝胶界面,通过一种动态液化化学方法,通过连接静态石墨电极和在盐碱中的动态水凝凝聚硅酸电极,实现超高流输出。 含有聚(丙烯酸)的液凝胶胶胶胶胶片对这两种过程都至关重要。</w:t>
      </w:r>
    </w:p>
    <w:p>
      <w:pPr>
        <w:spacing w:before="0" w:after="200" w:lineRule="auto" w:line="276"/>
      </w:pPr>
      <w:r>
        <w:rPr>
          <w:b/>
        </w:rPr>
        <w:t xml:space="preserve">Abstract (EN): </w:t>
      </w:r>
      <w:r>
        <w:t>Electricity generation from interfacial molecular motion holds great promise for harvesting micro/nano energy for carbon neutrality and sustainable off‐grid power. Carbon materials and noble metals are normally treated as chemically inert electrodes even in such systems, potentially overestimating physical contributions and underutilizing chemical processes. Here, we achieve an ultrahigh current output via a dynamic liquid‐hydrogel interface through a synergistic physicochemical approach, by bridging a static graphite electrode and a dynamic hydrogel‐coated platinum electrode in saline. The hydrogel film containing poly(acrylic acid) is critical to both processes. Polyanionic poly(acrylic acid) serves as a proton reservoir, neutralizing hydroxide ions from the oxygen reduction reaction at the platinum surface (oxygen is ubiquitous in air), thereby providing a continuous chemical current; sharp ion concentration gradients form near the hydrogel/saline interface due to the Donnan effect, enabling physical charge separation by liquid flow during periodic immersion‐withdrawal cycles. Overall, this design delivers a direct‐current output with a peak current density of 2432 µA cm</w:t>
      </w:r>
      <w:r>
        <w:t xml:space="preserve"> </w:t>
      </w:r>
      <w:r>
        <w:t>−2</w:t>
      </w:r>
      <w:r>
        <w:t xml:space="preserve"> </w:t>
      </w:r>
      <w:r>
        <w:t>and a transferred charge density over 1000 mC m</w:t>
      </w:r>
      <w:r>
        <w:t xml:space="preserve"> </w:t>
      </w:r>
      <w:r>
        <w:t>−2</w:t>
      </w:r>
      <w:r>
        <w:t xml:space="preserve"> </w:t>
      </w:r>
      <w:r>
        <w:t>per cycle, surpassing existing counterparts. This work offers new insight into constructing high‐performance hydrovoltaic devices as green, scalable energy sources for self‐powered miniaturized systems and emerging energy infrastructures.</w:t>
      </w:r>
    </w:p>
    <w:p>
      <w:pPr>
        <w:spacing w:before="120" w:after="120"/>
      </w:pPr>
      <w:r>
        <w:rPr>
          <w:sz w:val="18"/>
        </w:rPr>
        <w:t>——————————————————————————————————————————————————————————————————————</w:t>
      </w:r>
    </w:p>
    <w:p>
      <w:pPr>
        <w:spacing w:before="160" w:after="40" w:line="240" w:lineRule="auto"/>
      </w:pPr>
      <w:r>
        <w:rPr>
          <w:b/>
        </w:rPr>
        <w:t xml:space="preserve">[54] </w:t>
      </w:r>
      <w:hyperlink r:id="rId81">
        <w:r>
          <w:rPr>
            <w:color w:val="1155CC"/>
            <w:u w:val="single"/>
          </w:rPr>
          <w:t>与 pW 级计算机进行自发光源光触发的光晶体阵列, 用于感应器中的单立面观</w:t>
        </w:r>
      </w:hyperlink>
    </w:p>
    <w:p>
      <w:pPr>
        <w:spacing w:before="0" w:after="80"/>
      </w:pPr>
      <w:r>
        <w:rPr>
          <w:i/>
          <w:sz w:val="20"/>
        </w:rPr>
        <w:t>EN: Self‐Powered Phototriggered Memristor Array with pW‐Level Computing for Monolithic in‐Sensor Vision</w:t>
      </w:r>
    </w:p>
    <w:p>
      <w:pPr>
        <w:spacing w:before="0" w:after="120"/>
      </w:pPr>
      <w:r>
        <w:rPr>
          <w:b/>
        </w:rPr>
        <w:t xml:space="preserve">Source: </w:t>
      </w:r>
      <w:r>
        <w:t>Wiley: Advanced Materials: Table of Contents</w:t>
      </w:r>
      <w:r>
        <w:t xml:space="preserve">    </w:t>
      </w:r>
      <w:r>
        <w:rPr>
          <w:b/>
        </w:rPr>
        <w:t xml:space="preserve">Pub date: </w:t>
      </w:r>
      <w:r>
        <w:t>2026-02-21 09:26:38+00:00</w:t>
      </w:r>
      <w:r>
        <w:t xml:space="preserve">    </w:t>
      </w:r>
      <w:r>
        <w:rPr>
          <w:b/>
        </w:rPr>
        <w:t xml:space="preserve">DOI: </w:t>
      </w:r>
      <w:hyperlink r:id="rId82">
        <w:r>
          <w:rPr>
            <w:color w:val="1155CC"/>
            <w:u w:val="single"/>
          </w:rPr>
          <w:t>10.1002/adma.202523017</w:t>
        </w:r>
      </w:hyperlink>
    </w:p>
    <w:p>
      <w:pPr>
        <w:spacing w:before="0" w:after="120"/>
      </w:pPr>
      <w:r>
        <w:rPr>
          <w:b/>
        </w:rPr>
        <w:t xml:space="preserve">Notes: </w:t>
      </w:r>
      <w:r>
        <w:t>abstract_source=crossref</w:t>
      </w:r>
    </w:p>
    <w:p>
      <w:pPr>
        <w:spacing w:before="0" w:after="80" w:lineRule="auto" w:line="276"/>
      </w:pPr>
      <w:r>
        <w:rPr>
          <w:b/>
        </w:rPr>
        <w:t xml:space="preserve">摘要（ZH）: </w:t>
      </w:r>
      <w:r>
        <w:t>2D Ruddlesden-Popper(RP)混合过气管由于其载体流动性和吸收系数高,在光电子设备领域广泛使用。 由此,BA 2 MAPb 2 Br 7 (BBPB) 单晶体通过准静态冷却方法合成,对核核机制以及矩形和六边形形态之间的内在关系进行了彻底调查。 值得注意的是,BMPB表现出杰出的中等性能,表现为超高/超高比率(+10 5 ), 超低功率消耗量为 82.8 pW, 长期保留时间( &amp; gt; 22,000 s ) 。</w:t>
      </w:r>
    </w:p>
    <w:p>
      <w:pPr>
        <w:spacing w:before="0" w:after="200" w:lineRule="auto" w:line="276"/>
      </w:pPr>
      <w:r>
        <w:rPr>
          <w:b/>
        </w:rPr>
        <w:t xml:space="preserve">Abstract (EN): </w:t>
      </w:r>
      <w:r>
        <w:t>2D Ruddlesden–Popper (RP) hybrid perovskites are widely used in the field of optoelectronic devices due to their high carrier mobility and absorption coefficient. Herein, BA</w:t>
      </w:r>
      <w:r>
        <w:rPr>
          <w:vertAlign w:val="subscript"/>
        </w:rPr>
        <w:t>2</w:t>
      </w:r>
      <w:r>
        <w:t>MAPb</w:t>
      </w:r>
      <w:r>
        <w:rPr>
          <w:vertAlign w:val="subscript"/>
        </w:rPr>
        <w:t>2</w:t>
      </w:r>
      <w:r>
        <w:t>Br</w:t>
      </w:r>
      <w:r>
        <w:rPr>
          <w:vertAlign w:val="subscript"/>
        </w:rPr>
        <w:t>7</w:t>
      </w:r>
      <w:r>
        <w:t>(BMPB) single crystals were synthesized via the quasi‐static cooling method, with a thorough investigation of the nucleation mechanism and the intrinsic relationship between rectangular and hexagonal morphologies. Remarkably, BMPB exhibits outstanding memristive performance, featuring an ultrahigh on/off ratio (∼10</w:t>
      </w:r>
      <w:r>
        <w:rPr>
          <w:vertAlign w:val="subscript"/>
        </w:rPr>
        <w:t>5</w:t>
      </w:r>
      <w:r>
        <w:t>), ultralow power consumption of ∼82.8 pW, and a long retention time (&amp;gt;22 000 s). Leveraging its inherent ferroelectric polarization and optoelectronic properties, we demonstrate a monolithic 5×5 optoelectronic memristor array that unifies sensing, memory, and computing functions. The array device exhibits self‐powered performance under 410 nm illumination, with responsivity of 0.96 A/W and detectivity of 2.89×10</w:t>
      </w:r>
      <w:r>
        <w:rPr>
          <w:vertAlign w:val="subscript"/>
        </w:rPr>
        <w:t>8</w:t>
      </w:r>
      <w:r>
        <w:t>Jones. Through digital logic circuit design and Vivado verification, we successfully implement solar‐tracking time prediction and sunflower growth‐stage monitoring. Critically, this integrated architecture enables hardware‐level in‐sensor computing for real‐time applications. Our work provides valuable insights for next‐generation in‐sensor computing devices, providing a material‐level solution based on 2D RP perovskites for energy‐efficient AI and IoT systems.</w:t>
      </w:r>
    </w:p>
    <w:p>
      <w:pPr>
        <w:spacing w:before="120" w:after="120"/>
      </w:pPr>
      <w:r>
        <w:rPr>
          <w:sz w:val="18"/>
        </w:rPr>
        <w:t>——————————————————————————————————————————————————————————————————————</w:t>
      </w:r>
    </w:p>
    <w:p>
      <w:pPr>
        <w:spacing w:before="160" w:after="40" w:line="240" w:lineRule="auto"/>
      </w:pPr>
      <w:r>
        <w:rPr>
          <w:b/>
        </w:rPr>
        <w:t xml:space="preserve">[55] </w:t>
      </w:r>
      <w:hyperlink r:id="rId83">
        <w:r>
          <w:rPr>
            <w:color w:val="1155CC"/>
            <w:u w:val="single"/>
          </w:rPr>
          <w:t>在双面电解解器中操纵电化学,以实现持久高能 锌-溴电池</w:t>
        </w:r>
      </w:hyperlink>
    </w:p>
    <w:p>
      <w:pPr>
        <w:spacing w:before="0" w:after="80"/>
      </w:pPr>
      <w:r>
        <w:rPr>
          <w:i/>
          <w:sz w:val="20"/>
        </w:rPr>
        <w:t>EN: Manipulating Ion Chemistry in Biphasic Electrolytes Toward Durable High‐Energy Zinc–Bromine Batteries</w:t>
      </w:r>
    </w:p>
    <w:p>
      <w:pPr>
        <w:spacing w:before="0" w:after="120"/>
      </w:pPr>
      <w:r>
        <w:rPr>
          <w:b/>
        </w:rPr>
        <w:t xml:space="preserve">Source: </w:t>
      </w:r>
      <w:r>
        <w:t>Wiley: Advanced Materials: Table of Contents</w:t>
      </w:r>
      <w:r>
        <w:t xml:space="preserve">    </w:t>
      </w:r>
      <w:r>
        <w:rPr>
          <w:b/>
        </w:rPr>
        <w:t xml:space="preserve">Pub date: </w:t>
      </w:r>
      <w:r>
        <w:t>2026-02-21 10:44:44+00:00</w:t>
      </w:r>
      <w:r>
        <w:t xml:space="preserve">    </w:t>
      </w:r>
      <w:r>
        <w:rPr>
          <w:b/>
        </w:rPr>
        <w:t xml:space="preserve">DOI: </w:t>
      </w:r>
      <w:hyperlink r:id="rId84">
        <w:r>
          <w:rPr>
            <w:color w:val="1155CC"/>
            <w:u w:val="single"/>
          </w:rPr>
          <w:t>10.1002/adma.72591</w:t>
        </w:r>
      </w:hyperlink>
    </w:p>
    <w:p>
      <w:pPr>
        <w:spacing w:before="0" w:after="120"/>
      </w:pPr>
      <w:r>
        <w:rPr>
          <w:b/>
        </w:rPr>
        <w:t xml:space="preserve">Notes: </w:t>
      </w:r>
      <w:r>
        <w:t>abstract_source=crossref</w:t>
      </w:r>
    </w:p>
    <w:p>
      <w:pPr>
        <w:spacing w:before="0" w:after="80" w:lineRule="auto" w:line="276"/>
      </w:pPr>
      <w:r>
        <w:rPr>
          <w:b/>
        </w:rPr>
        <w:t xml:space="preserve">摘要（ZH）: </w:t>
      </w:r>
      <w:r>
        <w:t>Zinc-溴化电池(ZBBs)被认为是长期能源储存的有希望的候选对象,但多溴化二苯醚的交叉交叉作用严重妨碍了它们的实际实施。 使用水有机性双发电解解层可以缓解这一瓶颈。 利用多溴化二苯乙烯溶性两个不相干阶段之间的明显差异来实现有效封闭。 然而,对此类系统中的离子特有功能的深刻机械化理解仍然难以实现,而整个细胞的性能仍然低于商业要求。 由此,我们系统地调查了与电化学相关的电解层的离-管理溶化环境和双发平衡。</w:t>
      </w:r>
    </w:p>
    <w:p>
      <w:pPr>
        <w:spacing w:before="0" w:after="200" w:lineRule="auto" w:line="276"/>
      </w:pPr>
      <w:r>
        <w:rPr>
          <w:b/>
        </w:rPr>
        <w:t xml:space="preserve">Abstract (EN): </w:t>
      </w:r>
      <w:r>
        <w:t>Zinc–bromine batteries (ZBBs) are considered a promising candidate for long‐duration energy storage, but their practical implementation is critically hampered by the crossover of polybromides. This bottleneck can be alleviated by deploying aqueous‐organic biphasic electrolytes, which leverage the pronounced difference in polybromide solubility between two immiscible phases to achieve effective confinement. However, a profound mechanistic understanding of ion‐specific functions in such systems remains elusive, and the full‐cell performance still falls short of commercial requirements. Herein, we systematically investigate the ion‐manipulated solvation environment and biphasic equilibrium of the electrolytes that correlate with the electrochemical behavior of ZBBs. Beyond anion‐driven phase separation, cations dictate ion‐pairing interactions that govern component distribution across the two phases. Compared to monovalent and trivalent counterparts, divalent cations strike an optimal thermodynamic–kinetic balance, achieving a trade‐off between polybromide confinement and electrode reaction kinetics. Furthermore, a dual‐functional zwitterion is demonstrated to concurrently suppress polybromide shuttle and stabilize zinc deposition. The resulting biphasic ZBBs deliver an energy density of 40.6 Wh L</w:t>
      </w:r>
      <w:r>
        <w:t xml:space="preserve"> </w:t>
      </w:r>
      <w:r>
        <w:t>−1</w:t>
      </w:r>
      <w:r>
        <w:t xml:space="preserve"> </w:t>
      </w:r>
      <w:r>
        <w:t>and sustain a cycling life over 1000 cycles, considerably outperforming reported biphasic systems. Coupled with a low system‐level cost of ∼$100 kWh</w:t>
      </w:r>
      <w:r>
        <w:t xml:space="preserve"> </w:t>
      </w:r>
      <w:r>
        <w:t>−1</w:t>
      </w:r>
      <w:r>
        <w:t xml:space="preserve"> </w:t>
      </w:r>
      <w:r>
        <w:t>, the biphasic ZBBs represent a compelling technology for grid‐scale energy storage.</w:t>
      </w:r>
    </w:p>
    <w:p>
      <w:pPr>
        <w:spacing w:before="120" w:after="120"/>
      </w:pPr>
      <w:r>
        <w:rPr>
          <w:sz w:val="18"/>
        </w:rPr>
        <w:t>——————————————————————————————————————————————————————————————————————</w:t>
      </w:r>
    </w:p>
    <w:p>
      <w:pPr>
        <w:spacing w:before="160" w:after="40" w:line="240" w:lineRule="auto"/>
      </w:pPr>
      <w:r>
        <w:rPr>
          <w:b/>
        </w:rPr>
        <w:t xml:space="preserve">[56] </w:t>
      </w:r>
      <w:hyperlink r:id="rId85">
        <w:r>
          <w:rPr>
            <w:color w:val="1155CC"/>
            <w:u w:val="single"/>
          </w:rPr>
          <w:t>在锂氧电池中施用催化磁力命令解锁</w:t>
        </w:r>
      </w:hyperlink>
    </w:p>
    <w:p>
      <w:pPr>
        <w:spacing w:before="0" w:after="80"/>
      </w:pPr>
      <w:r>
        <w:rPr>
          <w:i/>
          <w:sz w:val="20"/>
        </w:rPr>
        <w:t>EN: Strain‐Induced Magnetic Ordering Unlocks Spin‐Conserved Catalysis in Lithium‐Oxygen Batteries</w:t>
      </w:r>
    </w:p>
    <w:p>
      <w:pPr>
        <w:spacing w:before="0" w:after="120"/>
      </w:pPr>
      <w:r>
        <w:rPr>
          <w:b/>
        </w:rPr>
        <w:t xml:space="preserve">Source: </w:t>
      </w:r>
      <w:r>
        <w:t>Wiley: Advanced Materials: Table of Contents</w:t>
      </w:r>
      <w:r>
        <w:t xml:space="preserve">    </w:t>
      </w:r>
      <w:r>
        <w:rPr>
          <w:b/>
        </w:rPr>
        <w:t xml:space="preserve">Pub date: </w:t>
      </w:r>
      <w:r>
        <w:t>2026-02-21 11:03:47+00:00</w:t>
      </w:r>
      <w:r>
        <w:t xml:space="preserve">    </w:t>
      </w:r>
      <w:r>
        <w:rPr>
          <w:b/>
        </w:rPr>
        <w:t xml:space="preserve">DOI: </w:t>
      </w:r>
      <w:hyperlink r:id="rId86">
        <w:r>
          <w:rPr>
            <w:color w:val="1155CC"/>
            <w:u w:val="single"/>
          </w:rPr>
          <w:t>10.1002/adma.72632</w:t>
        </w:r>
      </w:hyperlink>
    </w:p>
    <w:p>
      <w:pPr>
        <w:spacing w:before="0" w:after="120"/>
      </w:pPr>
      <w:r>
        <w:rPr>
          <w:b/>
        </w:rPr>
        <w:t xml:space="preserve">Notes: </w:t>
      </w:r>
      <w:r>
        <w:t>abstract_source=crossref</w:t>
      </w:r>
    </w:p>
    <w:p>
      <w:pPr>
        <w:spacing w:before="0" w:after="80" w:lineRule="auto" w:line="276"/>
      </w:pPr>
      <w:r>
        <w:rPr>
          <w:b/>
        </w:rPr>
        <w:t xml:space="preserve">摘要（ZH）: </w:t>
      </w:r>
      <w:r>
        <w:t>ABSTACT 设计先进的铁磁催化剂,配有强大的内在磁性和高效的旋转极分化,对于在锂氧氧基电池(LOBs)中促成三离二氧化三离二和单李二二二(LOBs)之间旋转选择性电子转移至关重要,然而在原子规模上控制磁定序和旋转状态仍是一项基本挑战。 在这里,我们提出一个拉链式抗拉菌菌株式工程,以基于减少的氧化石(S°COS 2/rGO)的固态COS 2为基础,以实现显著增强的铁磁交换互动和S。</w:t>
      </w:r>
    </w:p>
    <w:p>
      <w:pPr>
        <w:spacing w:before="0" w:after="200" w:lineRule="auto" w:line="276"/>
      </w:pPr>
      <w:r>
        <w:rPr>
          <w:b/>
        </w:rPr>
        <w:t xml:space="preserve">Abstract (EN): </w:t>
      </w:r>
      <w:r>
        <w:t>Designing advanced ferromagnetic catalysts with robust intrinsic magnetism and efficient spin polarization is critical for enabling spin‐selective electron transfer between triplet O</w:t>
      </w:r>
      <w:r>
        <w:rPr>
          <w:vertAlign w:val="subscript"/>
        </w:rPr>
        <w:t>2</w:t>
      </w:r>
      <w:r>
        <w:t>and singlet Li</w:t>
      </w:r>
      <w:r>
        <w:rPr>
          <w:vertAlign w:val="subscript"/>
        </w:rPr>
        <w:t>2</w:t>
      </w:r>
      <w:r>
        <w:t>O</w:t>
      </w:r>
      <w:r>
        <w:rPr>
          <w:vertAlign w:val="subscript"/>
        </w:rPr>
        <w:t>2</w:t>
      </w:r>
      <w:r>
        <w:t>in lithium‐oxygen batteries (LOBs), yet controlling magnetic ordering and spin states at the atomic scale remains a fundamental challenge. Here, we present a lattice tensile strain engineering to construct strained CoS</w:t>
      </w:r>
      <w:r>
        <w:rPr>
          <w:vertAlign w:val="subscript"/>
        </w:rPr>
        <w:t>2</w:t>
      </w:r>
      <w:r>
        <w:t>anchored on reduced graphene oxide (s‐CoS</w:t>
      </w:r>
      <w:r>
        <w:rPr>
          <w:vertAlign w:val="subscript"/>
        </w:rPr>
        <w:t>2</w:t>
      </w:r>
      <w:r>
        <w:t>/rGO), achieving significantly enhanced ferromagnetic exchange interactions and spin polarization. Experimental and theoretical analyses reveal that a ∼4% tensile strain along the (111) plane induces spontaneous parallel alignment of atomic magnetic moments, generating intrinsic magnetic anisotropy and coherent single‐domain architectures. This lattice distortion enhances d‐p orbital hybridization and establishes spin‐polarized conduction channels at Co─S active sites, enabling parallel‐spin electron transfer to adsorbed O</w:t>
      </w:r>
      <w:r>
        <w:rPr>
          <w:vertAlign w:val="subscript"/>
        </w:rPr>
        <w:t>2</w:t>
      </w:r>
      <w:r>
        <w:t>and effectively bypassing the spin‐flip energy barrier associated with O</w:t>
      </w:r>
      <w:r>
        <w:rPr>
          <w:vertAlign w:val="subscript"/>
        </w:rPr>
        <w:t>2</w:t>
      </w:r>
      <w:r>
        <w:t>/Li</w:t>
      </w:r>
      <w:r>
        <w:rPr>
          <w:vertAlign w:val="subscript"/>
        </w:rPr>
        <w:t>2</w:t>
      </w:r>
      <w:r>
        <w:t>O</w:t>
      </w:r>
      <w:r>
        <w:rPr>
          <w:vertAlign w:val="subscript"/>
        </w:rPr>
        <w:t>2</w:t>
      </w:r>
      <w:r>
        <w:t>conversion. As a result, the s‐CoS</w:t>
      </w:r>
      <w:r>
        <w:rPr>
          <w:vertAlign w:val="subscript"/>
        </w:rPr>
        <w:t>2</w:t>
      </w:r>
      <w:r>
        <w:t>/rGO catalyst exhibits elevated spin‐polarized current densities, a markedly reduced O</w:t>
      </w:r>
      <w:r>
        <w:rPr>
          <w:vertAlign w:val="subscript"/>
        </w:rPr>
        <w:t>2</w:t>
      </w:r>
      <w:r>
        <w:t>dissociation barrier, and superior catalytic kinetics, delivering ultra‐long cycling exceeding 2000 h at 200 mA g</w:t>
      </w:r>
      <w:r>
        <w:t xml:space="preserve"> </w:t>
      </w:r>
      <w:r>
        <w:t>−1</w:t>
      </w:r>
      <w:r>
        <w:t xml:space="preserve"> </w:t>
      </w:r>
      <w:r>
        <w:t>. This work offers a general approach for designing high‐performance ferromagnetic catalysts and highlights the critical role of spin‐state engineering in advancing next‐generation LOB technologies.</w:t>
      </w:r>
    </w:p>
    <w:p>
      <w:pPr>
        <w:spacing w:before="120" w:after="120"/>
      </w:pPr>
      <w:r>
        <w:rPr>
          <w:sz w:val="18"/>
        </w:rPr>
        <w:t>——————————————————————————————————————————————————————————————————————</w:t>
      </w:r>
    </w:p>
    <w:p>
      <w:pPr>
        <w:spacing w:before="160" w:after="40" w:line="240" w:lineRule="auto"/>
      </w:pPr>
      <w:r>
        <w:rPr>
          <w:b/>
        </w:rPr>
        <w:t xml:space="preserve">[57] </w:t>
      </w:r>
      <w:hyperlink r:id="rId87">
        <w:r>
          <w:rPr>
            <w:color w:val="1155CC"/>
            <w:u w:val="single"/>
          </w:rPr>
          <w:t>多面光学应用光活材料的光活材料的光活性稳定性</w:t>
        </w:r>
      </w:hyperlink>
    </w:p>
    <w:p>
      <w:pPr>
        <w:spacing w:before="0" w:after="80"/>
      </w:pPr>
      <w:r>
        <w:rPr>
          <w:i/>
          <w:sz w:val="20"/>
        </w:rPr>
        <w:t>EN: Manipulating Room Temperature Phosphorescence Stability of Photoactivated Materials for Multiplex Optical Applications</w:t>
      </w:r>
    </w:p>
    <w:p>
      <w:pPr>
        <w:spacing w:before="0" w:after="120"/>
      </w:pPr>
      <w:r>
        <w:rPr>
          <w:b/>
        </w:rPr>
        <w:t xml:space="preserve">Source: </w:t>
      </w:r>
      <w:r>
        <w:t>Wiley: Advanced Materials: Table of Contents</w:t>
      </w:r>
      <w:r>
        <w:t xml:space="preserve">    </w:t>
      </w:r>
      <w:r>
        <w:rPr>
          <w:b/>
        </w:rPr>
        <w:t xml:space="preserve">Pub date: </w:t>
      </w:r>
      <w:r>
        <w:t>2026-02-21 11:30:04+00:00</w:t>
      </w:r>
      <w:r>
        <w:t xml:space="preserve">    </w:t>
      </w:r>
      <w:r>
        <w:rPr>
          <w:b/>
        </w:rPr>
        <w:t xml:space="preserve">DOI: </w:t>
      </w:r>
      <w:hyperlink r:id="rId88">
        <w:r>
          <w:rPr>
            <w:color w:val="1155CC"/>
            <w:u w:val="single"/>
          </w:rPr>
          <w:t>10.1002/adma.202522504</w:t>
        </w:r>
      </w:hyperlink>
    </w:p>
    <w:p>
      <w:pPr>
        <w:spacing w:before="0" w:after="120"/>
      </w:pPr>
      <w:r>
        <w:rPr>
          <w:b/>
        </w:rPr>
        <w:t xml:space="preserve">Notes: </w:t>
      </w:r>
      <w:r>
        <w:t>abstract_source=crossref</w:t>
      </w:r>
    </w:p>
    <w:p>
      <w:pPr>
        <w:spacing w:before="0" w:after="80" w:lineRule="auto" w:line="276"/>
      </w:pPr>
      <w:r>
        <w:rPr>
          <w:b/>
        </w:rPr>
        <w:t xml:space="preserve">摘要（ZH）: </w:t>
      </w:r>
      <w:r>
        <w:t>ABSTACT 光电活化有机磷材料因其独特的遥控性和动态反应特性结合而成为有希望的光电子应用候选物,尽管它们是指导其实际适用性的一个关键参数,但迄今尚未对这些荧光材料的可光性,特别是在长期照明条件下的可光性进行系统调查。在这里,我们展示了一系列在连续辐照下呈现动态金枪鱼易碎的室温性磷酸(RTP)稳定性的有机荧光材料。这些材料显示在最初的感应下启动RTP,随后在持续接触期间大量减少排放。机械学研究 r</w:t>
      </w:r>
    </w:p>
    <w:p>
      <w:pPr>
        <w:spacing w:before="0" w:after="200" w:lineRule="auto" w:line="276"/>
      </w:pPr>
      <w:r>
        <w:rPr>
          <w:b/>
        </w:rPr>
        <w:t xml:space="preserve">Abstract (EN): </w:t>
      </w:r>
      <w:r>
        <w:t>Photoactivated organic phosphorescent materials have emerged as promising candidates for optoelectronic applications due to their unique combination of remote controllability and dynamic response characteristics. Despite being a critical parameter governing their practical applicability, the photostability of these phosphorescent materials, particularly under prolonged illumination conditions, has not been systematically investigated to date. Here, we present a series of organic phosphorescent materials exhibiting dynamically tunable room‐temperature phosphorescence (RTP) stability under continuous irradiation. These materials show RTP activation upon initial excitation, followed by significant emission attenuation during sustained exposure. Mechanistic studies reveal that the RTP attenuation is attributed to singlet oxygen‐mediated oxidative damage to the phosphorescent chromophores. Through strategic incorporation of antioxidant stabilizers, we achieve remarkable photostability, maintaining 96% of maximum phosphorescence intensity after continuous irradiation for 1500 s. These findings not only elucidate fundamental photo‐stabilization mechanisms of dynamic RTP but also provide a feasible approach for developing stable phosphorescent materials for advanced optoelectronic applications.</w:t>
      </w:r>
    </w:p>
    <w:p>
      <w:pPr>
        <w:spacing w:before="120" w:after="120"/>
      </w:pPr>
      <w:r>
        <w:rPr>
          <w:sz w:val="18"/>
        </w:rPr>
        <w:t>——————————————————————————————————————————————————————————————————————</w:t>
      </w:r>
    </w:p>
    <w:p>
      <w:pPr>
        <w:spacing w:before="160" w:after="40" w:line="240" w:lineRule="auto"/>
      </w:pPr>
      <w:r>
        <w:rPr>
          <w:b/>
        </w:rPr>
        <w:t xml:space="preserve">[58] </w:t>
      </w:r>
      <w:hyperlink r:id="rId89">
        <w:r>
          <w:rPr>
            <w:color w:val="1155CC"/>
            <w:u w:val="single"/>
          </w:rPr>
          <w:t>在聚合体中为剪裁和诱导的对齐和高机动性运输制定国家聚合法</w:t>
        </w:r>
      </w:hyperlink>
    </w:p>
    <w:p>
      <w:pPr>
        <w:spacing w:before="0" w:after="80"/>
      </w:pPr>
      <w:r>
        <w:rPr>
          <w:i/>
          <w:sz w:val="20"/>
        </w:rPr>
        <w:t>EN: Tuning Solution‐State Aggregation for Shearing‐Induced Alignment and High Mobility Transport in Conjugated Polymers</w:t>
      </w:r>
    </w:p>
    <w:p>
      <w:pPr>
        <w:spacing w:before="0" w:after="120"/>
      </w:pPr>
      <w:r>
        <w:rPr>
          <w:b/>
        </w:rPr>
        <w:t xml:space="preserve">Source: </w:t>
      </w:r>
      <w:r>
        <w:t>Wiley: Advanced Materials: Table of Contents</w:t>
      </w:r>
      <w:r>
        <w:t xml:space="preserve">    </w:t>
      </w:r>
      <w:r>
        <w:rPr>
          <w:b/>
        </w:rPr>
        <w:t xml:space="preserve">Pub date: </w:t>
      </w:r>
      <w:r>
        <w:t>2026-02-21 12:54:19+00:00</w:t>
      </w:r>
      <w:r>
        <w:t xml:space="preserve">    </w:t>
      </w:r>
      <w:r>
        <w:rPr>
          <w:b/>
        </w:rPr>
        <w:t xml:space="preserve">DOI: </w:t>
      </w:r>
      <w:hyperlink r:id="rId90">
        <w:r>
          <w:rPr>
            <w:color w:val="1155CC"/>
            <w:u w:val="single"/>
          </w:rPr>
          <w:t>10.1002/adma.202521831</w:t>
        </w:r>
      </w:hyperlink>
    </w:p>
    <w:p>
      <w:pPr>
        <w:spacing w:before="0" w:after="120"/>
      </w:pPr>
      <w:r>
        <w:rPr>
          <w:b/>
        </w:rPr>
        <w:t xml:space="preserve">Notes: </w:t>
      </w:r>
      <w:r>
        <w:t>abstract_source=crossref</w:t>
      </w:r>
    </w:p>
    <w:p>
      <w:pPr>
        <w:spacing w:before="0" w:after="80" w:lineRule="auto" w:line="276"/>
      </w:pPr>
      <w:r>
        <w:rPr>
          <w:b/>
        </w:rPr>
        <w:t xml:space="preserve">摘要（ZH）: </w:t>
      </w:r>
      <w:r>
        <w:t>明确了解决方案的演变过程 — — 在外部力量下将混凝聚合物整合成定型薄薄膜,这仍然是开发高性能聚合物电子技术的关键议题之一。 在这里,提供了一项战略,通过调整分子间相互作用,调整聚合物聚合物的聚合物集及其对溶液反应力的响应性,以高效电荷运输为目标。 我们用典型的N型聚合物作为模型系统,系统地调节骨干 — — 溶液和侧链 — — 溶液相互作用之间的平衡,以设计独特的综合结构。 在1-氯甲二烯的骨基选择性溶剂中,在高温下强化脊椎溶液导致松散,就像一只鳄鱼。</w:t>
      </w:r>
    </w:p>
    <w:p>
      <w:pPr>
        <w:spacing w:before="0" w:after="200" w:lineRule="auto" w:line="276"/>
      </w:pPr>
      <w:r>
        <w:rPr>
          <w:b/>
        </w:rPr>
        <w:t xml:space="preserve">Abstract (EN): </w:t>
      </w:r>
      <w:r>
        <w:t>Clarifying the evolution of solution‐state aggregation of conjugated polymers into ordered thin films under external forces remains one of the key issues in developing high‐performance polymer electronics. Here, a strategy is provided to tailor the polymer aggregation and their responsiveness to solution‐shearing forces by tuning intermolecular interactions, aiming for efficient charge transport. Using a typical n‐type conjugated polymer as the model system, we systematically modulate the balance between backbone–solvent and side chain–solvent interactions to design distinct aggregate structures. In the backbone‐selective solvent of 1‐chloronaphthalene, enhanced backbone solvation at elevated temperatures leads to loosely packed, rod‐like aggregates that align efficiently under directional shear, yielding highly ordered films with electron mobilities up to 4.74 cm</w:t>
      </w:r>
      <w:r>
        <w:rPr>
          <w:vertAlign w:val="subscript"/>
        </w:rPr>
        <w:t>2</w:t>
      </w:r>
      <w:r>
        <w:t>V</w:t>
      </w:r>
      <w:r>
        <w:t xml:space="preserve"> </w:t>
      </w:r>
      <w:r>
        <w:t>−1</w:t>
      </w:r>
      <w:r>
        <w:t xml:space="preserve"> </w:t>
      </w:r>
      <w:r>
        <w:t>s</w:t>
      </w:r>
      <w:r>
        <w:t xml:space="preserve"> </w:t>
      </w:r>
      <w:r>
        <w:t>−1</w:t>
      </w:r>
      <w:r>
        <w:t xml:space="preserve"> </w:t>
      </w:r>
      <w:r>
        <w:t>. In contrast, in the side‐chain‐selective solvent of trimethylbenzene, polymer chains form disordered network‐like aggregates that resist alignment and produce less ordered films with mobilities of 2.20 cm</w:t>
      </w:r>
      <w:r>
        <w:rPr>
          <w:vertAlign w:val="subscript"/>
        </w:rPr>
        <w:t>2</w:t>
      </w:r>
      <w:r>
        <w:t>V</w:t>
      </w:r>
      <w:r>
        <w:t xml:space="preserve"> </w:t>
      </w:r>
      <w:r>
        <w:t>−1</w:t>
      </w:r>
      <w:r>
        <w:t xml:space="preserve"> </w:t>
      </w:r>
      <w:r>
        <w:t>s</w:t>
      </w:r>
      <w:r>
        <w:t xml:space="preserve"> </w:t>
      </w:r>
      <w:r>
        <w:t>−1</w:t>
      </w:r>
      <w:r>
        <w:t xml:space="preserve"> </w:t>
      </w:r>
      <w:r>
        <w:t>. Additionally, similar enhancements in charge‐transport mobility are also observed with two other representative polymers using the same strategy. This work establishes the critical role of intermolecular interaction‐driven aggregate design in dictating shearing‐induced structural evolution, offering a robust framework for the fabrication of high‐mobility conjugated polymer films.</w:t>
      </w:r>
    </w:p>
    <w:p>
      <w:pPr>
        <w:spacing w:before="120" w:after="120"/>
      </w:pPr>
      <w:r>
        <w:rPr>
          <w:sz w:val="18"/>
        </w:rPr>
        <w:t>——————————————————————————————————————————————————————————————————————</w:t>
      </w:r>
    </w:p>
    <w:p>
      <w:pPr>
        <w:spacing w:before="160" w:after="40" w:line="240" w:lineRule="auto"/>
      </w:pPr>
      <w:r>
        <w:rPr>
          <w:b/>
        </w:rPr>
        <w:t xml:space="preserve">[59] </w:t>
      </w:r>
      <w:hyperlink r:id="rId91">
        <w:r>
          <w:rPr>
            <w:color w:val="1155CC"/>
            <w:u w:val="single"/>
          </w:rPr>
          <w:t>预测复杂大型金属建筑混合计算战略</w:t>
        </w:r>
      </w:hyperlink>
    </w:p>
    <w:p>
      <w:pPr>
        <w:spacing w:before="0" w:after="80"/>
      </w:pPr>
      <w:r>
        <w:rPr>
          <w:i/>
          <w:sz w:val="20"/>
        </w:rPr>
        <w:t>EN: Hybrid Computational Strategy for Predicting Complex Ligand–Metal Architectures</w:t>
      </w:r>
    </w:p>
    <w:p>
      <w:pPr>
        <w:spacing w:before="0" w:after="120"/>
      </w:pPr>
      <w:r>
        <w:rPr>
          <w:b/>
        </w:rPr>
        <w:t xml:space="preserve">Source: </w:t>
      </w:r>
      <w:r>
        <w:t>Wiley: Angewandte Chemie International Edition: Table of Contents</w:t>
      </w:r>
      <w:r>
        <w:t xml:space="preserve">    </w:t>
      </w:r>
      <w:r>
        <w:rPr>
          <w:b/>
        </w:rPr>
        <w:t xml:space="preserve">Pub date: </w:t>
      </w:r>
      <w:r>
        <w:t>2026-02-21 13:04:12+00:00</w:t>
      </w:r>
      <w:r>
        <w:t xml:space="preserve">    </w:t>
      </w:r>
      <w:r>
        <w:rPr>
          <w:b/>
        </w:rPr>
        <w:t xml:space="preserve">DOI: </w:t>
      </w:r>
      <w:hyperlink r:id="rId92">
        <w:r>
          <w:rPr>
            <w:color w:val="1155CC"/>
            <w:u w:val="single"/>
          </w:rPr>
          <w:t>10.1002/anie.202524655</w:t>
        </w:r>
      </w:hyperlink>
    </w:p>
    <w:p>
      <w:pPr>
        <w:spacing w:before="0" w:after="120"/>
      </w:pPr>
      <w:r>
        <w:rPr>
          <w:b/>
        </w:rPr>
        <w:t xml:space="preserve">Notes: </w:t>
      </w:r>
      <w:r>
        <w:t>abstract_source=crossref</w:t>
      </w:r>
    </w:p>
    <w:p>
      <w:pPr>
        <w:spacing w:before="0" w:after="80" w:lineRule="auto" w:line="276"/>
      </w:pPr>
      <w:r>
        <w:rPr>
          <w:b/>
        </w:rPr>
        <w:t xml:space="preserve">摘要（ZH）: </w:t>
      </w:r>
      <w:r>
        <w:t>理解金属如何与有机皮条和催化剂相协调是合理设计金属复合体和催化剂的先决条件。虽然某些种类的铁皮条只能够采用一种容易预测的协调模式,但其他类型的可能提出数十个,有时甚至数百个协调选项(monoí,bi, or multate),并预测正确的选项甚至对老化的化学家来说也是一种挑战。 本文描述了一种“杂合”的计算方法,即机器学习, ML,算法学会利用剑桥结构数据库(CSD)中基于知识的“规则”预测复杂的协调模式。 这一模式适用于广泛的离子(包括厚度和机能性,以及有密度和密度的; ) 。</w:t>
      </w:r>
    </w:p>
    <w:p>
      <w:pPr>
        <w:spacing w:before="0" w:after="200" w:lineRule="auto" w:line="276"/>
      </w:pPr>
      <w:r>
        <w:rPr>
          <w:b/>
        </w:rPr>
        <w:t xml:space="preserve">Abstract (EN): </w:t>
      </w:r>
      <w:r>
        <w:t>Understanding how metals coordinate to organic ligands is a precondition for the rational design of metal complexes and catalysts. Whereas certain types of ligands are capable of just one easy‐to‐predict coordination modality, others may present tens and sometimes even hundreds of coordination options (mono‐, bi‐, or polydentate), and predicting the correct one may be a challenge even to seasoned chemists. The current paper describes a “hybrid” computational approach in which a Machine Learning, ML, algorithm learns to predict complex coordination patterns using knowledge‐based “rules” derived from the Cambridge Structural Database, CSD. This model is applicable to a broad scope of ligands (including hemilabile and haptic ones as well as those with denticity &amp;gt; 6) and different metals at different oxidation states. The algorithm's code is disclosed and can be readily deployed in RDKit via our RDMetallics python‐wrapper. It is also deployed as a publicly accessible web portal for demonstration and use.</w:t>
      </w:r>
    </w:p>
    <w:p>
      <w:pPr>
        <w:spacing w:before="120" w:after="120"/>
      </w:pPr>
      <w:r>
        <w:rPr>
          <w:sz w:val="18"/>
        </w:rPr>
        <w:t>——————————————————————————————————————————————————————————————————————</w:t>
      </w:r>
    </w:p>
    <w:p>
      <w:pPr>
        <w:spacing w:before="160" w:after="40" w:line="240" w:lineRule="auto"/>
      </w:pPr>
      <w:r>
        <w:rPr>
          <w:b/>
        </w:rPr>
        <w:t xml:space="preserve">[60] </w:t>
      </w:r>
      <w:hyperlink r:id="rId93">
        <w:r>
          <w:rPr>
            <w:color w:val="1155CC"/>
            <w:u w:val="single"/>
          </w:rPr>
          <w:t>[ASAP] 超快放松刚解运在Manganese三碳氢化合物中兴奋的国家:Mn和Br K-Edges的极化-溶解的Femto 秒X射线吸收透析镜的透视</w:t>
        </w:r>
      </w:hyperlink>
    </w:p>
    <w:p>
      <w:pPr>
        <w:spacing w:before="0" w:after="80"/>
      </w:pPr>
      <w:r>
        <w:rPr>
          <w:i/>
          <w:sz w:val="20"/>
        </w:rPr>
        <w:t>EN: [ASAP] Ultrafast Relaxation of MLCT Excited States in Manganese Tricarbonyl Complexes: Insights from Polarization-Resolved Femtosecond X-ray Absorption Spectroscopy at the Mn and Br K-Edges</w:t>
      </w:r>
    </w:p>
    <w:p>
      <w:pPr>
        <w:spacing w:before="0" w:after="120"/>
      </w:pPr>
      <w:r>
        <w:rPr>
          <w:b/>
        </w:rPr>
        <w:t xml:space="preserve">Source: </w:t>
      </w:r>
      <w:r>
        <w:t>Journal of the American Chemical Society: Latest Articles (ACS Publications)</w:t>
      </w:r>
      <w:r>
        <w:t xml:space="preserve">    </w:t>
      </w:r>
      <w:r>
        <w:rPr>
          <w:b/>
        </w:rPr>
        <w:t xml:space="preserve">Pub date: </w:t>
      </w:r>
      <w:r>
        <w:t>2026-02-21 14:24:44+00:00</w:t>
      </w:r>
      <w:r>
        <w:t xml:space="preserve">    </w:t>
      </w:r>
      <w:r>
        <w:rPr>
          <w:b/>
        </w:rPr>
        <w:t xml:space="preserve">DOI: </w:t>
      </w:r>
      <w:hyperlink r:id="rId94">
        <w:r>
          <w:rPr>
            <w:color w:val="1155CC"/>
            <w:u w:val="single"/>
          </w:rPr>
          <w:t>10.1021/jacs.5c17002</w:t>
        </w:r>
      </w:hyperlink>
    </w:p>
    <w:p>
      <w:pPr>
        <w:spacing w:before="0" w:after="120"/>
      </w:pPr>
      <w:r>
        <w:rPr>
          <w:b/>
        </w:rPr>
        <w:t xml:space="preserve">Notes: </w:t>
      </w:r>
      <w:r>
        <w:t>abstract_source=openalex</w:t>
      </w:r>
    </w:p>
    <w:p>
      <w:pPr>
        <w:spacing w:before="0" w:after="80" w:lineRule="auto" w:line="276"/>
      </w:pPr>
      <w:r>
        <w:rPr>
          <w:b/>
        </w:rPr>
        <w:t xml:space="preserve">摘要（ZH）: </w:t>
      </w:r>
      <w:r>
        <w:t>许多金属协调综合体的功用在于利用光能驱动否则无法获取的化学反应,因此许多金属协调综合体的功用在于利用光能驱动无法进入的化学反应。这些波段的援引引发了快速电子动态,由于潜在的能源景观复杂,含金属化合物的电子和核自由度高度相关,因此难以理解。在含有甲型二苯、碳基和卤化物的Mn综合体中,含有甲型二苯、碳基和卤化物的最低能吸收波段特别有趣,因为排放转移的电源性质已经分散。在这里,我们报告对Mn(CO) &lt; sub&gt;3 &lt;/sub&gt;系列化合物进行实验性超快动态测量。</w:t>
      </w:r>
    </w:p>
    <w:p>
      <w:pPr>
        <w:spacing w:before="0" w:after="200" w:lineRule="auto" w:line="276"/>
      </w:pPr>
      <w:r>
        <w:rPr>
          <w:b/>
        </w:rPr>
        <w:t xml:space="preserve">Abstract (EN): </w:t>
      </w:r>
      <w:r>
        <w:t>Optical absorption features that are often described as metal-to-ligand charge transfer (MLCT) bands underlie the utility of many metal coordination complexes by harnessing the energy of light to drive otherwise inaccessible chemical reactions. Excitation of these bands triggers rapid electronic dynamics that can be challenging to understand, due to complicated potential energy landscapes and highly correlated electronic and nuclear degrees of freedom in metal-containing compounds. The lowest-energy absorption bands in Mn complexes containing alpha-diimine, carbonyl, and halide ligands are particularly interesting, due to the delocalized nature of charge transfer upon excitation. Here, we report experimental ultrafast dynamics measurements for the series of compounds Mn(CO)&lt;sub&gt;3&lt;/sub&gt;(&lt;sup&gt;R&lt;/sup&gt;bpy)Br (&lt;sup&gt;R&lt;/sup&gt;bpy = 4,4'-disubstituted-2,2'-bipyridine; R = H, CF&lt;sub&gt;3&lt;/sub&gt;, or NO&lt;sub&gt;2&lt;/sub&gt;) using polarization-resolved, femtosecond X-ray absorption spectroscopy (XAS) at both the Mn and Br K edges. The appearance of a new absorption feature in the Br pre-edge spectrum upon optical excitation reveals the instantaneous formation of an electronic hole that is partially localized on the Br atom and has a lifetime that depends on the electron withdrawing character of the &lt;sup&gt;R&lt;/sup&gt;bpy ligand. For two of the complexes (R = H or CF&lt;sub&gt;3&lt;/sub&gt;), a large expansion of the Mn-Br distance results in a rapid redistribution of the hole and a corresponding decrease in anisotropy of the absorption feature within 50 fs, after which the absorption into the hole disappears on a time scale shorter than 300 fs. We observe a different result for the NO&lt;sub&gt;2&lt;/sub&gt; substituted compound, for which the Mn-Br bond contracts and the absorption into the Br-centered hole persists beyond the 2 ps time scale of our measurement. The Mn pre-edge spectrum also reveals structural changes for these three complexes, but the new Mn absorption features become evident only after the nuclei respond to the initial excitation, which allows mixing of Mn 3d and 4p orbitals. The combined use of ultrafast Mn and Br K-edge spectroscopy provides unique insight into the ways in which bipyridine substitution alters the excited-state dynamics, including a very different structural response for the most strongly electron withdrawing substituent.</w:t>
      </w:r>
    </w:p>
    <w:p>
      <w:pPr>
        <w:spacing w:before="120" w:after="120"/>
      </w:pPr>
      <w:r>
        <w:rPr>
          <w:sz w:val="18"/>
        </w:rPr>
        <w:t>——————————————————————————————————————————————————————————————————————</w:t>
      </w:r>
    </w:p>
    <w:p>
      <w:pPr>
        <w:spacing w:before="160" w:after="40" w:line="240" w:lineRule="auto"/>
      </w:pPr>
      <w:r>
        <w:rPr>
          <w:b/>
        </w:rPr>
        <w:t xml:space="preserve">[61] </w:t>
      </w:r>
      <w:hyperlink r:id="rId95">
        <w:r>
          <w:rPr>
            <w:color w:val="1155CC"/>
            <w:u w:val="single"/>
          </w:rPr>
          <w:t>[ASAP] 长期环流水载Mg-Ion贮存中铜六乙基乙酸盐中钴-多管解锁铜自愈合化学[ASAP]</w:t>
        </w:r>
      </w:hyperlink>
    </w:p>
    <w:p>
      <w:pPr>
        <w:spacing w:before="0" w:after="80"/>
      </w:pPr>
      <w:r>
        <w:rPr>
          <w:i/>
          <w:sz w:val="20"/>
        </w:rPr>
        <w:t>EN: [ASAP] Cobalt-Doping Unlocks Copper Self-Healing Chemistry in Copper Hexacyanoferrate for Long-Cycling Aqueous Mg-Ion Storage</w:t>
      </w:r>
    </w:p>
    <w:p>
      <w:pPr>
        <w:spacing w:before="0" w:after="120"/>
      </w:pPr>
      <w:r>
        <w:rPr>
          <w:b/>
        </w:rPr>
        <w:t xml:space="preserve">Source: </w:t>
      </w:r>
      <w:r>
        <w:t>Journal of the American Chemical Society: Latest Articles (ACS Publications)</w:t>
      </w:r>
      <w:r>
        <w:t xml:space="preserve">    </w:t>
      </w:r>
      <w:r>
        <w:rPr>
          <w:b/>
        </w:rPr>
        <w:t xml:space="preserve">Pub date: </w:t>
      </w:r>
      <w:r>
        <w:t>2026-02-21 14:25:31+00:00</w:t>
      </w:r>
      <w:r>
        <w:t xml:space="preserve">    </w:t>
      </w:r>
      <w:r>
        <w:rPr>
          <w:b/>
        </w:rPr>
        <w:t xml:space="preserve">DOI: </w:t>
      </w:r>
      <w:hyperlink r:id="rId96">
        <w:r>
          <w:rPr>
            <w:color w:val="1155CC"/>
            <w:u w:val="single"/>
          </w:rPr>
          <w:t>10.1021/jacs.5c20391</w:t>
        </w:r>
      </w:hyperlink>
    </w:p>
    <w:p>
      <w:pPr>
        <w:spacing w:before="0" w:after="120"/>
      </w:pPr>
      <w:r>
        <w:rPr>
          <w:b/>
        </w:rPr>
        <w:t xml:space="preserve">Notes: </w:t>
      </w:r>
      <w:r>
        <w:t>abstract_source=openalex</w:t>
      </w:r>
    </w:p>
    <w:p>
      <w:pPr>
        <w:spacing w:before="0" w:after="80" w:lineRule="auto" w:line="276"/>
      </w:pPr>
      <w:r>
        <w:rPr>
          <w:b/>
        </w:rPr>
        <w:t xml:space="preserve">摘要（ZH）: </w:t>
      </w:r>
      <w:r>
        <w:t>纤维形水水基Mg基电池(FAMBs)代表着一个新兴的可磨损电子电子平台,但由于缺乏高性能的阴极材料,这些电池的发展受到阻碍。六氯环乙酸铜(CuHCF)是一个很有前途的俄罗斯蓝象,其容量较低,由于活动场地有限、Jahn-Teller扭曲和不可逆的铜化铜化电池解体,能力迅速退化。在这里,我们证明钴兴奋剂能够有效地调节CuHCF。它诱发可逆的铜解体/自愈合行为,抑制Jahn-Teller扭曲以保持结构完整性,并增加活动场地的可用性,从而大大增强Mg &lt;sup&gt;2/sup&gt;储存性能。由此导致的CuHCF纳米纤维纳米块(CoCuH)被共涂在碳纳米管纤维上(CoCuH)。</w:t>
      </w:r>
    </w:p>
    <w:p>
      <w:pPr>
        <w:spacing w:before="0" w:after="200" w:lineRule="auto" w:line="276"/>
      </w:pPr>
      <w:r>
        <w:rPr>
          <w:b/>
        </w:rPr>
        <w:t xml:space="preserve">Abstract (EN): </w:t>
      </w:r>
      <w:r>
        <w:t>Fiber-shaped aqueous Mg-based batteries (FAMBs) represent an emerging platform for wearable electronics, yet their development is hindered by the lack of high-performance cathode materials. Copper hexacyanoferrate (CuHCF), a promising Prussian blue analogue, suffers from low capacity, rapid capacity decay due to limited active sites, Jahn-Teller distortion, and irreversible Cu dissolution. Herein, we demonstrate that cobalt doping enables effective modulation of the CuHCF. It induces a reversible Cu dissolution/self-healing behavior, suppresses Jahn-Teller distortion to maintain structural integrity, and increases the availability of active sites, thereby significantly enhancing the Mg&lt;sup&gt;2+&lt;/sup&gt; storage performance. The resulting Co-doped CuHCF nanoblocks on carbon nanotube fiber (CoCuHCF@CNTF) deliver a high specific capacity of 153.2 mAh g&lt;sup&gt;-1&lt;/sup&gt;, exceptional cycling stability (90% retention after 30,000 cycles), and remarkable rate capability. The combination of this cathode and NaTi&lt;sub&gt;2&lt;/sub&gt;(PO&lt;sub&gt;4&lt;/sub&gt;)&lt;sub&gt;3&lt;/sub&gt;@CNTF anode yields a flexible FAMB with a high energy density of 89 mWh cm&lt;sup&gt;-3&lt;/sup&gt;, capable of powering a mobile phone. This work establishes a robust design principle for developing high-performance cathode materials through multifunctional cation doping, providing new insights into Mg&lt;sup&gt;2+&lt;/sup&gt;-dominated storage behavior in advanced aqueous multivalent-ion energy-storage systems.</w:t>
      </w:r>
    </w:p>
    <w:p>
      <w:pPr>
        <w:spacing w:before="120" w:after="120"/>
      </w:pPr>
      <w:r>
        <w:rPr>
          <w:sz w:val="18"/>
        </w:rPr>
        <w:t>——————————————————————————————————————————————————————————————————————</w:t>
      </w:r>
    </w:p>
    <w:p>
      <w:pPr>
        <w:spacing w:before="160" w:after="40" w:line="240" w:lineRule="auto"/>
      </w:pPr>
      <w:r>
        <w:rPr>
          <w:b/>
        </w:rPr>
        <w:t xml:space="preserve">[62] </w:t>
      </w:r>
      <w:hyperlink r:id="rId97">
        <w:r>
          <w:rPr>
            <w:color w:val="1155CC"/>
            <w:u w:val="single"/>
          </w:rPr>
          <w:t>[ASAP] 苯酚的直接脱氧三氟氧代谢</w:t>
        </w:r>
      </w:hyperlink>
    </w:p>
    <w:p>
      <w:pPr>
        <w:spacing w:before="0" w:after="80"/>
      </w:pPr>
      <w:r>
        <w:rPr>
          <w:i/>
          <w:sz w:val="20"/>
        </w:rPr>
        <w:t>EN: [ASAP] Photocatalytic Direct Deoxytrifluoromethoxylation of Phenols</w:t>
      </w:r>
    </w:p>
    <w:p>
      <w:pPr>
        <w:spacing w:before="0" w:after="120"/>
      </w:pPr>
      <w:r>
        <w:rPr>
          <w:b/>
        </w:rPr>
        <w:t xml:space="preserve">Source: </w:t>
      </w:r>
      <w:r>
        <w:t>Journal of the American Chemical Society: Latest Articles (ACS Publications)</w:t>
      </w:r>
      <w:r>
        <w:t xml:space="preserve">    </w:t>
      </w:r>
      <w:r>
        <w:rPr>
          <w:b/>
        </w:rPr>
        <w:t xml:space="preserve">Pub date: </w:t>
      </w:r>
      <w:r>
        <w:t>2026-02-21 14:26:06+00:00</w:t>
      </w:r>
      <w:r>
        <w:t xml:space="preserve">    </w:t>
      </w:r>
      <w:r>
        <w:rPr>
          <w:b/>
        </w:rPr>
        <w:t xml:space="preserve">DOI: </w:t>
      </w:r>
      <w:hyperlink r:id="rId98">
        <w:r>
          <w:rPr>
            <w:color w:val="1155CC"/>
            <w:u w:val="single"/>
          </w:rPr>
          <w:t>10.1021/jacs.6c00511</w:t>
        </w:r>
      </w:hyperlink>
    </w:p>
    <w:p>
      <w:pPr>
        <w:spacing w:before="0" w:after="120"/>
      </w:pPr>
      <w:r>
        <w:rPr>
          <w:b/>
        </w:rPr>
        <w:t xml:space="preserve">Notes: </w:t>
      </w:r>
      <w:r>
        <w:t>abstract_source=openalex</w:t>
      </w:r>
    </w:p>
    <w:p>
      <w:pPr>
        <w:spacing w:before="0" w:after="80" w:lineRule="auto" w:line="276"/>
      </w:pPr>
      <w:r>
        <w:rPr>
          <w:b/>
        </w:rPr>
        <w:t xml:space="preserve">摘要（ZH）: </w:t>
      </w:r>
      <w:r>
        <w:t>我们制定了光反转毒战略,以实现苯酚的脱氧三氟氧代谢,利用OCF &lt; sub&gt;3 &lt;/sub&gt; anion的倾向分解成二氟磷基,然后对&lt;i&gt;现场 &lt;/i&gt;和苯酚作出反应,形成碳酸丙烯酯,从而降低Csp&lt;sup&gt;2 &lt;/sup&gt;-O债券的粘合能量。使用有机光反毒催化剂使得这种方法能够在温和条件下运作,采用简单程序和广泛适用于各种苯丙基子体,并在多种C-O债券中表现出极佳的选择性。</w:t>
      </w:r>
    </w:p>
    <w:p>
      <w:pPr>
        <w:spacing w:before="0" w:after="200" w:lineRule="auto" w:line="276"/>
      </w:pPr>
      <w:r>
        <w:rPr>
          <w:b/>
        </w:rPr>
        <w:t xml:space="preserve">Abstract (EN): </w:t>
      </w:r>
      <w:r>
        <w:t>We developed a photoredox strategy to achieve the deoxytrifluoromethoxylation of phenols. This approach leverages the propensity of the OCF&lt;sub&gt;3&lt;/sub&gt; anion to decompose into difluorophosgene, which subsequently reacts &lt;i&gt;in situ&lt;/i&gt; with phenol to form an aryl carbonofluoridate, thereby reducing the bond energy of the Csp&lt;sup&gt;2&lt;/sup&gt;-O bond. The use of organic photoredox catalysts enables the operation of this method under mild conditions, with simple procedures and broad applicability to various phenolic substrates, and exhibits excellent selectivity among multiple C-O bonds.</w:t>
      </w:r>
    </w:p>
    <w:p>
      <w:pPr>
        <w:spacing w:before="120" w:after="120"/>
      </w:pPr>
      <w:r>
        <w:rPr>
          <w:sz w:val="18"/>
        </w:rPr>
        <w:t>——————————————————————————————————————————————————————————————————————</w:t>
      </w:r>
    </w:p>
    <w:p>
      <w:pPr>
        <w:spacing w:before="160" w:after="40" w:line="240" w:lineRule="auto"/>
      </w:pPr>
      <w:r>
        <w:rPr>
          <w:b/>
        </w:rPr>
        <w:t xml:space="preserve">[63] </w:t>
      </w:r>
      <w:hyperlink r:id="rId99">
        <w:r>
          <w:rPr>
            <w:color w:val="1155CC"/>
            <w:u w:val="single"/>
          </w:rPr>
          <w:t>MP-Grid: 检测电网断电,进行地形机学学习</w:t>
        </w:r>
      </w:hyperlink>
    </w:p>
    <w:p>
      <w:pPr>
        <w:spacing w:before="0" w:after="80"/>
      </w:pPr>
      <w:r>
        <w:rPr>
          <w:i/>
          <w:sz w:val="20"/>
        </w:rPr>
        <w:t>EN: MP-Grid: Detecting power grid outages with topological machine learning</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100">
        <w:r>
          <w:rPr>
            <w:color w:val="1155CC"/>
            <w:u w:val="single"/>
          </w:rPr>
          <w:t>可伸缩的水凝水智能窗口,保持水分和低排放,用于可持续建筑</w:t>
        </w:r>
      </w:hyperlink>
    </w:p>
    <w:p>
      <w:pPr>
        <w:spacing w:before="0" w:after="80"/>
      </w:pPr>
      <w:r>
        <w:rPr>
          <w:i/>
          <w:sz w:val="20"/>
        </w:rPr>
        <w:t>EN: Scalable hydrogel smart windows with moisture retention and low-emissivity for sustainable buildings</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 </w:t>
      </w:r>
      <w:hyperlink r:id="rId101">
        <w:r>
          <w:rPr>
            <w:color w:val="1155CC"/>
            <w:u w:val="single"/>
          </w:rPr>
          <w:t>青少年主要抑郁症的子类型,其特点是感官-共感性皮层信息动态不一。</w:t>
        </w:r>
      </w:hyperlink>
    </w:p>
    <w:p>
      <w:pPr>
        <w:spacing w:before="0" w:after="80"/>
      </w:pPr>
      <w:r>
        <w:rPr>
          <w:i/>
          <w:sz w:val="20"/>
        </w:rPr>
        <w:t>EN: Subtypes of adolescent major depressive disorder characterized by divergent information dynamics in sensory-association cortices</w:t>
      </w:r>
    </w:p>
    <w:p>
      <w:pPr>
        <w:spacing w:before="0" w:after="120"/>
      </w:pPr>
      <w:r>
        <w:rPr>
          <w:b/>
        </w:rPr>
        <w:t xml:space="preserve">Source: </w:t>
      </w:r>
      <w:r>
        <w:t>Nature Communications</w:t>
      </w:r>
      <w:r>
        <w:t xml:space="preserve">    </w:t>
      </w:r>
      <w:r>
        <w:rPr>
          <w:b/>
        </w:rPr>
        <w:t xml:space="preserve">Pub date: </w:t>
      </w:r>
      <w:r>
        <w:t>2026-02-22 00:00:00+00:00</w:t>
      </w:r>
    </w:p>
    <w:p>
      <w:pPr>
        <w:spacing w:before="0" w:after="120"/>
      </w:pPr>
      <w:r>
        <w:rPr>
          <w:b/>
        </w:rPr>
        <w:t xml:space="preserve">Notes: </w:t>
      </w:r>
      <w:r>
        <w:t>abstract_source=nature_html</w:t>
      </w:r>
    </w:p>
    <w:p>
      <w:pPr>
        <w:spacing w:before="0" w:after="80" w:lineRule="auto" w:line="276"/>
      </w:pPr>
      <w:r>
        <w:rPr>
          <w:b/>
        </w:rPr>
        <w:t xml:space="preserve">摘要（ZH）: </w:t>
      </w:r>
      <w:r>
        <w:t>青少年主要抑制抑郁症(MDD)涉及大脑功能组织的复杂和多样化变化。一个可能的解释是青少年期个体化大脑成熟期的中断,这通常是从低阶感官向高阶联系区域的转变。为了检验这一假设,我们分析了休息状态功能性MRI数据,使用了先进的矩阵分解技术来提取组织梯度、时间动态和信息流动。我们主要样本中的聚变感-联动梯度特征(NDDD=302和NControls=207;11-17岁)揭示了两种子类型。第1类显示自下流(感官-to-Association),在感官皮层中减少了协同作用,但增加了冗余力,而且高度模块化了全球范围。</w:t>
      </w:r>
    </w:p>
    <w:p>
      <w:pPr>
        <w:spacing w:before="0" w:after="200" w:lineRule="auto" w:line="276"/>
      </w:pPr>
      <w:r>
        <w:rPr>
          <w:b/>
        </w:rPr>
        <w:t xml:space="preserve">Abstract (EN): </w:t>
      </w:r>
      <w:r>
        <w:t>Adolescent major depressive disorder (MDD) involves complex and heterogeneous alterations in brain functional organization. A possible explanation is the disruption of individualized brain maturation during adolescence, which typically transitions from lower-order sensory to higher-order association regions. To test this hypothesis, we analyzed resting-state functional MRI data using advanced matrix decomposition techniques to extract organizational gradients, temporal dynamics, and information flow. Clustering sensory–association gradient features in our main sample (NMDD = 302 and NControls = 207; ages 11-17) revealed two subtypes. Subtype 1 showed bottom‑up (sensory‑to‑association) flow, reduced synergy but heightened redundancy in sensory cortices, and a highly modular yet globally inefficient network—patterns consistent with aberrant sensory processing and impaired integration. Subtype 2 instead displayed a top‑down (association‑to‑sensory) flow, reduced synergy in association areas, elevated redundancy in sensory regions, and network efficiency between subtype 1 and healthy controls, suggesting compensatory higher‑order engagement. Subtypes also differed in age-related changes, clinical profiles, and neurobiological processing. These patterns were largely replicated in an independent sample (NMDD = 73 and NControls = 28). Overall, the sensory-association axis distinguishes MDD subtypes, integrating functional heterogeneity, cortical dynamics, developmental trajectories, and genetic influences, offering new insights for pathophysiology and precision psychiatry.</w:t>
      </w:r>
    </w:p>
    <w:p>
      <w:pPr>
        <w:spacing w:before="120" w:after="120"/>
      </w:pPr>
      <w:r>
        <w:rPr>
          <w:sz w:val="18"/>
        </w:rPr>
        <w:t>——————————————————————————————————————————————————————————————————————</w:t>
      </w:r>
    </w:p>
    <w:p>
      <w:pPr>
        <w:spacing w:before="160" w:after="40" w:line="240" w:lineRule="auto"/>
      </w:pPr>
      <w:r>
        <w:rPr>
          <w:b/>
        </w:rPr>
        <w:t xml:space="preserve">[66] </w:t>
      </w:r>
      <w:hyperlink r:id="rId102">
        <w:r>
          <w:rPr>
            <w:color w:val="1155CC"/>
            <w:u w:val="single"/>
          </w:rPr>
          <w:t>可再生动力电动车辆充电器充电器系统流动休假模式:绩效评价和成本-成本-最佳电池规模化</w:t>
        </w:r>
      </w:hyperlink>
    </w:p>
    <w:p>
      <w:pPr>
        <w:spacing w:before="0" w:after="80"/>
      </w:pPr>
      <w:r>
        <w:rPr>
          <w:i/>
          <w:sz w:val="20"/>
        </w:rPr>
        <w:t>EN: A fluid vacation model for renewable-powered electric vehicle charging systems: Performance evaluation and cost-optimal battery sizing</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 </w:t>
      </w:r>
      <w:hyperlink r:id="rId103">
        <w:r>
          <w:rPr>
            <w:color w:val="1155CC"/>
            <w:u w:val="single"/>
          </w:rPr>
          <w:t>用于半小时电价预测的深学习模型</w:t>
        </w:r>
      </w:hyperlink>
    </w:p>
    <w:p>
      <w:pPr>
        <w:spacing w:before="0" w:after="80"/>
      </w:pPr>
      <w:r>
        <w:rPr>
          <w:i/>
          <w:sz w:val="20"/>
        </w:rPr>
        <w:t>EN: Explainable Singular Spectrum Analysis deep learning model for half-hourly electricity price prediction</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 </w:t>
      </w:r>
      <w:hyperlink r:id="rId104">
        <w:r>
          <w:rPr>
            <w:color w:val="1155CC"/>
            <w:u w:val="single"/>
          </w:rPr>
          <w:t>对用于电网规模能源储存的红氧化物流动电池进行决策性评估:可缩放性、系统复杂性和智能操作</w:t>
        </w:r>
      </w:hyperlink>
    </w:p>
    <w:p>
      <w:pPr>
        <w:spacing w:before="0" w:after="80"/>
      </w:pPr>
      <w:r>
        <w:rPr>
          <w:i/>
          <w:sz w:val="20"/>
        </w:rPr>
        <w:t>EN: Decision-oriented assessment of redox flow batteries for grid-scale energy storage: Scalability, system complexity, and intelligent operation</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105">
        <w:r>
          <w:rPr>
            <w:color w:val="1155CC"/>
            <w:u w:val="single"/>
          </w:rPr>
          <w:t>对大规模运输与红氧化物流动电池中的寄生性氢演变之间的相互作用的数值深入了解</w:t>
        </w:r>
      </w:hyperlink>
    </w:p>
    <w:p>
      <w:pPr>
        <w:spacing w:before="0" w:after="80"/>
      </w:pPr>
      <w:r>
        <w:rPr>
          <w:i/>
          <w:sz w:val="20"/>
        </w:rPr>
        <w:t>EN: Numerical insights into the interplay between mass transport and parasitic hydrogen evolution in vanadium redox flow batteries</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106">
        <w:r>
          <w:rPr>
            <w:color w:val="1155CC"/>
            <w:u w:val="single"/>
          </w:rPr>
          <w:t>装配电动车和离电网风力发电的电动车辆:高电价市场战略</w:t>
        </w:r>
      </w:hyperlink>
    </w:p>
    <w:p>
      <w:pPr>
        <w:spacing w:before="0" w:after="80"/>
      </w:pPr>
      <w:r>
        <w:rPr>
          <w:i/>
          <w:sz w:val="20"/>
        </w:rPr>
        <w:t>EN: Bundling electric vehicles with off-grid wind power: A strategy for high-electricity-Price markets</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 </w:t>
      </w:r>
      <w:hyperlink r:id="rId107">
        <w:r>
          <w:rPr>
            <w:color w:val="1155CC"/>
            <w:u w:val="single"/>
          </w:rPr>
          <w:t>好学生、模仿者和落后者:弥合非洲电力差距的政策教训</w:t>
        </w:r>
      </w:hyperlink>
    </w:p>
    <w:p>
      <w:pPr>
        <w:spacing w:before="0" w:after="80"/>
      </w:pPr>
      <w:r>
        <w:rPr>
          <w:i/>
          <w:sz w:val="20"/>
        </w:rPr>
        <w:t>EN: Good students, mimics and laggards: Policy lessons for closing electricity access gaps in Africa</w:t>
      </w:r>
    </w:p>
    <w:p>
      <w:pPr>
        <w:spacing w:before="0" w:after="120"/>
      </w:pPr>
      <w:r>
        <w:rPr>
          <w:b/>
        </w:rPr>
        <w:t xml:space="preserve">Source: </w:t>
      </w:r>
      <w:r>
        <w:t>ScienceDirect Publication: Energy Policy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 </w:t>
      </w:r>
      <w:hyperlink r:id="rId108">
        <w:r>
          <w:rPr>
            <w:color w:val="1155CC"/>
            <w:u w:val="single"/>
          </w:rPr>
          <w:t>绿色氢供应链的驱动力、障碍和干预措施:多行为体框架</w:t>
        </w:r>
      </w:hyperlink>
    </w:p>
    <w:p>
      <w:pPr>
        <w:spacing w:before="0" w:after="80"/>
      </w:pPr>
      <w:r>
        <w:rPr>
          <w:i/>
          <w:sz w:val="20"/>
        </w:rPr>
        <w:t>EN: Drivers, barriers and interventions for green hydrogen supply chains: A multi-actor framework</w:t>
      </w:r>
    </w:p>
    <w:p>
      <w:pPr>
        <w:spacing w:before="0" w:after="120"/>
      </w:pPr>
      <w:r>
        <w:rPr>
          <w:b/>
        </w:rPr>
        <w:t xml:space="preserve">Source: </w:t>
      </w:r>
      <w:r>
        <w:t>ScienceDirect Publication: Energy Policy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[73] </w:t>
      </w:r>
      <w:hyperlink r:id="rId109">
        <w:r>
          <w:rPr>
            <w:color w:val="1155CC"/>
            <w:u w:val="single"/>
          </w:rPr>
          <w:t>扩大海上风力农场的浮动安装:从常规战略到模块化战略</w:t>
        </w:r>
      </w:hyperlink>
    </w:p>
    <w:p>
      <w:pPr>
        <w:spacing w:before="0" w:after="80"/>
      </w:pPr>
      <w:r>
        <w:rPr>
          <w:i/>
          <w:sz w:val="20"/>
        </w:rPr>
        <w:t>EN: Scaling up floating offshore wind farm installation: From conventional to modular strategies</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[74] </w:t>
      </w:r>
      <w:hyperlink r:id="rId110">
        <w:r>
          <w:rPr>
            <w:color w:val="1155CC"/>
            <w:u w:val="single"/>
          </w:rPr>
          <w:t>基于碳-经济合同和履行-承诺发送的公平、低碳V2G时间表框架</w:t>
        </w:r>
      </w:hyperlink>
    </w:p>
    <w:p>
      <w:pPr>
        <w:spacing w:before="0" w:after="80"/>
      </w:pPr>
      <w:r>
        <w:rPr>
          <w:i/>
          <w:sz w:val="20"/>
        </w:rPr>
        <w:t>EN: A fair and low-carbon V2G scheduling framework based on carbon-economic contracts and fulfillment-aware dispatch</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 </w:t>
      </w:r>
      <w:hyperlink r:id="rId111">
        <w:r>
          <w:rPr>
            <w:color w:val="1155CC"/>
            <w:u w:val="single"/>
          </w:rPr>
          <w:t>“低碳氢的支持机制:商品市场分割的风险”的更正[能源政策202,第114605条DOI.10116/j.enpol.2025.114605]</w:t>
        </w:r>
      </w:hyperlink>
    </w:p>
    <w:p>
      <w:pPr>
        <w:spacing w:before="0" w:after="80"/>
      </w:pPr>
      <w:r>
        <w:rPr>
          <w:i/>
          <w:sz w:val="20"/>
        </w:rPr>
        <w:t>EN: Corrigendum to “Support mechanisms for low-carbon hydrogen: The risks of segmenting a commodity market” [Energy Policy 202 art 114605 DOI 10.1016/j.enpol.2025.114605]</w:t>
      </w:r>
    </w:p>
    <w:p>
      <w:pPr>
        <w:spacing w:before="0" w:after="120"/>
      </w:pPr>
      <w:r>
        <w:rPr>
          <w:b/>
        </w:rPr>
        <w:t xml:space="preserve">Source: </w:t>
      </w:r>
      <w:r>
        <w:t>ScienceDirect Publication: Energy Policy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 </w:t>
      </w:r>
      <w:hyperlink r:id="rId112">
        <w:r>
          <w:rPr>
            <w:color w:val="1155CC"/>
            <w:u w:val="single"/>
          </w:rPr>
          <w:t>沿海混合太阳能风力农场:将漂浮光电与近海风风相结合的潜力</w:t>
        </w:r>
      </w:hyperlink>
    </w:p>
    <w:p>
      <w:pPr>
        <w:spacing w:before="0" w:after="80"/>
      </w:pPr>
      <w:r>
        <w:rPr>
          <w:i/>
          <w:sz w:val="20"/>
        </w:rPr>
        <w:t>EN: Hybrid offshore solar-wind farms: the potential of integrating floating photovoltaics with offshore wind</w:t>
      </w:r>
    </w:p>
    <w:p>
      <w:pPr>
        <w:spacing w:before="0" w:after="120"/>
      </w:pPr>
      <w:r>
        <w:rPr>
          <w:b/>
        </w:rPr>
        <w:t xml:space="preserve">Source: </w:t>
      </w:r>
      <w:r>
        <w:t>ScienceDirect Publication: Applied Energy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[77] </w:t>
      </w:r>
      <w:hyperlink r:id="rId113">
        <w:r>
          <w:rPr>
            <w:color w:val="1155CC"/>
            <w:u w:val="single"/>
          </w:rPr>
          <w:t>“国内能源管理者及其对未来智能电网的影响”的更正[能源Pol.206 (2025) 114772]</w:t>
        </w:r>
      </w:hyperlink>
    </w:p>
    <w:p>
      <w:pPr>
        <w:spacing w:before="0" w:after="80"/>
      </w:pPr>
      <w:r>
        <w:rPr>
          <w:i/>
          <w:sz w:val="20"/>
        </w:rPr>
        <w:t>EN: Corrigendum to “Domestic energy managers and their implications for future smart grids” [Energy Pol. 206 (2025) 114772]</w:t>
      </w:r>
    </w:p>
    <w:p>
      <w:pPr>
        <w:spacing w:before="0" w:after="120"/>
      </w:pPr>
      <w:r>
        <w:rPr>
          <w:b/>
        </w:rPr>
        <w:t xml:space="preserve">Source: </w:t>
      </w:r>
      <w:r>
        <w:t>ScienceDirect Publication: Energy Policy</w:t>
      </w:r>
      <w:r>
        <w:t xml:space="preserve">    </w:t>
      </w:r>
      <w:r>
        <w:rPr>
          <w:b/>
        </w:rPr>
        <w:t xml:space="preserve">Pub date: </w:t>
      </w:r>
      <w:r>
        <w:t>2026-02-22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[78] </w:t>
      </w:r>
      <w:hyperlink r:id="rId114">
        <w:r>
          <w:rPr>
            <w:color w:val="1155CC"/>
            <w:u w:val="single"/>
          </w:rPr>
          <w:t>稳定、中度三维多元共振有机框架,作为多用途功能平台</w:t>
        </w:r>
      </w:hyperlink>
    </w:p>
    <w:p>
      <w:pPr>
        <w:spacing w:before="0" w:after="80"/>
      </w:pPr>
      <w:r>
        <w:rPr>
          <w:i/>
          <w:sz w:val="20"/>
        </w:rPr>
        <w:t>EN: A Stable, Mesoporous Three‐Dimensional Covalent Organic Framework as a Versatile Functional Platform</w:t>
      </w:r>
    </w:p>
    <w:p>
      <w:pPr>
        <w:spacing w:before="0" w:after="120"/>
      </w:pPr>
      <w:r>
        <w:rPr>
          <w:b/>
        </w:rPr>
        <w:t xml:space="preserve">Source: </w:t>
      </w:r>
      <w:r>
        <w:t>Wiley: Angewandte Chemie International Edition: Table of Contents</w:t>
      </w:r>
      <w:r>
        <w:t xml:space="preserve">    </w:t>
      </w:r>
      <w:r>
        <w:rPr>
          <w:b/>
        </w:rPr>
        <w:t xml:space="preserve">Pub date: </w:t>
      </w:r>
      <w:r>
        <w:t>2026-02-22 14:00:06+00:00</w:t>
      </w:r>
      <w:r>
        <w:t xml:space="preserve">    </w:t>
      </w:r>
      <w:r>
        <w:rPr>
          <w:b/>
        </w:rPr>
        <w:t xml:space="preserve">DOI: </w:t>
      </w:r>
      <w:hyperlink r:id="rId115">
        <w:r>
          <w:rPr>
            <w:color w:val="1155CC"/>
            <w:u w:val="single"/>
          </w:rPr>
          <w:t>10.1002/anie.6482981</w:t>
        </w:r>
      </w:hyperlink>
    </w:p>
    <w:p>
      <w:pPr>
        <w:spacing w:before="0" w:after="120"/>
      </w:pPr>
      <w:r>
        <w:rPr>
          <w:b/>
        </w:rPr>
        <w:t xml:space="preserve">Notes: </w:t>
      </w:r>
      <w:r>
        <w:t>abstract_source=crossref</w:t>
      </w:r>
    </w:p>
    <w:p>
      <w:pPr>
        <w:spacing w:before="0" w:after="80" w:lineRule="auto" w:line="276"/>
      </w:pPr>
      <w:r>
        <w:rPr>
          <w:b/>
        </w:rPr>
        <w:t xml:space="preserve">摘要（ZH）: </w:t>
      </w:r>
      <w:r>
        <w:t>将功能引入共价有机框架(COFs)的孔通道,同时又不损害其晶状性和孔状性,这仍然是一项艰巨的挑战。在这里,我们提出一个稳定的、中等的3DCOF、JUC_685, 其表面面积为2,188米2克-1,孔尺寸为3.20纳米。这一坚固的结构可以作为一个多功能平台,用来构建功能化COF,同时保持结构完整性。我们利用溶剂辅助连接器交换(SALE)战略,成功地将一系列具有挑战性的功能分子(包括azobenzene、carbazole和复杂的乙基循环)纳入到一个同位素序列,JUC_686到J。</w:t>
      </w:r>
    </w:p>
    <w:p>
      <w:pPr>
        <w:spacing w:before="0" w:after="200" w:lineRule="auto" w:line="276"/>
      </w:pPr>
      <w:r>
        <w:rPr>
          <w:b/>
        </w:rPr>
        <w:t xml:space="preserve">Abstract (EN): </w:t>
      </w:r>
      <w:r>
        <w:t>Introducing functionality into the pore channels of covalent organic frameworks (COFs) without compromising their crystallinity and porosity remains a formidable challenge. Herein, we present a stable, mesoporous 3D COF, JUC‐685, which exhibits a surface area of 2,188 m</w:t>
      </w:r>
      <w:r>
        <w:rPr>
          <w:vertAlign w:val="subscript"/>
        </w:rPr>
        <w:t>2</w:t>
      </w:r>
      <w:r>
        <w:t>g</w:t>
      </w:r>
      <w:r>
        <w:t xml:space="preserve"> </w:t>
      </w:r>
      <w:r>
        <w:t>−1</w:t>
      </w:r>
      <w:r>
        <w:t xml:space="preserve"> </w:t>
      </w:r>
      <w:r>
        <w:t>and a pore size of 3.20 nm. This robust structure serves as a versatile platform for constructing functionalized COFs while preserving structural integrity. Using a solvent‐assisted linker exchange (SALE) strategy, we successfully incorporated a series of challenging functional moieties—including azobenzene, carbazole, and complex heterocycles—to generate an isoreticular series, JUC‐686 to JUC‐689. This methodology effectively decouples functionality from structural order. The azobenzene‐functionalized derivative, JUC‐686, retains a high surface area of 2,131 m</w:t>
      </w:r>
      <w:r>
        <w:rPr>
          <w:vertAlign w:val="subscript"/>
        </w:rPr>
        <w:t>2</w:t>
      </w:r>
      <w:r>
        <w:t>g</w:t>
      </w:r>
      <w:r>
        <w:t xml:space="preserve"> </w:t>
      </w:r>
      <w:r>
        <w:t>−1</w:t>
      </w:r>
      <w:r>
        <w:t xml:space="preserve"> </w:t>
      </w:r>
      <w:r>
        <w:t>and a mesopore of 3.09 nm. Crucially, the photoresponsive azobenzene units within its spacious pores enable remarkable, light‐induced modulation of CO</w:t>
      </w:r>
      <w:r>
        <w:rPr>
          <w:vertAlign w:val="subscript"/>
        </w:rPr>
        <w:t>2</w:t>
      </w:r>
      <w:r>
        <w:t>adsorption capacity, with a change rate reaching 60.4% under UV irradiation—the highest performance reported for any azobenzene‐functionalized porous materials. This work establishes a general platform for the synthesis of highly crystalline COFs with pore‐wall functionality, unlocking new opportunities in smart adsorption, catalysis, and beyond.</w:t>
      </w:r>
    </w:p>
    <w:p>
      <w:pPr>
        <w:spacing w:before="120" w:after="120"/>
      </w:pPr>
      <w:r>
        <w:rPr>
          <w:sz w:val="18"/>
        </w:rPr>
        <w:t>——————————————————————————————————————————————————————————————————————</w:t>
      </w:r>
    </w:p>
    <w:p>
      <w:pPr>
        <w:spacing w:before="160" w:after="40" w:line="240" w:lineRule="auto"/>
      </w:pPr>
      <w:r>
        <w:rPr>
          <w:b/>
        </w:rPr>
        <w:t xml:space="preserve">[79] </w:t>
      </w:r>
      <w:hyperlink r:id="rId116">
        <w:r>
          <w:rPr>
            <w:color w:val="1155CC"/>
            <w:u w:val="single"/>
          </w:rPr>
          <w:t>将散装金水晶插成定序单原子</w:t>
        </w:r>
      </w:hyperlink>
    </w:p>
    <w:p>
      <w:pPr>
        <w:spacing w:before="0" w:after="80"/>
      </w:pPr>
      <w:r>
        <w:rPr>
          <w:i/>
          <w:sz w:val="20"/>
        </w:rPr>
        <w:t>EN: Intercalating Bulk Gold Crystal Into Ordered Single Atoms</w:t>
      </w:r>
    </w:p>
    <w:p>
      <w:pPr>
        <w:spacing w:before="0" w:after="120"/>
      </w:pPr>
      <w:r>
        <w:rPr>
          <w:b/>
        </w:rPr>
        <w:t xml:space="preserve">Source: </w:t>
      </w:r>
      <w:r>
        <w:t>Wiley: Advanced Materials: Table of Contents</w:t>
      </w:r>
      <w:r>
        <w:t xml:space="preserve">    </w:t>
      </w:r>
      <w:r>
        <w:rPr>
          <w:b/>
        </w:rPr>
        <w:t xml:space="preserve">Pub date: </w:t>
      </w:r>
      <w:r>
        <w:t>2026-02-22 14:00:32+00:00</w:t>
      </w:r>
      <w:r>
        <w:t xml:space="preserve">    </w:t>
      </w:r>
      <w:r>
        <w:rPr>
          <w:b/>
        </w:rPr>
        <w:t xml:space="preserve">DOI: </w:t>
      </w:r>
      <w:hyperlink r:id="rId117">
        <w:r>
          <w:rPr>
            <w:color w:val="1155CC"/>
            <w:u w:val="single"/>
          </w:rPr>
          <w:t>10.1002/adma.72587</w:t>
        </w:r>
      </w:hyperlink>
    </w:p>
    <w:p>
      <w:pPr>
        <w:spacing w:before="0" w:after="120"/>
      </w:pPr>
      <w:r>
        <w:rPr>
          <w:b/>
        </w:rPr>
        <w:t xml:space="preserve">Notes: </w:t>
      </w:r>
      <w:r>
        <w:t>abstract_source=crossref</w:t>
      </w:r>
    </w:p>
    <w:p>
      <w:pPr>
        <w:spacing w:before="0" w:after="80" w:lineRule="auto" w:line="276"/>
      </w:pPr>
      <w:r>
        <w:rPr>
          <w:b/>
        </w:rPr>
        <w:t xml:space="preserve">摘要（ZH）: </w:t>
      </w:r>
      <w:r>
        <w:t>黄金单原子( GSAs) 因其在电催化和光催化反应中的潜力而吸引了相当多的注意力。 然而,在常规湿溶或机械方法中实现高金密度的常规湿溶或机械方法目前仍然具有挑战性,除了对支持分布、不理想的双生产品和废物不受控制的空间空间分布、不理想的双生产品和废物。 这里我们表明,单金原子可以通过上下下调的进取法合成和模式化,在这种方法中,最上层的黄金( 100) 晶体演变成孤立的单原子( 转换率高达25%), 由磷单层形成。 扫描隧道显微镜、 X-光光导光光光谱和密度功能理论计算显示, GAs 组成有序(2 x 2) 阵列</w:t>
      </w:r>
    </w:p>
    <w:p>
      <w:pPr>
        <w:spacing w:before="0" w:after="200" w:lineRule="auto" w:line="276"/>
      </w:pPr>
      <w:r>
        <w:rPr>
          <w:b/>
        </w:rPr>
        <w:t xml:space="preserve">Abstract (EN): </w:t>
      </w:r>
      <w:r>
        <w:t>Gold single atoms (GSAs) have attracted considerable attentions due to their potential in electrocatalytic and photocatalytic reactions. However, achieving high gold density in conventional wet‐solution or mechanical approaches remains currently challenging, apart from uncontrolled spatial on‐support distributions, undesired bi‐products and wastes. Here we show that single gold atoms can be synthesized and patterned via a top‐down intercalation method, in which the topmost layer of gold (100) crystal evolves into isolated single atoms (conversion rate up to 25%) chiseled by a phosphorus monolayer. Scanning tunneling microscopy, X‐ray photoemission spectroscopy, and density functional theory calculations reveal that GSAs assemble into well‐ordered (2 × 2) arrays without thermodynamic tendency for coalescence and weakly couple with the underlying non‐planar phosphorus layer toward efficient hydrogen evolution reaction and oxygen evolution reaction catalysis. The on‐surface formation of GSAs can be readily tailored by varying the post‐annealing temperature and durations. This protocol is defect‐free, solvent‐free, eco‐friendly, scalable, and could regenerate a batch‐to‐batch of fresh GSAs arrays via a simple sputtering and intercalation process in case of catalyst deactivation. This work opens a green and sustainable way for the facile preparation of high‐density GSAs for efficient on‐surface electro‐/photo‐catalytic applications.</w:t>
      </w:r>
    </w:p>
    <w:p>
      <w:pPr>
        <w:spacing w:before="120" w:after="120"/>
      </w:pPr>
      <w:r>
        <w:rPr>
          <w:sz w:val="18"/>
        </w:rPr>
        <w:t>——————————————————————————————————————————————————————————————————————</w:t>
      </w:r>
    </w:p>
    <w:p>
      <w:pPr>
        <w:spacing w:before="160" w:after="40" w:line="240" w:lineRule="auto"/>
      </w:pPr>
      <w:r>
        <w:rPr>
          <w:b/>
        </w:rPr>
        <w:t xml:space="preserve">[80] </w:t>
      </w:r>
      <w:hyperlink r:id="rId118">
        <w:r>
          <w:rPr>
            <w:color w:val="1155CC"/>
            <w:u w:val="single"/>
          </w:rPr>
          <w:t>高精密度 传感器计算机 达10 位元</w:t>
        </w:r>
      </w:hyperlink>
    </w:p>
    <w:p>
      <w:pPr>
        <w:spacing w:before="0" w:after="80"/>
      </w:pPr>
      <w:r>
        <w:rPr>
          <w:i/>
          <w:sz w:val="20"/>
        </w:rPr>
        <w:t>EN: High‐Precision In‐Sensor Computing Reaching Up to 10 Bits</w:t>
      </w:r>
    </w:p>
    <w:p>
      <w:pPr>
        <w:spacing w:before="0" w:after="120"/>
      </w:pPr>
      <w:r>
        <w:rPr>
          <w:b/>
        </w:rPr>
        <w:t xml:space="preserve">Source: </w:t>
      </w:r>
      <w:r>
        <w:t>Wiley: Advanced Materials: Table of Contents</w:t>
      </w:r>
      <w:r>
        <w:t xml:space="preserve">    </w:t>
      </w:r>
      <w:r>
        <w:rPr>
          <w:b/>
        </w:rPr>
        <w:t xml:space="preserve">Pub date: </w:t>
      </w:r>
      <w:r>
        <w:t>2026-02-22 14:01:15+00:00</w:t>
      </w:r>
      <w:r>
        <w:t xml:space="preserve">    </w:t>
      </w:r>
      <w:r>
        <w:rPr>
          <w:b/>
        </w:rPr>
        <w:t xml:space="preserve">DOI: </w:t>
      </w:r>
      <w:hyperlink r:id="rId119">
        <w:r>
          <w:rPr>
            <w:color w:val="1155CC"/>
            <w:u w:val="single"/>
          </w:rPr>
          <w:t>10.1002/adma.202519096</w:t>
        </w:r>
      </w:hyperlink>
    </w:p>
    <w:p>
      <w:pPr>
        <w:spacing w:before="0" w:after="120"/>
      </w:pPr>
      <w:r>
        <w:rPr>
          <w:b/>
        </w:rPr>
        <w:t xml:space="preserve">Notes: </w:t>
      </w:r>
      <w:r>
        <w:t>abstract_source=crossref</w:t>
      </w:r>
    </w:p>
    <w:p>
      <w:pPr>
        <w:spacing w:before="0" w:after="80" w:lineRule="auto" w:line="276"/>
      </w:pPr>
      <w:r>
        <w:rPr>
          <w:b/>
        </w:rPr>
        <w:t xml:space="preserve">摘要（ZH）: </w:t>
      </w:r>
      <w:r>
        <w:t>对数据中枢和智能应用的需求不断增长,要求将感测、记忆和计算在单一装置内进行无缝整合,以提高效率,减少能源消耗,并促成实时处理;然而,由于可调整性有限,难以将其用于基本图像处理以外的复杂任务,妨碍了采用这种感测器计算。在这里,我们确定由不同两极化领域相互作用驱动的分级转换是实现高重组精确度的根本障碍。为了克服这一障碍,我们引入了两极分化的能源集中战略,通过量身定制的铁电和半导体材料的组合分布而促成这一战略。</w:t>
      </w:r>
    </w:p>
    <w:p>
      <w:pPr>
        <w:spacing w:before="0" w:after="200" w:lineRule="auto" w:line="276"/>
      </w:pPr>
      <w:r>
        <w:rPr>
          <w:b/>
        </w:rPr>
        <w:t xml:space="preserve">Abstract (EN): </w:t>
      </w:r>
      <w:r>
        <w:t>The growing demand for data‐centric and intelligent applications calls for seamless integration of sensing, memory, and computation within a single device to improve efficiency, reduce energy consumption, and enable real‐time processing. However, the adoption of such in‐sensor computing is hindered by limited reconfigurability, which constrains its use in complex tasks beyond basic image processing. Here, we identify cascaded switching driven by interactions among differently polarized domains as a fundamental barrier to achieving high reconfiguration precision. To overcome this, we introduce a polarization energy focusing strategy, enabled by a tailored compositional distribution of ferroelectric and semiconductor materials. This approach yields the first in‐sensor computing device with reconfigurable precision reaching 10 bits. Its capability in both conventional image processing and advanced reconstructed optics is demonstrated, highlighting its potential as a high‐linearity, high‐precision platform for next‐generation intelligent systems.</w:t>
      </w:r>
    </w:p>
    <w:p>
      <w:pPr>
        <w:spacing w:before="120" w:after="120"/>
      </w:pPr>
      <w:r>
        <w:rPr>
          <w:sz w:val="18"/>
        </w:rPr>
        <w:t>——————————————————————————————————————————————————————————————————————</w:t>
      </w:r>
    </w:p>
    <w:p>
      <w:pPr>
        <w:spacing w:before="160" w:after="40" w:line="240" w:lineRule="auto"/>
      </w:pPr>
      <w:r>
        <w:rPr>
          <w:b/>
        </w:rPr>
        <w:t xml:space="preserve">[81] </w:t>
      </w:r>
      <w:hyperlink r:id="rId120">
        <w:r>
          <w:rPr>
            <w:color w:val="1155CC"/>
            <w:u w:val="single"/>
          </w:rPr>
          <w:t>共价有机框架范围内Cu UualAtom场址的动态电子对称</w:t>
        </w:r>
      </w:hyperlink>
    </w:p>
    <w:p>
      <w:pPr>
        <w:spacing w:before="0" w:after="80"/>
      </w:pPr>
      <w:r>
        <w:rPr>
          <w:i/>
          <w:sz w:val="20"/>
        </w:rPr>
        <w:t>EN: Photoinduced Dynamic Electronic Asymmetry of Cu Dual‐Atom Sites Within Covalent Organic Frameworks Boosts Hydrogen Production</w:t>
      </w:r>
    </w:p>
    <w:p>
      <w:pPr>
        <w:spacing w:before="0" w:after="120"/>
      </w:pPr>
      <w:r>
        <w:rPr>
          <w:b/>
        </w:rPr>
        <w:t xml:space="preserve">Source: </w:t>
      </w:r>
      <w:r>
        <w:t>Wiley: Angewandte Chemie International Edition: Table of Contents</w:t>
      </w:r>
      <w:r>
        <w:t xml:space="preserve">    </w:t>
      </w:r>
      <w:r>
        <w:rPr>
          <w:b/>
        </w:rPr>
        <w:t xml:space="preserve">Pub date: </w:t>
      </w:r>
      <w:r>
        <w:t>2026-02-22 14:01:38+00:00</w:t>
      </w:r>
      <w:r>
        <w:t xml:space="preserve">    </w:t>
      </w:r>
      <w:r>
        <w:rPr>
          <w:b/>
        </w:rPr>
        <w:t xml:space="preserve">DOI: </w:t>
      </w:r>
      <w:hyperlink r:id="rId121">
        <w:r>
          <w:rPr>
            <w:color w:val="1155CC"/>
            <w:u w:val="single"/>
          </w:rPr>
          <w:t>10.1002/anie.9127031</w:t>
        </w:r>
      </w:hyperlink>
    </w:p>
    <w:p>
      <w:pPr>
        <w:spacing w:before="0" w:after="120"/>
      </w:pPr>
      <w:r>
        <w:rPr>
          <w:b/>
        </w:rPr>
        <w:t xml:space="preserve">Notes: </w:t>
      </w:r>
      <w:r>
        <w:t>abstract_source=crossref</w:t>
      </w:r>
    </w:p>
    <w:p>
      <w:pPr>
        <w:spacing w:before="0" w:after="80" w:lineRule="auto" w:line="276"/>
      </w:pPr>
      <w:r>
        <w:rPr>
          <w:b/>
        </w:rPr>
        <w:t xml:space="preserve">摘要（ZH）: </w:t>
      </w:r>
      <w:r>
        <w:t>在光催化氢进化方面开发高贵金属古柯溶液的高效和成本效益高的替代物仍是一项重大挑战。在这里,我们展示了在共价有机框架内利用分子碳盒酸作为协调离子酸建造原子分散的双重铜矿场的简单战略。通过现场光谱特征鉴定和理论计算,我们发现了一种轻度的诱发动态电子重组,即在双子原子地将一个Cu(II)到Cu(I),从而产生一种混合状态和不对称的电子结构。这种动态不对称有利于电子转移过程和优化氢中间吸附。</w:t>
      </w:r>
    </w:p>
    <w:p>
      <w:pPr>
        <w:spacing w:before="0" w:after="200" w:lineRule="auto" w:line="276"/>
      </w:pPr>
      <w:r>
        <w:rPr>
          <w:b/>
        </w:rPr>
        <w:t xml:space="preserve">Abstract (EN): </w:t>
      </w:r>
      <w:r>
        <w:t>The development of efficient and cost‐effective alternatives to noble metal cocatalysts for photocatalytic hydrogen evolution remains a significant challenge. Herein, we demonstrate a facile strategy for constructing atomically dispersed dual Cu sites within a covalent organic framework (COF), using molecular carboxylic acids as coordinating ligands. Through in situ spectroscopic characterization and theoretical calculations, we identified a light‐induced dynamic electronic restructuring involving the reduction of one Cu(II) to Cu(I) within the dual‐atom site, generating a mixed‐valence state with asymmetric electronic configuration. This dynamic asymmetry facilitates electron transfer process and optimizes hydrogen intermediate adsorption. Enhanced H</w:t>
      </w:r>
      <w:r>
        <w:rPr>
          <w:vertAlign w:val="subscript"/>
        </w:rPr>
        <w:t>2</w:t>
      </w:r>
      <w:r>
        <w:t>generation is achieved, and the performance exceeds that of benchmark Pt cocatalyst. Furthermore, the molecular carboxylic acid‐assisted strategy employed here is successfully extended to improve the H</w:t>
      </w:r>
      <w:r>
        <w:rPr>
          <w:vertAlign w:val="subscript"/>
        </w:rPr>
        <w:t>2</w:t>
      </w:r>
      <w:r>
        <w:t>evolution activity of Pt. This work offers an applicable method for constructing dual‐atomic‐site catalysts and provides insights into dynamic active sites in catalysis.</w:t>
      </w:r>
    </w:p>
    <w:p>
      <w:pPr>
        <w:spacing w:before="120" w:after="120"/>
      </w:pPr>
      <w:r>
        <w:rPr>
          <w:sz w:val="18"/>
        </w:rPr>
        <w:t>——————————————————————————————————————————————————————————————————————</w:t>
      </w:r>
    </w:p>
    <w:p>
      <w:pPr>
        <w:spacing w:before="160" w:after="40" w:line="240" w:lineRule="auto"/>
      </w:pPr>
      <w:r>
        <w:rPr>
          <w:b/>
        </w:rPr>
        <w:t xml:space="preserve">[82] </w:t>
      </w:r>
      <w:hyperlink r:id="rId122">
        <w:r>
          <w:rPr>
            <w:color w:val="1155CC"/>
            <w:u w:val="single"/>
          </w:rPr>
          <w:t>Perovskite太阳能电池室掩埋接口的分子桥管理</w:t>
        </w:r>
      </w:hyperlink>
    </w:p>
    <w:p>
      <w:pPr>
        <w:spacing w:before="0" w:after="80"/>
      </w:pPr>
      <w:r>
        <w:rPr>
          <w:i/>
          <w:sz w:val="20"/>
        </w:rPr>
        <w:t>EN: Molecular Bridge Regulation of Buried Interface in Perovskite Solar Cells</w:t>
      </w:r>
    </w:p>
    <w:p>
      <w:pPr>
        <w:spacing w:before="0" w:after="120"/>
      </w:pPr>
      <w:r>
        <w:rPr>
          <w:b/>
        </w:rPr>
        <w:t xml:space="preserve">Source: </w:t>
      </w:r>
      <w:r>
        <w:t>Wiley: Advanced Materials: Table of Contents</w:t>
      </w:r>
      <w:r>
        <w:t xml:space="preserve">    </w:t>
      </w:r>
      <w:r>
        <w:rPr>
          <w:b/>
        </w:rPr>
        <w:t xml:space="preserve">Pub date: </w:t>
      </w:r>
      <w:r>
        <w:t>2026-02-22 14:02:34+00:00</w:t>
      </w:r>
      <w:r>
        <w:t xml:space="preserve">    </w:t>
      </w:r>
      <w:r>
        <w:rPr>
          <w:b/>
        </w:rPr>
        <w:t xml:space="preserve">DOI: </w:t>
      </w:r>
      <w:hyperlink r:id="rId123">
        <w:r>
          <w:rPr>
            <w:color w:val="1155CC"/>
            <w:u w:val="single"/>
          </w:rPr>
          <w:t>10.1002/adma.202519267</w:t>
        </w:r>
      </w:hyperlink>
    </w:p>
    <w:p>
      <w:pPr>
        <w:spacing w:before="0" w:after="120"/>
      </w:pPr>
      <w:r>
        <w:rPr>
          <w:b/>
        </w:rPr>
        <w:t xml:space="preserve">Notes: </w:t>
      </w:r>
      <w:r>
        <w:t>abstract_source=crossref</w:t>
      </w:r>
    </w:p>
    <w:p>
      <w:pPr>
        <w:spacing w:before="0" w:after="80" w:lineRule="auto" w:line="276"/>
      </w:pPr>
      <w:r>
        <w:rPr>
          <w:b/>
        </w:rPr>
        <w:t xml:space="preserve">摘要（ZH）: </w:t>
      </w:r>
      <w:r>
        <w:t>ABSTACT 掩埋界面的缺陷是一个重大挑战,它妨碍进一步改善百草枯太阳能电池(PSCs)的性能和可缩放生产,妨碍进一步改善其性能和可扩展的制造。这个界面的缺陷形成、衬垫不配和能量水平不匹配会加剧非放射性再组合并加速光热降解,从而限制效率和操作稳定性。在这里,我们使用多功能分子的界面工程来抑制缺陷形成。为了尽量减少多余材料筛选,我们将理论计算与实验性验证结合起来,以确定4-氨基丁基磷酸(4-ABPA),用于改变渗透层和电极之间的界面。模拟和实验性重新苏。</w:t>
      </w:r>
    </w:p>
    <w:p>
      <w:pPr>
        <w:spacing w:before="0" w:after="200" w:lineRule="auto" w:line="276"/>
      </w:pPr>
      <w:r>
        <w:rPr>
          <w:b/>
        </w:rPr>
        <w:t xml:space="preserve">Abstract (EN): </w:t>
      </w:r>
      <w:r>
        <w:t>Defects at the buried interface represent a critical challenge that impedes further improvements in both the performance and scalable manufacturing of perovskite solar cells (PSCs). Defect formation, lattice mismatch, and energy‐level misalignment at this interface aggravate nonradiative recombination and accelerate photothermal degradation, thereby limiting both efficiency and operational stability. Here, we employ interface engineering using multifunctional molecules to suppress defect formation. To minimize redundant material screening, we combine theoretical calculations with experimental validation to identify 4‐aminobutylphosphonic acid (4‐ABPA) for modifying the interface between the perovskite layer and the electrode. Both simulation and experimental results demonstrate 4‐ABPA as a multifunctional molecular bridge that simultaneously anchors to the charge transport layer and interacts with the perovskite lattice. And its role in dynamically regulating perovskite crystallization and enhancing interfacial performance is uncovered. The dual‐site chemical binding regulates crystallization, alleviates residual stress, suppresses interfacial defects, and optimizes energy‐level alignment at the buried interface. As a result, voltage loss is reduced to 31 mV, enabling power conversion efficiencies of 25.56% in n–i–p and 26.45% in p–i–n architectures with negligible hysteresis. The modified devices also exhibit outstanding durability, retaining 83.91% of their initial performance under 1440 h of continuous operation and 91.59% after 2600 h of ambient storage. Our work establishes a systematic and universal buried‐interface engineering strategy to further enhance efficiency and stability, thereby advancing the mass production of perovskite devices.</w:t>
      </w:r>
    </w:p>
    <w:p>
      <w:pPr>
        <w:spacing w:before="120" w:after="120"/>
      </w:pPr>
      <w:r>
        <w:rPr>
          <w:sz w:val="18"/>
        </w:rPr>
        <w:t>——————————————————————————————————————————————————————————————————————</w:t>
      </w:r>
    </w:p>
    <w:p>
      <w:pPr>
        <w:spacing w:before="160" w:after="40" w:line="240" w:lineRule="auto"/>
      </w:pPr>
      <w:r>
        <w:rPr>
          <w:b/>
        </w:rPr>
        <w:t xml:space="preserve">[83] </w:t>
      </w:r>
      <w:hyperlink r:id="rId124">
        <w:r>
          <w:rPr>
            <w:color w:val="1155CC"/>
            <w:u w:val="single"/>
          </w:rPr>
          <w:t>创建用于高效环导环导装置的聚丙酮接收器,以生成对浓度不敏感的TADF液态</w:t>
        </w:r>
      </w:hyperlink>
    </w:p>
    <w:p>
      <w:pPr>
        <w:spacing w:before="0" w:after="80"/>
      </w:pPr>
      <w:r>
        <w:rPr>
          <w:i/>
          <w:sz w:val="20"/>
        </w:rPr>
        <w:t>EN: Creating Concentration‐Insensitive TADF Luminogens With Spiro‐Fused Xanthone Acceptors for Highly Efficient OLEDs</w:t>
      </w:r>
    </w:p>
    <w:p>
      <w:pPr>
        <w:spacing w:before="0" w:after="120"/>
      </w:pPr>
      <w:r>
        <w:rPr>
          <w:b/>
        </w:rPr>
        <w:t xml:space="preserve">Source: </w:t>
      </w:r>
      <w:r>
        <w:t>Wiley: Angewandte Chemie International Edition: Table of Contents</w:t>
      </w:r>
      <w:r>
        <w:t xml:space="preserve">    </w:t>
      </w:r>
      <w:r>
        <w:rPr>
          <w:b/>
        </w:rPr>
        <w:t xml:space="preserve">Pub date: </w:t>
      </w:r>
      <w:r>
        <w:t>2026-02-22 14:02:51+00:00</w:t>
      </w:r>
      <w:r>
        <w:t xml:space="preserve">    </w:t>
      </w:r>
      <w:r>
        <w:rPr>
          <w:b/>
        </w:rPr>
        <w:t xml:space="preserve">DOI: </w:t>
      </w:r>
      <w:hyperlink r:id="rId125">
        <w:r>
          <w:rPr>
            <w:color w:val="1155CC"/>
            <w:u w:val="single"/>
          </w:rPr>
          <w:t>10.1002/anie.3521059</w:t>
        </w:r>
      </w:hyperlink>
    </w:p>
    <w:p>
      <w:pPr>
        <w:spacing w:before="0" w:after="120"/>
      </w:pPr>
      <w:r>
        <w:rPr>
          <w:b/>
        </w:rPr>
        <w:t xml:space="preserve">Notes: </w:t>
      </w:r>
      <w:r>
        <w:t>abstract_source=crossref</w:t>
      </w:r>
    </w:p>
    <w:p>
      <w:pPr>
        <w:spacing w:before="0" w:after="80" w:lineRule="auto" w:line="276"/>
      </w:pPr>
      <w:r>
        <w:rPr>
          <w:b/>
        </w:rPr>
        <w:t xml:space="preserve">摘要（ZH）: </w:t>
      </w:r>
      <w:r>
        <w:t>热活性强压延迟荧光延缓(TADF) 材料显示,作为下一代有机发光二极管(OLEDs)的发射源和敏化剂,其应用前景看好。然而,大多数TADF材料必须分散在主机矩阵中,浓度精确地低,以防止严重排放排解和兴奋剂灭绝,这在 OLED 行业是行不通的。在这里,四种定制的TADF 发光剂已经开发出来,由spiroffed xanthone 接收器和 acridine spiro捐赠者组成。由于硬体和散装体捐赠者和接受者,这些新的TADF 发光剂持有快速反向跨系统进程,并释放出高量产量高达91%和99%的绿色光,在光薄膜中,它们已经开发了强度的光。</w:t>
      </w:r>
    </w:p>
    <w:p>
      <w:pPr>
        <w:spacing w:before="0" w:after="200" w:lineRule="auto" w:line="276"/>
      </w:pPr>
      <w:r>
        <w:rPr>
          <w:b/>
        </w:rPr>
        <w:t xml:space="preserve">Abstract (EN): </w:t>
      </w:r>
      <w:r>
        <w:t>Robust thermally activated delayed fluorescence (TADF) materials have shown promising applications as emitters and sensitizers for next‐generation organic light‐emitting diodes (OLEDs). However, most TADF materials have to be dispersed in host matrices at precisely low concentrations to prevent serious emission quenching and exciton annihilation, which is unfavorable in the OLED industry. Herein, four tailored TADF luminogens built with spiro‐fused xanthone acceptors and acridine‐based spiro donors are developed. Thanks to the rigid and bulky donor and acceptors, these new TADF luminogens hold fast reverse intersystem crossing process and emit strong cyan to green light with high quantum yields of up to 91% and 99% in neat and doped films, respectively. They have balanced bipolar charge transport ability and prefer horizontal dipole orientation. The non‐doped OLEDs using them as emitters show an excellent external quantum efficiency (EQE) of 30.6%, with ultra‐small roll‐offs. They enjoy concentration insensitivity in doped OLEDs, and the EQEs stay stable (29.1%‒36.8%) in various concentrations (10‒90 wt%) with very small roll‐offs. Finally, they can serve as efficient sensitizers for multi‐resonance emitters in narrow‐spectrum OLEDs, providing impressive EQEs of 41.0% with suppressed roll‐offs. This work reveals an applicable molecular design strategy of TADF materials for high‐performance OLEDs.</w:t>
      </w:r>
    </w:p>
    <w:p>
      <w:pPr>
        <w:spacing w:before="120" w:after="120"/>
      </w:pPr>
      <w:r>
        <w:rPr>
          <w:sz w:val="18"/>
        </w:rPr>
        <w:t>——————————————————————————————————————————————————————————————————————</w:t>
      </w:r>
    </w:p>
    <w:p>
      <w:pPr>
        <w:spacing w:before="160" w:after="40" w:line="240" w:lineRule="auto"/>
      </w:pPr>
      <w:r>
        <w:rPr>
          <w:b/>
        </w:rPr>
        <w:t xml:space="preserve">[84] </w:t>
      </w:r>
      <w:hyperlink r:id="rId126">
        <w:r>
          <w:rPr>
            <w:color w:val="1155CC"/>
            <w:u w:val="single"/>
          </w:rPr>
          <w:t>高机动性 2D 分子水晶使具有创记录的体积敏感度的X射线探测器能够产生实地效应</w:t>
        </w:r>
      </w:hyperlink>
    </w:p>
    <w:p>
      <w:pPr>
        <w:spacing w:before="0" w:after="80"/>
      </w:pPr>
      <w:r>
        <w:rPr>
          <w:i/>
          <w:sz w:val="20"/>
        </w:rPr>
        <w:t>EN: High‐Mobility 2D Molecular Crystals Enable Field‐Effect X‐Ray Detectors with Record Volumetric Sensitivity</w:t>
      </w:r>
    </w:p>
    <w:p>
      <w:pPr>
        <w:spacing w:before="0" w:after="120"/>
      </w:pPr>
      <w:r>
        <w:rPr>
          <w:b/>
        </w:rPr>
        <w:t xml:space="preserve">Source: </w:t>
      </w:r>
      <w:r>
        <w:t>Wiley: Advanced Materials: Table of Contents</w:t>
      </w:r>
      <w:r>
        <w:t xml:space="preserve">    </w:t>
      </w:r>
      <w:r>
        <w:rPr>
          <w:b/>
        </w:rPr>
        <w:t xml:space="preserve">Pub date: </w:t>
      </w:r>
      <w:r>
        <w:t>2026-02-22 14:03:52+00:00</w:t>
      </w:r>
      <w:r>
        <w:t xml:space="preserve">    </w:t>
      </w:r>
      <w:r>
        <w:rPr>
          <w:b/>
        </w:rPr>
        <w:t xml:space="preserve">DOI: </w:t>
      </w:r>
      <w:hyperlink r:id="rId127">
        <w:r>
          <w:rPr>
            <w:color w:val="1155CC"/>
            <w:u w:val="single"/>
          </w:rPr>
          <w:t>10.1002/adma.202522929</w:t>
        </w:r>
      </w:hyperlink>
    </w:p>
    <w:p>
      <w:pPr>
        <w:spacing w:before="0" w:after="120"/>
      </w:pPr>
      <w:r>
        <w:rPr>
          <w:b/>
        </w:rPr>
        <w:t xml:space="preserve">Notes: </w:t>
      </w:r>
      <w:r>
        <w:t>abstract_source=crossref</w:t>
      </w:r>
    </w:p>
    <w:p>
      <w:pPr>
        <w:spacing w:before="0" w:after="80" w:lineRule="auto" w:line="276"/>
      </w:pPr>
      <w:r>
        <w:rPr>
          <w:b/>
        </w:rPr>
        <w:t xml:space="preserve">摘要（ZH）: </w:t>
      </w:r>
      <w:r>
        <w:t>光重、低成本和超敏感直接X射线探测器是下一代便携式成像、可磨损监测和低剂量医疗诊断所必不可少的。常规高性能探测器使用厚度单晶体活性层提高敏感度,但这种增加的装置体积增加,造成暗流,使与灵活和便携式电子设备的整合复杂化。在这里,我们打破了这一模式,将超薄、高可移动性2D分子晶体(2DMC)纳入横向外能晶体化器。这一设计采用了高度封闭的机载运输路径,加上强有力的门式电子控制,以实现载体完全耗竭和亚电子电磁暗流。这要归功于高比例的电流。</w:t>
      </w:r>
    </w:p>
    <w:p>
      <w:pPr>
        <w:spacing w:before="0" w:after="200" w:lineRule="auto" w:line="276"/>
      </w:pPr>
      <w:r>
        <w:rPr>
          <w:b/>
        </w:rPr>
        <w:t xml:space="preserve">Abstract (EN): </w:t>
      </w:r>
      <w:r>
        <w:t>Direct X‐ray detectors that are lightweight, low‐cost, and ultra‐sensitive are essential for next‐generation portable imaging, wearable monitoring, and low‐dose medical diagnostics. Conventional high‐performance detectors use thick single‐crystal active layers to boost sensitivity, but this increases device volume, raises dark current, and complicates integration with flexible and portable electronics. Here, we break from this paradigm with an ultrathin, high‐mobility 2D molecular crystal (2DMC) integrated into a lateral field‐effect transistor. This design employs a highly confined in‐plane carrier transport path coupled with strong gate‐electrostatic control to achieve complete carrier depletion and sub‐pA dark currents. Thanks to high‐mobility and efficient charge collection in the ultrathin channel, the detector achieves a record volumetric sensitivity of 5.91 × 10</w:t>
      </w:r>
      <w:r>
        <w:rPr>
          <w:vertAlign w:val="subscript"/>
        </w:rPr>
        <w:t>10</w:t>
      </w:r>
      <w:r>
        <w:t>µC Gy</w:t>
      </w:r>
      <w:r>
        <w:t xml:space="preserve"> </w:t>
      </w:r>
      <w:r>
        <w:t>−1</w:t>
      </w:r>
      <w:r>
        <w:t xml:space="preserve"> </w:t>
      </w:r>
      <w:r>
        <w:t>cm</w:t>
      </w:r>
      <w:r>
        <w:t xml:space="preserve"> </w:t>
      </w:r>
      <w:r>
        <w:t>−3</w:t>
      </w:r>
      <w:r>
        <w:t xml:space="preserve"> </w:t>
      </w:r>
      <w:r>
        <w:t>and a detection limit of 1.43 nGy s</w:t>
      </w:r>
      <w:r>
        <w:t xml:space="preserve"> </w:t>
      </w:r>
      <w:r>
        <w:t>−1</w:t>
      </w:r>
      <w:r>
        <w:t xml:space="preserve"> </w:t>
      </w:r>
      <w:r>
        <w:t>, surpassing all reported organic detectors and competing with state‐of‐the‐art inorganic ones. Importantly, we show that in the ultrathin regime, high‐mobility outweighs atomic number in governing sensitivity, overturning conventional design logic. We further fabricate large‐area, uniform 2DMC arrays with excellent operational stability, enabling high‐contrast imaging at doses as low as 10.17 nGy s</w:t>
      </w:r>
      <w:r>
        <w:t xml:space="preserve"> </w:t>
      </w:r>
      <w:r>
        <w:t>−1</w:t>
      </w:r>
      <w:r>
        <w:t xml:space="preserve"> </w:t>
      </w:r>
      <w:r>
        <w:t>. This work establishes a new paradigm for lightweight, low‐dose organic X‐ray imaging and introduces mobility‐centric design rules for next‐generation detectors.</w:t>
      </w:r>
    </w:p>
    <w:p>
      <w:pPr>
        <w:spacing w:before="120" w:after="120"/>
      </w:pPr>
      <w:r>
        <w:rPr>
          <w:sz w:val="18"/>
        </w:rPr>
        <w:t>——————————————————————————————————————————————————————————————————————</w:t>
      </w:r>
    </w:p>
    <w:p>
      <w:pPr>
        <w:spacing w:before="160" w:after="40" w:line="240" w:lineRule="auto"/>
      </w:pPr>
      <w:r>
        <w:rPr>
          <w:b/>
        </w:rPr>
        <w:t xml:space="preserve">[85] </w:t>
      </w:r>
      <w:hyperlink r:id="rId128">
        <w:r>
          <w:rPr>
            <w:color w:val="1155CC"/>
            <w:u w:val="single"/>
          </w:rPr>
          <w:t>获取O2-中间值,以促进高容量二氧化二氧化二铀电池的氧气减排反应途径</w:t>
        </w:r>
      </w:hyperlink>
    </w:p>
    <w:p>
      <w:pPr>
        <w:spacing w:before="0" w:after="80"/>
      </w:pPr>
      <w:r>
        <w:rPr>
          <w:i/>
          <w:sz w:val="20"/>
        </w:rPr>
        <w:t>EN: Capturing O2•‒ Intermediate to Promote Oxygen‐Reduction‐Reaction Pathway for Li‐O2 Batteries with High‐Areal‐Capacity</w:t>
      </w:r>
    </w:p>
    <w:p>
      <w:pPr>
        <w:spacing w:before="0" w:after="120"/>
      </w:pPr>
      <w:r>
        <w:rPr>
          <w:b/>
        </w:rPr>
        <w:t xml:space="preserve">Source: </w:t>
      </w:r>
      <w:r>
        <w:t>Wiley: Angewandte Chemie International Edition: Table of Contents</w:t>
      </w:r>
      <w:r>
        <w:t xml:space="preserve">    </w:t>
      </w:r>
      <w:r>
        <w:rPr>
          <w:b/>
        </w:rPr>
        <w:t xml:space="preserve">Pub date: </w:t>
      </w:r>
      <w:r>
        <w:t>2026-02-22 14:04:02+00:00</w:t>
      </w:r>
      <w:r>
        <w:t xml:space="preserve">    </w:t>
      </w:r>
      <w:r>
        <w:rPr>
          <w:b/>
        </w:rPr>
        <w:t xml:space="preserve">DOI: </w:t>
      </w:r>
      <w:hyperlink r:id="rId129">
        <w:r>
          <w:rPr>
            <w:color w:val="1155CC"/>
            <w:u w:val="single"/>
          </w:rPr>
          <w:t>10.1002/anie.202520110</w:t>
        </w:r>
      </w:hyperlink>
    </w:p>
    <w:p>
      <w:pPr>
        <w:spacing w:before="0" w:after="120"/>
      </w:pPr>
      <w:r>
        <w:rPr>
          <w:b/>
        </w:rPr>
        <w:t xml:space="preserve">Notes: </w:t>
      </w:r>
      <w:r>
        <w:t>abstract_source=crossref</w:t>
      </w:r>
    </w:p>
    <w:p>
      <w:pPr>
        <w:spacing w:before="0" w:after="80" w:lineRule="auto" w:line="276"/>
      </w:pPr>
      <w:r>
        <w:rPr>
          <w:b/>
        </w:rPr>
        <w:t xml:space="preserve">摘要（ZH）: </w:t>
      </w:r>
      <w:r>
        <w:t>ABSTACT Oxygen 减少反应(ORR) 具有双电子传输路径的ABSTRACT Oxygen 减少反应(ORR) 是理论能量密度高的刺激性锂氧基(LiO 2 ) 电池的关键反应。 我们在此提出,捕获ORR超氧化(O 2    ) 中间部分能够通过使用聚氨二(三氟乙烷磺酰胺),提高ORR率和稳定性。 Py + cation 可以将吸收在固体催化剂表面的O 2  捆绑起来,并转移到电解中,其中协调化学不仅抑制了LiO的生成和不相称性。</w:t>
      </w:r>
    </w:p>
    <w:p>
      <w:pPr>
        <w:spacing w:before="0" w:after="200" w:lineRule="auto" w:line="276"/>
      </w:pPr>
      <w:r>
        <w:rPr>
          <w:b/>
        </w:rPr>
        <w:t xml:space="preserve">Abstract (EN): </w:t>
      </w:r>
      <w:r>
        <w:t>Oxygen reduction reaction (ORR) with two‐electron transfer pathway is the key reaction for aprotic lithium‐oxygen (Li‐O</w:t>
      </w:r>
      <w:r>
        <w:rPr>
          <w:vertAlign w:val="subscript"/>
        </w:rPr>
        <w:t>2</w:t>
      </w:r>
      <w:r>
        <w:t>) batteries with high theoretical energy density. Herein, we present that capturing ORR superoxide (O</w:t>
      </w:r>
      <w:r>
        <w:rPr>
          <w:vertAlign w:val="subscript"/>
        </w:rPr>
        <w:t>2</w:t>
      </w:r>
      <w:r>
        <w:t>•‒</w:t>
      </w:r>
      <w:r>
        <w:t xml:space="preserve"> </w:t>
      </w:r>
      <w:r>
        <w:t>) intermediate can promote ORR rate and stability by using pyrrolidinium bis(trifluoromethanesulfonyl)imide (Py‐TFSI). Py</w:t>
      </w:r>
      <w:r>
        <w:t xml:space="preserve"> </w:t>
      </w:r>
      <w:r>
        <w:t>+</w:t>
      </w:r>
      <w:r>
        <w:t xml:space="preserve"> </w:t>
      </w:r>
      <w:r>
        <w:t>cation can bind O</w:t>
      </w:r>
      <w:r>
        <w:rPr>
          <w:vertAlign w:val="subscript"/>
        </w:rPr>
        <w:t>2</w:t>
      </w:r>
      <w:r>
        <w:t>•‒</w:t>
      </w:r>
      <w:r>
        <w:t xml:space="preserve"> </w:t>
      </w:r>
      <w:r>
        <w:t>absorbed on the surface of solid catalyst and transfer it into electrolyte, in which the coordination chemistry not only inhibits the generation and disproportionation of LiO</w:t>
      </w:r>
      <w:r>
        <w:rPr>
          <w:vertAlign w:val="subscript"/>
        </w:rPr>
        <w:t>2</w:t>
      </w:r>
      <w:r>
        <w:t>on the electrode surface to enhance ORR rate, but also stabilize O</w:t>
      </w:r>
      <w:r>
        <w:rPr>
          <w:vertAlign w:val="subscript"/>
        </w:rPr>
        <w:t>2</w:t>
      </w:r>
      <w:r>
        <w:t>•‒</w:t>
      </w:r>
      <w:r>
        <w:t xml:space="preserve"> </w:t>
      </w:r>
      <w:r>
        <w:t>to inhibit its related side reactions for better ORR stability. Over fivefold enhancement of ORR activity is observed. Moreover, Py‐TFSI promotes the uniform lithium deposition through enriching inorganics in solid‐electrolyte‐interphase and electrostatic shielding effect on Li metal surface, resulting in 2.5 times increase of cycling stability of Li electrode. As a result, the Li‐O</w:t>
      </w:r>
      <w:r>
        <w:rPr>
          <w:vertAlign w:val="subscript"/>
        </w:rPr>
        <w:t>2</w:t>
      </w:r>
      <w:r>
        <w:t>batteries demonstrate a cycle lifespan of 47 days with a high areal capacity of 5 mAh cm</w:t>
      </w:r>
      <w:r>
        <w:t xml:space="preserve"> </w:t>
      </w:r>
      <w:r>
        <w:t>‒2</w:t>
      </w:r>
      <w:r>
        <w:t xml:space="preserve"> </w:t>
      </w:r>
      <w:r>
        <w:t>. This study presents the deep understanding of intermediate manipulation mechanism for ORR and provides the effective way to improve the performance of metal‐O</w:t>
      </w:r>
      <w:r>
        <w:rPr>
          <w:vertAlign w:val="subscript"/>
        </w:rPr>
        <w:t>2</w:t>
      </w:r>
      <w:r>
        <w:t>batteries.</w:t>
      </w:r>
    </w:p>
    <w:p>
      <w:pPr>
        <w:spacing w:before="120" w:after="120"/>
      </w:pPr>
      <w:r>
        <w:rPr>
          <w:sz w:val="18"/>
        </w:rPr>
        <w:t>——————————————————————————————————————————————————————————————————————</w:t>
      </w:r>
    </w:p>
    <w:p>
      <w:pPr>
        <w:spacing w:before="160" w:after="40" w:line="240" w:lineRule="auto"/>
      </w:pPr>
      <w:r>
        <w:rPr>
          <w:b/>
        </w:rPr>
        <w:t xml:space="preserve">[86] </w:t>
      </w:r>
      <w:hyperlink r:id="rId130">
        <w:r>
          <w:rPr>
            <w:color w:val="1155CC"/>
            <w:u w:val="single"/>
          </w:rPr>
          <w:t>TEMPOPoPhospate低能渗透性TEMPO,作为水氧化红氧化蒸蒸发电池的厌离分解器</w:t>
        </w:r>
      </w:hyperlink>
    </w:p>
    <w:p>
      <w:pPr>
        <w:spacing w:before="0" w:after="80"/>
      </w:pPr>
      <w:r>
        <w:rPr>
          <w:i/>
          <w:sz w:val="20"/>
        </w:rPr>
        <w:t>EN: A Low‐Permeability TEMPO‐Phosphate as an Anionic Posolyte for Aqueous Redox‐Flow Batteries</w:t>
      </w:r>
    </w:p>
    <w:p>
      <w:pPr>
        <w:spacing w:before="0" w:after="120"/>
      </w:pPr>
      <w:r>
        <w:rPr>
          <w:b/>
        </w:rPr>
        <w:t xml:space="preserve">Source: </w:t>
      </w:r>
      <w:r>
        <w:t>Wiley: Angewandte Chemie International Edition: Table of Contents</w:t>
      </w:r>
      <w:r>
        <w:t xml:space="preserve">    </w:t>
      </w:r>
      <w:r>
        <w:rPr>
          <w:b/>
        </w:rPr>
        <w:t xml:space="preserve">Pub date: </w:t>
      </w:r>
      <w:r>
        <w:t>2026-02-22 14:05:58+00:00</w:t>
      </w:r>
      <w:r>
        <w:t xml:space="preserve">    </w:t>
      </w:r>
      <w:r>
        <w:rPr>
          <w:b/>
        </w:rPr>
        <w:t xml:space="preserve">DOI: </w:t>
      </w:r>
      <w:hyperlink r:id="rId131">
        <w:r>
          <w:rPr>
            <w:color w:val="1155CC"/>
            <w:u w:val="single"/>
          </w:rPr>
          <w:t>10.1002/anie.202525352</w:t>
        </w:r>
      </w:hyperlink>
    </w:p>
    <w:p>
      <w:pPr>
        <w:spacing w:before="0" w:after="120"/>
      </w:pPr>
      <w:r>
        <w:rPr>
          <w:b/>
        </w:rPr>
        <w:t xml:space="preserve">Notes: </w:t>
      </w:r>
      <w:r>
        <w:t>abstract_source=crossref</w:t>
      </w:r>
    </w:p>
    <w:p>
      <w:pPr>
        <w:spacing w:before="0" w:after="80" w:lineRule="auto" w:line="276"/>
      </w:pPr>
      <w:r>
        <w:rPr>
          <w:b/>
        </w:rPr>
        <w:t xml:space="preserve">摘要（ZH）: </w:t>
      </w:r>
      <w:r>
        <w:t>TEMPO是一个有吸引力的水氧化氧化物流电池材料,但需要安装专门的离子组,以提高溶性,防止通过交换膜的离子来交叉。虽然已经报告了许多固化溶性组,但阴离子组的图书馆有限。在这里,我们报告TEMPO有一个简单但新颖的二氮磷酸溶性组。由于其-2级电荷,磷酸盐组通过电离子交换膜的渗透性大大低于更常见的-1硫酸组。新的磷酸酯与一个以血管为基础的神经分子配对,以组成一个再氧化物流电池,其电密度为110 mW cm-2和一个体积电池。</w:t>
      </w:r>
    </w:p>
    <w:p>
      <w:pPr>
        <w:spacing w:before="0" w:after="200" w:lineRule="auto" w:line="276"/>
      </w:pPr>
      <w:r>
        <w:rPr>
          <w:b/>
        </w:rPr>
        <w:t xml:space="preserve">Abstract (EN): </w:t>
      </w:r>
      <w:r>
        <w:t>TEMPO is an attractive aqueous redox‐flow battery material but requires the installation of dedicated ionic groups to improve solubility and prevent crossover through ion‐exchange membranes. Although many cationic solubilizing groups have been reported, the library of anionic groups is limited. Here, we report a simple but novel dianionic phosphate solubilizing group for TEMPO. Owing to its −2 charge, the phosphate group leads to much lower TEMPO permeability through a cation exchange membrane than the more common −1 sulfate group. The new TEMPO‐bearing phosphate is paired with a viologen‐based negolyte to assemble a redox‐flow battery, where it achieves a power density of 110 mW cm</w:t>
      </w:r>
      <w:r>
        <w:t xml:space="preserve"> </w:t>
      </w:r>
      <w:r>
        <w:t>−2</w:t>
      </w:r>
      <w:r>
        <w:t xml:space="preserve"> </w:t>
      </w:r>
      <w:r>
        <w:t>and a volumetric capacity of 10.6 Ah l</w:t>
      </w:r>
      <w:r>
        <w:t xml:space="preserve"> </w:t>
      </w:r>
      <w:r>
        <w:t>−1</w:t>
      </w:r>
      <w:r>
        <w:t xml:space="preserve"> </w:t>
      </w:r>
      <w:r>
        <w:t>. The phosphate group can be extended to other redox‐active motifs and, therefore, represents a straightforward and effective strategy for the design of water‐soluble materials with low crossover.</w:t>
      </w:r>
    </w:p>
    <w:p>
      <w:pPr>
        <w:spacing w:before="120" w:after="120"/>
      </w:pPr>
      <w:r>
        <w:rPr>
          <w:sz w:val="18"/>
        </w:rPr>
        <w:t>——————————————————————————————————————————————————————————————————————</w:t>
      </w:r>
    </w:p>
    <w:p>
      <w:pPr>
        <w:spacing w:before="160" w:after="40" w:line="240" w:lineRule="auto"/>
      </w:pPr>
      <w:r>
        <w:rPr>
          <w:b/>
        </w:rPr>
        <w:t xml:space="preserve">[87] </w:t>
      </w:r>
      <w:hyperlink r:id="rId132">
        <w:r>
          <w:rPr>
            <w:color w:val="1155CC"/>
            <w:u w:val="single"/>
          </w:rPr>
          <w:t>在再生的LiFePO4中实现稳定快的离子运输</w:t>
        </w:r>
      </w:hyperlink>
    </w:p>
    <w:p>
      <w:pPr>
        <w:spacing w:before="0" w:after="80"/>
      </w:pPr>
      <w:r>
        <w:rPr>
          <w:i/>
          <w:sz w:val="20"/>
        </w:rPr>
        <w:t>EN: Achieving Stable and Fast Ion Transport in Regenerated LiFePO4 Via Vacancy‐Mediated Upcycling</w:t>
      </w:r>
    </w:p>
    <w:p>
      <w:pPr>
        <w:spacing w:before="0" w:after="120"/>
      </w:pPr>
      <w:r>
        <w:rPr>
          <w:b/>
        </w:rPr>
        <w:t xml:space="preserve">Source: </w:t>
      </w:r>
      <w:r>
        <w:t>Wiley: Angewandte Chemie International Edition: Table of Contents</w:t>
      </w:r>
      <w:r>
        <w:t xml:space="preserve">    </w:t>
      </w:r>
      <w:r>
        <w:rPr>
          <w:b/>
        </w:rPr>
        <w:t xml:space="preserve">Pub date: </w:t>
      </w:r>
      <w:r>
        <w:t>2026-02-22 14:07:01+00:00</w:t>
      </w:r>
      <w:r>
        <w:t xml:space="preserve">    </w:t>
      </w:r>
      <w:r>
        <w:rPr>
          <w:b/>
        </w:rPr>
        <w:t xml:space="preserve">DOI: </w:t>
      </w:r>
      <w:hyperlink r:id="rId133">
        <w:r>
          <w:rPr>
            <w:color w:val="1155CC"/>
            <w:u w:val="single"/>
          </w:rPr>
          <w:t>10.1002/anie.202524847</w:t>
        </w:r>
      </w:hyperlink>
    </w:p>
    <w:p>
      <w:pPr>
        <w:spacing w:before="0" w:after="120"/>
      </w:pPr>
      <w:r>
        <w:rPr>
          <w:b/>
        </w:rPr>
        <w:t xml:space="preserve">Notes: </w:t>
      </w:r>
      <w:r>
        <w:t>abstract_source=crossref</w:t>
      </w:r>
    </w:p>
    <w:p>
      <w:pPr>
        <w:spacing w:before="0" w:after="80" w:lineRule="auto" w:line="276"/>
      </w:pPr>
      <w:r>
        <w:rPr>
          <w:b/>
        </w:rPr>
        <w:t xml:space="preserve">摘要（ZH）: </w:t>
      </w:r>
      <w:r>
        <w:t>LiFePO 4 电池组的高度稳定性和低廉成本刺激了其快速扩张,导致需要有效再循环的废电池材料数量不断增加,直接再生使阴极性能恢复到原来的状态,而单维离子运输通道的内在消毒障碍和对抗站缺陷形成的可能性限制了在再生LiFePO 4中的锂动能。在此,我们提出一个空缺即时循环循环战略,以再生LIFePO 4,促成稳定和快速的离子运输。</w:t>
      </w:r>
    </w:p>
    <w:p>
      <w:pPr>
        <w:spacing w:before="0" w:after="200" w:lineRule="auto" w:line="276"/>
      </w:pPr>
      <w:r>
        <w:rPr>
          <w:b/>
        </w:rPr>
        <w:t xml:space="preserve">Abstract (EN): </w:t>
      </w:r>
      <w:r>
        <w:t>The high stability and low cost of LiFePO</w:t>
      </w:r>
      <w:r>
        <w:rPr>
          <w:vertAlign w:val="subscript"/>
        </w:rPr>
        <w:t>4</w:t>
      </w:r>
      <w:r>
        <w:t>batteries have fueled their rapid expansion, resulting in a growing volume of spent battery materials that require effective recycling. While direct regeneration restores cathode performance to the original state, the intrinsic steric hindrance and susceptibility to anti‐site defect formation of one‐dimensional ion transport channels restrict lithium‐ion kinetics in regenerated LiFePO</w:t>
      </w:r>
      <w:r>
        <w:rPr>
          <w:vertAlign w:val="subscript"/>
        </w:rPr>
        <w:t>4</w:t>
      </w:r>
      <w:r>
        <w:t>. Herein, we propose a vacancy‐mediated upcycling strategy to regenerate LiFePO</w:t>
      </w:r>
      <w:r>
        <w:rPr>
          <w:vertAlign w:val="subscript"/>
        </w:rPr>
        <w:t>4</w:t>
      </w:r>
      <w:r>
        <w:t>, enabling stable and fast ion transport. It uses lithium vacancy defects in degraded cathodes to facilitate simultaneous lithium replenishment and dopant diffusion into the lattice, achieving lattice repair and modulation. This leads to contracted Fe─O bonds and elongated Li─O bonds, which form fast and stable ion transport channels. Regenerated LiFePO</w:t>
      </w:r>
      <w:r>
        <w:rPr>
          <w:vertAlign w:val="subscript"/>
        </w:rPr>
        <w:t>4</w:t>
      </w:r>
      <w:r>
        <w:t>exhibits exceptional rate capability (101.9 mAh g</w:t>
      </w:r>
      <w:r>
        <w:t xml:space="preserve"> </w:t>
      </w:r>
      <w:r>
        <w:t>−1</w:t>
      </w:r>
      <w:r>
        <w:t xml:space="preserve"> </w:t>
      </w:r>
      <w:r>
        <w:t>at 10 C) and low‐temperature performance (64.3 mAh g</w:t>
      </w:r>
      <w:r>
        <w:t xml:space="preserve"> </w:t>
      </w:r>
      <w:r>
        <w:t>−1</w:t>
      </w:r>
      <w:r>
        <w:t xml:space="preserve"> </w:t>
      </w:r>
      <w:r>
        <w:t>at −20°C). After 1000 cycles at 1 C, the cathode retains 95.7% capacity (137.6 mAh g</w:t>
      </w:r>
      <w:r>
        <w:t xml:space="preserve"> </w:t>
      </w:r>
      <w:r>
        <w:t>−1</w:t>
      </w:r>
      <w:r>
        <w:t xml:space="preserve"> </w:t>
      </w:r>
      <w:r>
        <w:t>), and the cycled cathode also exhibits reduced anti‐site defects and superior kinetics due to the lattice modulation. This vacancy‐mediated upcycling strategy for improving cathode performance presents significant economic and environmental benefits, providing a sustainable pathway for advanced battery recycling.</w:t>
      </w:r>
    </w:p>
    <w:p>
      <w:pPr>
        <w:spacing w:before="120" w:after="120"/>
      </w:pPr>
      <w:r>
        <w:rPr>
          <w:sz w:val="18"/>
        </w:rPr>
        <w:t>——————————————————————————————————————————————————————————————————————</w:t>
      </w:r>
    </w:p>
    <w:p>
      <w:pPr>
        <w:spacing w:before="160" w:after="40" w:line="240" w:lineRule="auto"/>
      </w:pPr>
      <w:r>
        <w:rPr>
          <w:b/>
        </w:rPr>
        <w:t xml:space="preserve">[88] </w:t>
      </w:r>
      <w:hyperlink r:id="rId134">
        <w:r>
          <w:rPr>
            <w:color w:val="1155CC"/>
            <w:u w:val="single"/>
          </w:rPr>
          <w:t>DUTIZMODE 青少年抑郁症代元指纹印和诊断的无定型纳米复合体</w:t>
        </w:r>
      </w:hyperlink>
    </w:p>
    <w:p>
      <w:pPr>
        <w:spacing w:before="0" w:after="80"/>
      </w:pPr>
      <w:r>
        <w:rPr>
          <w:i/>
          <w:sz w:val="20"/>
        </w:rPr>
        <w:t>EN: An Amorphous Nanocomposite for Dual‐Mode Metabolic Fingerprinting and Diagnosis of Adolescent Depressive Disorder</w:t>
      </w:r>
    </w:p>
    <w:p>
      <w:pPr>
        <w:spacing w:before="0" w:after="120"/>
      </w:pPr>
      <w:r>
        <w:rPr>
          <w:b/>
        </w:rPr>
        <w:t xml:space="preserve">Source: </w:t>
      </w:r>
      <w:r>
        <w:t>Wiley: Angewandte Chemie International Edition: Table of Contents</w:t>
      </w:r>
      <w:r>
        <w:t xml:space="preserve">    </w:t>
      </w:r>
      <w:r>
        <w:rPr>
          <w:b/>
        </w:rPr>
        <w:t xml:space="preserve">Pub date: </w:t>
      </w:r>
      <w:r>
        <w:t>2026-02-22 14:08:03+00:00</w:t>
      </w:r>
      <w:r>
        <w:t xml:space="preserve">    </w:t>
      </w:r>
      <w:r>
        <w:rPr>
          <w:b/>
        </w:rPr>
        <w:t xml:space="preserve">DOI: </w:t>
      </w:r>
      <w:hyperlink r:id="rId135">
        <w:r>
          <w:rPr>
            <w:color w:val="1155CC"/>
            <w:u w:val="single"/>
          </w:rPr>
          <w:t>10.1002/anie.202522705</w:t>
        </w:r>
      </w:hyperlink>
    </w:p>
    <w:p>
      <w:pPr>
        <w:spacing w:before="0" w:after="120"/>
      </w:pPr>
      <w:r>
        <w:rPr>
          <w:b/>
        </w:rPr>
        <w:t xml:space="preserve">Notes: </w:t>
      </w:r>
      <w:r>
        <w:t>abstract_source=crossref</w:t>
      </w:r>
    </w:p>
    <w:p>
      <w:pPr>
        <w:spacing w:before="0" w:after="80" w:lineRule="auto" w:line="276"/>
      </w:pPr>
      <w:r>
        <w:rPr>
          <w:b/>
        </w:rPr>
        <w:t xml:space="preserve">摘要（ZH）: </w:t>
      </w:r>
      <w:r>
        <w:t>ABSTACT 青少年抑制性抑郁症(ADD)是一种慢性和衰弱性精神障碍,但其诊断仍然依赖主观评估。为了改进临床管理,迫切需要一种高效且具有成本效益的ADD诊断工具来改进临床管理。在这里,一个不固定的 MIL88B@nitrogen/硫共生碳原子(MIL88B@NSCDs) 被设计成一种双向模式矩阵,用于对ADD进行全面代谢性剖面分析。一个具有综合物理化学特性的MIL88B@NSCDs 促进了代谢物的高效双重化,从而使得生物样本中的代谢物有选择地离子化。它展示出一种比NSCD(一种精密的)5-12倍的信号增强。</w:t>
      </w:r>
    </w:p>
    <w:p>
      <w:pPr>
        <w:spacing w:before="0" w:after="200" w:lineRule="auto" w:line="276"/>
      </w:pPr>
      <w:r>
        <w:rPr>
          <w:b/>
        </w:rPr>
        <w:t xml:space="preserve">Abstract (EN): </w:t>
      </w:r>
      <w:r>
        <w:t>Adolescent depressive disorder (ADD) is a chronic and debilitating mental disorder, yet its diagnosis still relies on subjective assessment. An efficient and cost‐effective diagnostic tool for ADD is urgently needed to improve clinical management. Herein, amorphous MIL‐88B@nitrogen/sulfur co‐doped carbon‐dots (</w:t>
      </w:r>
      <w:r>
        <w:t xml:space="preserve"> </w:t>
      </w:r>
      <w:r>
        <w:t>a</w:t>
      </w:r>
      <w:r>
        <w:t xml:space="preserve"> </w:t>
      </w:r>
      <w:r>
        <w:t>MIL‐88B@NSCDs) are designed as a dual‐ion mode matrix for comprehensive metabolic profiling of ADD. The</w:t>
      </w:r>
      <w:r>
        <w:t xml:space="preserve"> </w:t>
      </w:r>
      <w:r>
        <w:t>a</w:t>
      </w:r>
      <w:r>
        <w:t xml:space="preserve"> </w:t>
      </w:r>
      <w:r>
        <w:t>MIL‐88B@NSCDs with integrated physicochemical properties facilitate the efficient dual‐ionization of metabolites, enabling the selective ionization of metabolites from bio‐samples. It exhibits a 5–12‐fold signal enhancement over NSCDs (a well‐established dual‐ion mode matrix) and shows high reproducibility with coefficients of variation ≤ 10%. Next, we directly extracted the dual‐ion mode serum metabolic fingerprints (dual‐SMFs) with 432 features (defined as signal‐to‐noise ratio (S/N) &amp;gt; 3, 190/242 in positive/negative ion mode) within seconds. Based on the dual‐SMFs, we constructed a high‐performance diagnostic model for ADD, with an area under the curve (AUC) of 0.926 (0.760/0.734 in positive/negative ion mode). This work not only contributes to the development of the dual‐ion mode matrices but also provides an efficient and comprehensive strategy for the precision clinical management of ADD.</w:t>
      </w:r>
    </w:p>
    <w:p>
      <w:pPr>
        <w:spacing w:before="120" w:after="120"/>
      </w:pPr>
      <w:r>
        <w:rPr>
          <w:sz w:val="18"/>
        </w:rPr>
        <w:t>——————————————————————————————————————————————————————————————————————</w:t>
      </w:r>
    </w:p>
    <w:p>
      <w:pPr>
        <w:spacing w:before="160" w:after="40" w:line="240" w:lineRule="auto"/>
      </w:pPr>
      <w:r>
        <w:rPr>
          <w:b/>
        </w:rPr>
        <w:t xml:space="preserve">[89] </w:t>
      </w:r>
      <w:hyperlink r:id="rId136">
        <w:r>
          <w:rPr>
            <w:color w:val="1155CC"/>
            <w:u w:val="single"/>
          </w:rPr>
          <w:t>用于电化学能源储存和转化的纳米表与金枪鱼二等/三等电化学能源储存和转化的多元结构</w:t>
        </w:r>
      </w:hyperlink>
    </w:p>
    <w:p>
      <w:pPr>
        <w:spacing w:before="0" w:after="80"/>
      </w:pPr>
      <w:r>
        <w:rPr>
          <w:i/>
          <w:sz w:val="20"/>
        </w:rPr>
        <w:t>EN: Soluble‐Salt‐Template Synthesis of Nanosheets With Tunable Two‐/Three‐Dimensional Architectures for Electrochemical Energy Storage and Conversion</w:t>
      </w:r>
    </w:p>
    <w:p>
      <w:pPr>
        <w:spacing w:before="0" w:after="120"/>
      </w:pPr>
      <w:r>
        <w:rPr>
          <w:b/>
        </w:rPr>
        <w:t xml:space="preserve">Source: </w:t>
      </w:r>
      <w:r>
        <w:t>Wiley: Angewandte Chemie International Edition: Table of Contents</w:t>
      </w:r>
      <w:r>
        <w:t xml:space="preserve">    </w:t>
      </w:r>
      <w:r>
        <w:rPr>
          <w:b/>
        </w:rPr>
        <w:t xml:space="preserve">Pub date: </w:t>
      </w:r>
      <w:r>
        <w:t>2026-02-22 14:08:40+00:00</w:t>
      </w:r>
      <w:r>
        <w:t xml:space="preserve">    </w:t>
      </w:r>
      <w:r>
        <w:rPr>
          <w:b/>
        </w:rPr>
        <w:t xml:space="preserve">DOI: </w:t>
      </w:r>
      <w:hyperlink r:id="rId137">
        <w:r>
          <w:rPr>
            <w:color w:val="1155CC"/>
            <w:u w:val="single"/>
          </w:rPr>
          <w:t>10.1002/anie.202514626</w:t>
        </w:r>
      </w:hyperlink>
    </w:p>
    <w:p>
      <w:pPr>
        <w:spacing w:before="0" w:after="120"/>
      </w:pPr>
      <w:r>
        <w:rPr>
          <w:b/>
        </w:rPr>
        <w:t xml:space="preserve">Notes: </w:t>
      </w:r>
      <w:r>
        <w:t>abstract_source=crossref</w:t>
      </w:r>
    </w:p>
    <w:p>
      <w:pPr>
        <w:spacing w:before="0" w:after="80" w:lineRule="auto" w:line="276"/>
      </w:pPr>
      <w:r>
        <w:rPr>
          <w:b/>
        </w:rPr>
        <w:t xml:space="preserve">摘要（ZH）: </w:t>
      </w:r>
      <w:r>
        <w:t>二维(2D)纳米材料以独特的电子结构和厌异性能特征为特征,在电化学能源储存和转换中发现各种有希望的用途。空间层面是2D纳米材料的关键结构要素,在决定其电化学性能方面发挥着关键作用。 在各种电化学反应中,2D单散和三维(3D)相互关联的结构具有不同优势,但两者对于实现最佳性能都至关重要。然而,2D/3D建筑与类似表面状态的兼容合成对于目前的纳米表制造方法来说仍是一个重大挑战。 新兴的溶性沙尔特板法因其灵活性而值得称道。</w:t>
      </w:r>
    </w:p>
    <w:p>
      <w:pPr>
        <w:spacing w:before="0" w:after="200" w:lineRule="auto" w:line="276"/>
      </w:pPr>
      <w:r>
        <w:rPr>
          <w:b/>
        </w:rPr>
        <w:t xml:space="preserve">Abstract (EN): </w:t>
      </w:r>
      <w:r>
        <w:t>Two‐dimensional (2D) nanomaterials, characterized by unique electronic structures and anisotropic properties, have found diverse and promising applications in electrochemical energy storage and conversion. The spatial dimension, a critical structural factor of 2D nanomaterials, plays a key role in shaping their electrochemical performances. In various electrochemical reactions, 2D monodispersed and three‐dimensional (3D) interconnected architectures exhibit differing advantages, yet both are essential for achieving optimal properties. Nevertheless, the compatible synthesis of 2D/3D architectures with analogous surface states remains a grand challenge for present nanosheet fabrication methods. The emerging soluble‐salt‐template method is prized for its flexibility in artificially controlling the 2D/3D spatial structures of the obtained homogeneous nanosheets. This work first provides a comprehensive summary of the dominant drying and conversion techniques employed in soluble‐salt‐template synthesis, unveils its mechanisms for modulating spatial dimensions and pore structures, and identifies critical process factors that significantly influence the final structural properties of the resulting products. Then, representative 2D/3D multiscale nanomaterials comprised of nanosheets using the soluble‐salt‐template method are categorized, and their potential applications in electrochemical energy storage and conversion are highlighted. Finally, we discuss existing technical hurdles, outline future research focuses, and explore new development trends for this specialized fabrication technology.</w:t>
      </w:r>
    </w:p>
    <w:p>
      <w:pPr>
        <w:spacing w:before="120" w:after="120"/>
      </w:pPr>
      <w:r>
        <w:rPr>
          <w:sz w:val="18"/>
        </w:rPr>
        <w:t>——————————————————————————————————————————————————————————————————————</w:t>
      </w:r>
    </w:p>
    <w:p>
      <w:pPr>
        <w:spacing w:before="160" w:after="40" w:line="240" w:lineRule="auto"/>
      </w:pPr>
      <w:r>
        <w:rPr>
          <w:b/>
        </w:rPr>
        <w:t xml:space="preserve">[90] </w:t>
      </w:r>
      <w:hyperlink r:id="rId138">
        <w:r>
          <w:rPr>
            <w:color w:val="1155CC"/>
            <w:u w:val="single"/>
          </w:rPr>
          <w:t>光电化学 光电化学 光电化学 异多源催化:从单分子氧化到 C - X 债券形成</w:t>
        </w:r>
      </w:hyperlink>
    </w:p>
    <w:p>
      <w:pPr>
        <w:spacing w:before="0" w:after="80"/>
      </w:pPr>
      <w:r>
        <w:rPr>
          <w:i/>
          <w:sz w:val="20"/>
        </w:rPr>
        <w:t>EN: Photoelectrochemical Heterogeneous Catalysis: From Single Molecule Oxidation Toward C─X Bond Formation</w:t>
      </w:r>
    </w:p>
    <w:p>
      <w:pPr>
        <w:spacing w:before="0" w:after="120"/>
      </w:pPr>
      <w:r>
        <w:rPr>
          <w:b/>
        </w:rPr>
        <w:t xml:space="preserve">Source: </w:t>
      </w:r>
      <w:r>
        <w:t>Wiley: Angewandte Chemie International Edition: Table of Contents</w:t>
      </w:r>
      <w:r>
        <w:t xml:space="preserve">    </w:t>
      </w:r>
      <w:r>
        <w:rPr>
          <w:b/>
        </w:rPr>
        <w:t xml:space="preserve">Pub date: </w:t>
      </w:r>
      <w:r>
        <w:t>2026-02-22 14:09:14+00:00</w:t>
      </w:r>
      <w:r>
        <w:t xml:space="preserve">    </w:t>
      </w:r>
      <w:r>
        <w:rPr>
          <w:b/>
        </w:rPr>
        <w:t xml:space="preserve">DOI: </w:t>
      </w:r>
      <w:hyperlink r:id="rId139">
        <w:r>
          <w:rPr>
            <w:color w:val="1155CC"/>
            <w:u w:val="single"/>
          </w:rPr>
          <w:t>10.1002/anie.9133941</w:t>
        </w:r>
      </w:hyperlink>
    </w:p>
    <w:p>
      <w:pPr>
        <w:spacing w:before="0" w:after="120"/>
      </w:pPr>
      <w:r>
        <w:rPr>
          <w:b/>
        </w:rPr>
        <w:t xml:space="preserve">Notes: </w:t>
      </w:r>
      <w:r>
        <w:t>abstract_source=crossref</w:t>
      </w:r>
    </w:p>
    <w:p>
      <w:pPr>
        <w:spacing w:before="0" w:after="80" w:lineRule="auto" w:line="276"/>
      </w:pPr>
      <w:r>
        <w:rPr>
          <w:b/>
        </w:rPr>
        <w:t xml:space="preserve">摘要（ZH）: </w:t>
      </w:r>
      <w:r>
        <w:t>ABSTACT光电催化(PEC)有机合成(ABSTACT 光电催化(PEC)有机合成(PEC)已成为通过协同整合光能和电能进行可持续化学制造的很有希望的平台。 基本机制包括生成半导体光电极中的电子-孔对,通过光导体光电极中光产生孔驱动氧化变异,电子促进阴极中的再消化反应。 这种方法可以精确控制温和条件下的反应路径,提高能源效率,改进选择性,消除异异构氧化剂。 本次审查全面总结了PEC有机合成的快速发展,首先是其基本原则和普通光电化制造。</w:t>
      </w:r>
    </w:p>
    <w:p>
      <w:pPr>
        <w:spacing w:before="0" w:after="200" w:lineRule="auto" w:line="276"/>
      </w:pPr>
      <w:r>
        <w:rPr>
          <w:b/>
        </w:rPr>
        <w:t xml:space="preserve">Abstract (EN): </w:t>
      </w:r>
      <w:r>
        <w:t>Photoelectrocatalytic (PEC) organic synthesis has emerged as a promising platform for sustainable chemical manufacturing by synergistically integrating light and electrical energy. The fundamental mechanism involves the generation of electron–hole pairs in semiconductor photoelectrodes, where photogenerated holes drive oxidative transformations at the anode and electrons facilitate reductive reactions at the cathode. This approach enables precise control over reaction pathways under mild conditions, offering enhanced energy efficiency, improved selectivity and elimination of stoichiometric oxidants. This review comprehensively summarizes the rapid development of PEC organic synthesis, beginning with its fundamental principles and common photoelectrode fabrication techniques. Recent advances are then outlined across two major domains: the photoanode‐mediated oxidation of single molecules (e.g., alcohols, biomass‐derived platform chemicals, alkenes, and C─H bonds) and photoelectrochemical cross‐coupling reactions for constructing C─X (X = C, N, P, Cl, and Br) bonds. Finally, a forward‐looking perspective on critical challenges and future directions are discussed, which will significantly improve the insight for future development of PEC organic synthesis.</w:t>
      </w:r>
    </w:p>
    <w:p>
      <w:pPr>
        <w:spacing w:before="120" w:after="120"/>
      </w:pPr>
      <w:r>
        <w:rPr>
          <w:sz w:val="18"/>
        </w:rPr>
        <w:t>——————————————————————————————————————————————————————————————————————</w:t>
      </w:r>
    </w:p>
    <w:p>
      <w:pPr>
        <w:spacing w:before="160" w:after="40" w:line="240" w:lineRule="auto"/>
      </w:pPr>
      <w:r>
        <w:rPr>
          <w:b/>
        </w:rPr>
        <w:t xml:space="preserve">[91] </w:t>
      </w:r>
      <w:hyperlink r:id="rId140">
        <w:r>
          <w:rPr>
            <w:color w:val="1155CC"/>
            <w:u w:val="single"/>
          </w:rPr>
          <w:t>工业规模的Aldehydes 光电化 Via 本地化氢感力工程</w:t>
        </w:r>
      </w:hyperlink>
    </w:p>
    <w:p>
      <w:pPr>
        <w:spacing w:before="0" w:after="80"/>
      </w:pPr>
      <w:r>
        <w:rPr>
          <w:i/>
          <w:sz w:val="20"/>
        </w:rPr>
        <w:t>EN: Industrial‐scale Aldehydes Electrification Via Localized Hydrogen‐affinity Engineering</w:t>
      </w:r>
    </w:p>
    <w:p>
      <w:pPr>
        <w:spacing w:before="0" w:after="120"/>
      </w:pPr>
      <w:r>
        <w:rPr>
          <w:b/>
        </w:rPr>
        <w:t xml:space="preserve">Source: </w:t>
      </w:r>
      <w:r>
        <w:t>Wiley: Angewandte Chemie International Edition: Table of Contents</w:t>
      </w:r>
      <w:r>
        <w:t xml:space="preserve">    </w:t>
      </w:r>
      <w:r>
        <w:rPr>
          <w:b/>
        </w:rPr>
        <w:t xml:space="preserve">Pub date: </w:t>
      </w:r>
      <w:r>
        <w:t>2026-02-22 14:11:34+00:00</w:t>
      </w:r>
      <w:r>
        <w:t xml:space="preserve">    </w:t>
      </w:r>
      <w:r>
        <w:rPr>
          <w:b/>
        </w:rPr>
        <w:t xml:space="preserve">DOI: </w:t>
      </w:r>
      <w:hyperlink r:id="rId141">
        <w:r>
          <w:rPr>
            <w:color w:val="1155CC"/>
            <w:u w:val="single"/>
          </w:rPr>
          <w:t>10.1002/anie.202515456</w:t>
        </w:r>
      </w:hyperlink>
    </w:p>
    <w:p>
      <w:pPr>
        <w:spacing w:before="0" w:after="120"/>
      </w:pPr>
      <w:r>
        <w:rPr>
          <w:b/>
        </w:rPr>
        <w:t xml:space="preserve">Notes: </w:t>
      </w:r>
      <w:r>
        <w:t>abstract_source=crossref</w:t>
      </w:r>
    </w:p>
    <w:p>
      <w:pPr>
        <w:spacing w:before="0" w:after="80" w:lineRule="auto" w:line="276"/>
      </w:pPr>
      <w:r>
        <w:rPr>
          <w:b/>
        </w:rPr>
        <w:t xml:space="preserve">摘要（ZH）: </w:t>
      </w:r>
      <w:r>
        <w:t>ABSTACT 将藻光化成高值化学品是环境补救、资源回收和升级的一个可持续解决方案,它为环境补救、资源回收和升级提供了可持续的解决方案,然而其实际实施却受到效率低的电极的限制。在这里,我们制定了一种计算制导战略,即本地化氢近亲工程,以合成用于甲醛电气化的热解解解解气化碳氢酶。 值得注意的是,经过准备的Rh降压的Cu氢酶(Rh 1 CuHase)在甲醛转化方面取得了惊人的法拉日效率;99.3%用于在超高电流密度500毫亚厘米-2的甲醛转化,其超潜能最小的为283 mV。</w:t>
      </w:r>
    </w:p>
    <w:p>
      <w:pPr>
        <w:spacing w:before="0" w:after="200" w:lineRule="auto" w:line="276"/>
      </w:pPr>
      <w:r>
        <w:rPr>
          <w:b/>
        </w:rPr>
        <w:t xml:space="preserve">Abstract (EN): </w:t>
      </w:r>
      <w:r>
        <w:t>Electrifying aldehydes into high‐value chemicals presents a sustainable solution for environmental remediation, resource recovery and upgrade, yet its practical implementation has been limited by inefficient electrodes. Here, we develop a computation‐guided strategy—localized hydrogen‐affinity engineering—to synthesize heteroatom‐decorated Cu hydrogenase for aldehydes electrification. Remarkably, the as‐prepared Rh‐decorated Cu hydrogenase (Rh</w:t>
      </w:r>
      <w:r>
        <w:rPr>
          <w:vertAlign w:val="subscript"/>
        </w:rPr>
        <w:t>1</w:t>
      </w:r>
      <w:r>
        <w:t>Cu‐Hase) achieves a remarkable Faraday efficiency of &amp;gt;99.3% for formaldehyde conversion at an ultrahigh current density of 500 mA cm</w:t>
      </w:r>
      <w:r>
        <w:t xml:space="preserve"> </w:t>
      </w:r>
      <w:r>
        <w:t>−2</w:t>
      </w:r>
      <w:r>
        <w:t xml:space="preserve"> </w:t>
      </w:r>
      <w:r>
        <w:t>with a minimal overpotential of 283 mV. A membrane‐free electrolyzer equipped with the Rh</w:t>
      </w:r>
      <w:r>
        <w:rPr>
          <w:vertAlign w:val="subscript"/>
        </w:rPr>
        <w:t>1</w:t>
      </w:r>
      <w:r>
        <w:t>Cu‐Hase operates stably for over 1200 h at 1000 mA cm</w:t>
      </w:r>
      <w:r>
        <w:t xml:space="preserve"> </w:t>
      </w:r>
      <w:r>
        <w:t>−2</w:t>
      </w:r>
      <w:r>
        <w:t xml:space="preserve"> </w:t>
      </w:r>
      <w:r>
        <w:t>, continuously producing high‐purity potassium diformate (KDF) and hydrogen. Techno‐economic analysis reveals a significant $166.1/ton KDF revenue advantage over conventional methods. The paired dehydrogenation mechanism is proposed by a series of operando studies and theoretical calculations, unveiling that the Cu matrix facilitates aldehyde adsorption, while atomic Rh sites activate hydrogen, collectively reducing energy barriers for both C─H cleavage and H─H coupling. Furthermore, the universality of this strategy is demonstrated by its successful application in electrifying a broad range of industrially relevant aldehydes.</w:t>
      </w:r>
    </w:p>
    <w:p>
      <w:pPr>
        <w:spacing w:before="120" w:after="120"/>
      </w:pPr>
      <w:r>
        <w:rPr>
          <w:sz w:val="18"/>
        </w:rPr>
        <w:t>——————————————————————————————————————————————————————————————————————</w:t>
      </w:r>
    </w:p>
    <w:p>
      <w:pPr>
        <w:spacing w:before="160" w:after="40" w:line="240" w:lineRule="auto"/>
      </w:pPr>
      <w:r>
        <w:rPr>
          <w:b/>
        </w:rPr>
        <w:t xml:space="preserve">[92] </w:t>
      </w:r>
      <w:hyperlink r:id="rId142">
        <w:r>
          <w:rPr>
            <w:color w:val="1155CC"/>
            <w:u w:val="single"/>
          </w:rPr>
          <w:t>具有3d4f轨道联动增强双功能氧气电解</w:t>
        </w:r>
      </w:hyperlink>
    </w:p>
    <w:p>
      <w:pPr>
        <w:spacing w:before="0" w:after="80"/>
      </w:pPr>
      <w:r>
        <w:rPr>
          <w:i/>
          <w:sz w:val="20"/>
        </w:rPr>
        <w:t>EN: Atomically Tailored Fe‐Dy Dual‐Atom Sites With 3d‐4f Orbital Coupling for Enhanced Bifunctional Oxygen Electrocatalysis</w:t>
      </w:r>
    </w:p>
    <w:p>
      <w:pPr>
        <w:spacing w:before="0" w:after="120"/>
      </w:pPr>
      <w:r>
        <w:rPr>
          <w:b/>
        </w:rPr>
        <w:t xml:space="preserve">Source: </w:t>
      </w:r>
      <w:r>
        <w:t>Wiley: Advanced Materials: Table of Contents</w:t>
      </w:r>
      <w:r>
        <w:t xml:space="preserve">    </w:t>
      </w:r>
      <w:r>
        <w:rPr>
          <w:b/>
        </w:rPr>
        <w:t xml:space="preserve">Pub date: </w:t>
      </w:r>
      <w:r>
        <w:t>2026-02-22 14:12:29+00:00</w:t>
      </w:r>
      <w:r>
        <w:t xml:space="preserve">    </w:t>
      </w:r>
      <w:r>
        <w:rPr>
          <w:b/>
        </w:rPr>
        <w:t xml:space="preserve">DOI: </w:t>
      </w:r>
      <w:hyperlink r:id="rId143">
        <w:r>
          <w:rPr>
            <w:color w:val="1155CC"/>
            <w:u w:val="single"/>
          </w:rPr>
          <w:t>10.1002/adma.202520359</w:t>
        </w:r>
      </w:hyperlink>
    </w:p>
    <w:p>
      <w:pPr>
        <w:spacing w:before="0" w:after="120"/>
      </w:pPr>
      <w:r>
        <w:rPr>
          <w:b/>
        </w:rPr>
        <w:t xml:space="preserve">Notes: </w:t>
      </w:r>
      <w:r>
        <w:t>abstract_source=crossref</w:t>
      </w:r>
    </w:p>
    <w:p>
      <w:pPr>
        <w:spacing w:before="0" w:after="80" w:lineRule="auto" w:line="276"/>
      </w:pPr>
      <w:r>
        <w:rPr>
          <w:b/>
        </w:rPr>
        <w:t xml:space="preserve">摘要（ZH）: </w:t>
      </w:r>
      <w:r>
        <w:t>ABSTACT 高效双功能氧电解器对于克服可充电锌-空气电池(ZABs)中的氧减少反应(ORR)和氧进化反应(OER)的高超潜能和慢动能至关重要,但铁基单原子催化剂表现出有希望的OR活动,但它们对含氧中间体的过度吸附,加上这些中间体之间的缩放关系,限制了它们的双功能性能。在这里,利用Fe&amp;3d和Dy-4f轨道轨道的强力联动来精确调节Fe地点的电子结构,形成了一种独特的Fe&amp;Dy双功能催化剂(FeDy-DAC),这种调制能有效地削弱了过强的吸附能力。</w:t>
      </w:r>
    </w:p>
    <w:p>
      <w:pPr>
        <w:spacing w:before="0" w:after="200" w:lineRule="auto" w:line="276"/>
      </w:pPr>
      <w:r>
        <w:rPr>
          <w:b/>
        </w:rPr>
        <w:t xml:space="preserve">Abstract (EN): </w:t>
      </w:r>
      <w:r>
        <w:t>Efficient bifunctional oxygen electrocatalysts are crucial for overcoming the high overpotentials and sluggish kinetics of the oxygen reduction reaction (ORR) and oxygen evolution reaction (OER) in rechargeable zinc‐air batteries (ZABs). Iron‐based single‐atom catalysts exhibit promising ORR activity, however, their excessive adsorption of oxygen‐containing intermediates, together with the scaling relationships between these intermediates, limits their bifunctional performance. Herein, a unique Fe‐Dy dual‐atom catalyst (FeDy‐DAC) is constructed, leveraging the strong orbital coupling between Fe‐3d and Dy‐4f orbitals to precisely modulate the electronic structure of the Fe sites. This modulation effectively weakens the overly strong adsorption of oxygen‐containing intermediates on Fe sites, facilitating</w:t>
      </w:r>
      <w:r>
        <w:t xml:space="preserve"> </w:t>
      </w:r>
      <w:r>
        <w:t>*</w:t>
      </w:r>
      <w:r>
        <w:t xml:space="preserve"> </w:t>
      </w:r>
      <w:r>
        <w:t>OH desorption. Meanwhile, the unique dual‐site co‐adsorption configuration of</w:t>
      </w:r>
      <w:r>
        <w:t xml:space="preserve"> </w:t>
      </w:r>
      <w:r>
        <w:t>*</w:t>
      </w:r>
      <w:r>
        <w:t xml:space="preserve"> </w:t>
      </w:r>
      <w:r>
        <w:t>O drives efficient O─O bond coupling, ultimately leading to a significant reduction in the rate‐determining energy barriers of both ORR and OER. Therefore, FeDy‐DAC exhibits outstanding bifunctional catalytic performance, with a high ORR half‐wave potential of 0.90 V and a narrow ORR/OER potential gap of 0.68 V. Moreover, FeDy‐DAC maintains stable operation for over 2500 h in ZABs, showcasing excellent long‐term durability. This work provides a novel strategy and insights for high‐performance bifunctional electrocatalyst design.</w:t>
      </w:r>
    </w:p>
    <w:p>
      <w:pPr>
        <w:spacing w:before="120" w:after="120"/>
      </w:pPr>
      <w:r>
        <w:rPr>
          <w:sz w:val="18"/>
        </w:rPr>
        <w:t>——————————————————————————————————————————————————————————————————————</w:t>
      </w:r>
    </w:p>
    <w:p>
      <w:pPr>
        <w:spacing w:before="160" w:after="40" w:line="240" w:lineRule="auto"/>
      </w:pPr>
      <w:r>
        <w:rPr>
          <w:b/>
        </w:rPr>
        <w:t xml:space="preserve">[93] </w:t>
      </w:r>
      <w:hyperlink r:id="rId144">
        <w:r>
          <w:rPr>
            <w:color w:val="1155CC"/>
            <w:u w:val="single"/>
          </w:rPr>
          <w:t>泰迪象巨型镍一样的巨型龙形多氧金属拉热地球指导等级大会</w:t>
        </w:r>
      </w:hyperlink>
    </w:p>
    <w:p>
      <w:pPr>
        <w:spacing w:before="0" w:after="80"/>
      </w:pPr>
      <w:r>
        <w:rPr>
          <w:i/>
          <w:sz w:val="20"/>
        </w:rPr>
        <w:t>EN: Rare‐Earth‐Guided Hierarchical Assembly of Teddy‐Bear‐Like Giant Nickel‐Tungstate Polyoxometalates</w:t>
      </w:r>
    </w:p>
    <w:p>
      <w:pPr>
        <w:spacing w:before="0" w:after="120"/>
      </w:pPr>
      <w:r>
        <w:rPr>
          <w:b/>
        </w:rPr>
        <w:t xml:space="preserve">Source: </w:t>
      </w:r>
      <w:r>
        <w:t>Wiley: Angewandte Chemie International Edition: Table of Contents</w:t>
      </w:r>
      <w:r>
        <w:t xml:space="preserve">    </w:t>
      </w:r>
      <w:r>
        <w:rPr>
          <w:b/>
        </w:rPr>
        <w:t xml:space="preserve">Pub date: </w:t>
      </w:r>
      <w:r>
        <w:t>2026-02-22 14:13:01+00:00</w:t>
      </w:r>
      <w:r>
        <w:t xml:space="preserve">    </w:t>
      </w:r>
      <w:r>
        <w:rPr>
          <w:b/>
        </w:rPr>
        <w:t xml:space="preserve">DOI: </w:t>
      </w:r>
      <w:hyperlink r:id="rId145">
        <w:r>
          <w:rPr>
            <w:color w:val="1155CC"/>
            <w:u w:val="single"/>
          </w:rPr>
          <w:t>10.1002/anie.202524296</w:t>
        </w:r>
      </w:hyperlink>
    </w:p>
    <w:p>
      <w:pPr>
        <w:spacing w:before="0" w:after="120"/>
      </w:pPr>
      <w:r>
        <w:rPr>
          <w:b/>
        </w:rPr>
        <w:t xml:space="preserve">Notes: </w:t>
      </w:r>
      <w:r>
        <w:t>abstract_source=crossref</w:t>
      </w:r>
    </w:p>
    <w:p>
      <w:pPr>
        <w:spacing w:before="0" w:after="80" w:lineRule="auto" w:line="276"/>
      </w:pPr>
      <w:r>
        <w:rPr>
          <w:b/>
        </w:rPr>
        <w:t xml:space="preserve">摘要（ZH）: </w:t>
      </w:r>
      <w:r>
        <w:t>ABSTACT 巨型多氧化异物(POMS)的受控组装仍然是无机化学方面的重大挑战。 在这里,我们证明稀土离子能够引导镍代硫酸盐系统中的显著结构结果。 柔性前体[B α SbW 9 O 33]与KH 2 PO 4, ER 2 O 3 和 NiCl 2产生一个巨大的无机聚体聚体的热液反应 {W}</w:t>
      </w:r>
    </w:p>
    <w:p>
      <w:pPr>
        <w:spacing w:before="0" w:after="200" w:lineRule="auto" w:line="276"/>
      </w:pPr>
      <w:r>
        <w:rPr>
          <w:b/>
        </w:rPr>
        <w:t xml:space="preserve">Abstract (EN): </w:t>
      </w:r>
      <w:r>
        <w:t>The controlled assembly of giant polyoxometalates (POMs) remains a significant challenge in inorganic chemistry. Herein, we demonstrate that rare‐earth ions can direct distinct structural outcomes in nickel‐substituted tungstate systems. Hydrothermal reaction of the flexible precursor [B‐</w:t>
      </w:r>
      <w:r>
        <w:t xml:space="preserve"> </w:t>
      </w:r>
      <w:r>
        <w:t>α</w:t>
      </w:r>
      <w:r>
        <w:t xml:space="preserve"> </w:t>
      </w:r>
      <w:r>
        <w:t>‐SbW</w:t>
      </w:r>
      <w:r>
        <w:rPr>
          <w:vertAlign w:val="subscript"/>
        </w:rPr>
        <w:t>9</w:t>
      </w:r>
      <w:r>
        <w:t>O</w:t>
      </w:r>
      <w:r>
        <w:rPr>
          <w:vertAlign w:val="subscript"/>
        </w:rPr>
        <w:t>33</w:t>
      </w:r>
      <w:r>
        <w:t>] with KH</w:t>
      </w:r>
      <w:r>
        <w:rPr>
          <w:vertAlign w:val="subscript"/>
        </w:rPr>
        <w:t>2</w:t>
      </w:r>
      <w:r>
        <w:t>PO</w:t>
      </w:r>
      <w:r>
        <w:rPr>
          <w:vertAlign w:val="subscript"/>
        </w:rPr>
        <w:t>4</w:t>
      </w:r>
      <w:r>
        <w:t>, Er</w:t>
      </w:r>
      <w:r>
        <w:rPr>
          <w:vertAlign w:val="subscript"/>
        </w:rPr>
        <w:t>2</w:t>
      </w:r>
      <w:r>
        <w:t>O</w:t>
      </w:r>
      <w:r>
        <w:rPr>
          <w:vertAlign w:val="subscript"/>
        </w:rPr>
        <w:t>3</w:t>
      </w:r>
      <w:r>
        <w:t>, and NiCl</w:t>
      </w:r>
      <w:r>
        <w:rPr>
          <w:vertAlign w:val="subscript"/>
        </w:rPr>
        <w:t>2</w:t>
      </w:r>
      <w:r>
        <w:t>yielded a giant all‐inorganic cluster</w:t>
      </w:r>
      <w:r>
        <w:t xml:space="preserve"> </w:t>
      </w:r>
      <w:r>
        <w:t>{W</w:t>
      </w:r>
      <w:r>
        <w:rPr>
          <w:vertAlign w:val="subscript"/>
        </w:rPr>
        <w:t>88</w:t>
      </w:r>
      <w:r>
        <w:t>Ni</w:t>
      </w:r>
      <w:r>
        <w:rPr>
          <w:vertAlign w:val="subscript"/>
        </w:rPr>
        <w:t>39</w:t>
      </w:r>
      <w:r>
        <w:t>} (1)</w:t>
      </w:r>
      <w:r>
        <w:t xml:space="preserve"> </w:t>
      </w:r>
      <w:r>
        <w:t>, adopting an unprecedented “Teddy‐Bear”‐like architecture. Under identical conditions, omission of Er</w:t>
      </w:r>
      <w:r>
        <w:rPr>
          <w:vertAlign w:val="subscript"/>
        </w:rPr>
        <w:t>2</w:t>
      </w:r>
      <w:r>
        <w:t>O</w:t>
      </w:r>
      <w:r>
        <w:rPr>
          <w:vertAlign w:val="subscript"/>
        </w:rPr>
        <w:t>3</w:t>
      </w:r>
      <w:r>
        <w:t>(or replacement with Dy</w:t>
      </w:r>
      <w:r>
        <w:rPr>
          <w:vertAlign w:val="subscript"/>
        </w:rPr>
        <w:t>2</w:t>
      </w:r>
      <w:r>
        <w:t>O</w:t>
      </w:r>
      <w:r>
        <w:rPr>
          <w:vertAlign w:val="subscript"/>
        </w:rPr>
        <w:t>3</w:t>
      </w:r>
      <w:r>
        <w:t>) afforded the smaller cluster</w:t>
      </w:r>
      <w:r>
        <w:t xml:space="preserve"> </w:t>
      </w:r>
      <w:r>
        <w:t>{W</w:t>
      </w:r>
      <w:r>
        <w:rPr>
          <w:vertAlign w:val="subscript"/>
        </w:rPr>
        <w:t>55</w:t>
      </w:r>
      <w:r>
        <w:t>Ni</w:t>
      </w:r>
      <w:r>
        <w:rPr>
          <w:vertAlign w:val="subscript"/>
        </w:rPr>
        <w:t>17</w:t>
      </w:r>
      <w:r>
        <w:t>} (2)</w:t>
      </w:r>
      <w:r>
        <w:t xml:space="preserve"> </w:t>
      </w:r>
      <w:r>
        <w:t>, corresponding to the “head” of the “Teddy‐Bear”. Notably, Dy</w:t>
      </w:r>
      <w:r>
        <w:rPr>
          <w:vertAlign w:val="subscript"/>
        </w:rPr>
        <w:t>2</w:t>
      </w:r>
      <w:r>
        <w:t>O</w:t>
      </w:r>
      <w:r>
        <w:rPr>
          <w:vertAlign w:val="subscript"/>
        </w:rPr>
        <w:t>3</w:t>
      </w:r>
      <w:r>
        <w:t>improves the crystallization yield of</w:t>
      </w:r>
      <w:r>
        <w:t xml:space="preserve"> </w:t>
      </w:r>
      <w:r>
        <w:t>{W</w:t>
      </w:r>
      <w:r>
        <w:rPr>
          <w:vertAlign w:val="subscript"/>
        </w:rPr>
        <w:t>55</w:t>
      </w:r>
      <w:r>
        <w:t>Ni</w:t>
      </w:r>
      <w:r>
        <w:rPr>
          <w:vertAlign w:val="subscript"/>
        </w:rPr>
        <w:t>17</w:t>
      </w:r>
      <w:r>
        <w:t>}</w:t>
      </w:r>
      <w:r>
        <w:t xml:space="preserve"> </w:t>
      </w:r>
      <w:r>
        <w:t>relative to the rare‐earth‐free reaction. Remarkably, replacing Er</w:t>
      </w:r>
      <w:r>
        <w:rPr>
          <w:vertAlign w:val="subscript"/>
        </w:rPr>
        <w:t>2</w:t>
      </w:r>
      <w:r>
        <w:t>O</w:t>
      </w:r>
      <w:r>
        <w:rPr>
          <w:vertAlign w:val="subscript"/>
        </w:rPr>
        <w:t>3</w:t>
      </w:r>
      <w:r>
        <w:t>with Gd</w:t>
      </w:r>
      <w:r>
        <w:rPr>
          <w:vertAlign w:val="subscript"/>
        </w:rPr>
        <w:t>2</w:t>
      </w:r>
      <w:r>
        <w:t>O</w:t>
      </w:r>
      <w:r>
        <w:rPr>
          <w:vertAlign w:val="subscript"/>
        </w:rPr>
        <w:t>3</w:t>
      </w:r>
      <w:r>
        <w:t>afforded a giant tetramer</w:t>
      </w:r>
      <w:r>
        <w:t xml:space="preserve"> </w:t>
      </w:r>
      <w:r>
        <w:t>{W</w:t>
      </w:r>
      <w:r>
        <w:rPr>
          <w:vertAlign w:val="subscript"/>
        </w:rPr>
        <w:t>140</w:t>
      </w:r>
      <w:r>
        <w:t>Gd</w:t>
      </w:r>
      <w:r>
        <w:rPr>
          <w:vertAlign w:val="subscript"/>
        </w:rPr>
        <w:t>10</w:t>
      </w:r>
      <w:r>
        <w:t>Ni</w:t>
      </w:r>
      <w:r>
        <w:rPr>
          <w:vertAlign w:val="subscript"/>
        </w:rPr>
        <w:t>48</w:t>
      </w:r>
      <w:r>
        <w:t>} (3)</w:t>
      </w:r>
      <w:r>
        <w:t xml:space="preserve"> </w:t>
      </w:r>
      <w:r>
        <w:t>, whose monomer is analogous to the [W</w:t>
      </w:r>
      <w:r>
        <w:rPr>
          <w:vertAlign w:val="subscript"/>
        </w:rPr>
        <w:t>33</w:t>
      </w:r>
      <w:r>
        <w:t>Ni</w:t>
      </w:r>
      <w:r>
        <w:rPr>
          <w:vertAlign w:val="subscript"/>
        </w:rPr>
        <w:t>21</w:t>
      </w:r>
      <w:r>
        <w:t>] “Teddy‐Bear body” motif in</w:t>
      </w:r>
      <w:r>
        <w:t xml:space="preserve"> </w:t>
      </w:r>
      <w:r>
        <w:t>{W</w:t>
      </w:r>
      <w:r>
        <w:rPr>
          <w:vertAlign w:val="subscript"/>
        </w:rPr>
        <w:t>88</w:t>
      </w:r>
      <w:r>
        <w:t>Ni</w:t>
      </w:r>
      <w:r>
        <w:rPr>
          <w:vertAlign w:val="subscript"/>
        </w:rPr>
        <w:t>39</w:t>
      </w:r>
      <w:r>
        <w:t>}</w:t>
      </w:r>
      <w:r>
        <w:t xml:space="preserve"> </w:t>
      </w:r>
      <w:r>
        <w:t>. These clusters rank among the largest discrete tungsten‐based POM assemblies known. Importantly, the crystallization of</w:t>
      </w:r>
      <w:r>
        <w:t xml:space="preserve"> </w:t>
      </w:r>
      <w:r>
        <w:t>{W</w:t>
      </w:r>
      <w:r>
        <w:rPr>
          <w:vertAlign w:val="subscript"/>
        </w:rPr>
        <w:t>88</w:t>
      </w:r>
      <w:r>
        <w:t>Ni</w:t>
      </w:r>
      <w:r>
        <w:rPr>
          <w:vertAlign w:val="subscript"/>
        </w:rPr>
        <w:t>39</w:t>
      </w:r>
      <w:r>
        <w:t>}</w:t>
      </w:r>
      <w:r>
        <w:t xml:space="preserve"> </w:t>
      </w:r>
      <w:r>
        <w:t>and</w:t>
      </w:r>
      <w:r>
        <w:t xml:space="preserve"> </w:t>
      </w:r>
      <w:r>
        <w:t>{W</w:t>
      </w:r>
      <w:r>
        <w:rPr>
          <w:vertAlign w:val="subscript"/>
        </w:rPr>
        <w:t>140</w:t>
      </w:r>
      <w:r>
        <w:t>Gd</w:t>
      </w:r>
      <w:r>
        <w:rPr>
          <w:vertAlign w:val="subscript"/>
        </w:rPr>
        <w:t>10</w:t>
      </w:r>
      <w:r>
        <w:t>Ni</w:t>
      </w:r>
      <w:r>
        <w:rPr>
          <w:vertAlign w:val="subscript"/>
        </w:rPr>
        <w:t>48</w:t>
      </w:r>
      <w:r>
        <w:t>}</w:t>
      </w:r>
      <w:r>
        <w:t xml:space="preserve"> </w:t>
      </w:r>
      <w:r>
        <w:t>enables an efficient organic‐free separation of the rare‐earth oxides Er</w:t>
      </w:r>
      <w:r>
        <w:rPr>
          <w:vertAlign w:val="subscript"/>
        </w:rPr>
        <w:t>2</w:t>
      </w:r>
      <w:r>
        <w:t>O</w:t>
      </w:r>
      <w:r>
        <w:rPr>
          <w:vertAlign w:val="subscript"/>
        </w:rPr>
        <w:t>3</w:t>
      </w:r>
      <w:r>
        <w:t>and Gd</w:t>
      </w:r>
      <w:r>
        <w:rPr>
          <w:vertAlign w:val="subscript"/>
        </w:rPr>
        <w:t>2</w:t>
      </w:r>
      <w:r>
        <w:t>O</w:t>
      </w:r>
      <w:r>
        <w:rPr>
          <w:vertAlign w:val="subscript"/>
        </w:rPr>
        <w:t>3</w:t>
      </w:r>
      <w:r>
        <w:t>with a separation factor of 360.37, revealing a new strategy based on structure‐directed hierarchical assembly for selective crystallization in rare‐earth‐mediated POM systems.</w:t>
      </w:r>
    </w:p>
    <w:p>
      <w:pPr>
        <w:spacing w:before="120" w:after="120"/>
      </w:pPr>
      <w:r>
        <w:rPr>
          <w:sz w:val="18"/>
        </w:rPr>
        <w:t>——————————————————————————————————————————————————————————————————————</w:t>
      </w:r>
    </w:p>
    <w:p>
      <w:pPr>
        <w:spacing w:before="160" w:after="40" w:line="240" w:lineRule="auto"/>
      </w:pPr>
      <w:r>
        <w:rPr>
          <w:b/>
        </w:rPr>
        <w:t xml:space="preserve">[94] </w:t>
      </w:r>
      <w:hyperlink r:id="rId146">
        <w:r>
          <w:rPr>
            <w:color w:val="1155CC"/>
            <w:u w:val="single"/>
          </w:rPr>
          <w:t>在氧气进化反应中,单核粒子碰撞 高温阻断多元素合金中元素分离</w:t>
        </w:r>
      </w:hyperlink>
    </w:p>
    <w:p>
      <w:pPr>
        <w:spacing w:before="0" w:after="80"/>
      </w:pPr>
      <w:r>
        <w:rPr>
          <w:i/>
          <w:sz w:val="20"/>
        </w:rPr>
        <w:t>EN: Single‐Nanoparticle Collision Revealing High‐Entropy Suppression of Elemental Segregation in Multi‐Element Alloys During Oxygen Evolution Reaction</w:t>
      </w:r>
    </w:p>
    <w:p>
      <w:pPr>
        <w:spacing w:before="0" w:after="120"/>
      </w:pPr>
      <w:r>
        <w:rPr>
          <w:b/>
        </w:rPr>
        <w:t xml:space="preserve">Source: </w:t>
      </w:r>
      <w:r>
        <w:t>Wiley: Angewandte Chemie International Edition: Table of Contents</w:t>
      </w:r>
      <w:r>
        <w:t xml:space="preserve">    </w:t>
      </w:r>
      <w:r>
        <w:rPr>
          <w:b/>
        </w:rPr>
        <w:t xml:space="preserve">Pub date: </w:t>
      </w:r>
      <w:r>
        <w:t>2026-02-22 14:13:47+00:00</w:t>
      </w:r>
      <w:r>
        <w:t xml:space="preserve">    </w:t>
      </w:r>
      <w:r>
        <w:rPr>
          <w:b/>
        </w:rPr>
        <w:t xml:space="preserve">DOI: </w:t>
      </w:r>
      <w:hyperlink r:id="rId147">
        <w:r>
          <w:rPr>
            <w:color w:val="1155CC"/>
            <w:u w:val="single"/>
          </w:rPr>
          <w:t>10.1002/anie.202522707</w:t>
        </w:r>
      </w:hyperlink>
    </w:p>
    <w:p>
      <w:pPr>
        <w:spacing w:before="0" w:after="120"/>
      </w:pPr>
      <w:r>
        <w:rPr>
          <w:b/>
        </w:rPr>
        <w:t xml:space="preserve">Notes: </w:t>
      </w:r>
      <w:r>
        <w:t>abstract_source=crossref</w:t>
      </w:r>
    </w:p>
    <w:p>
      <w:pPr>
        <w:spacing w:before="0" w:after="80" w:lineRule="auto" w:line="276"/>
      </w:pPr>
      <w:r>
        <w:rPr>
          <w:b/>
        </w:rPr>
        <w:t xml:space="preserve">摘要（ZH）: </w:t>
      </w:r>
      <w:r>
        <w:t>在氧气进化反应(OER)中,合金催化剂的结构重建和元素分离是影响其活动和稳定的关键因素,而高当前密度引发的不可逆转的结构演变是导致性能退化的首要问题。在这里,我们设计了一个多元素合金纳米粒子(MEANP)模型电解器,从二进制(FeIr)到五进制合金(FeCoNiirRu),调节配置酶,以探索其对结构稳定性的影响。在扫描电化学细胞显微镜(SECCM)的基础上,采用了单核粒碰撞(SNC),以促进有效的大规模转移和超高当前密度,从而加速OER期间的结构演变。</w:t>
      </w:r>
    </w:p>
    <w:p>
      <w:pPr>
        <w:spacing w:before="0" w:after="200" w:lineRule="auto" w:line="276"/>
      </w:pPr>
      <w:r>
        <w:rPr>
          <w:b/>
        </w:rPr>
        <w:t xml:space="preserve">Abstract (EN): </w:t>
      </w:r>
      <w:r>
        <w:t>In the oxygen evolution reaction (OER), the structural reconstruction and elemental segregation of alloy catalysts are key factors influencing their activity and stability, while the irreversible structural evolution induced by high current density is the primary issue leading to performance degradation. Herein, we designed a multi‐element alloy nanoparticle (MEA‐NP) model electrocatalyst from binary (FeIr) to quinary alloy (FeCoNiIrRu), modulating the configuration entropy to explore its influence on structural stability. The single‐nanoparticle collision (SNC) based on scanning electrochemical cell microscopy (SECCM) was employed to facilitate efficient mass transfer and ultrahigh current density, thereby accelerating structural evolution during OER. By combining multidimensional feature extraction and clustering analysis of transient signals, it was found that increasing the number of constituent elements improves the structural stability under OER conditions, and high entropy effectively suppresses elemental segregation. Transmission electron microscopy (TEM), in situ Raman spectroscopy, and density functional theory (DFT) calculations further confirmed the advantages of the quinary alloy in terms of structural homogeneity and stability. This study established a statistical correlation between elemental segregation and single‐particle transient OER signals, proposed a strategy similar to “accelerated testing under extreme conditions”, providing new insights for the mechanistic study and rational design of OER catalysts.</w:t>
      </w:r>
    </w:p>
    <w:p>
      <w:pPr>
        <w:spacing w:before="120" w:after="120"/>
      </w:pPr>
      <w:r>
        <w:rPr>
          <w:sz w:val="18"/>
        </w:rPr>
        <w:t>——————————————————————————————————————————————————————————————————————</w:t>
      </w:r>
    </w:p>
    <w:p>
      <w:pPr>
        <w:spacing w:before="160" w:after="40" w:line="240" w:lineRule="auto"/>
      </w:pPr>
      <w:r>
        <w:rPr>
          <w:b/>
        </w:rPr>
        <w:t xml:space="preserve">[95] </w:t>
      </w:r>
      <w:hyperlink r:id="rId148">
        <w:r>
          <w:rPr>
            <w:color w:val="1155CC"/>
            <w:u w:val="single"/>
          </w:rPr>
          <w:t>RNA 使用 GTract- Supply Staple Oligomers 进行回收时的扩大配置目标</w:t>
        </w:r>
      </w:hyperlink>
    </w:p>
    <w:p>
      <w:pPr>
        <w:spacing w:before="0" w:after="80"/>
      </w:pPr>
      <w:r>
        <w:rPr>
          <w:i/>
          <w:sz w:val="20"/>
        </w:rPr>
        <w:t>EN: Expanded Gene Targeting in RNA Hacking With G‐Tract‐Supply Staple Oligomers</w:t>
      </w:r>
    </w:p>
    <w:p>
      <w:pPr>
        <w:spacing w:before="0" w:after="120"/>
      </w:pPr>
      <w:r>
        <w:rPr>
          <w:b/>
        </w:rPr>
        <w:t xml:space="preserve">Source: </w:t>
      </w:r>
      <w:r>
        <w:t>Wiley: Angewandte Chemie International Edition: Table of Contents</w:t>
      </w:r>
      <w:r>
        <w:t xml:space="preserve">    </w:t>
      </w:r>
      <w:r>
        <w:rPr>
          <w:b/>
        </w:rPr>
        <w:t xml:space="preserve">Pub date: </w:t>
      </w:r>
      <w:r>
        <w:t>2026-02-22 14:14:43+00:00</w:t>
      </w:r>
      <w:r>
        <w:t xml:space="preserve">    </w:t>
      </w:r>
      <w:r>
        <w:rPr>
          <w:b/>
        </w:rPr>
        <w:t xml:space="preserve">DOI: </w:t>
      </w:r>
      <w:hyperlink r:id="rId149">
        <w:r>
          <w:rPr>
            <w:color w:val="1155CC"/>
            <w:u w:val="single"/>
          </w:rPr>
          <w:t>10.1002/anie.202521666</w:t>
        </w:r>
      </w:hyperlink>
    </w:p>
    <w:p>
      <w:pPr>
        <w:spacing w:before="0" w:after="120"/>
      </w:pPr>
      <w:r>
        <w:rPr>
          <w:b/>
        </w:rPr>
        <w:t xml:space="preserve">Notes: </w:t>
      </w:r>
      <w:r>
        <w:t>abstract_source=crossref</w:t>
      </w:r>
    </w:p>
    <w:p>
      <w:pPr>
        <w:spacing w:before="0" w:after="80" w:lineRule="auto" w:line="276"/>
      </w:pPr>
      <w:r>
        <w:rPr>
          <w:b/>
        </w:rPr>
        <w:t xml:space="preserve">摘要（ZH）: </w:t>
      </w:r>
      <w:r>
        <w:t>RNA黑客(RNAh)是一种基因调节技术,它使用一种叫做Staple 寡核糖核酸(Staple oligomer)的短片寡核糖酸,诱导在目标 mRNA上形成RNA Gquadruplex结构。虽然RNAh有可能针对大约65%的人类 mRNAs,但它对其余基因的适用受到序列限制。在这里,我们介绍了Gátraptipleple Supple oligomer(Gsástaple oligomer),旨在扩大RNAh框架内的目标 mNAs的范围。在Staple oligomer(Gáple oligomer) 中加入 Gáplets会减轻序列限制,使更多范围的 mRNA 目标能够进入。 Gsásple oligomer 有效地抑制了目标蛋白在哺乳动物细胞和活体中的转化。此外,基因抑制了基因抑制。</w:t>
      </w:r>
    </w:p>
    <w:p>
      <w:pPr>
        <w:spacing w:before="0" w:after="200" w:lineRule="auto" w:line="276"/>
      </w:pPr>
      <w:r>
        <w:rPr>
          <w:b/>
        </w:rPr>
        <w:t xml:space="preserve">Abstract (EN): </w:t>
      </w:r>
      <w:r>
        <w:t>RNA hacking (RNAh) is a gene regulation technology that employs a short oligonucleotide, termed a Staple oligomer, to induce the formation of RNA G‐quadruplex structures on target mRNAs. While RNAh has the potential to target approximately 65% of human mRNAs, its applicability to the remaining genes is restricted by the sequence constraints. Herein, we present the G‐tract‐supply Staple oligomer (Gs‐Staple oligomer), designed to expand the range of targetable mRNAs within the RNAh framework. Incorporating G‐tracts into Staple oligomers alleviates the sequence constraints, enabling access to a broader range of mRNA targets. Gs‐Staple oligomers effectively suppressed the translation of target proteins in mammalian cells and in vivo. Furthermore, the gene suppression could be precisely modulated by adjusting the linker length between the G‐tracts. These findings have significantly expanded the versatility of RNAh, suggesting its potential for further development while highlighting its potential to be utilized as a nucleic acid‐based tool for research and clinical medicine.</w:t>
      </w:r>
    </w:p>
    <w:p>
      <w:pPr>
        <w:spacing w:before="120" w:after="120"/>
      </w:pPr>
      <w:r>
        <w:rPr>
          <w:sz w:val="18"/>
        </w:rPr>
        <w:t>——————————————————————————————————————————————————————————————————————</w:t>
      </w:r>
    </w:p>
    <w:p>
      <w:pPr>
        <w:spacing w:before="160" w:after="40" w:line="240" w:lineRule="auto"/>
      </w:pPr>
      <w:r>
        <w:rPr>
          <w:b/>
        </w:rPr>
        <w:t xml:space="preserve">[96] </w:t>
      </w:r>
      <w:hyperlink r:id="rId150">
        <w:r>
          <w:rPr>
            <w:color w:val="1155CC"/>
            <w:u w:val="single"/>
          </w:rPr>
          <w:t>Lanthanide 热铁结构中高效岩层三联式能源传输活壳工程</w:t>
        </w:r>
      </w:hyperlink>
    </w:p>
    <w:p>
      <w:pPr>
        <w:spacing w:before="0" w:after="80"/>
      </w:pPr>
      <w:r>
        <w:rPr>
          <w:i/>
          <w:sz w:val="20"/>
        </w:rPr>
        <w:t>EN: Active Shell Engineering for Efficient Cascade Triplet Energy Transfer in Lanthanide Heterostructures</w:t>
      </w:r>
    </w:p>
    <w:p>
      <w:pPr>
        <w:spacing w:before="0" w:after="120"/>
      </w:pPr>
      <w:r>
        <w:rPr>
          <w:b/>
        </w:rPr>
        <w:t xml:space="preserve">Source: </w:t>
      </w:r>
      <w:r>
        <w:t>Wiley: Angewandte Chemie International Edition: Table of Contents</w:t>
      </w:r>
      <w:r>
        <w:t xml:space="preserve">    </w:t>
      </w:r>
      <w:r>
        <w:rPr>
          <w:b/>
        </w:rPr>
        <w:t xml:space="preserve">Pub date: </w:t>
      </w:r>
      <w:r>
        <w:t>2026-02-22 14:15:44+00:00</w:t>
      </w:r>
      <w:r>
        <w:t xml:space="preserve">    </w:t>
      </w:r>
      <w:r>
        <w:rPr>
          <w:b/>
        </w:rPr>
        <w:t xml:space="preserve">DOI: </w:t>
      </w:r>
      <w:hyperlink r:id="rId151">
        <w:r>
          <w:rPr>
            <w:color w:val="1155CC"/>
            <w:u w:val="single"/>
          </w:rPr>
          <w:t>10.1002/anie.2017963</w:t>
        </w:r>
      </w:hyperlink>
    </w:p>
    <w:p>
      <w:pPr>
        <w:spacing w:before="0" w:after="120"/>
      </w:pPr>
      <w:r>
        <w:rPr>
          <w:b/>
        </w:rPr>
        <w:t xml:space="preserve">Notes: </w:t>
      </w:r>
      <w:r>
        <w:t>abstract_source=crossref</w:t>
      </w:r>
    </w:p>
    <w:p>
      <w:pPr>
        <w:spacing w:before="0" w:after="80" w:lineRule="auto" w:line="276"/>
      </w:pPr>
      <w:r>
        <w:rPr>
          <w:b/>
        </w:rPr>
        <w:t xml:space="preserve">摘要（ZH）: </w:t>
      </w:r>
      <w:r>
        <w:t>Lanthanidedoped纳米粒子(LnNPs)具有独特的光学特性,但受到严重的表面消化和吸收能力薄弱的影响,从根本上限制了它们的性能。在这里,我们展示了在精确设计的 NaYbF 4 @Ca0.8 F 2:Nd 0.2@9-anthracenecarboxylic 酸(ACA)外壳结构中突破的三联式三联式能源转移机制。这种核心/活性贝壳/有机分子配置将分子敏化与表面消能结合起来,将传统的惰性屏障转化为功能性能源管道。我们详细探索合成物。</w:t>
      </w:r>
    </w:p>
    <w:p>
      <w:pPr>
        <w:spacing w:before="0" w:after="200" w:lineRule="auto" w:line="276"/>
      </w:pPr>
      <w:r>
        <w:rPr>
          <w:b/>
        </w:rPr>
        <w:t xml:space="preserve">Abstract (EN): </w:t>
      </w:r>
      <w:r>
        <w:t>Lanthanide‐doped nanoparticles (LnNPs) exhibit unique optical properties but suffer from severe surface quenching and weak absorption that fundamentally limit their performance. Here, we demonstrate a breakthrough cascade triplet energy transfer (TET) mechanism in precisely engineered NaYbF</w:t>
      </w:r>
      <w:r>
        <w:rPr>
          <w:vertAlign w:val="subscript"/>
        </w:rPr>
        <w:t>4</w:t>
      </w:r>
      <w:r>
        <w:t>@Ca</w:t>
      </w:r>
      <w:r>
        <w:t xml:space="preserve"> </w:t>
      </w:r>
      <w:r>
        <w:t>0.8</w:t>
      </w:r>
      <w:r>
        <w:t xml:space="preserve"> </w:t>
      </w:r>
      <w:r>
        <w:t>F</w:t>
      </w:r>
      <w:r>
        <w:rPr>
          <w:vertAlign w:val="subscript"/>
        </w:rPr>
        <w:t>2</w:t>
      </w:r>
      <w:r>
        <w:t>:Nd</w:t>
      </w:r>
      <w:r>
        <w:t xml:space="preserve"> </w:t>
      </w:r>
      <w:r>
        <w:t>0.2</w:t>
      </w:r>
      <w:r>
        <w:t xml:space="preserve"> </w:t>
      </w:r>
      <w:r>
        <w:t>@9‐anthracenecarboxylic acid (ACA) heterostructures. This core/active shell/organic molecule configuration combines both molecular sensitization with surface passivation, transforming conventional inert barriers into functional energy conduits. We explore in detail the synthetic conditions required to grow not just optimally active shells but also how best to assemble the organic ligands on the surface of core‐shell LnNPs. Systematic shell thickness optimization (0.8–4.6 nm) reveals an optimal shell thickness of ∼2.0 nm. When coupled with an appropriate ligand exchange strategy, we achieve a remarkable 1200‐fold emission enhancement compared to bare cores. Comprehensive spectroscopic investigations confirm near‐unity TET efficiency and reveal the cascade TET mechanism utilizing Nd</w:t>
      </w:r>
      <w:r>
        <w:t xml:space="preserve"> </w:t>
      </w:r>
      <w:r>
        <w:t>3+</w:t>
      </w:r>
      <w:r>
        <w:t xml:space="preserve"> </w:t>
      </w:r>
      <w:r>
        <w:t>ions as energy intermediates to maximize the Yb</w:t>
      </w:r>
      <w:r>
        <w:t xml:space="preserve"> </w:t>
      </w:r>
      <w:r>
        <w:t>3+</w:t>
      </w:r>
      <w:r>
        <w:t xml:space="preserve"> </w:t>
      </w:r>
      <w:r>
        <w:t>emission. Thus, our mechanism and heterostructure design present one of the most promising synthetic strategies to overcome the existing limitations of traditional LnNPs, establishing new paradigms for high‐performance heterostructures with broad applications in bioimaging, photon conversion, and optoelectronic devices.</w:t>
      </w:r>
    </w:p>
    <w:p>
      <w:pPr>
        <w:spacing w:before="120" w:after="120"/>
      </w:pPr>
      <w:r>
        <w:rPr>
          <w:sz w:val="18"/>
        </w:rPr>
        <w:t>——————————————————————————————————————————————————————————————————————</w:t>
      </w:r>
    </w:p>
    <w:p>
      <w:pPr>
        <w:spacing w:before="160" w:after="40" w:line="240" w:lineRule="auto"/>
      </w:pPr>
      <w:r>
        <w:rPr>
          <w:b/>
        </w:rPr>
        <w:t xml:space="preserve">[97] </w:t>
      </w:r>
      <w:hyperlink r:id="rId152">
        <w:r>
          <w:rPr>
            <w:color w:val="1155CC"/>
            <w:u w:val="single"/>
          </w:rPr>
          <w:t>通过 " 实心中立使超高尼科尔·卡多德三重稳定 ",自组单子膜</w:t>
        </w:r>
      </w:hyperlink>
    </w:p>
    <w:p>
      <w:pPr>
        <w:spacing w:before="0" w:after="80"/>
      </w:pPr>
      <w:r>
        <w:rPr>
          <w:i/>
          <w:sz w:val="20"/>
        </w:rPr>
        <w:t>EN: A Self‐Assembled Single‐Ion Membrane via In Situ Neutralization Enables Triple Stability in Ultrahigh‐Nickel Cathodes</w:t>
      </w:r>
    </w:p>
    <w:p>
      <w:pPr>
        <w:spacing w:before="0" w:after="120"/>
      </w:pPr>
      <w:r>
        <w:rPr>
          <w:b/>
        </w:rPr>
        <w:t xml:space="preserve">Source: </w:t>
      </w:r>
      <w:r>
        <w:t>Wiley: Angewandte Chemie International Edition: Table of Contents</w:t>
      </w:r>
      <w:r>
        <w:t xml:space="preserve">    </w:t>
      </w:r>
      <w:r>
        <w:rPr>
          <w:b/>
        </w:rPr>
        <w:t xml:space="preserve">Pub date: </w:t>
      </w:r>
      <w:r>
        <w:t>2026-02-22 14:18:22+00:00</w:t>
      </w:r>
      <w:r>
        <w:t xml:space="preserve">    </w:t>
      </w:r>
      <w:r>
        <w:rPr>
          <w:b/>
        </w:rPr>
        <w:t xml:space="preserve">DOI: </w:t>
      </w:r>
      <w:hyperlink r:id="rId153">
        <w:r>
          <w:rPr>
            <w:color w:val="1155CC"/>
            <w:u w:val="single"/>
          </w:rPr>
          <w:t>10.1002/anie.202524314</w:t>
        </w:r>
      </w:hyperlink>
    </w:p>
    <w:p>
      <w:pPr>
        <w:spacing w:before="0" w:after="120"/>
      </w:pPr>
      <w:r>
        <w:rPr>
          <w:b/>
        </w:rPr>
        <w:t xml:space="preserve">Notes: </w:t>
      </w:r>
      <w:r>
        <w:t>abstract_source=crossref</w:t>
      </w:r>
    </w:p>
    <w:p>
      <w:pPr>
        <w:spacing w:before="0" w:after="80" w:lineRule="auto" w:line="276"/>
      </w:pPr>
      <w:r>
        <w:rPr>
          <w:b/>
        </w:rPr>
        <w:t xml:space="preserve">摘要（ZH）: </w:t>
      </w:r>
      <w:r>
        <w:t>ABSTACT UBSTRACT 超高层氧化物( Ni  90%) 具有特殊能力,但受到严重的空气敏感度、热稳定性差和快速能力衰减的影响。 迄今为止,与单一综合战略同时解决所有三个瓶颈问题仍是一项重大挑战,这严重阻碍了超高层氧化物的大规模商业部署。 此处,一个新的自组装单子导体膜(Membrane ), 其特点是特殊的缺水性、卓越的热稳定性( &amp; gt; 445°C ) 和对PF 6 - 蚂蚁的强烈排斥(Donan), 其合理设计的目的是从整体上增强空气稳定性、耐热性、抗热性、抗热性、抗热性、抗热性、抗热性、抗热性、抗热性等。</w:t>
      </w:r>
    </w:p>
    <w:p>
      <w:pPr>
        <w:spacing w:before="0" w:after="200" w:lineRule="auto" w:line="276"/>
      </w:pPr>
      <w:r>
        <w:rPr>
          <w:b/>
        </w:rPr>
        <w:t xml:space="preserve">Abstract (EN): </w:t>
      </w:r>
      <w:r>
        <w:t>Ultrahigh‐nickel layered oxides (Ni ≥ 90%) offer exceptional specific capacity but suffer from severe air sensitivity, poor thermal stability, and rapid capacity decay. To date, it is still a significant challenge to address all three bottlenecks simultaneously with a single and integrated strategy, which have severely hindered the large‐scale commercial deployment of ultrahigh‐nickel layered oxide cathodes. Herein, a novel self‐assembling single‐ion conductor membrane, featuring exceptional hydrophobicity, outstanding thermal stability (&amp;gt;445°C), and strong Donnan exclusion against PF</w:t>
      </w:r>
      <w:r>
        <w:rPr>
          <w:vertAlign w:val="subscript"/>
        </w:rPr>
        <w:t>6</w:t>
      </w:r>
      <w:r>
        <w:t>−</w:t>
      </w:r>
      <w:r>
        <w:t>anions, is rationally engineered to holistically enhance the air stability, heat resistance, and electrochemical performance of ultrahigh‐nickel layered oxide cathodes. The N‐cyano‐sulfonamide group on membrane undergoes an in‐situ neutralization reaction with residual LiOH/Li</w:t>
      </w:r>
      <w:r>
        <w:rPr>
          <w:vertAlign w:val="subscript"/>
        </w:rPr>
        <w:t>2</w:t>
      </w:r>
      <w:r>
        <w:t>CO</w:t>
      </w:r>
      <w:r>
        <w:rPr>
          <w:vertAlign w:val="subscript"/>
        </w:rPr>
        <w:t>3</w:t>
      </w:r>
      <w:r>
        <w:t>on the LiNi</w:t>
      </w:r>
      <w:r>
        <w:t xml:space="preserve"> </w:t>
      </w:r>
      <w:r>
        <w:t>0.9</w:t>
      </w:r>
      <w:r>
        <w:t xml:space="preserve"> </w:t>
      </w:r>
      <w:r>
        <w:t>Co</w:t>
      </w:r>
      <w:r>
        <w:t xml:space="preserve"> </w:t>
      </w:r>
      <w:r>
        <w:t>0.05</w:t>
      </w:r>
      <w:r>
        <w:t xml:space="preserve"> </w:t>
      </w:r>
      <w:r>
        <w:t>Mn</w:t>
      </w:r>
      <w:r>
        <w:t xml:space="preserve"> </w:t>
      </w:r>
      <w:r>
        <w:t>0.05</w:t>
      </w:r>
      <w:r>
        <w:t xml:space="preserve"> </w:t>
      </w:r>
      <w:r>
        <w:t>O</w:t>
      </w:r>
      <w:r>
        <w:rPr>
          <w:vertAlign w:val="subscript"/>
        </w:rPr>
        <w:t>2</w:t>
      </w:r>
      <w:r>
        <w:t>(NCM9055), which drives it migration toward the cathode surface and form a self‐assembled protective coating with pronounced hydrophobicity and strong Donnan exclusion. As a result, 3.5 Ah NCM9055/Gr pouch battery demonstrates a commendable capacity retention of 94.97% after 500 cycles. meanwhile the onset temperature of thermal runaway was significantly elevated from 124.2°C to 158.2°C. This work establishes a unified interfacial engineering paradigm that simultaneously addresses the long‐standing triad of bottlenecks plaguing ultrahigh‐nickel layered oxide cathodes, offering a scalable and industrially viable pathway toward safe, long‐life, high‐energy‐density lithium‐ion batteries (LIBs).</w:t>
      </w:r>
    </w:p>
    <w:p>
      <w:pPr>
        <w:spacing w:before="120" w:after="120"/>
      </w:pPr>
      <w:r>
        <w:rPr>
          <w:sz w:val="18"/>
        </w:rPr>
        <w:t>——————————————————————————————————————————————————————————————————————</w:t>
      </w:r>
    </w:p>
    <w:p>
      <w:pPr>
        <w:spacing w:before="160" w:after="40" w:line="240" w:lineRule="auto"/>
      </w:pPr>
      <w:r>
        <w:rPr>
          <w:b/>
        </w:rPr>
        <w:t xml:space="preserve">[98] </w:t>
      </w:r>
      <w:hyperlink r:id="rId154">
        <w:r>
          <w:rPr>
            <w:color w:val="1155CC"/>
            <w:u w:val="single"/>
          </w:rPr>
          <w:t>中度压力中CO2和N2产生的高效电化铀尿合成</w:t>
        </w:r>
      </w:hyperlink>
    </w:p>
    <w:p>
      <w:pPr>
        <w:spacing w:before="0" w:after="80"/>
      </w:pPr>
      <w:r>
        <w:rPr>
          <w:i/>
          <w:sz w:val="20"/>
        </w:rPr>
        <w:t>EN: Efficient Electrochemical Urea Synthesis From CO2 and N2 in Moderate Pressure</w:t>
      </w:r>
    </w:p>
    <w:p>
      <w:pPr>
        <w:spacing w:before="0" w:after="120"/>
      </w:pPr>
      <w:r>
        <w:rPr>
          <w:b/>
        </w:rPr>
        <w:t xml:space="preserve">Source: </w:t>
      </w:r>
      <w:r>
        <w:t>Wiley: Angewandte Chemie International Edition: Table of Contents</w:t>
      </w:r>
      <w:r>
        <w:t xml:space="preserve">    </w:t>
      </w:r>
      <w:r>
        <w:rPr>
          <w:b/>
        </w:rPr>
        <w:t xml:space="preserve">Pub date: </w:t>
      </w:r>
      <w:r>
        <w:t>2026-02-22 14:21:23+00:00</w:t>
      </w:r>
      <w:r>
        <w:t xml:space="preserve">    </w:t>
      </w:r>
      <w:r>
        <w:rPr>
          <w:b/>
        </w:rPr>
        <w:t xml:space="preserve">DOI: </w:t>
      </w:r>
      <w:hyperlink r:id="rId155">
        <w:r>
          <w:rPr>
            <w:color w:val="1155CC"/>
            <w:u w:val="single"/>
          </w:rPr>
          <w:t>10.1002/anie.8253479</w:t>
        </w:r>
      </w:hyperlink>
    </w:p>
    <w:p>
      <w:pPr>
        <w:spacing w:before="0" w:after="120"/>
      </w:pPr>
      <w:r>
        <w:rPr>
          <w:b/>
        </w:rPr>
        <w:t xml:space="preserve">Notes: </w:t>
      </w:r>
      <w:r>
        <w:t>abstract_source=crossref</w:t>
      </w:r>
    </w:p>
    <w:p>
      <w:pPr>
        <w:spacing w:before="0" w:after="80" w:lineRule="auto" w:line="276"/>
      </w:pPr>
      <w:r>
        <w:rPr>
          <w:b/>
        </w:rPr>
        <w:t xml:space="preserve">摘要（ZH）: </w:t>
      </w:r>
      <w:r>
        <w:t>虽然电化学氮固氮化是利用可再生电力实现氮循环革命化的可持续途径,但氢进化反应在水系统N2的激活中压倒性压倒性压倒性强,对同时实现高生产率和法拉达效率造成根本限制,受Le Chaterier原则的启发,在这项工作中,适当的压力场是创新式的,同时电化学减少进入N 2 °CO 2 联合化尿素合成系统,同时抑制CO/H 2的气体副产品。</w:t>
      </w:r>
    </w:p>
    <w:p>
      <w:pPr>
        <w:spacing w:before="0" w:after="200" w:lineRule="auto" w:line="276"/>
      </w:pPr>
      <w:r>
        <w:rPr>
          <w:b/>
        </w:rPr>
        <w:t xml:space="preserve">Abstract (EN): </w:t>
      </w:r>
      <w:r>
        <w:t>Although electrochemical nitrogen fixation emerges as a sustainable pathway to revolutionize the nitrogen cycle using renewable electricity, the overwhelming dominance of the hydrogen evolution reaction over N</w:t>
      </w:r>
      <w:r>
        <w:rPr>
          <w:vertAlign w:val="subscript"/>
        </w:rPr>
        <w:t>2</w:t>
      </w:r>
      <w:r>
        <w:t>activation in aqueous systems imposes fundamental limitations on simultaneously achieving high production rates and Faradaic efficiency. Inspired by Le Chatelier's principle, in this work, an appropriate pressure field was innovatively coupled with electrochemical reduction into the N</w:t>
      </w:r>
      <w:r>
        <w:rPr>
          <w:vertAlign w:val="subscript"/>
        </w:rPr>
        <w:t>2</w:t>
      </w:r>
      <w:r>
        <w:t>‐CO</w:t>
      </w:r>
      <w:r>
        <w:rPr>
          <w:vertAlign w:val="subscript"/>
        </w:rPr>
        <w:t>2</w:t>
      </w:r>
      <w:r>
        <w:t>co‐fed urea synthesis system, achieving concurrently suppression of gaseous byproducts of CO/H</w:t>
      </w:r>
      <w:r>
        <w:rPr>
          <w:vertAlign w:val="subscript"/>
        </w:rPr>
        <w:t>2</w:t>
      </w:r>
      <w:r>
        <w:t>and enhancement of C–N coupling. Atomically dispersed amorphous Bi</w:t>
      </w:r>
      <w:r>
        <w:t xml:space="preserve"> </w:t>
      </w:r>
      <w:r>
        <w:t>x</w:t>
      </w:r>
      <w:r>
        <w:t xml:space="preserve"> </w:t>
      </w:r>
      <w:r>
        <w:t>Ni</w:t>
      </w:r>
      <w:r>
        <w:t xml:space="preserve"> </w:t>
      </w:r>
      <w:r>
        <w:t>1‐</w:t>
      </w:r>
      <w:r>
        <w:t xml:space="preserve"> </w:t>
      </w:r>
      <w:r>
        <w:t>x</w:t>
      </w:r>
      <w:r>
        <w:t xml:space="preserve"> </w:t>
      </w:r>
      <w:r>
        <w:t>O</w:t>
      </w:r>
      <w:r>
        <w:t xml:space="preserve"> </w:t>
      </w:r>
      <w:r>
        <w:t>y</w:t>
      </w:r>
      <w:r>
        <w:t xml:space="preserve"> </w:t>
      </w:r>
      <w:r>
        <w:t>clusters were engineered as tandem catalyst, the pressure‐driven in situ electronic modulation of the liquid‐immersed catalyst—originating from increased surface coverage—is for the first time confirmed: Bi sites exhibit a progressive increase in oxidation state, while Ni centers undergo gradual reduction. The rational atomic‐scale integration of multimetallic active centers and system engineering principles for interfacial microenvironment modulation via moderate pressurization achieved breakthrough performance with a high urea production rate of 8.71 mmol h</w:t>
      </w:r>
      <w:r>
        <w:t xml:space="preserve"> </w:t>
      </w:r>
      <w:r>
        <w:t>−1</w:t>
      </w:r>
      <w:r>
        <w:t xml:space="preserve"> </w:t>
      </w:r>
      <w:r>
        <w:t>g</w:t>
      </w:r>
      <w:r>
        <w:t xml:space="preserve"> </w:t>
      </w:r>
      <w:r>
        <w:t>−1</w:t>
      </w:r>
      <w:r>
        <w:t xml:space="preserve"> </w:t>
      </w:r>
      <w:r>
        <w:t>cat</w:t>
      </w:r>
      <w:r>
        <w:t xml:space="preserve"> </w:t>
      </w:r>
      <w:r>
        <w:t>, coupled with remarkable 50% nitrogen fixation efficiency, pointing to one of the best catalysts in aqueous systems among those reported so far. By integrating pressure engineering with atomic‐scale catalyst design, this work provides a guiding paradigm for gas‐involved electrochemical reactions.</w:t>
      </w:r>
    </w:p>
    <w:p>
      <w:pPr>
        <w:spacing w:before="120" w:after="120"/>
      </w:pPr>
      <w:r>
        <w:rPr>
          <w:sz w:val="18"/>
        </w:rPr>
        <w:t>——————————————————————————————————————————————————————————————————————</w:t>
      </w:r>
    </w:p>
    <w:p>
      <w:pPr>
        <w:spacing w:before="160" w:after="40" w:line="240" w:lineRule="auto"/>
      </w:pPr>
      <w:r>
        <w:rPr>
          <w:b/>
        </w:rPr>
        <w:t xml:space="preserve">[99] </w:t>
      </w:r>
      <w:hyperlink r:id="rId156">
        <w:r>
          <w:rPr>
            <w:color w:val="1155CC"/>
            <w:u w:val="single"/>
          </w:rPr>
          <w:t>自组的电离聚体加速液态聚体通过微相运输</w:t>
        </w:r>
      </w:hyperlink>
    </w:p>
    <w:p>
      <w:pPr>
        <w:spacing w:before="0" w:after="80"/>
      </w:pPr>
      <w:r>
        <w:rPr>
          <w:i/>
          <w:sz w:val="20"/>
        </w:rPr>
        <w:t>EN: Self‐Assembled Ionic Clusters Accelerate Li‐Ion Transport Through Microphase‐Separated Polyelectrolytes</w:t>
      </w:r>
    </w:p>
    <w:p>
      <w:pPr>
        <w:spacing w:before="0" w:after="120"/>
      </w:pPr>
      <w:r>
        <w:rPr>
          <w:b/>
        </w:rPr>
        <w:t xml:space="preserve">Source: </w:t>
      </w:r>
      <w:r>
        <w:t>Wiley: Angewandte Chemie International Edition: Table of Contents</w:t>
      </w:r>
      <w:r>
        <w:t xml:space="preserve">    </w:t>
      </w:r>
      <w:r>
        <w:rPr>
          <w:b/>
        </w:rPr>
        <w:t xml:space="preserve">Pub date: </w:t>
      </w:r>
      <w:r>
        <w:t>2026-02-22 14:21:59+00:00</w:t>
      </w:r>
      <w:r>
        <w:t xml:space="preserve">    </w:t>
      </w:r>
      <w:r>
        <w:rPr>
          <w:b/>
        </w:rPr>
        <w:t xml:space="preserve">DOI: </w:t>
      </w:r>
      <w:hyperlink r:id="rId157">
        <w:r>
          <w:rPr>
            <w:color w:val="1155CC"/>
            <w:u w:val="single"/>
          </w:rPr>
          <w:t>10.1002/anie.202525597</w:t>
        </w:r>
      </w:hyperlink>
    </w:p>
    <w:p>
      <w:pPr>
        <w:spacing w:before="0" w:after="120"/>
      </w:pPr>
      <w:r>
        <w:rPr>
          <w:b/>
        </w:rPr>
        <w:t xml:space="preserve">Notes: </w:t>
      </w:r>
      <w:r>
        <w:t>abstract_source=crossref</w:t>
      </w:r>
    </w:p>
    <w:p>
      <w:pPr>
        <w:spacing w:before="0" w:after="80" w:lineRule="auto" w:line="276"/>
      </w:pPr>
      <w:r>
        <w:rPr>
          <w:b/>
        </w:rPr>
        <w:t xml:space="preserve">摘要（ZH）: </w:t>
      </w:r>
      <w:r>
        <w:t>ABSTACT 精确度、 离子协调的分子级控制和中尺度形态学对于将固体聚合物电解液推向下一代电池所要求的导电率和机械坚固度度度是不可或缺的。 这里我们引入了一种弹性微相聚电解(EMP), 其热动力驱动微相分离自合体Li+丰富的离子聚体。 这些集群将一个动态、 渗透导电网络合在一起, 达到2.9× 10- 4 Scm-1的高离子导率, 在室温下达到0.67的高度里+传导号。</w:t>
      </w:r>
    </w:p>
    <w:p>
      <w:pPr>
        <w:spacing w:before="0" w:after="200" w:lineRule="auto" w:line="276"/>
      </w:pPr>
      <w:r>
        <w:rPr>
          <w:b/>
        </w:rPr>
        <w:t xml:space="preserve">Abstract (EN): </w:t>
      </w:r>
      <w:r>
        <w:t>Precise, molecular‐level control of ion coordination and mesoscale morphology is essential for pushing solid polymer electrolytes toward the conductivity and mechanical robustness metrics demanded by next‐generation batteries. Here we introduce an elastic microphase polyelectrolyte (EMP) whose thermodynamically driven microphase separation self‐assembles Li</w:t>
      </w:r>
      <w:r>
        <w:t xml:space="preserve"> </w:t>
      </w:r>
      <w:r>
        <w:t>+</w:t>
      </w:r>
      <w:r>
        <w:t xml:space="preserve"> </w:t>
      </w:r>
      <w:r>
        <w:t>‐rich ionic clusters. These clusters stitch together a dynamic, percolating conduction network that achieves high ionic conductivity of 2.9 × 10</w:t>
      </w:r>
      <w:r>
        <w:t xml:space="preserve"> </w:t>
      </w:r>
      <w:r>
        <w:t>−4</w:t>
      </w:r>
      <w:r>
        <w:t xml:space="preserve"> </w:t>
      </w:r>
      <w:r>
        <w:t>S cm</w:t>
      </w:r>
      <w:r>
        <w:t xml:space="preserve"> </w:t>
      </w:r>
      <w:r>
        <w:t>−1</w:t>
      </w:r>
      <w:r>
        <w:t xml:space="preserve"> </w:t>
      </w:r>
      <w:r>
        <w:t>and a high Li</w:t>
      </w:r>
      <w:r>
        <w:t xml:space="preserve"> </w:t>
      </w:r>
      <w:r>
        <w:t>+</w:t>
      </w:r>
      <w:r>
        <w:t xml:space="preserve"> </w:t>
      </w:r>
      <w:r>
        <w:t>transference number of 0.67 at room temperature.</w:t>
      </w:r>
      <w:r>
        <w:t xml:space="preserve"> </w:t>
      </w:r>
      <w:r>
        <w:t>Operando</w:t>
      </w:r>
      <w:r>
        <w:t xml:space="preserve"> </w:t>
      </w:r>
      <w:r>
        <w:t>galvanostatic impedance spectroscopy uncovers a field‐responsive boost in conductivity—from 4.1 × 10</w:t>
      </w:r>
      <w:r>
        <w:t xml:space="preserve"> </w:t>
      </w:r>
      <w:r>
        <w:t>−4</w:t>
      </w:r>
      <w:r>
        <w:t xml:space="preserve"> </w:t>
      </w:r>
      <w:r>
        <w:t>to 1.9 × 10</w:t>
      </w:r>
      <w:r>
        <w:t xml:space="preserve"> </w:t>
      </w:r>
      <w:r>
        <w:t>−3</w:t>
      </w:r>
      <w:r>
        <w:t xml:space="preserve"> </w:t>
      </w:r>
      <w:r>
        <w:t>S cm</w:t>
      </w:r>
      <w:r>
        <w:t xml:space="preserve"> </w:t>
      </w:r>
      <w:r>
        <w:t>−1</w:t>
      </w:r>
      <w:r>
        <w:t xml:space="preserve"> </w:t>
      </w:r>
      <w:r>
        <w:t>as the current density increases from 25 to 200 µA cm</w:t>
      </w:r>
      <w:r>
        <w:t xml:space="preserve"> </w:t>
      </w:r>
      <w:r>
        <w:t>−2</w:t>
      </w:r>
      <w:r>
        <w:t xml:space="preserve"> </w:t>
      </w:r>
      <w:r>
        <w:t>—evidence of bias‐induced cluster reconfiguration. Mechanically, the EMP combines high elasticity with self‐healing, ensuring intimate, long‐lived electrode contact. When paired with a 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cathode, solid‐state cells retain 93.92% of their initial capacity after 50 cycles under a high‐capacity loading of ∼2.0 mAh cm</w:t>
      </w:r>
      <w:r>
        <w:t xml:space="preserve"> </w:t>
      </w:r>
      <w:r>
        <w:t>−2</w:t>
      </w:r>
      <w:r>
        <w:t xml:space="preserve"> </w:t>
      </w:r>
      <w:r>
        <w:t>. By demonstrating how supramolecular ionic assembly can be harnessed to couple ion transport, mechanics, and electrochemical stability, this work lays a versatile design platform for high‐performance, solid‐state lithium batteries.</w:t>
      </w:r>
    </w:p>
    <w:p>
      <w:pPr>
        <w:spacing w:before="120" w:after="120"/>
      </w:pPr>
      <w:r>
        <w:rPr>
          <w:sz w:val="18"/>
        </w:rPr>
        <w:t>——————————————————————————————————————————————————————————————————————</w:t>
      </w:r>
    </w:p>
    <w:p>
      <w:pPr>
        <w:spacing w:before="160" w:after="40" w:line="240" w:lineRule="auto"/>
      </w:pPr>
      <w:r>
        <w:rPr>
          <w:b/>
        </w:rPr>
        <w:t xml:space="preserve">[100] </w:t>
      </w:r>
      <w:hyperlink r:id="rId158">
        <w:r>
          <w:rPr>
            <w:color w:val="1155CC"/>
            <w:u w:val="single"/>
          </w:rPr>
          <w:t>通过以太 -- -- 以斯特 -- 溶液合合能能高性能高性能在低温条件下的金属电池</w:t>
        </w:r>
      </w:hyperlink>
    </w:p>
    <w:p>
      <w:pPr>
        <w:spacing w:before="0" w:after="80"/>
      </w:pPr>
      <w:r>
        <w:rPr>
          <w:i/>
          <w:sz w:val="20"/>
        </w:rPr>
        <w:t>EN: Hierarchical Solvation Chemistry via Ether–Ester–Cosolvent Synergy Enables High‐Performance Lithium‐Metal Batteries at a Low Temperature</w:t>
      </w:r>
    </w:p>
    <w:p>
      <w:pPr>
        <w:spacing w:before="0" w:after="120"/>
      </w:pPr>
      <w:r>
        <w:rPr>
          <w:b/>
        </w:rPr>
        <w:t xml:space="preserve">Source: </w:t>
      </w:r>
      <w:r>
        <w:t>Wiley: Angewandte Chemie International Edition: Table of Contents</w:t>
      </w:r>
      <w:r>
        <w:t xml:space="preserve">    </w:t>
      </w:r>
      <w:r>
        <w:rPr>
          <w:b/>
        </w:rPr>
        <w:t xml:space="preserve">Pub date: </w:t>
      </w:r>
      <w:r>
        <w:t>2026-02-22 14:31:04+00:00</w:t>
      </w:r>
      <w:r>
        <w:t xml:space="preserve">    </w:t>
      </w:r>
      <w:r>
        <w:rPr>
          <w:b/>
        </w:rPr>
        <w:t xml:space="preserve">DOI: </w:t>
      </w:r>
      <w:hyperlink r:id="rId159">
        <w:r>
          <w:rPr>
            <w:color w:val="1155CC"/>
            <w:u w:val="single"/>
          </w:rPr>
          <w:t>10.1002/anie.202525991</w:t>
        </w:r>
      </w:hyperlink>
    </w:p>
    <w:p>
      <w:pPr>
        <w:spacing w:before="0" w:after="120"/>
      </w:pPr>
      <w:r>
        <w:rPr>
          <w:b/>
        </w:rPr>
        <w:t xml:space="preserve">Notes: </w:t>
      </w:r>
      <w:r>
        <w:t>abstract_source=crossref</w:t>
      </w:r>
    </w:p>
    <w:p>
      <w:pPr>
        <w:spacing w:before="0" w:after="80" w:lineRule="auto" w:line="276"/>
      </w:pPr>
      <w:r>
        <w:rPr>
          <w:b/>
        </w:rPr>
        <w:t xml:space="preserve">摘要（ZH）: </w:t>
      </w:r>
      <w:r>
        <w:t>ABSTACT 锂金属电池(LMBs) 具有高能量密度,但经常在低温或高氯酸盐等极端条件下受到快速降解的困扰,这种性能衰减主要源于低力的李+运输动动能和传统电解解溶性高强度能源。在这里,我们设计了一个等级分解的电解解解系统,由微弱协调的醚(四氢、THP)组成,一种高度协调的酯(甲基丙烯酸酯、MP)和二氟(氧化物)磺酸锂(LiDFOB)组成。这种分子结构促进一种静电浓缩初级溶液层,有效地将李所需的活化能量减少到最低程度。</w:t>
      </w:r>
    </w:p>
    <w:p>
      <w:pPr>
        <w:spacing w:before="0" w:after="200" w:lineRule="auto" w:line="276"/>
      </w:pPr>
      <w:r>
        <w:rPr>
          <w:b/>
        </w:rPr>
        <w:t xml:space="preserve">Abstract (EN): </w:t>
      </w:r>
      <w:r>
        <w:t>Lithium metal batteries (LMBs) offer high energy densities but are frequently plagued by rapid degradation under extreme conditions, such as low temperatures or high C‐rates. This performance decay stems primarily from sluggish Li</w:t>
      </w:r>
      <w:r>
        <w:t xml:space="preserve"> </w:t>
      </w:r>
      <w:r>
        <w:t>+</w:t>
      </w:r>
      <w:r>
        <w:t xml:space="preserve"> </w:t>
      </w:r>
      <w:r>
        <w:t>transport kinetics and high desolvation energy penalties imposed by conventional electrolytes. Herein, we engineer a hierarchically solvating electrolyte system comprising a weakly coordinating ether (tetrahydropyran, THP), a strongly coordinating ester (methyl propionate, MP), and lithium difluoro(oxalato)borate (LiDFOB). This molecular configuration fosters an anion‐enriched primary solvation sheath, effectively minimizing the activation energy required for Li</w:t>
      </w:r>
      <w:r>
        <w:t xml:space="preserve"> </w:t>
      </w:r>
      <w:r>
        <w:t>+</w:t>
      </w:r>
      <w:r>
        <w:t xml:space="preserve"> </w:t>
      </w:r>
      <w:r>
        <w:t>desolvation. Furthermore, the incorporation of trifluorotoluene (TFT) as a non‐solvating diluent modulates the local solvation structure toward aggregate dominance, thereby promoting the formation of a compact and homogeneous solid electrolyte interphase (SEI). Through precise compositional tuning, we achieve a robust SEI architecture characterized by the uniform distribution of ductile organic matrices and high‐modulus inorganic species. This mosaic structure provides an optimal mechanical balance of rigidity and elasticity, preserving interfacial integrity during prolonged cycling at cryogenic temperatures. Consequently, Li||Li symmetric cells exhibit ultrastable cycling for over 6000 h at −25°C. In Li||LiCoO</w:t>
      </w:r>
      <w:r>
        <w:t xml:space="preserve"> </w:t>
      </w:r>
      <w:r>
        <w:t>2​</w:t>
      </w:r>
      <w:r>
        <w:t xml:space="preserve"> </w:t>
      </w:r>
      <w:r>
        <w:t>full cells, the electrolyte supports 400 stable cycles, retaining 85.5% and 66.2% of the nominal room‐temperature capacity at −25°C and −45°C, respectively. These findings offer critical design principles for tailoring solvation chemistry to enable high‐performance LMBs in extreme environments.</w:t>
      </w:r>
    </w:p>
    <w:p>
      <w:pPr>
        <w:spacing w:before="120" w:after="120"/>
      </w:pPr>
      <w:r>
        <w:rPr>
          <w:sz w:val="18"/>
        </w:rPr>
        <w:t>——————————————————————————————————————————————————————————————————————</w:t>
      </w:r>
    </w:p>
    <w:p>
      <w:pPr>
        <w:spacing w:before="160" w:after="40" w:line="240" w:lineRule="auto"/>
      </w:pPr>
      <w:r>
        <w:rPr>
          <w:b/>
        </w:rPr>
        <w:t xml:space="preserve">[101] </w:t>
      </w:r>
      <w:hyperlink r:id="rId160">
        <w:r>
          <w:rPr>
            <w:color w:val="1155CC"/>
            <w:u w:val="single"/>
          </w:rPr>
          <w:t>[ASAP] 原子溴层作为分子旋动调节的圆环脱钩辅助层的原子溴层</w:t>
        </w:r>
      </w:hyperlink>
    </w:p>
    <w:p>
      <w:pPr>
        <w:spacing w:before="0" w:after="80"/>
      </w:pPr>
      <w:r>
        <w:rPr>
          <w:i/>
          <w:sz w:val="20"/>
        </w:rPr>
        <w:t>EN: [ASAP] Atomic Bromine Layer as a Hole-Doping Decoupling Adlayer for Molecular Spin Modulation</w:t>
      </w:r>
    </w:p>
    <w:p>
      <w:pPr>
        <w:spacing w:before="0" w:after="120"/>
      </w:pPr>
      <w:r>
        <w:rPr>
          <w:b/>
        </w:rPr>
        <w:t xml:space="preserve">Source: </w:t>
      </w:r>
      <w:r>
        <w:t>Journal of the American Chemical Society: Latest Articles (ACS Publications)</w:t>
      </w:r>
      <w:r>
        <w:t xml:space="preserve">    </w:t>
      </w:r>
      <w:r>
        <w:rPr>
          <w:b/>
        </w:rPr>
        <w:t xml:space="preserve">Pub date: </w:t>
      </w:r>
      <w:r>
        <w:t>2026-02-22 17:57:10+00:00</w:t>
      </w:r>
      <w:r>
        <w:t xml:space="preserve">    </w:t>
      </w:r>
      <w:r>
        <w:rPr>
          <w:b/>
        </w:rPr>
        <w:t xml:space="preserve">DOI: </w:t>
      </w:r>
      <w:hyperlink r:id="rId161">
        <w:r>
          <w:rPr>
            <w:color w:val="1155CC"/>
            <w:u w:val="single"/>
          </w:rPr>
          <w:t>10.1021/jacs.5c22563</w:t>
        </w:r>
      </w:hyperlink>
    </w:p>
    <w:p>
      <w:pPr>
        <w:spacing w:before="0" w:after="120"/>
      </w:pPr>
      <w:r>
        <w:rPr>
          <w:b/>
        </w:rPr>
        <w:t xml:space="preserve">Notes: </w:t>
      </w:r>
      <w:r>
        <w:t>abstract_source=pubmed</w:t>
      </w:r>
    </w:p>
    <w:p>
      <w:pPr>
        <w:spacing w:before="0" w:after="80" w:lineRule="auto" w:line="276"/>
      </w:pPr>
      <w:r>
        <w:rPr>
          <w:b/>
        </w:rPr>
        <w:t xml:space="preserve">摘要（ZH）: </w:t>
      </w:r>
      <w:r>
        <w:t>控制表面封闭的分子旋转是分子基纳米技术的一个中心挑战,分子装置经常由与固体表面接触的功能分子制造,在这里,综合扫描隧道显微镜/分光镜和密度功能理论研究表明,Au(111)的原子溴单层在调制吸附层3d金属phlocyanine(MPcs、M=Fe和Co)的旋形配置方面起着关键作用。Br层显示出一个巨大的波段差距,能够有效地将MPc分子从Au基底基底的亚基体中分离出来,并能够对分子内旋刺激进行实验性探测。此外,Br层可以大大增加表层工作功能,从而导致吸附层和CMPc的洞喷洒。</w:t>
      </w:r>
    </w:p>
    <w:p>
      <w:pPr>
        <w:spacing w:before="0" w:after="200" w:lineRule="auto" w:line="276"/>
      </w:pPr>
      <w:r>
        <w:rPr>
          <w:b/>
        </w:rPr>
        <w:t xml:space="preserve">Abstract (EN): </w:t>
      </w:r>
      <w:r>
        <w:t>Controlling surface-confined molecular spin is a central challenge for molecule-based nanotechnologies where molecular devices are frequently fabricated by functional molecules in contact with solid surfaces. Herein, combined scanning tunneling microscopy/spectroscopy and density functional theory studies demonstrate the crucial role of an atomic bromine monolayer on Au(111) in modulating the spin configurations of the adsorbed 3d metal phthalocyanines (MPcs, M = Fe and Co). The Br layer exhibits a large band gap that can efficiently decouple the MPc molecules from their underlying Au substrate and enable experimental detections of the intramolecular spin excitations. Moreover, the Br layer can significantly increase surface work function that induces hole doping of the adsorbed MPcs and consequently modulates their magnetic moments. These results indicate that the atomic Br layer can well serve as a dual-functional ultrathin film for both decoupling and hole doping and hence offer a versatile platform for probing and harnessing magnetic molecules in the fields of molecular spintronics and devices.</w:t>
      </w:r>
    </w:p>
    <w:p>
      <w:pPr>
        <w:spacing w:before="120" w:after="120"/>
      </w:pPr>
      <w:r>
        <w:rPr>
          <w:sz w:val="18"/>
        </w:rPr>
        <w:t>——————————————————————————————————————————————————————————————————————</w:t>
      </w:r>
    </w:p>
    <w:p>
      <w:pPr>
        <w:spacing w:before="160" w:after="40" w:line="240" w:lineRule="auto"/>
      </w:pPr>
      <w:r>
        <w:rPr>
          <w:b/>
        </w:rPr>
        <w:t xml:space="preserve">[102] </w:t>
      </w:r>
      <w:hyperlink r:id="rId162">
        <w:r>
          <w:rPr>
            <w:color w:val="1155CC"/>
            <w:u w:val="single"/>
          </w:rPr>
          <w:t>[ASAP]作为可持续固态锂-硫电池动态活性介质的硫化乙酰氟聚氨酯制成的现场活性导体,作为可持续固态锂-硫电池的活性介质</w:t>
        </w:r>
      </w:hyperlink>
    </w:p>
    <w:p>
      <w:pPr>
        <w:spacing w:before="0" w:after="80"/>
      </w:pPr>
      <w:r>
        <w:rPr>
          <w:i/>
          <w:sz w:val="20"/>
        </w:rPr>
        <w:t>EN: [ASAP] Aluminum Acetylacetonate-Confined In-Situ Polymer as Dynamic Active Medium for Sustainable Solid-State Lithium–Sulfur Batteries</w:t>
      </w:r>
    </w:p>
    <w:p>
      <w:pPr>
        <w:spacing w:before="0" w:after="120"/>
      </w:pPr>
      <w:r>
        <w:rPr>
          <w:b/>
        </w:rPr>
        <w:t xml:space="preserve">Source: </w:t>
      </w:r>
      <w:r>
        <w:t>Journal of the American Chemical Society: Latest Articles (ACS Publications)</w:t>
      </w:r>
      <w:r>
        <w:t xml:space="preserve">    </w:t>
      </w:r>
      <w:r>
        <w:rPr>
          <w:b/>
        </w:rPr>
        <w:t xml:space="preserve">Pub date: </w:t>
      </w:r>
      <w:r>
        <w:t>2026-02-22 17:58:09+00:00</w:t>
      </w:r>
      <w:r>
        <w:t xml:space="preserve">    </w:t>
      </w:r>
      <w:r>
        <w:rPr>
          <w:b/>
        </w:rPr>
        <w:t xml:space="preserve">DOI: </w:t>
      </w:r>
      <w:hyperlink r:id="rId163">
        <w:r>
          <w:rPr>
            <w:color w:val="1155CC"/>
            <w:u w:val="single"/>
          </w:rPr>
          <w:t>10.1021/jacs.5c14765</w:t>
        </w:r>
      </w:hyperlink>
    </w:p>
    <w:p>
      <w:pPr>
        <w:spacing w:before="0" w:after="120"/>
      </w:pPr>
      <w:r>
        <w:rPr>
          <w:b/>
        </w:rPr>
        <w:t xml:space="preserve">Notes: </w:t>
      </w:r>
      <w:r>
        <w:t>abstract_source=pubmed</w:t>
      </w:r>
    </w:p>
    <w:p>
      <w:pPr>
        <w:spacing w:before="0" w:after="80" w:lineRule="auto" w:line="276"/>
      </w:pPr>
      <w:r>
        <w:rPr>
          <w:b/>
        </w:rPr>
        <w:t xml:space="preserve">摘要（ZH）: </w:t>
      </w:r>
      <w:r>
        <w:t>固态聚合电解液(SPE)基锂硫(Li-S)电池因其高理论能量密度和强化安全剖面而引起极大兴趣,然而,阴极-SPE接口与--锂聚硫化硅酸盐(LipS)接口的粘结是基于SPE的李-S电池的核心故障机制。这导致一个缓慢、不可逆转的电化学环境,阻碍红氧化工艺并限制高能量密度固态李-S电池(SSLSBs)的实际实施。为解决这一问题,本研究提议在阴极接口建立一个动态活性介质(DAM)电解系统。根据铝乙酰氟酸酯与1,3-二氧烷(DOL)之间的协调效应,该系统在阴极和阴极间引入。</w:t>
      </w:r>
    </w:p>
    <w:p>
      <w:pPr>
        <w:spacing w:before="0" w:after="200" w:lineRule="auto" w:line="276"/>
      </w:pPr>
      <w:r>
        <w:rPr>
          <w:b/>
        </w:rPr>
        <w:t xml:space="preserve">Abstract (EN): </w:t>
      </w:r>
      <w:r>
        <w:t>Solid polymer electrolyte (SPE)-based lithium-sulfur (Li-S) batteries attract significant interest due to their high theoretical energy densities and enhanced safety profiles. However, the clogging of the cathode-SPE interface with ″dead″ lithium polysulfide (LiPS) is the core failure mechanism of the SPE-based Li-S battery. This induces a sluggish, irreversible electrochemical environment, hindering redox processes and limiting the practical implementation of high-energy-density solid-state Li-S batteries (SSLSBs). To address this problem, this study proposes the generation of a dynamic active medium (DAM) electrolyte system at the cathode interface. Based on the coordination effect between aluminum acetylacetonate and 1,3-dioxolane (DOL), this system is introduced between the cathode and in situ-polymerized polyDOL-based SPE, synergistically realizing three functions: (1) optimizing the electrode-electrolyte interfacial compatibility, (2) adsorbing and reactivating the LiPS accumulated at the interface, and (3) reducing the energy barriers of the S redox reactions and accelerating the sulfide conversion kinetics. This approach enables the SSLSB to reach a high energy density of 347 Wh kg-1 at a high S loading of 4.5 mg cm-2. The pouch cell configuration maintains a capacity retention rate as high as 85.3% after 80 cycles. Moreover, this interfacial DAM strategy provides an innovative engineering concept to suppress the accumulation of LiPS in SSLSBs.</w:t>
      </w:r>
    </w:p>
    <w:p>
      <w:pPr>
        <w:spacing w:before="120" w:after="120"/>
      </w:pPr>
      <w:r>
        <w:rPr>
          <w:sz w:val="18"/>
        </w:rPr>
        <w:t>——————————————————————————————————————————————————————————————————————</w:t>
      </w:r>
    </w:p>
    <w:p>
      <w:pPr>
        <w:spacing w:before="160" w:after="40" w:line="240" w:lineRule="auto"/>
      </w:pPr>
      <w:r>
        <w:rPr>
          <w:b/>
        </w:rPr>
        <w:t xml:space="preserve">[103] </w:t>
      </w:r>
      <w:hyperlink r:id="rId164">
        <w:r>
          <w:rPr>
            <w:color w:val="1155CC"/>
            <w:u w:val="single"/>
          </w:rPr>
          <w:t>[ASAP]两种二分性Iridium(III)-碳二分性Iridium(III)-氮硝酸氮化纳米复合体</w:t>
        </w:r>
      </w:hyperlink>
    </w:p>
    <w:p>
      <w:pPr>
        <w:spacing w:before="0" w:after="80"/>
      </w:pPr>
      <w:r>
        <w:rPr>
          <w:i/>
          <w:sz w:val="20"/>
        </w:rPr>
        <w:t>EN: [ASAP] Two-Dimensional Iridium(III)–Carbon Nitride Nanocomplexes Induce Simultaneous Oncosis and Necroptosis for Synergistic Chemo- and Sono-Immunotherapy in Hypoxic Melanoma</w:t>
      </w:r>
    </w:p>
    <w:p>
      <w:pPr>
        <w:spacing w:before="0" w:after="120"/>
      </w:pPr>
      <w:r>
        <w:rPr>
          <w:b/>
        </w:rPr>
        <w:t xml:space="preserve">Source: </w:t>
      </w:r>
      <w:r>
        <w:t>Journal of the American Chemical Society: Latest Articles (ACS Publications)</w:t>
      </w:r>
      <w:r>
        <w:t xml:space="preserve">    </w:t>
      </w:r>
      <w:r>
        <w:rPr>
          <w:b/>
        </w:rPr>
        <w:t xml:space="preserve">Pub date: </w:t>
      </w:r>
      <w:r>
        <w:t>2026-02-22 18:17:01+00:00</w:t>
      </w:r>
      <w:r>
        <w:t xml:space="preserve">    </w:t>
      </w:r>
      <w:r>
        <w:rPr>
          <w:b/>
        </w:rPr>
        <w:t xml:space="preserve">DOI: </w:t>
      </w:r>
      <w:hyperlink r:id="rId165">
        <w:r>
          <w:rPr>
            <w:color w:val="1155CC"/>
            <w:u w:val="single"/>
          </w:rPr>
          <w:t>10.1021/jacs.6c00241</w:t>
        </w:r>
      </w:hyperlink>
    </w:p>
    <w:p>
      <w:pPr>
        <w:spacing w:before="0" w:after="120"/>
      </w:pPr>
      <w:r>
        <w:rPr>
          <w:b/>
        </w:rPr>
        <w:t xml:space="preserve">Notes: </w:t>
      </w:r>
      <w:r>
        <w:t>abstract_source=pubmed</w:t>
      </w:r>
    </w:p>
    <w:p>
      <w:pPr>
        <w:spacing w:before="0" w:after="80" w:lineRule="auto" w:line="276"/>
      </w:pPr>
      <w:r>
        <w:rPr>
          <w:b/>
        </w:rPr>
        <w:t xml:space="preserve">摘要（ZH）: </w:t>
      </w:r>
      <w:r>
        <w:t>在这项研究中,我们合理设计了两种Ir(III)-碳硝酸纳米复合物、Ir309-C3N5和Ir443-C3N5, 使用Ir(III)聚丙烯酸化合物制成的聚丙丙烯酸化合物作为前体,以及以C3N5纳米单体制造的聚丙烯酸化合物,主要由于反应性氧(ROS)生产不足和深度免疫抑制。特别是,Ir443-C3N5的苯对Ir443-C3N5的超声波性致癌活动通过电离子设计进行,使得即使没有超声波(US)刺激也能够诱发肿瘤。这种改变同时缩小了带宽度,增加了浮转机时间和聚变电系数,稳定了金属-电荷转移(MLCT),从而扩大了电荷分离状态。</w:t>
      </w:r>
    </w:p>
    <w:p>
      <w:pPr>
        <w:spacing w:before="0" w:after="200" w:lineRule="auto" w:line="276"/>
      </w:pPr>
      <w:r>
        <w:rPr>
          <w:b/>
        </w:rPr>
        <w:t xml:space="preserve">Abstract (EN): </w:t>
      </w:r>
      <w:r>
        <w:t>Hypoxic solid tumors present significant obstacles to cancer immunotherapy, primarily due to inadequate reactive oxygen species (ROS) production and profound immunosuppression. In this study, we rationally designed two Ir(III)-carbon nitride nanocomplexes, Ir309-C3N5 and Ir443-C3N5, fabricated using Ir(III) polypyridine complexes as precursors and C3N5 nanosheets as nanoligands. Notably, benzothiazole modification of Ir443-C3N5 imparted ultrasound-independent chemotherapeutic activity via ligand design, enabling the induction of oncosis even without ultrasound (US) stimulation. This modification simultaneously narrowed the bandgap, increased the dipole moment and piezoelectric coefficient, and stabilized metal-to-ligand charge transfer (MLCT) states, thereby extending charge-separated state lifetimes and enhancing ROS generation. Under US irradiation, Ir443-C3N5 demonstrated superior self-sufficient oxygen supply and ROS production efficiency, leading to effective carrier utilization. Mechanistically, Ir443-C3N5@PEG selectively accumulated in mitochondria and the endoplasmic reticulum (ER), inducing ER stress and triggering oncosis, while US activation amplified oxidative stress to initiate necroptosis. The concurrent induction of oncosis and necroptosis fostered robust immunogenic cell death (ICD), dendritic cell maturation, macrophage polarization, and cytotoxic T-cell activation. As a result, this two-dimensional Ir(III)-based nanoplatform synergistically combines chemo- and sono-immunotherapy to overcome hypoxia and immunosuppression, effectively suppressing tumor metastasis and recurrence in melanoma-bearing mice.</w:t>
      </w:r>
    </w:p>
    <w:p>
      <w:pPr>
        <w:spacing w:before="120" w:after="120"/>
      </w:pPr>
      <w:r>
        <w:rPr>
          <w:sz w:val="18"/>
        </w:rPr>
        <w:t>——————————————————————————————————————————————————————————————————————</w:t>
      </w:r>
    </w:p>
    <w:p>
      <w:pPr>
        <w:spacing w:before="160" w:after="40" w:line="240" w:lineRule="auto"/>
      </w:pPr>
      <w:r>
        <w:rPr>
          <w:b/>
        </w:rPr>
        <w:t xml:space="preserve">[104] </w:t>
      </w:r>
      <w:hyperlink r:id="rId166">
        <w:r>
          <w:rPr>
            <w:color w:val="1155CC"/>
            <w:u w:val="single"/>
          </w:rPr>
          <w:t>[ASAP] 用于高级Na-Ion电池的双面和三面氧化碳电池材料</w:t>
        </w:r>
      </w:hyperlink>
    </w:p>
    <w:p>
      <w:pPr>
        <w:spacing w:before="0" w:after="80"/>
      </w:pPr>
      <w:r>
        <w:rPr>
          <w:i/>
          <w:sz w:val="20"/>
        </w:rPr>
        <w:t>EN: [ASAP] Biphasic and Triphasic Oxide Cathode Materials for Advanced Na-Ion Batteries</w:t>
      </w:r>
    </w:p>
    <w:p>
      <w:pPr>
        <w:spacing w:before="0" w:after="120"/>
      </w:pPr>
      <w:r>
        <w:rPr>
          <w:b/>
        </w:rPr>
        <w:t xml:space="preserve">Source: </w:t>
      </w:r>
      <w:r>
        <w:t>ACS Energy Letters: Latest Articles (ACS Publications)</w:t>
      </w:r>
      <w:r>
        <w:t xml:space="preserve">    </w:t>
      </w:r>
      <w:r>
        <w:rPr>
          <w:b/>
        </w:rPr>
        <w:t xml:space="preserve">Pub date: </w:t>
      </w:r>
      <w:r>
        <w:t>2026-02-22 18:26:54+00:00</w:t>
      </w:r>
      <w:r>
        <w:t xml:space="preserve">    </w:t>
      </w:r>
      <w:r>
        <w:rPr>
          <w:b/>
        </w:rPr>
        <w:t xml:space="preserve">DOI: </w:t>
      </w:r>
      <w:hyperlink r:id="rId167">
        <w:r>
          <w:rPr>
            <w:color w:val="1155CC"/>
            <w:u w:val="single"/>
          </w:rPr>
          <w:t>10.1021/acsenergylett.5c04103</w:t>
        </w:r>
      </w:hyperlink>
    </w:p>
    <w:p>
      <w:pPr>
        <w:spacing w:before="0" w:after="120"/>
      </w:pPr>
      <w:r>
        <w:rPr>
          <w:b/>
        </w:rPr>
        <w:t xml:space="preserve">Notes: </w:t>
      </w:r>
      <w:r>
        <w:t>abstract_source=openalex; must_have_abstract=True</w:t>
      </w:r>
    </w:p>
    <w:p>
      <w:pPr>
        <w:spacing w:before="0" w:after="80" w:lineRule="auto" w:line="276"/>
      </w:pPr>
      <w:r>
        <w:rPr>
          <w:b/>
        </w:rPr>
        <w:t xml:space="preserve">摘要（ZH）: </w:t>
      </w:r>
      <w:r>
        <w:t>低成本的纳离电池(NIBs)具有巨大的电网能源储存潜力。纳克斯-TMO2氧化物被认为是NIB的阴极候选物之一。然而,阶段转型和Jahn-Teller扭曲导致其结构衰减和性能下降。O型、P型、隧道和脊椎结构的结合所产生的协同效应可以增强它们的电化学特性。最近对双面和三边相互作用的研究为应对上述挑战提供了相当大的潜力。在本次审查中,我们首先全面讨论了合成双面和三面氧化物的主要战略。随后,进一步总结了NIBs多阶段氧化物加速器的最新进展,重点是其电子化学行为。</w:t>
      </w:r>
    </w:p>
    <w:p>
      <w:pPr>
        <w:spacing w:before="0" w:after="200" w:lineRule="auto" w:line="276"/>
      </w:pPr>
      <w:r>
        <w:rPr>
          <w:b/>
        </w:rPr>
        <w:t xml:space="preserve">Abstract (EN): </w:t>
      </w:r>
      <w:r>
        <w:t>Low-cost Na-ion batteries (NIBs) hold significant potential for grid energy storage. NaxTMO2 oxides are considered one of the cathode candidates for NIBs. However, the phase transitions and Jahn–Teller distortion lead to their structural decay and performance decline. The synergistic effects arising from the combination of O-type, P-type, tunnel, and spinel structures can enhance their electrochemical properties. Recent studies in biphasic and triphasic intergrowth present considerable potential for addressing the aforementioned challenges. In this Review, we first comprehensively discuss the main strategies for synthesizing biphasic and triphasic oxides. Then, recent advancements in multiphase oxide cathodes for NIBs are further summarized, with a focus on their electrochemical behaviors and reaction mechanisms. Finally, the persistent challenges and future opportunities for the multiphase oxide cathodes are outlined. This Review aims to provide a profoundly significant guiding framework for the rational design of multiphase oxide cathodes for advanced NIBs.</w:t>
      </w:r>
    </w:p>
    <w:p>
      <w:pPr>
        <w:spacing w:before="120" w:after="120"/>
      </w:pPr>
      <w:r>
        <w:rPr>
          <w:sz w:val="18"/>
        </w:rPr>
        <w:t>——————————————————————————————————————————————————————————————————————</w:t>
      </w:r>
    </w:p>
    <w:p>
      <w:pPr>
        <w:spacing w:before="160" w:after="40" w:line="240" w:lineRule="auto"/>
      </w:pPr>
      <w:r>
        <w:rPr>
          <w:b/>
        </w:rPr>
        <w:t xml:space="preserve">[105] </w:t>
      </w:r>
      <w:hyperlink r:id="rId168">
        <w:r>
          <w:rPr>
            <w:color w:val="1155CC"/>
            <w:u w:val="single"/>
          </w:rPr>
          <w:t>[ASAP] 含75,000个周期的水镁离子电池阳极</w:t>
        </w:r>
      </w:hyperlink>
    </w:p>
    <w:p>
      <w:pPr>
        <w:spacing w:before="0" w:after="80"/>
      </w:pPr>
      <w:r>
        <w:rPr>
          <w:i/>
          <w:sz w:val="20"/>
        </w:rPr>
        <w:t>EN: [ASAP] Aqueous Magnesium-Ion Battery Anode with 75,000 Cycles Lifespan</w:t>
      </w:r>
    </w:p>
    <w:p>
      <w:pPr>
        <w:spacing w:before="0" w:after="120"/>
      </w:pPr>
      <w:r>
        <w:rPr>
          <w:b/>
        </w:rPr>
        <w:t xml:space="preserve">Source: </w:t>
      </w:r>
      <w:r>
        <w:t>Journal of the American Chemical Society: Latest Articles (ACS Publications)</w:t>
      </w:r>
      <w:r>
        <w:t xml:space="preserve">    </w:t>
      </w:r>
      <w:r>
        <w:rPr>
          <w:b/>
        </w:rPr>
        <w:t xml:space="preserve">Pub date: </w:t>
      </w:r>
      <w:r>
        <w:t>2026-02-22 18:42:07+00:00</w:t>
      </w:r>
      <w:r>
        <w:t xml:space="preserve">    </w:t>
      </w:r>
      <w:r>
        <w:rPr>
          <w:b/>
        </w:rPr>
        <w:t xml:space="preserve">DOI: </w:t>
      </w:r>
      <w:hyperlink r:id="rId169">
        <w:r>
          <w:rPr>
            <w:color w:val="1155CC"/>
            <w:u w:val="single"/>
          </w:rPr>
          <w:t>10.1021/jacs.5c21656</w:t>
        </w:r>
      </w:hyperlink>
    </w:p>
    <w:p>
      <w:pPr>
        <w:spacing w:before="0" w:after="120"/>
      </w:pPr>
      <w:r>
        <w:rPr>
          <w:b/>
        </w:rPr>
        <w:t xml:space="preserve">Notes: </w:t>
      </w:r>
      <w:r>
        <w:t>abstract_source=pubmed</w:t>
      </w:r>
    </w:p>
    <w:p>
      <w:pPr>
        <w:spacing w:before="0" w:after="80" w:lineRule="auto" w:line="276"/>
      </w:pPr>
      <w:r>
        <w:rPr>
          <w:b/>
        </w:rPr>
        <w:t xml:space="preserve">摘要（ZH）: </w:t>
      </w:r>
      <w:r>
        <w:t>水镁电池(AMIB)由于资源丰富、固有安全和成本低廉而日益引起人们的兴趣,然而,由于Mg2+H2O的强烈互动作用,大量水合金属离子在宿主材料中散散散缓慢,导致结构退化和循环性能差。在这里,我们报告了一项菌种迁移战略,通过使用自定的Tadoped MoO3(MoTaOx)纳米管阵列电极,保持结构稳健和超可控环流稳定。MOTaOx内部的氧气空缺可促进层间H2O分子的容纳和分离,导致形成Ta-OHOH2配置。这减少了Mg2+扩散的动能屏障,导致Mo的统一放大。</w:t>
      </w:r>
    </w:p>
    <w:p>
      <w:pPr>
        <w:spacing w:before="0" w:after="200" w:lineRule="auto" w:line="276"/>
      </w:pPr>
      <w:r>
        <w:rPr>
          <w:b/>
        </w:rPr>
        <w:t xml:space="preserve">Abstract (EN): </w:t>
      </w:r>
      <w:r>
        <w:t>Aqueous magnesium-ion batteries (AMIBs) are garnering growing interest due to their abundant resources, inherent safety, and low cost. However, the strong Mg2+-H2O interaction results in bulky hydrated metal ions that diffuse sluggishly within host materials, leading to structural degradation and poor cycling performance. Here, we report a strain delocalization strategy to preserve structural robustness and achieve ultrastable cycling stability of AMIBs by using self-ordered Ta-doped MoO3 (MoTaOx) nanotube array electrodes. Oxygen vacancies within MoTaOx can facilitate the accommodation and dissociation of interlayer H2O molecules, leading to the formation of a Ta-OH···OH2 configuration. This reduces the kinetic energy barrier for Mg2+ diffusion, resulting in the uniform magnesiation of MoTaOx, where the rigid Ta-O bonds further enable delocalization of mechanical strain throughout the host, conferring a shear strain tolerance of ∼95% during magnesiation. The MoTaOx electrode exhibits stable operation over 75,000 cycles and delivers a cumulative capacity of 7.2 kAh g-1, significantly surpassing previous reports. These findings elucidate the sluggish H2O co-intercalation-induced localized strain as a degradation pathway and establish vacancy-pinned, water-regulated magnesiation for delocalization of strain as a viable design principle for developing long-lifespan AMIBs with high capacity.</w:t>
      </w:r>
    </w:p>
    <w:p>
      <w:pPr>
        <w:spacing w:before="120" w:after="120"/>
      </w:pPr>
      <w:r>
        <w:rPr>
          <w:sz w:val="18"/>
        </w:rPr>
        <w:t>——————————————————————————————————————————————————————————————————————</w:t>
      </w:r>
    </w:p>
    <w:p>
      <w:pPr>
        <w:spacing w:before="160" w:after="40" w:line="240" w:lineRule="auto"/>
      </w:pPr>
      <w:r>
        <w:rPr>
          <w:b/>
        </w:rPr>
        <w:t xml:space="preserve">[106] </w:t>
      </w:r>
      <w:hyperlink r:id="rId170">
        <w:r>
          <w:rPr>
            <w:color w:val="1155CC"/>
            <w:u w:val="single"/>
          </w:rPr>
          <w:t>[ASAP] 挖掘合成混合电离电子电离混合半导体的全部潜力-对称单体聚合到推进电化学晶体化性能</w:t>
        </w:r>
      </w:hyperlink>
    </w:p>
    <w:p>
      <w:pPr>
        <w:spacing w:before="0" w:after="80"/>
      </w:pPr>
      <w:r>
        <w:rPr>
          <w:i/>
          <w:sz w:val="20"/>
        </w:rPr>
        <w:t>EN: [ASAP] Revealing the Full Potential of Glycolated Mixed Ionic-Electronic Semiconductors – Symmetric Monomer Polymerization to Boost Electrochemical Transistor Performance</w:t>
      </w:r>
    </w:p>
    <w:p>
      <w:pPr>
        <w:spacing w:before="0" w:after="120"/>
      </w:pPr>
      <w:r>
        <w:rPr>
          <w:b/>
        </w:rPr>
        <w:t xml:space="preserve">Source: </w:t>
      </w:r>
      <w:r>
        <w:t>Journal of the American Chemical Society: Latest Articles (ACS Publications)</w:t>
      </w:r>
      <w:r>
        <w:t xml:space="preserve">    </w:t>
      </w:r>
      <w:r>
        <w:rPr>
          <w:b/>
        </w:rPr>
        <w:t xml:space="preserve">Pub date: </w:t>
      </w:r>
      <w:r>
        <w:t>2026-02-22 18:55:04+00:00</w:t>
      </w:r>
      <w:r>
        <w:t xml:space="preserve">    </w:t>
      </w:r>
      <w:r>
        <w:rPr>
          <w:b/>
        </w:rPr>
        <w:t xml:space="preserve">DOI: </w:t>
      </w:r>
      <w:hyperlink r:id="rId171">
        <w:r>
          <w:rPr>
            <w:color w:val="1155CC"/>
            <w:u w:val="single"/>
          </w:rPr>
          <w:t>10.1021/jacs.5c19024</w:t>
        </w:r>
      </w:hyperlink>
    </w:p>
    <w:p>
      <w:pPr>
        <w:spacing w:before="0" w:after="120"/>
      </w:pPr>
      <w:r>
        <w:rPr>
          <w:b/>
        </w:rPr>
        <w:t xml:space="preserve">Notes: </w:t>
      </w:r>
      <w:r>
        <w:t>abstract_source=pubmed</w:t>
      </w:r>
    </w:p>
    <w:p>
      <w:pPr>
        <w:spacing w:before="0" w:after="80" w:lineRule="auto" w:line="276"/>
      </w:pPr>
      <w:r>
        <w:rPr>
          <w:b/>
        </w:rPr>
        <w:t xml:space="preserve">摘要（ZH）: </w:t>
      </w:r>
      <w:r>
        <w:t>有机电化学晶体管(OECT)能够将离子信号转换到电子输出中,将其定位为下一代感测和(生物)信号处理应用的理想候选对象。近些年来,OECT频道材料得到开发,对结构调整进行了深入了解,以实现最佳性能和(或)稳定性。然而,通常存在于交替混合聚合物中的同系物在很大程度上被忽略了。本研究通过使用两种合成方法(标准 Stille聚合物和替代性对称方法)来研究同系物对OECT材料的影响,以创建p型增强模型基准聚合物PgBTT。同系物的影响和不存在的情况由CO研究。</w:t>
      </w:r>
    </w:p>
    <w:p>
      <w:pPr>
        <w:spacing w:before="0" w:after="200" w:lineRule="auto" w:line="276"/>
      </w:pPr>
      <w:r>
        <w:rPr>
          <w:b/>
        </w:rPr>
        <w:t xml:space="preserve">Abstract (EN): </w:t>
      </w:r>
      <w:r>
        <w:t>Organic electrochemical transistors (OECTs) enable the transduction of ionic signals into electronic outputs, positioning them as ideal candidates for next-generation sensing and (bio)signal processing applications. Recent years have witnessed the development of various OECT channel materials, affording insights into structural fine-tuning to achieve optimal performance and/or stability. However, homocouplings, commonly present in alternating conjugated polymers, have largely been overlooked. This study investigates the effect of homocoupling on OECT materials by employing two synthesis methods - standard Stille polymerization and an alternative symmetric approach - to create the p-type enhancement-mode benchmark polymer pgBTTT. The impact of homocoupling, and its absence, is studied by comparing the bulk properties of the two polymers and evaluating their respective OECT metrics. The new, homocoupling-free polymer exhibits a notably improved OECT performance (μC*), mainly due to an average 3-fold increase in electronic mobility (μ).</w:t>
      </w:r>
    </w:p>
    <w:p>
      <w:pPr>
        <w:spacing w:before="120" w:after="120"/>
      </w:pPr>
      <w:r>
        <w:rPr>
          <w:sz w:val="18"/>
        </w:rPr>
        <w:t>——————————————————————————————————————————————————————————————————————</w:t>
      </w:r>
    </w:p>
    <w:p>
      <w:pPr>
        <w:spacing w:before="160" w:after="40" w:line="240" w:lineRule="auto"/>
      </w:pPr>
      <w:r>
        <w:rPr>
          <w:b/>
        </w:rPr>
        <w:t xml:space="preserve">[107] </w:t>
      </w:r>
      <w:hyperlink r:id="rId172">
        <w:r>
          <w:rPr>
            <w:color w:val="1155CC"/>
            <w:u w:val="single"/>
          </w:rPr>
          <w:t>[ASAP] C-H 多边环芳烃以多样化为导向的多环芳烃改变的替代</w:t>
        </w:r>
      </w:hyperlink>
    </w:p>
    <w:p>
      <w:pPr>
        <w:spacing w:before="0" w:after="80"/>
      </w:pPr>
      <w:r>
        <w:rPr>
          <w:i/>
          <w:sz w:val="20"/>
        </w:rPr>
        <w:t>EN: [ASAP] C–H Nucleophilic Substitution for the Diversity-Oriented Modification of Polycyclic Aromatic Hydrocarbons</w:t>
      </w:r>
    </w:p>
    <w:p>
      <w:pPr>
        <w:spacing w:before="0" w:after="120"/>
      </w:pPr>
      <w:r>
        <w:rPr>
          <w:b/>
        </w:rPr>
        <w:t xml:space="preserve">Source: </w:t>
      </w:r>
      <w:r>
        <w:t>Journal of the American Chemical Society: Latest Articles (ACS Publications)</w:t>
      </w:r>
      <w:r>
        <w:t xml:space="preserve">    </w:t>
      </w:r>
      <w:r>
        <w:rPr>
          <w:b/>
        </w:rPr>
        <w:t xml:space="preserve">Pub date: </w:t>
      </w:r>
      <w:r>
        <w:t>2026-02-22 19:09:15+00:00</w:t>
      </w:r>
      <w:r>
        <w:t xml:space="preserve">    </w:t>
      </w:r>
      <w:r>
        <w:rPr>
          <w:b/>
        </w:rPr>
        <w:t xml:space="preserve">DOI: </w:t>
      </w:r>
      <w:hyperlink r:id="rId173">
        <w:r>
          <w:rPr>
            <w:color w:val="1155CC"/>
            <w:u w:val="single"/>
          </w:rPr>
          <w:t>10.1021/jacs.5c20219</w:t>
        </w:r>
      </w:hyperlink>
    </w:p>
    <w:p>
      <w:pPr>
        <w:spacing w:before="0" w:after="120"/>
      </w:pPr>
      <w:r>
        <w:rPr>
          <w:b/>
        </w:rPr>
        <w:t xml:space="preserve">Notes: </w:t>
      </w:r>
      <w:r>
        <w:t>abstract_source=pubmed</w:t>
      </w:r>
    </w:p>
    <w:p>
      <w:pPr>
        <w:spacing w:before="0" w:after="80" w:lineRule="auto" w:line="276"/>
      </w:pPr>
      <w:r>
        <w:rPr>
          <w:b/>
        </w:rPr>
        <w:t xml:space="preserve">摘要（ZH）: </w:t>
      </w:r>
      <w:r>
        <w:t>改变有机生态系统的常规战略,如多环芳烃(PAHs)等,严重依赖芳烃性电极替代或过渡性金属催化元体交叉相交。这些面向目标的方法有时受到限制的阻碍,例如轮生选择性差、试剂严酷、强制性预卤化和分步骤合成。为了克服这些限制,我们在此制定创新的C-H核循环替代战略,以利用这些系统可获取和稳定的雄性基,使这些系统多样化地发挥作用。这种方法与以往主要侧重于调查其物理特性的研究形成鲜明对比;我们的工作标志着它们作为有机合成中的关键中间体的应用。</w:t>
      </w:r>
    </w:p>
    <w:p>
      <w:pPr>
        <w:spacing w:before="0" w:after="200" w:lineRule="auto" w:line="276"/>
      </w:pPr>
      <w:r>
        <w:rPr>
          <w:b/>
        </w:rPr>
        <w:t xml:space="preserve">Abstract (EN): </w:t>
      </w:r>
      <w:r>
        <w:t>Conventional strategies for modifying organic π-systems, such as polycyclic aromatic hydrocarbons (PAHs), rely heavily on aromatic electrophilic substitution or transition-metal-catalyzed cross-couplings. These target-oriented approaches are sometimes hampered by limitations, such as poor regioselectivity, harsh reagents, mandatory prehalogenations, and stepwise syntheses. To overcome these constraints, we herein develop an innovative C-H nucleophilic substitution strategy for the diversity-oriented functionalization of π-systems, leveraging their accessible and stable cationic radicals. This methodology stands in stark contrast to prior studies, which predominantly focused on investigating their physical properties; our work marks their application as key intermediates in organic synthesis. This novel protocol, characterized by its mild (majority take place at room temperature) and rapid (typically complete within 1 h) reaction profile, not only significantly improves the yields for functionalizing the challenging bay regions of cornerstone molecules like perylene and perylene diimide, but also enables efficient access to a wide range of previously inaccessible architectures. Furthermore, it accommodates an expansive nucleophile scope, several of which are employed for the first time in C-H substitution reactions. Mechanistic studies provide a rationale for the observed reactivity and regioselectivity. From the resulting library of novel compounds with diverse properties, we identified promising candidates for phototheranostic applications. In summary, this strategy represents a paradigm shift in the diversity-oriented editing of π-systems.</w:t>
      </w:r>
    </w:p>
    <w:p>
      <w:pPr>
        <w:spacing w:before="120" w:after="120"/>
      </w:pPr>
      <w:r>
        <w:rPr>
          <w:sz w:val="18"/>
        </w:rPr>
        <w:t>——————————————————————————————————————————————————————————————————————</w:t>
      </w:r>
    </w:p>
    <w:p>
      <w:pPr>
        <w:spacing w:before="160" w:after="40" w:line="240" w:lineRule="auto"/>
      </w:pPr>
      <w:r>
        <w:rPr>
          <w:b/>
        </w:rPr>
        <w:t xml:space="preserve">[108] </w:t>
      </w:r>
      <w:hyperlink r:id="rId174">
        <w:r>
          <w:rPr>
            <w:color w:val="1155CC"/>
            <w:u w:val="single"/>
          </w:rPr>
          <w:t>[ASAP] MSAS-2</w:t>
        </w:r>
      </w:hyperlink>
    </w:p>
    <w:p>
      <w:pPr>
        <w:spacing w:before="0" w:after="80"/>
      </w:pPr>
      <w:r>
        <w:rPr>
          <w:i/>
          <w:sz w:val="20"/>
        </w:rPr>
        <w:t>EN: [ASAP] MSA-2 Loaded Three-Dimensional Metal Covalent Organic Framework for Synergistic Radiosensitization and Innate Immune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2026-02-22 19:41:21+00:00</w:t>
      </w:r>
      <w:r>
        <w:t xml:space="preserve">    </w:t>
      </w:r>
      <w:r>
        <w:rPr>
          <w:b/>
        </w:rPr>
        <w:t xml:space="preserve">DOI: </w:t>
      </w:r>
      <w:hyperlink r:id="rId175">
        <w:r>
          <w:rPr>
            <w:color w:val="1155CC"/>
            <w:u w:val="single"/>
          </w:rPr>
          <w:t>10.1021/jacs.5c19020</w:t>
        </w:r>
      </w:hyperlink>
    </w:p>
    <w:p>
      <w:pPr>
        <w:spacing w:before="0" w:after="120"/>
      </w:pPr>
      <w:r>
        <w:rPr>
          <w:b/>
        </w:rPr>
        <w:t xml:space="preserve">Notes: </w:t>
      </w:r>
      <w:r>
        <w:t>abstract_source=pubmed</w:t>
      </w:r>
    </w:p>
    <w:p>
      <w:pPr>
        <w:spacing w:before="0" w:after="80" w:lineRule="auto" w:line="276"/>
      </w:pPr>
      <w:r>
        <w:rPr>
          <w:b/>
        </w:rPr>
        <w:t xml:space="preserve">摘要（ZH）: </w:t>
      </w:r>
      <w:r>
        <w:t>放射疗法(RT)仍然是癌症治疗的基石,但往往受到肿瘤放射阻力和免疫抑制微型环境的限制。将放射敏化与内生免疫活化相结合的有效战略提供了克服传统RT面临的限制的机会。然而,传统Ting激动剂面临着不稳定、快速清除、肿瘤投射不良和系统性毒性等挑战。为解决这些限制,我们开发了一个三维基金属共合金属有机框架(3D Ir-MCOF),装有4-(5,6-dimethoxybenzo[b]thiophen-2-yl)-4-oxbutanoic酸(MSA-2),同时能够进行放射敏化和特定肿瘤的内生免疫活化。这一框架包括高Z,用于增强X光能。</w:t>
      </w:r>
    </w:p>
    <w:p>
      <w:pPr>
        <w:spacing w:before="0" w:after="200" w:lineRule="auto" w:line="276"/>
      </w:pPr>
      <w:r>
        <w:rPr>
          <w:b/>
        </w:rPr>
        <w:t xml:space="preserve">Abstract (EN): </w:t>
      </w:r>
      <w:r>
        <w:t>Radiotherapy (RT) remains a cornerstone of cancer treatment but is often limited by tumor radioresistance and an immune-suppressive microenvironment. An effective strategy that combines radiosensitization with innate immune activation provides opportunities to overcome the limitations faced by traditional RT. However, traditional STING agonists face challenges of instability, rapid clearance, poor tumor delivery, and systemic toxicity. To address these limitations, we developed a three-dimensional iridium-based metal-covalent organic framework (3D Ir-MCOF) loaded with 4-(5,6-dimethoxybenzo[b]thiophen-2-yl)-4-oxobutanoic acid (MSA-2) that simultaneously enables radiosensitization and tumor-specific innate immune activation. The framework incorporates high-Z iridium for enhanced X-ray energy deposition and ROS generation, while its porous architecture allows efficient loading and pH-responsive release of MSA-2 in the acidic tumor microenvironment. By synchronizing DNA damage with innate immune activation, 3D Ir-MCOFs induce dendritic cell maturation, type I interferon signaling, and T-cell infiltration, effectively converting "cold" tumors into "hot" ones. This work highlights 3D MCOFs as a multifunctional nanoplatform enabling concurrent next-generation radiosensitization and precise immune agonist delivery.</w:t>
      </w:r>
    </w:p>
    <w:p>
      <w:pPr>
        <w:spacing w:before="120" w:after="120"/>
      </w:pPr>
      <w:r>
        <w:rPr>
          <w:sz w:val="18"/>
        </w:rPr>
        <w:t>——————————————————————————————————————————————————————————————————————</w:t>
      </w:r>
    </w:p>
    <w:p>
      <w:pPr>
        <w:spacing w:before="160" w:after="40" w:line="240" w:lineRule="auto"/>
      </w:pPr>
      <w:r>
        <w:rPr>
          <w:b/>
        </w:rPr>
        <w:t xml:space="preserve">[109] </w:t>
      </w:r>
      <w:hyperlink r:id="rId176">
        <w:r>
          <w:rPr>
            <w:color w:val="1155CC"/>
            <w:u w:val="single"/>
          </w:rPr>
          <w:t>[ASAP] 含有两向近红外光谱光子转换成肿瘤抗应反应治疗和实时成像的MOF-Lanthanide防腐剂的MOF-Lanthanide</w:t>
        </w:r>
      </w:hyperlink>
    </w:p>
    <w:p>
      <w:pPr>
        <w:spacing w:before="0" w:after="80"/>
      </w:pPr>
      <w:r>
        <w:rPr>
          <w:i/>
          <w:sz w:val="20"/>
        </w:rPr>
        <w:t>EN: [ASAP] A MOF-Lanthanide Theranostic Agent with Bidirectional Near-Infrared Photon Conversion for Tumor-Responsive Therapy and Real-Time Imaging</w:t>
      </w:r>
    </w:p>
    <w:p>
      <w:pPr>
        <w:spacing w:before="0" w:after="120"/>
      </w:pPr>
      <w:r>
        <w:rPr>
          <w:b/>
        </w:rPr>
        <w:t xml:space="preserve">Source: </w:t>
      </w:r>
      <w:r>
        <w:t>Journal of the American Chemical Society: Latest Articles (ACS Publications)</w:t>
      </w:r>
      <w:r>
        <w:t xml:space="preserve">    </w:t>
      </w:r>
      <w:r>
        <w:rPr>
          <w:b/>
        </w:rPr>
        <w:t xml:space="preserve">Pub date: </w:t>
      </w:r>
      <w:r>
        <w:t>2026-02-22 19:54:16+00:00</w:t>
      </w:r>
      <w:r>
        <w:t xml:space="preserve">    </w:t>
      </w:r>
      <w:r>
        <w:rPr>
          <w:b/>
        </w:rPr>
        <w:t xml:space="preserve">DOI: </w:t>
      </w:r>
      <w:hyperlink r:id="rId177">
        <w:r>
          <w:rPr>
            <w:color w:val="1155CC"/>
            <w:u w:val="single"/>
          </w:rPr>
          <w:t>10.1021/jacs.5c21676</w:t>
        </w:r>
      </w:hyperlink>
    </w:p>
    <w:p>
      <w:pPr>
        <w:spacing w:before="0" w:after="120"/>
      </w:pPr>
      <w:r>
        <w:rPr>
          <w:b/>
        </w:rPr>
        <w:t xml:space="preserve">Notes: </w:t>
      </w:r>
      <w:r>
        <w:t>abstract_source=pubmed</w:t>
      </w:r>
    </w:p>
    <w:p>
      <w:pPr>
        <w:spacing w:before="0" w:after="80" w:lineRule="auto" w:line="276"/>
      </w:pPr>
      <w:r>
        <w:rPr>
          <w:b/>
        </w:rPr>
        <w:t xml:space="preserve">摘要（ZH）: </w:t>
      </w:r>
      <w:r>
        <w:t>智能肿瘤反应型麻醉剂对推进精密医学至关重要,因为它能够使目标性药物的投送具有最低的非目标效果,并允许对治疗结果进行实时监测。尽管金属-有机框架(MOFs)有作为纳米载体的承诺,但它们往往缺乏综合的、刺激性反应型成像和治疗能力。在这里,我们展示了多功能的MOF-lanthanide抗生素剂,其作用是双向近红外线(NIR)光子转换成图象制导、肿瘤特定疗法。MOF载体MIL-53(Fe)包装Curcumin,一种天然光敏化剂和乳胶化剂,通过pH触发框架降解,有选择地在酸性肿瘤微环境中释放。这种降解还释放了F3+离子,即刻释放了F3+离子。</w:t>
      </w:r>
    </w:p>
    <w:p>
      <w:pPr>
        <w:spacing w:before="0" w:after="200" w:lineRule="auto" w:line="276"/>
      </w:pPr>
      <w:r>
        <w:rPr>
          <w:b/>
        </w:rPr>
        <w:t xml:space="preserve">Abstract (EN): </w:t>
      </w:r>
      <w:r>
        <w:t>Smart tumor-responsive theranostic agents are crucial for advancing precision medicine by enabling targeted drug delivery with minimal off-target effects and allowing real-time monitoring of therapeutic outcomes. Although metal-organic frameworks (MOFs) hold promises as nanocarriers, they often lack integrated, stimuli-responsive imaging and therapeutic capabilities. Here, we present a multifunctional MOF-lanthanide theranostic agent featuring bidirectional near-infrared (NIR) photon conversion for image-guided, tumor-specific therapy. The MOF carrier MIL-53(Fe) encapsulates curcumin, a natural photosensitizer and chemotherapeutic agent, which is selectively released in the acidic tumor microenvironment via pH-triggered framework degradation. This degradation also releases Fe3+ ions, initiating Fenton reactions to produce hydroxyl radicals for chemodynamic therapy (CDT). Lanthanide nanoparticles, satellited on the MOF, enable NIR-to-visible/ultraviolet upconversion to activate curcumin for photodynamic therapy (PDT), as well as NIR-to-NIR II (∼1530 nm) downshifting emission for deep-tissue imaging in vivo. Notably, the NIR II luminescence, initially quenched by metallic node ions (Fe3+) in MOF, is restored during MOF degradation, allowing semi-quantitative visualization of drug release. In vivo NIR-II imaging demonstrates peak tumor accumulation of the agent at 24 h postinjection and near-complete systemic clearance by day 14. This platform achieves a synergistic chemotherapy/CDT/PDT effect, with about 80% cell-killing efficiency and a 15-fold tumor inhibition compared to controls, highlighting its potential as an efficient theragnostic agent for precision oncology.</w:t>
      </w:r>
    </w:p>
    <w:p>
      <w:pPr>
        <w:spacing w:before="120" w:after="120"/>
      </w:pPr>
      <w:r>
        <w:rPr>
          <w:sz w:val="18"/>
        </w:rPr>
        <w:t>——————————————————————————————————————————————————————————————————————</w:t>
      </w:r>
    </w:p>
    <w:p>
      <w:pPr>
        <w:spacing w:before="160" w:after="40" w:line="240" w:lineRule="auto"/>
      </w:pPr>
      <w:r>
        <w:rPr>
          <w:b/>
        </w:rPr>
        <w:t xml:space="preserve">[110] </w:t>
      </w:r>
      <w:hyperlink r:id="rId178">
        <w:r>
          <w:rPr>
            <w:color w:val="1155CC"/>
            <w:u w:val="single"/>
          </w:rPr>
          <w:t>溶液处理MoOx的机械铁(III)剂量,使有机和百草枯太阳能电池能够普遍、稳定、高效地进行井内运输</w:t>
        </w:r>
      </w:hyperlink>
    </w:p>
    <w:p>
      <w:pPr>
        <w:spacing w:before="0" w:after="80"/>
      </w:pPr>
      <w:r>
        <w:rPr>
          <w:i/>
          <w:sz w:val="20"/>
        </w:rPr>
        <w:t>EN: Mechanistic iron(III) doping of solution-processed MoOₓ enables universal, stable, and efficient hole transport in organic and perovskite solar cells</w:t>
      </w:r>
    </w:p>
    <w:p>
      <w:pPr>
        <w:spacing w:before="0" w:after="120"/>
      </w:pPr>
      <w:r>
        <w:rPr>
          <w:b/>
        </w:rPr>
        <w:t xml:space="preserve">Source: </w:t>
      </w:r>
      <w:r>
        <w:t>Joule</w:t>
      </w:r>
      <w:r>
        <w:t xml:space="preserve">    </w:t>
      </w:r>
      <w:r>
        <w:rPr>
          <w:b/>
        </w:rPr>
        <w:t xml:space="preserve">Pub date: </w:t>
      </w:r>
      <w:r>
        <w:t>2026-02-23 00:00:00+00:00</w:t>
      </w:r>
    </w:p>
    <w:p>
      <w:pPr>
        <w:spacing w:before="0" w:after="120"/>
      </w:pPr>
      <w:r>
        <w:rPr>
          <w:b/>
        </w:rPr>
        <w:t xml:space="preserve">Notes: </w:t>
      </w:r>
      <w:r>
        <w:t>abstract_source=rss_cell</w:t>
      </w:r>
    </w:p>
    <w:p>
      <w:pPr>
        <w:spacing w:before="0" w:after="80" w:lineRule="auto" w:line="276"/>
      </w:pPr>
      <w:r>
        <w:rPr>
          <w:b/>
        </w:rPr>
        <w:t xml:space="preserve">摘要（ZH）: </w:t>
      </w:r>
      <w:r>
        <w:t>这项工作引入了一种通过在MOOx(FMO)的Fe doping(FMO)的价位调控战略,通过收费补偿,对氧气空缺进行协同调节,稳定 Mo5+。 溶液处理的FMo洞运输层通过增强传导性、抑制重组和广泛适用性,提供了显著的PCE(OSCs为20.50%;PSCs为26.05%)。</w:t>
      </w:r>
    </w:p>
    <w:p>
      <w:pPr>
        <w:spacing w:before="0" w:after="200" w:lineRule="auto" w:line="276"/>
      </w:pPr>
      <w:r>
        <w:rPr>
          <w:b/>
        </w:rPr>
        <w:t xml:space="preserve">Abstract (EN): </w:t>
      </w:r>
      <w:r>
        <w:t>This work introduces a valence-state modulation strategy via Fe doping in MoOₓ (FMo), enabling the synergistic regulation of oxygen vacancies and the stabilization of Mo5+ through charge compensation. The solution-processed FMo hole-transporting layer delivers remarkable PCEs (20.50% for OSCs; 26.05% for PSCs) via enhanced conductivity, suppressed recombination, and broad applicability.</w:t>
      </w:r>
    </w:p>
    <w:p>
      <w:pPr>
        <w:spacing w:before="120" w:after="120"/>
      </w:pPr>
      <w:r>
        <w:rPr>
          <w:sz w:val="18"/>
        </w:rPr>
        <w:t>——————————————————————————————————————————————————————————————————————</w:t>
      </w:r>
    </w:p>
    <w:p>
      <w:pPr>
        <w:spacing w:before="160" w:after="40" w:line="240" w:lineRule="auto"/>
      </w:pPr>
      <w:r>
        <w:rPr>
          <w:b/>
        </w:rPr>
        <w:t xml:space="preserve">[111] </w:t>
      </w:r>
      <w:hyperlink r:id="rId179">
        <w:r>
          <w:rPr>
            <w:color w:val="1155CC"/>
            <w:u w:val="single"/>
          </w:rPr>
          <w:t>电化学器:可编程电化学的数字基础设施框架</w:t>
        </w:r>
      </w:hyperlink>
    </w:p>
    <w:p>
      <w:pPr>
        <w:spacing w:before="0" w:after="80"/>
      </w:pPr>
      <w:r>
        <w:rPr>
          <w:i/>
          <w:sz w:val="20"/>
        </w:rPr>
        <w:t>EN: The ElectroChemputer: A digital infrastructure framework for programmable electrochemistry</w:t>
      </w:r>
    </w:p>
    <w:p>
      <w:pPr>
        <w:spacing w:before="0" w:after="120"/>
      </w:pPr>
      <w:r>
        <w:rPr>
          <w:b/>
        </w:rPr>
        <w:t xml:space="preserve">Source: </w:t>
      </w:r>
      <w:r>
        <w:t>Chem</w:t>
      </w:r>
      <w:r>
        <w:t xml:space="preserve">    </w:t>
      </w:r>
      <w:r>
        <w:rPr>
          <w:b/>
        </w:rPr>
        <w:t xml:space="preserve">Pub date: </w:t>
      </w:r>
      <w:r>
        <w:t>2026-02-23 00:00:00+00:00</w:t>
      </w:r>
    </w:p>
    <w:p>
      <w:pPr>
        <w:spacing w:before="0" w:after="120"/>
      </w:pPr>
      <w:r>
        <w:rPr>
          <w:b/>
        </w:rPr>
        <w:t xml:space="preserve">Notes: </w:t>
      </w:r>
      <w:r>
        <w:t>abstract_source=rss_cell</w:t>
      </w:r>
    </w:p>
    <w:p>
      <w:pPr>
        <w:spacing w:before="0" w:after="80" w:lineRule="auto" w:line="276"/>
      </w:pPr>
      <w:r>
        <w:rPr>
          <w:b/>
        </w:rPr>
        <w:t xml:space="preserve">摘要（ZH）: </w:t>
      </w:r>
      <w:r>
        <w:t>电化学合成是可持续化学的关键技术。 目前缺乏标准化方法,使得再复制、扩大和向工业转移成为一项挑战。 在Chem、Cronin和同事的这一问题上,电子化学合成器披露了电子化学器,这是一个可编程、模块化、数字控制平台,可整合电化学合成、监测和数据驱动的反应控制。</w:t>
      </w:r>
    </w:p>
    <w:p>
      <w:pPr>
        <w:spacing w:before="0" w:after="200" w:lineRule="auto" w:line="276"/>
      </w:pPr>
      <w:r>
        <w:rPr>
          <w:b/>
        </w:rPr>
        <w:t xml:space="preserve">Abstract (EN): </w:t>
      </w:r>
      <w:r>
        <w:t>Electrochemical synthesis is a key technology for sustainable chemistry. The current lack of standardized methodologies makes reproducibility, scale-up, and transfer to industry a challenge. In this issue of Chem, Cronin and co-workers disclose the ElectroChemputer, a programmable, modular, digitally controlled platform that unifies electrochemical synthesis, monitoring, and data-driven reaction control.</w:t>
      </w:r>
    </w:p>
    <w:p>
      <w:pPr>
        <w:spacing w:before="120" w:after="120"/>
      </w:pPr>
      <w:r>
        <w:rPr>
          <w:sz w:val="18"/>
        </w:rPr>
        <w:t>——————————————————————————————————————————————————————————————————————</w:t>
      </w:r>
    </w:p>
    <w:p>
      <w:pPr>
        <w:spacing w:before="160" w:after="40" w:line="240" w:lineRule="auto"/>
      </w:pPr>
      <w:r>
        <w:rPr>
          <w:b/>
        </w:rPr>
        <w:t xml:space="preserve">[112] </w:t>
      </w:r>
      <w:hyperlink r:id="rId180">
        <w:r>
          <w:rPr>
            <w:color w:val="1155CC"/>
            <w:u w:val="single"/>
          </w:rPr>
          <w:t>音乐不是通用语言,但当语言失败时,音乐可以使我们走到一起。</w:t>
        </w:r>
      </w:hyperlink>
    </w:p>
    <w:p>
      <w:pPr>
        <w:spacing w:before="0" w:after="80"/>
      </w:pPr>
      <w:r>
        <w:rPr>
          <w:i/>
          <w:sz w:val="20"/>
        </w:rPr>
        <w:t>EN: Music is not a universal language — but it can bring us together when words fail</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181">
        <w:r>
          <w:rPr>
            <w:color w:val="1155CC"/>
            <w:u w:val="single"/>
          </w:rPr>
          <w:t>” 母亲惩罚”有多大? 在丹麦,它加起来高达120,000美元。</w:t>
        </w:r>
      </w:hyperlink>
    </w:p>
    <w:p>
      <w:pPr>
        <w:spacing w:before="0" w:after="80"/>
      </w:pPr>
      <w:r>
        <w:rPr>
          <w:i/>
          <w:sz w:val="20"/>
        </w:rPr>
        <w:t>EN: How big is the ‘motherhood penalty’? In Denmark, it adds up to $120,000</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[114] </w:t>
      </w:r>
      <w:hyperlink r:id="rId182">
        <w:r>
          <w:rPr>
            <w:color w:val="1155CC"/>
            <w:u w:val="single"/>
          </w:rPr>
          <w:t>历史上美国黑人大学 追逐最高研究排名</w:t>
        </w:r>
      </w:hyperlink>
    </w:p>
    <w:p>
      <w:pPr>
        <w:spacing w:before="0" w:after="80"/>
      </w:pPr>
      <w:r>
        <w:rPr>
          <w:i/>
          <w:sz w:val="20"/>
        </w:rPr>
        <w:t>EN: Historically Black US universities chase top research ranking</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183">
        <w:r>
          <w:rPr>
            <w:color w:val="1155CC"/>
            <w:u w:val="single"/>
          </w:rPr>
          <w:t>具有可编程电化学综合监测功能的电化学器</w:t>
        </w:r>
      </w:hyperlink>
    </w:p>
    <w:p>
      <w:pPr>
        <w:spacing w:before="0" w:after="80"/>
      </w:pPr>
      <w:r>
        <w:rPr>
          <w:i/>
          <w:sz w:val="20"/>
        </w:rPr>
        <w:t>EN: ElectroChemputer with integrated monitoring for programmable electrochemistry</w:t>
      </w:r>
    </w:p>
    <w:p>
      <w:pPr>
        <w:spacing w:before="0" w:after="120"/>
      </w:pPr>
      <w:r>
        <w:rPr>
          <w:b/>
        </w:rPr>
        <w:t xml:space="preserve">Source: </w:t>
      </w:r>
      <w:r>
        <w:t>Chem</w:t>
      </w:r>
      <w:r>
        <w:t xml:space="preserve">    </w:t>
      </w:r>
      <w:r>
        <w:rPr>
          <w:b/>
        </w:rPr>
        <w:t xml:space="preserve">Pub date: </w:t>
      </w:r>
      <w:r>
        <w:t>2026-02-23 00:00:00+00:00</w:t>
      </w:r>
    </w:p>
    <w:p>
      <w:pPr>
        <w:spacing w:before="0" w:after="120"/>
      </w:pPr>
      <w:r>
        <w:rPr>
          <w:b/>
        </w:rPr>
        <w:t xml:space="preserve">Notes: </w:t>
      </w:r>
      <w:r>
        <w:t>abstract_source=rss_cell</w:t>
      </w:r>
    </w:p>
    <w:p>
      <w:pPr>
        <w:spacing w:before="0" w:after="80" w:lineRule="auto" w:line="276"/>
      </w:pPr>
      <w:r>
        <w:rPr>
          <w:b/>
        </w:rPr>
        <w:t xml:space="preserve">摘要（ZH）: </w:t>
      </w:r>
      <w:r>
        <w:t>电子化学处理器是一个可编程的模块化平台,用实时分析反馈整合自动电子化学合成。 通过将核磁共振监测与电分析相结合,这个系统能够平行执行多种复杂的合成程序。 这个可复制的基础设施为电合成设定了新的标准。</w:t>
      </w:r>
    </w:p>
    <w:p>
      <w:pPr>
        <w:spacing w:before="0" w:after="200" w:lineRule="auto" w:line="276"/>
      </w:pPr>
      <w:r>
        <w:rPr>
          <w:b/>
        </w:rPr>
        <w:t xml:space="preserve">Abstract (EN): </w:t>
      </w:r>
      <w:r>
        <w:t>The ElectroChemputer is a programmable, modular platform that unifies automated electrochemical synthesis with real-time analytical feedback. By integrating nuclear magnetic resonance monitoring with electroanalysis, the system enables the parallel execution of diverse and complex synthetic protocols. This reproducible infrastructure sets a new standard for electrosynthesis.</w:t>
      </w:r>
    </w:p>
    <w:p>
      <w:pPr>
        <w:spacing w:before="120" w:after="120"/>
      </w:pPr>
      <w:r>
        <w:rPr>
          <w:sz w:val="18"/>
        </w:rPr>
        <w:t>——————————————————————————————————————————————————————————————————————</w:t>
      </w:r>
    </w:p>
    <w:p>
      <w:pPr>
        <w:spacing w:before="160" w:after="40" w:line="240" w:lineRule="auto"/>
      </w:pPr>
      <w:r>
        <w:rPr>
          <w:b/>
        </w:rPr>
        <w:t xml:space="preserve">[116] </w:t>
      </w:r>
      <w:hyperlink r:id="rId184">
        <w:r>
          <w:rPr>
            <w:color w:val="1155CC"/>
            <w:u w:val="single"/>
          </w:rPr>
          <w:t>供日本批准设立的首批实物干细胞疗法</w:t>
        </w:r>
      </w:hyperlink>
    </w:p>
    <w:p>
      <w:pPr>
        <w:spacing w:before="0" w:after="80"/>
      </w:pPr>
      <w:r>
        <w:rPr>
          <w:i/>
          <w:sz w:val="20"/>
        </w:rPr>
        <w:t>EN: First-of-a-kind stem-cell therapies set for approval in Japan</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[117] </w:t>
      </w:r>
      <w:hyperlink r:id="rId185">
        <w:r>
          <w:rPr>
            <w:color w:val="1155CC"/>
            <w:u w:val="single"/>
          </w:rPr>
          <w:t>校正: 机械上可靠、电子上统一的单级单级MoS2,通过消能和缺陷愈合</w:t>
        </w:r>
      </w:hyperlink>
    </w:p>
    <w:p>
      <w:pPr>
        <w:spacing w:before="0" w:after="80"/>
      </w:pPr>
      <w:r>
        <w:rPr>
          <w:i/>
          <w:sz w:val="20"/>
        </w:rPr>
        <w:t>EN: Author Correction: Mechanically reliable and electronically uniform monolayer MoS2 by passivation and defect healing</w:t>
      </w:r>
    </w:p>
    <w:p>
      <w:pPr>
        <w:spacing w:before="0" w:after="120"/>
      </w:pPr>
      <w:r>
        <w:rPr>
          <w:b/>
        </w:rPr>
        <w:t xml:space="preserve">Source: </w:t>
      </w:r>
      <w:r>
        <w:t>Nature Communications</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[118] </w:t>
      </w:r>
      <w:hyperlink r:id="rId186">
        <w:r>
          <w:rPr>
            <w:color w:val="1155CC"/>
            <w:u w:val="single"/>
          </w:rPr>
          <w:t>中国废物焚化的效率等级和优化废物焚化,以平衡处置与能源供应</w:t>
        </w:r>
      </w:hyperlink>
    </w:p>
    <w:p>
      <w:pPr>
        <w:spacing w:before="0" w:after="80"/>
      </w:pPr>
      <w:r>
        <w:rPr>
          <w:i/>
          <w:sz w:val="20"/>
        </w:rPr>
        <w:t>EN: Efficiency hierarchy and optimization of waste incineration in China to balance disposal and energy supply</w:t>
      </w:r>
    </w:p>
    <w:p>
      <w:pPr>
        <w:spacing w:before="0" w:after="120"/>
      </w:pPr>
      <w:r>
        <w:rPr>
          <w:b/>
        </w:rPr>
        <w:t xml:space="preserve">Source: </w:t>
      </w:r>
      <w:r>
        <w:t>Nature Communications</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废物到能源焚烧解决了城市固体废物增长和能源短缺的双重压力。能源使用效率持续低下限制了其作为能源的作用。我们汇编了中国全国975个工厂(包括2 151个焚化炉)的国家数据库,显示2023年这些工厂供应了高达7%的住宅用电。根据能源效率绩效建立了一个三级分类框架,以区分处置、能源回收和绿色能源厂。五个共同社会经济途径的预测表明,废物焚烧到2035年可产生259 TWH,满足13%的住宅需求。人工智能控制和废物热回收是最具成本效益的。</w:t>
      </w:r>
    </w:p>
    <w:p>
      <w:pPr>
        <w:spacing w:before="0" w:after="200" w:lineRule="auto" w:line="276"/>
      </w:pPr>
      <w:r>
        <w:rPr>
          <w:b/>
        </w:rPr>
        <w:t xml:space="preserve">Abstract (EN): </w:t>
      </w:r>
      <w:r>
        <w:t>Waste-to-energy incineration addresses the dual pressures of municipal solid waste growth and energy shortages. Persistently low energy efficiency has limited its role as energy sources. We compile a national database of 975 plants including 2151 incinerators across China, showing that they supplied up to 7% of residential electricity consumption in 2023. A three-tier classification framework was established based on energy efficiency performance to distinguish disposal-oriented, energy-recovery, and green energy plants. Scenario projections under five Shared Socioeconomic Pathways indicated that waste incineration could generate up to 259 TWh by 2035, meeting 13% of residential demand. Artificial intelligence-based control and waste heat recovery are the most cost-effective. Efficiency improvements could mitigate up to 60% of greenhouse gas and flue-gas pollutant emissions relative to the 2035 baseline. These findings could redefine the role of waste incineration in low-carbon energy systems and provide scalable insights for emerging economies undergoing waste and energy transitions.</w:t>
      </w:r>
    </w:p>
    <w:p>
      <w:pPr>
        <w:spacing w:before="120" w:after="120"/>
      </w:pPr>
      <w:r>
        <w:rPr>
          <w:sz w:val="18"/>
        </w:rPr>
        <w:t>——————————————————————————————————————————————————————————————————————</w:t>
      </w:r>
    </w:p>
    <w:p>
      <w:pPr>
        <w:spacing w:before="160" w:after="40" w:line="240" w:lineRule="auto"/>
      </w:pPr>
      <w:r>
        <w:rPr>
          <w:b/>
        </w:rPr>
        <w:t xml:space="preserve">[119] </w:t>
      </w:r>
      <w:hyperlink r:id="rId187">
        <w:r>
          <w:rPr>
            <w:color w:val="1155CC"/>
            <w:u w:val="single"/>
          </w:rPr>
          <w:t>为什么每个科学家都需要一个图书管理员</w:t>
        </w:r>
      </w:hyperlink>
    </w:p>
    <w:p>
      <w:pPr>
        <w:spacing w:before="0" w:after="80"/>
      </w:pPr>
      <w:r>
        <w:rPr>
          <w:i/>
          <w:sz w:val="20"/>
        </w:rPr>
        <w:t>EN: Why every scientist needs a librarian</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[120] </w:t>
      </w:r>
      <w:hyperlink r:id="rId188">
        <w:r>
          <w:rPr>
            <w:color w:val="1155CC"/>
            <w:u w:val="single"/>
          </w:rPr>
          <w:t>铁时代集体坟墓揭露出对妇女和儿童的空前暴力</w:t>
        </w:r>
      </w:hyperlink>
    </w:p>
    <w:p>
      <w:pPr>
        <w:spacing w:before="0" w:after="80"/>
      </w:pPr>
      <w:r>
        <w:rPr>
          <w:i/>
          <w:sz w:val="20"/>
        </w:rPr>
        <w:t>EN: Iron Age mass grave reveals unprecedented violence against women and children</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[121] </w:t>
      </w:r>
      <w:hyperlink r:id="rId189">
        <w:r>
          <w:rPr>
            <w:color w:val="1155CC"/>
            <w:u w:val="single"/>
          </w:rPr>
          <w:t>以使用镍单原子镍制造的减少的石墨氧化物阴极的百草枯乳房为基础的神经神经元反馈</w:t>
        </w:r>
      </w:hyperlink>
    </w:p>
    <w:p>
      <w:pPr>
        <w:spacing w:before="0" w:after="80"/>
      </w:pPr>
      <w:r>
        <w:rPr>
          <w:i/>
          <w:sz w:val="20"/>
        </w:rPr>
        <w:t>EN: Feedback neurons based on perovskite memristor with nickel single-atom engineered reduced graphene oxide cathode</w:t>
      </w:r>
    </w:p>
    <w:p>
      <w:pPr>
        <w:spacing w:before="0" w:after="120"/>
      </w:pPr>
      <w:r>
        <w:rPr>
          <w:b/>
        </w:rPr>
        <w:t xml:space="preserve">Source: </w:t>
      </w:r>
      <w:r>
        <w:t>Nature Communications</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对生物激励型神经形态系统的需求推动了对具有双重刺激/活性功能的人工神经装置的研究。虽然渗透分子表现出希望,但干扰障碍和快速离子迁移会阻碍调节。本研究通过原子规模的阴极工程、开发以生物启发为基础的透视器(Au/Ni1-rGO/MAPBI3/ITO)和修改过的镍单原子减少的石墨氧化物(NI1-rGO)阴极。Ni1-rGO的Ni-O配置与以 RGO为根基的单一尼原子的尼-O配置,调节了REGO的电子特性,通过双极当前对称和空间结合的双极当前碘化离子迁移(2.912 eV),通过能量高度扩散的能量屏障(2.912 eV),通过电离子迁移减少 Schottky的能量波段。</w:t>
      </w:r>
    </w:p>
    <w:p>
      <w:pPr>
        <w:spacing w:before="0" w:after="200" w:lineRule="auto" w:line="276"/>
      </w:pPr>
      <w:r>
        <w:rPr>
          <w:b/>
        </w:rPr>
        <w:t xml:space="preserve">Abstract (EN): </w:t>
      </w:r>
      <w:r>
        <w:t>The demand for bio-inspired neuromorphic systems drives research on artificial neuronal devices with dual excitatory/inhibitory capabilities. Although perovskite memristors show promise, interfacial barriers and rapid ion migration hinder modulation. This study addresses these challenges through atomic-scale cathode engineering, developing perovskite-based memristor (Au/Ni1-rGO/MAPbI3/ITO) with nickel single-atom modified reduced graphene oxide (Ni1-rGO) cathode. The Ni–O configuration of Ni1-rGO with a single Ni atom anchored on rGO, modulates the electronic properties of rGO, reducing Schottky barrier via energy band alignment for bipolar current symmetry and spatially confining iodide ion migration through a high diffusion energy barrier (2.912 eV), conferring 780 ms relaxation. The device achieves 1,000 distinct conductance states and emulates interlayer connections and bidirectional signal transmission in feedback neuronal networks. We demonstrate neuromorphic functionalities: unsupervised competitive learning exceeds 50% clustering accuracy, while cooperative learning solves NP-hard problem 6× faster than simulated annealing, establishing an atomic-engineered approach for high-efficiency neuromorphic hardware.</w:t>
      </w:r>
    </w:p>
    <w:p>
      <w:pPr>
        <w:spacing w:before="120" w:after="120"/>
      </w:pPr>
      <w:r>
        <w:rPr>
          <w:sz w:val="18"/>
        </w:rPr>
        <w:t>——————————————————————————————————————————————————————————————————————</w:t>
      </w:r>
    </w:p>
    <w:p>
      <w:pPr>
        <w:spacing w:before="160" w:after="40" w:line="240" w:lineRule="auto"/>
      </w:pPr>
      <w:r>
        <w:rPr>
          <w:b/>
        </w:rPr>
        <w:t xml:space="preserve">[122] </w:t>
      </w:r>
      <w:hyperlink r:id="rId190">
        <w:r>
          <w:rPr>
            <w:color w:val="1155CC"/>
            <w:u w:val="single"/>
          </w:rPr>
          <w:t>从维多利亚的航行到消失的地图:简要的书籍</w:t>
        </w:r>
      </w:hyperlink>
    </w:p>
    <w:p>
      <w:pPr>
        <w:spacing w:before="0" w:after="80"/>
      </w:pPr>
      <w:r>
        <w:rPr>
          <w:i/>
          <w:sz w:val="20"/>
        </w:rPr>
        <w:t>EN: From Victorian voyages to vanishing maps: Books in brief</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191">
        <w:r>
          <w:rPr>
            <w:color w:val="1155CC"/>
            <w:u w:val="single"/>
          </w:rPr>
          <w:t>人工智能工具可以设计基因组。它们能更新生命的演变吗?</w:t>
        </w:r>
      </w:hyperlink>
    </w:p>
    <w:p>
      <w:pPr>
        <w:spacing w:before="0" w:after="80"/>
      </w:pPr>
      <w:r>
        <w:rPr>
          <w:i/>
          <w:sz w:val="20"/>
        </w:rPr>
        <w:t>EN: AI tools can design genomes. Will they upend how life evolves?</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[124] </w:t>
      </w:r>
      <w:hyperlink r:id="rId192">
        <w:r>
          <w:rPr>
            <w:color w:val="1155CC"/>
            <w:u w:val="single"/>
          </w:rPr>
          <w:t>研究人员从马的嘴里找出两个声音。</w:t>
        </w:r>
      </w:hyperlink>
    </w:p>
    <w:p>
      <w:pPr>
        <w:spacing w:before="0" w:after="80"/>
      </w:pPr>
      <w:r>
        <w:rPr>
          <w:i/>
          <w:sz w:val="20"/>
        </w:rPr>
        <w:t>EN: Whistle while you whinny: researchers identify two sounds straight from the horse’s mouth</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193">
        <w:r>
          <w:rPr>
            <w:color w:val="1155CC"/>
            <w:u w:val="single"/>
          </w:rPr>
          <w:t>具有保留自然结构的硬性生物塑料具有保存的自然结构,可提高资源效率和成本竞争力</w:t>
        </w:r>
      </w:hyperlink>
    </w:p>
    <w:p>
      <w:pPr>
        <w:spacing w:before="0" w:after="80"/>
      </w:pPr>
      <w:r>
        <w:rPr>
          <w:i/>
          <w:sz w:val="20"/>
        </w:rPr>
        <w:t>EN: Rigid bioplastics with preserved natural structures offer greater resource efficiency and cost-competitiveness</w:t>
      </w:r>
    </w:p>
    <w:p>
      <w:pPr>
        <w:spacing w:before="0" w:after="120"/>
      </w:pPr>
      <w:r>
        <w:rPr>
          <w:b/>
        </w:rPr>
        <w:t xml:space="preserve">Source: </w:t>
      </w:r>
      <w:r>
        <w:t>One Earth</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[126] </w:t>
      </w:r>
      <w:hyperlink r:id="rId194">
        <w:r>
          <w:rPr>
            <w:color w:val="1155CC"/>
            <w:u w:val="single"/>
          </w:rPr>
          <w:t>这个AI可以改善你的同侪审查,</w:t>
        </w:r>
      </w:hyperlink>
    </w:p>
    <w:p>
      <w:pPr>
        <w:spacing w:before="0" w:after="80"/>
      </w:pPr>
      <w:r>
        <w:rPr>
          <w:i/>
          <w:sz w:val="20"/>
        </w:rPr>
        <w:t>EN: This AI can improve your peer review — and make it more polite</w:t>
      </w:r>
    </w:p>
    <w:p>
      <w:pPr>
        <w:spacing w:before="0" w:after="120"/>
      </w:pPr>
      <w:r>
        <w:rPr>
          <w:b/>
        </w:rPr>
        <w:t xml:space="preserve">Source: </w:t>
      </w:r>
      <w:r>
        <w:t>Nature</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[127] </w:t>
      </w:r>
      <w:hyperlink r:id="rId195">
        <w:r>
          <w:rPr>
            <w:color w:val="1155CC"/>
            <w:u w:val="single"/>
          </w:rPr>
          <w:t>受豆腐皮肤结构的启发:碳纳米管胶片的中间老化,用于可编程的裂缝结构式光电子上皮感应器</w:t>
        </w:r>
      </w:hyperlink>
    </w:p>
    <w:p>
      <w:pPr>
        <w:spacing w:before="0" w:after="80"/>
      </w:pPr>
      <w:r>
        <w:rPr>
          <w:i/>
          <w:sz w:val="20"/>
        </w:rPr>
        <w:t>EN: Inspired by tofu skin formation: Interfacial aging of carbon nanotube films for programmable crack-structured optoelectronic epidermal sensors</w:t>
      </w:r>
    </w:p>
    <w:p>
      <w:pPr>
        <w:spacing w:before="0" w:after="120"/>
      </w:pPr>
      <w:r>
        <w:rPr>
          <w:b/>
        </w:rPr>
        <w:t xml:space="preserve">Source: </w:t>
      </w:r>
      <w:r>
        <w:t>Matter</w:t>
      </w:r>
      <w:r>
        <w:t xml:space="preserve">    </w:t>
      </w:r>
      <w:r>
        <w:rPr>
          <w:b/>
        </w:rPr>
        <w:t xml:space="preserve">Pub date: </w:t>
      </w:r>
      <w:r>
        <w:t>2026-02-23 00:00:00+00:00</w:t>
      </w:r>
    </w:p>
    <w:p>
      <w:pPr>
        <w:spacing w:before="0" w:after="120"/>
      </w:pPr>
      <w:r>
        <w:rPr>
          <w:b/>
        </w:rPr>
        <w:t xml:space="preserve">Notes: </w:t>
      </w:r>
      <w:r>
        <w:t>abstract_source=rss_cell</w:t>
      </w:r>
    </w:p>
    <w:p>
      <w:pPr>
        <w:spacing w:before="0" w:after="80" w:lineRule="auto" w:line="276"/>
      </w:pPr>
      <w:r>
        <w:rPr>
          <w:b/>
        </w:rPr>
        <w:t xml:space="preserve">摘要（ZH）: </w:t>
      </w:r>
      <w:r>
        <w:t>在豆腐皮肤形成这一自然过程的启发下,本研究提出了一个精确控制碳纳米管薄膜密度的周期性老化战略。这一简单方法创造了具有高度可编程的裂缝结构的可扩展复合材料,产生了光电子协同上层传感器。 这些传感器提供了可捕捉的敏感电传感和光学信息加密,标志着可靠多功能可磨损感的新进步。</w:t>
      </w:r>
    </w:p>
    <w:p>
      <w:pPr>
        <w:spacing w:before="0" w:after="200" w:lineRule="auto" w:line="276"/>
      </w:pPr>
      <w:r>
        <w:rPr>
          <w:b/>
        </w:rPr>
        <w:t xml:space="preserve">Abstract (EN): </w:t>
      </w:r>
      <w:r>
        <w:t>Inspired by the natural process of tofu skin formation, this study presents an interfacial aging strategy to precisely control the densification of carbon nanotube films. This simple method creates stretchable composite materials with highly programmable crack structures, yielding optoelectronic synergistic epidermal sensors. These sensors offer tunable sensitive electrical strain sensing and optical information encryption, marking a new advance for reliable, multifunctional wearable sensing.</w:t>
      </w:r>
    </w:p>
    <w:p>
      <w:pPr>
        <w:spacing w:before="120" w:after="120"/>
      </w:pPr>
      <w:r>
        <w:rPr>
          <w:sz w:val="18"/>
        </w:rPr>
        <w:t>——————————————————————————————————————————————————————————————————————</w:t>
      </w:r>
    </w:p>
    <w:p>
      <w:pPr>
        <w:spacing w:before="160" w:after="40" w:line="240" w:lineRule="auto"/>
      </w:pPr>
      <w:r>
        <w:rPr>
          <w:b/>
        </w:rPr>
        <w:t xml:space="preserve">[128] </w:t>
      </w:r>
      <w:hyperlink r:id="rId196">
        <w:r>
          <w:rPr>
            <w:color w:val="1155CC"/>
            <w:u w:val="single"/>
          </w:rPr>
          <w:t>强有力的热管理水文凝胶:机制和应用</w:t>
        </w:r>
      </w:hyperlink>
    </w:p>
    <w:p>
      <w:pPr>
        <w:spacing w:before="0" w:after="80"/>
      </w:pPr>
      <w:r>
        <w:rPr>
          <w:i/>
          <w:sz w:val="20"/>
        </w:rPr>
        <w:t>EN: Hydrogels for robust thermal management: mechanism and applications</w:t>
      </w:r>
    </w:p>
    <w:p>
      <w:pPr>
        <w:spacing w:before="0" w:after="120"/>
      </w:pPr>
      <w:r>
        <w:rPr>
          <w:b/>
        </w:rPr>
        <w:t xml:space="preserve">Source: </w:t>
      </w:r>
      <w:r>
        <w:t>RSC - Chem. Soc. Rev. latest articles</w:t>
      </w:r>
      <w:r>
        <w:t xml:space="preserve">    </w:t>
      </w:r>
      <w:r>
        <w:rPr>
          <w:b/>
        </w:rPr>
        <w:t xml:space="preserve">Pub date: </w:t>
      </w:r>
      <w:r>
        <w:t>2026-02-23 00:00:00+00:00</w:t>
      </w:r>
    </w:p>
    <w:p>
      <w:pPr>
        <w:spacing w:before="0" w:after="120"/>
      </w:pPr>
      <w:r>
        <w:rPr>
          <w:b/>
        </w:rPr>
        <w:t xml:space="preserve">Notes: </w:t>
      </w:r>
      <w:r>
        <w:t>abstract_source=rsc_html</w:t>
      </w:r>
    </w:p>
    <w:p>
      <w:pPr>
        <w:spacing w:before="0" w:after="80" w:lineRule="auto" w:line="276"/>
      </w:pPr>
      <w:r>
        <w:rPr>
          <w:b/>
        </w:rPr>
        <w:t xml:space="preserve">摘要（ZH）: </w:t>
      </w:r>
      <w:r>
        <w:t>全球对能源的需求日益增加,环境关切日益紧迫,这突出表明需要能够高效地进行热调节的先进材料。 水文凝胶具有高水含量、结构性和机械性金枪鱼和生物兼容性,为处理广泛的热管理挑战提供了一个宝贵的平台。 与传统的热管理材料不同,水文凝胶可以通过多种机制相结合运作,包括蒸发冷却、热导、热导、热储存和热冷却,从而能够适应不断变化的条件。 此外,它们还可以进一步纳入逐步变化的材料、湿质制剂、导形纳米填充器和结构设计,以提高动态环境中的性能。</w:t>
      </w:r>
    </w:p>
    <w:p>
      <w:pPr>
        <w:spacing w:before="0" w:after="200" w:lineRule="auto" w:line="276"/>
      </w:pPr>
      <w:r>
        <w:rPr>
          <w:b/>
        </w:rPr>
        <w:t xml:space="preserve">Abstract (EN): </w:t>
      </w:r>
      <w:r>
        <w:t>The increasing global demand for energy and the growing urgency of environmental concerns have underscored the need for advanced materials capable of efficient thermal regulation. Hydrogels, featuring high water content, structural and mechanical tunability, and biocompatibility, provide a valuable platform for addressing a wide range of thermal management challenges. Unlike conventional thermal management materials, hydrogels can operate through a combination of mechanisms, including evaporative cooling, thermal conduction, heat storage, and radiative cooling, allowing adaptable responses to changing conditions. Besides, they can further incorporate phase-change materials, hygroscopic agents, conductive nanofillers, and structural design to enhance performance in dynamic environments. These advancements have broadened their applicability to areas such as wearable thermoregulation, infrared camouflage, biomedical applications, electronic cooling, and passive building insulation. Despite these advances, key challenges remain, particularly in terms of long-term durability, water retention under low-humidity conditions, and scalable manufacturing. This review provides a comprehensive overview of the underlying physicochemical principles of hydrogel-based thermal regulation, critically examines recent materials and innovative applications, and discusses emerging strategies to address existing limitations. By integrating design strategies with thermal functionality, hydrogels are positioned to play a critical role in the development of next-generation, adaptive thermal management technologies.</w:t>
      </w:r>
    </w:p>
    <w:p>
      <w:pPr>
        <w:spacing w:before="120" w:after="120"/>
      </w:pPr>
      <w:r>
        <w:rPr>
          <w:sz w:val="18"/>
        </w:rPr>
        <w:t>——————————————————————————————————————————————————————————————————————</w:t>
      </w:r>
    </w:p>
    <w:p>
      <w:pPr>
        <w:spacing w:before="160" w:after="40" w:line="240" w:lineRule="auto"/>
      </w:pPr>
      <w:r>
        <w:rPr>
          <w:b/>
        </w:rPr>
        <w:t xml:space="preserve">[129] </w:t>
      </w:r>
      <w:hyperlink r:id="rId197">
        <w:r>
          <w:rPr>
            <w:color w:val="1155CC"/>
            <w:u w:val="single"/>
          </w:rPr>
          <w:t>将CO2转换成固碳的反应堆工程</w:t>
        </w:r>
      </w:hyperlink>
    </w:p>
    <w:p>
      <w:pPr>
        <w:spacing w:before="0" w:after="80"/>
      </w:pPr>
      <w:r>
        <w:rPr>
          <w:i/>
          <w:sz w:val="20"/>
        </w:rPr>
        <w:t>EN: Reactor engineering for converting CO2 to solid carbon</w:t>
      </w:r>
    </w:p>
    <w:p>
      <w:pPr>
        <w:spacing w:before="0" w:after="120"/>
      </w:pPr>
      <w:r>
        <w:rPr>
          <w:b/>
        </w:rPr>
        <w:t xml:space="preserve">Source: </w:t>
      </w:r>
      <w:r>
        <w:t>Nature Chemical Engineering</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[130] </w:t>
      </w:r>
      <w:hyperlink r:id="rId198">
        <w:r>
          <w:rPr>
            <w:color w:val="1155CC"/>
            <w:u w:val="single"/>
          </w:rPr>
          <w:t>通过跨面聚合化进行纳米过滤的分子创新:从单体设计到膜性能</w:t>
        </w:r>
      </w:hyperlink>
    </w:p>
    <w:p>
      <w:pPr>
        <w:spacing w:before="0" w:after="80"/>
      </w:pPr>
      <w:r>
        <w:rPr>
          <w:i/>
          <w:sz w:val="20"/>
        </w:rPr>
        <w:t>EN: Molecular innovations in nanofiltration via interfacial polymerization: from monomer design to membrane performance</w:t>
      </w:r>
    </w:p>
    <w:p>
      <w:pPr>
        <w:spacing w:before="0" w:after="120"/>
      </w:pPr>
      <w:r>
        <w:rPr>
          <w:b/>
        </w:rPr>
        <w:t xml:space="preserve">Source: </w:t>
      </w:r>
      <w:r>
        <w:t>RSC - Chem. Soc. Rev. latest articles</w:t>
      </w:r>
      <w:r>
        <w:t xml:space="preserve">    </w:t>
      </w:r>
      <w:r>
        <w:rPr>
          <w:b/>
        </w:rPr>
        <w:t xml:space="preserve">Pub date: </w:t>
      </w:r>
      <w:r>
        <w:t>2026-02-23 00:00:00+00:00</w:t>
      </w:r>
    </w:p>
    <w:p>
      <w:pPr>
        <w:spacing w:before="0" w:after="120"/>
      </w:pPr>
      <w:r>
        <w:rPr>
          <w:b/>
        </w:rPr>
        <w:t xml:space="preserve">Notes: </w:t>
      </w:r>
      <w:r>
        <w:t>abstract_source=rsc_html</w:t>
      </w:r>
    </w:p>
    <w:p>
      <w:pPr>
        <w:spacing w:before="0" w:after="80" w:lineRule="auto" w:line="276"/>
      </w:pPr>
      <w:r>
        <w:rPr>
          <w:b/>
        </w:rPr>
        <w:t xml:space="preserve">摘要（ZH）: </w:t>
      </w:r>
      <w:r>
        <w:t>薄膜技术在解决全球缺水问题方面发挥着关键作用,因为高性能半渗透性膜,如纳米过滤膜等,是高效水处理的基本要素,NF膜的性能主要取决于单体分子结构以及最终影响其渗透性、选择性和稳定性的跨面聚合机制。近年来,在利用新型单体开发NF膜方面取得了重大进展。这次审查的目的是全面概述这些新型单体和NF膜的合成方法,并特别强调制造NF膜的现代双面聚合技术。我们还将研究这些新的单体和NF膜的合成方法。</w:t>
      </w:r>
    </w:p>
    <w:p>
      <w:pPr>
        <w:spacing w:before="0" w:after="200" w:lineRule="auto" w:line="276"/>
      </w:pPr>
      <w:r>
        <w:rPr>
          <w:b/>
        </w:rPr>
        <w:t xml:space="preserve">Abstract (EN): </w:t>
      </w:r>
      <w:r>
        <w:t>Membrane technology plays a crucial role in solving global water scarcity, where high-performance semipermeable membranes, such as nanofiltration (NF) membranes, are essential elements for efficient water treatment. The performance of NF membranes is largely determined by both the molecular structures of the monomers and the mechanisms of interfacial polymerization, which ultimately influence their permeability, selectivity, and stability. In recent years, significant progress has been made in the development of NF membranes using novel monomers. This review aims to provide a comprehensive overview on the synthesis methods for these novel monomers and NF membranes, with a particular emphasis on the modern interfacial polymerization techniques to fabricate NF membranes. We will also examine the detailed surface chemistry and structural characteristics of these novel membranes, elucidating the underlying mechanisms and sciences governing their separation performance. Finally, we will discuss the current challenges associated with the novel monomer-based NF membranes and offer potential solutions to develop next-generation NF membranes. By addressing these key aspects, this critical review may provide valuable insights to molecularly design novel NF membranes and to explore their applications in the field of wastewater treatment and resource recovery.</w:t>
      </w:r>
    </w:p>
    <w:p>
      <w:pPr>
        <w:spacing w:before="120" w:after="120"/>
      </w:pPr>
      <w:r>
        <w:rPr>
          <w:sz w:val="18"/>
        </w:rPr>
        <w:t>——————————————————————————————————————————————————————————————————————</w:t>
      </w:r>
    </w:p>
    <w:p>
      <w:pPr>
        <w:spacing w:before="160" w:after="40" w:line="240" w:lineRule="auto"/>
      </w:pPr>
      <w:r>
        <w:rPr>
          <w:b/>
        </w:rPr>
        <w:t xml:space="preserve">[131] </w:t>
      </w:r>
      <w:hyperlink r:id="rId199">
        <w:r>
          <w:rPr>
            <w:color w:val="1155CC"/>
            <w:u w:val="single"/>
          </w:rPr>
          <w:t>Markovnikov 通过磷红氧化催化法对终端阿尔肯的盐酸液化</w:t>
        </w:r>
      </w:hyperlink>
    </w:p>
    <w:p>
      <w:pPr>
        <w:spacing w:before="0" w:after="80"/>
      </w:pPr>
      <w:r>
        <w:rPr>
          <w:i/>
          <w:sz w:val="20"/>
        </w:rPr>
        <w:t>EN: Markovnikov hydroamination of terminal alkenes via phosphine redox catalysis</w:t>
      </w:r>
    </w:p>
    <w:p>
      <w:pPr>
        <w:spacing w:before="0" w:after="120"/>
      </w:pPr>
      <w:r>
        <w:rPr>
          <w:b/>
        </w:rPr>
        <w:t xml:space="preserve">Source: </w:t>
      </w:r>
      <w:r>
        <w:t>Nature</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1. 发现PIII和PV光磷中间体可进行类似于金属的两极热化学的过渡性金属的两极化学,引起了这样一个问题,即激进PIV中间体能否在有机金属化学2,3 中模仿其他初级步骤。 这里我们描述一个磷-磷红化催化系统,它能促进分子分子Markovnikov 水化无活化终端高血层的内分子Markovnikov水化,该物质含有许多等级的N-Hazoles,这种反应与延迟的过渡性金属催化是不可能的。</w:t>
      </w:r>
    </w:p>
    <w:p>
      <w:pPr>
        <w:spacing w:before="0" w:after="200" w:lineRule="auto" w:line="276"/>
      </w:pPr>
      <w:r>
        <w:rPr>
          <w:b/>
        </w:rPr>
        <w:t xml:space="preserve">Abstract (EN): </w:t>
      </w:r>
      <w:r>
        <w:t>Main-group catalysts that mimic transition metal reactivity can expand substrate tolerance and enable transformations not currently possible with metal catalysis1. The discovery that PIII and PV phosphorus intermediates can undergo transition metal-like two-electron chemistry raises the question whether radical PIV intermediates can mimic other elementary steps in organometallic chemistry2,3. Here we describe a phosphine-photoredox catalyst system that promotes intermolecular Markovnikov hydroamination of unactivated terminal alkenes with numerous classes of N–H azoles, a reaction that is not possible with late transition metal catalysis. Experimental and computational mechanistic studies support a new elementary step for main group catalysis wherein a phosphine radical cation activates the alkene to nucleophilic amination by the azole, a step otherwise associated with transition metals. Given the broad value of nucleophilic alkene functionalization in transition metal catalysis, this PIV mechanism could offer new opportunities for main group element catalysis and chemical synthesis.</w:t>
      </w:r>
    </w:p>
    <w:p>
      <w:pPr>
        <w:spacing w:before="120" w:after="120"/>
      </w:pPr>
      <w:r>
        <w:rPr>
          <w:sz w:val="18"/>
        </w:rPr>
        <w:t>——————————————————————————————————————————————————————————————————————</w:t>
      </w:r>
    </w:p>
    <w:p>
      <w:pPr>
        <w:spacing w:before="160" w:after="40" w:line="240" w:lineRule="auto"/>
      </w:pPr>
      <w:r>
        <w:rPr>
          <w:b/>
        </w:rPr>
        <w:t xml:space="preserve">[132] </w:t>
      </w:r>
      <w:hyperlink r:id="rId200">
        <w:r>
          <w:rPr>
            <w:color w:val="1155CC"/>
            <w:u w:val="single"/>
          </w:rPr>
          <w:t>气候驱动的负负负荷转移和地区供暖和冷却系统的最佳设计:为暖化世纪规划能源供应</w:t>
        </w:r>
      </w:hyperlink>
    </w:p>
    <w:p>
      <w:pPr>
        <w:spacing w:before="0" w:after="80"/>
      </w:pPr>
      <w:r>
        <w:rPr>
          <w:i/>
          <w:sz w:val="20"/>
        </w:rPr>
        <w:t>EN: Climate-driven load shifts and the optimal design of district heating and cooling systems: Planning energy supply for a warming century</w:t>
      </w:r>
    </w:p>
    <w:p>
      <w:pPr>
        <w:spacing w:before="0" w:after="120"/>
      </w:pPr>
      <w:r>
        <w:rPr>
          <w:b/>
        </w:rPr>
        <w:t xml:space="preserve">Source: </w:t>
      </w:r>
      <w:r>
        <w:t>ScienceDirect Publication: Applied Energy</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[133] </w:t>
      </w:r>
      <w:hyperlink r:id="rId201">
        <w:r>
          <w:rPr>
            <w:color w:val="1155CC"/>
            <w:u w:val="single"/>
          </w:rPr>
          <w:t>FAPBI3 Perovovskite 用于太阳能电池的量图点的实地表表矩阵固化,效率19.37%</w:t>
        </w:r>
      </w:hyperlink>
    </w:p>
    <w:p>
      <w:pPr>
        <w:spacing w:before="0" w:after="80"/>
      </w:pPr>
      <w:r>
        <w:rPr>
          <w:i/>
          <w:sz w:val="20"/>
        </w:rPr>
        <w:t>EN: In-situ Surface Matrix Solidification of FAPbI3 Perovskite Quantum Dots for Solar Cells with 19.37% Efficiency</w:t>
      </w:r>
    </w:p>
    <w:p>
      <w:pPr>
        <w:spacing w:before="0" w:after="120"/>
      </w:pPr>
      <w:r>
        <w:rPr>
          <w:b/>
        </w:rPr>
        <w:t xml:space="preserve">Source: </w:t>
      </w:r>
      <w:r>
        <w:t>RSC - Energy Environ. Sci. latest articles</w:t>
      </w:r>
      <w:r>
        <w:t xml:space="preserve">    </w:t>
      </w:r>
      <w:r>
        <w:rPr>
          <w:b/>
        </w:rPr>
        <w:t xml:space="preserve">Pub date: </w:t>
      </w:r>
      <w:r>
        <w:t>2026-02-23 00:00:00+00:00</w:t>
      </w:r>
    </w:p>
    <w:p>
      <w:pPr>
        <w:spacing w:before="0" w:after="120"/>
      </w:pPr>
      <w:r>
        <w:rPr>
          <w:b/>
        </w:rPr>
        <w:t xml:space="preserve">Notes: </w:t>
      </w:r>
      <w:r>
        <w:t>abstract_source=rsc_html</w:t>
      </w:r>
    </w:p>
    <w:p>
      <w:pPr>
        <w:spacing w:before="0" w:after="80" w:lineRule="auto" w:line="276"/>
      </w:pPr>
      <w:r>
        <w:rPr>
          <w:b/>
        </w:rPr>
        <w:t xml:space="preserve">摘要（ZH）: </w:t>
      </w:r>
      <w:r>
        <w:t>由于光电子特性和溶解性处理能力突出,对新一代光伏发电来说,PQD的表面矩阵因其光学特性和溶解性可处理性而引起引人注目的注意,但是,PQD的表面矩阵在净化过程中一般受到抗溶液引起的表面悬浮和分解的影响,最终导致许多地面空缺的形成,从而严重降低PQD的光电子特性和稳定性。</w:t>
      </w:r>
    </w:p>
    <w:p>
      <w:pPr>
        <w:spacing w:before="0" w:after="200" w:lineRule="auto" w:line="276"/>
      </w:pPr>
      <w:r>
        <w:rPr>
          <w:b/>
        </w:rPr>
        <w:t xml:space="preserve">Abstract (EN): </w:t>
      </w:r>
      <w:r>
        <w:t>Formamidinium lead triiodide perovskite quantum dots (FAPbI3 PQDs) attract remarkable attention for new generation photovoltaics owing to their outstanding optoelectronic properties and solution processability. However, the surface matrix of PQDs generally suffers from surface ligand detachment induced by the antisolvents during the purification process, eventually leading to the formation of numerous surface vacancies and thus seriously degrading the optoelectronic properties and stability of PQDs. Herein, a facile in-situ surface matrix solidification (ISMS) strategy is reported to renovate the defective surface matrix of PQDs for efficient solar cells. During the ISMS, the multifunctional ligand benzoylhydrazine (BHZ) could react with I2 to generate benzoylhydrazine hydroiodide (BZI) in the antisolvent, which could compensate for FA + and I -vacancies at the surface matrix of PQDs, thereby substantially suppressing nonradiative recombination induced by the surface defects of PQDs. Meanwhile, the protonated benzoylhydrazine cations of BZI and BHZ ligands could also anchor on the PQD surface to solidify the surface lattice of PQDs, largely improving the structural stability of PQDs. Consequently, the PQD solar cells achieve a power conversion efficiency of up to 19.37%. This work provides important insight and design principles into the surface matrix regulation of PQDs using surface chemistry, approaching high-performance optoelectronic devices.</w:t>
      </w:r>
    </w:p>
    <w:p>
      <w:pPr>
        <w:spacing w:before="120" w:after="120"/>
      </w:pPr>
      <w:r>
        <w:rPr>
          <w:sz w:val="18"/>
        </w:rPr>
        <w:t>——————————————————————————————————————————————————————————————————————</w:t>
      </w:r>
    </w:p>
    <w:p>
      <w:pPr>
        <w:spacing w:before="160" w:after="40" w:line="240" w:lineRule="auto"/>
      </w:pPr>
      <w:r>
        <w:rPr>
          <w:b/>
        </w:rPr>
        <w:t xml:space="preserve">[134] </w:t>
      </w:r>
      <w:hyperlink r:id="rId202">
        <w:r>
          <w:rPr>
            <w:color w:val="1155CC"/>
            <w:u w:val="single"/>
          </w:rPr>
          <w:t>用于酸氧进化的四氧化二氧化二氧化华催化剂:设计原则</w:t>
        </w:r>
      </w:hyperlink>
    </w:p>
    <w:p>
      <w:pPr>
        <w:spacing w:before="0" w:after="80"/>
      </w:pPr>
      <w:r>
        <w:rPr>
          <w:i/>
          <w:sz w:val="20"/>
        </w:rPr>
        <w:t>EN: TiO2-coated rutile oxide catalysts for acidic oxygen evolution: a design principle</w:t>
      </w:r>
    </w:p>
    <w:p>
      <w:pPr>
        <w:spacing w:before="0" w:after="120"/>
      </w:pPr>
      <w:r>
        <w:rPr>
          <w:b/>
        </w:rPr>
        <w:t xml:space="preserve">Source: </w:t>
      </w:r>
      <w:r>
        <w:t>RSC - Energy Environ. Sci. latest articles</w:t>
      </w:r>
      <w:r>
        <w:t xml:space="preserve">    </w:t>
      </w:r>
      <w:r>
        <w:rPr>
          <w:b/>
        </w:rPr>
        <w:t xml:space="preserve">Pub date: </w:t>
      </w:r>
      <w:r>
        <w:t>2026-02-23 00:00:00+00:00</w:t>
      </w:r>
    </w:p>
    <w:p>
      <w:pPr>
        <w:spacing w:before="0" w:after="120"/>
      </w:pPr>
      <w:r>
        <w:rPr>
          <w:b/>
        </w:rPr>
        <w:t xml:space="preserve">Notes: </w:t>
      </w:r>
      <w:r>
        <w:t>abstract_source=rsc_html</w:t>
      </w:r>
    </w:p>
    <w:p>
      <w:pPr>
        <w:spacing w:before="0" w:after="80" w:lineRule="auto" w:line="276"/>
      </w:pPr>
      <w:r>
        <w:rPr>
          <w:b/>
        </w:rPr>
        <w:t xml:space="preserve">摘要（ZH）: </w:t>
      </w:r>
      <w:r>
        <w:t>在酸性条件下通过水电解通过酸性条件下的水电解生产绿色氢受到已知氧进化反应(OER)效率的限制。在本研究中,我们概述了开发酸性OER活性且潜在稳定的氧化氧化光电催化剂的设计原则。根据密度功能理论,我们发现Ti、Sn和Zr活性地点的吸附能量与Fermi水平相对于氧2的状态有关,因为周围的氧化物成分各不相同。这一趋势在白金组元素上没有观察到。我们把这一差异归因于Ti、Sn和Zr活性地点无法根据光学结构4+以上氧化状态,根据几何和电源的变化,进入该结构4+。Ti作为螺旋的吸附场出现。</w:t>
      </w:r>
    </w:p>
    <w:p>
      <w:pPr>
        <w:spacing w:before="0" w:after="200" w:lineRule="auto" w:line="276"/>
      </w:pPr>
      <w:r>
        <w:rPr>
          <w:b/>
        </w:rPr>
        <w:t xml:space="preserve">Abstract (EN): </w:t>
      </w:r>
      <w:r>
        <w:t>Green hydrogen production through water electrolysis under acidic conditions is limited by the efficiency of the anodic oxygen evolution reaction (OER). In this study, we outline a design principle for developing active and potentially stable rutile oxide electrocatalysts for acidic OER. Using density functional theory, we find that the adsorption energies for Ti, Sn, and Zr active sites correlate with the position of the Fermi level relative to the oxygen 2s states as the surrounding oxide composition is varied. This trend is not observed for platinum-group elements. We attribute this difference to the inability of Ti, Sn, and Zr active sites to access oxidation states above the 4+ of the rutile structure, according to changes in geometry and charge. Ti emerges as an adsorption site of special interest, since varying the composition of the surrounding rutile oxide allows titanium sites to reach theoretical overpotentials as low as 0.14 V. We then demonstrate tunable activity for TiO2-coated conductive rutile substrates. Based on literature evidence that TiO2 coatings improve stability under acidic OER conditions without substantially compromising activity, we suggest that a TiO2 overlayer can serve as both an active site and corrosion protection. We propose a composition-based model that successfully finds Ir and Ru free compositions (WxPt1−xO2, W0.46Pd0.54O2) that can activate the applied TiO2 overlayer.</w:t>
      </w:r>
    </w:p>
    <w:p>
      <w:pPr>
        <w:spacing w:before="120" w:after="120"/>
      </w:pPr>
      <w:r>
        <w:rPr>
          <w:sz w:val="18"/>
        </w:rPr>
        <w:t>——————————————————————————————————————————————————————————————————————</w:t>
      </w:r>
    </w:p>
    <w:p>
      <w:pPr>
        <w:spacing w:before="160" w:after="40" w:line="240" w:lineRule="auto"/>
      </w:pPr>
      <w:r>
        <w:rPr>
          <w:b/>
        </w:rPr>
        <w:t xml:space="preserve">[135] </w:t>
      </w:r>
      <w:hyperlink r:id="rId203">
        <w:r>
          <w:rPr>
            <w:color w:val="1155CC"/>
            <w:u w:val="single"/>
          </w:rPr>
          <w:t>电电聚体复合物中的矩形框架:静电能源储存平台</w:t>
        </w:r>
      </w:hyperlink>
    </w:p>
    <w:p>
      <w:pPr>
        <w:spacing w:before="0" w:after="80"/>
      </w:pPr>
      <w:r>
        <w:rPr>
          <w:i/>
          <w:sz w:val="20"/>
        </w:rPr>
        <w:t>EN: Reticular Frameworks in Dielectric Polymer Composites: A Platform for Electrostatic Energy Storage</w:t>
      </w:r>
    </w:p>
    <w:p>
      <w:pPr>
        <w:spacing w:before="0" w:after="120"/>
      </w:pPr>
      <w:r>
        <w:rPr>
          <w:b/>
        </w:rPr>
        <w:t xml:space="preserve">Source: </w:t>
      </w:r>
      <w:r>
        <w:t>RSC - Energy Environ. Sci. latest articles</w:t>
      </w:r>
      <w:r>
        <w:t xml:space="preserve">    </w:t>
      </w:r>
      <w:r>
        <w:rPr>
          <w:b/>
        </w:rPr>
        <w:t xml:space="preserve">Pub date: </w:t>
      </w:r>
      <w:r>
        <w:t>2026-02-23 00:00:00+00:00</w:t>
      </w:r>
    </w:p>
    <w:p>
      <w:pPr>
        <w:spacing w:before="0" w:after="120"/>
      </w:pPr>
      <w:r>
        <w:rPr>
          <w:b/>
        </w:rPr>
        <w:t xml:space="preserve">Notes: </w:t>
      </w:r>
      <w:r>
        <w:t>abstract_source=rsc_html</w:t>
      </w:r>
    </w:p>
    <w:p>
      <w:pPr>
        <w:spacing w:before="0" w:after="80" w:lineRule="auto" w:line="276"/>
      </w:pPr>
      <w:r>
        <w:rPr>
          <w:b/>
        </w:rPr>
        <w:t xml:space="preserve">摘要（ZH）: </w:t>
      </w:r>
      <w:r>
        <w:t>对先进的静电能源储存应用而言,追求高性能聚合物型电离复合体至关重要,要求同时实现高能量密度、热稳定性和快速排电能力,由金属-有机框架和共价有机框架(共价有机框架)代表的静电框架材料最近因其模块结构和金枪鱼易碎电子结构而成为变革填充器,与常规无机填充器不同,MOF和COF能够精确地对准能源水平,形成深层陷阱,并与聚合物基质进行强大的相互作用,从而有效抑制电荷运输,减轻电损耗,并增强断裂强度。</w:t>
      </w:r>
    </w:p>
    <w:p>
      <w:pPr>
        <w:spacing w:before="0" w:after="200" w:lineRule="auto" w:line="276"/>
      </w:pPr>
      <w:r>
        <w:rPr>
          <w:b/>
        </w:rPr>
        <w:t xml:space="preserve">Abstract (EN): </w:t>
      </w:r>
      <w:r>
        <w:t>The pursuit of high-performance polymer-based dielectric composites is critical for advanced electrostatic energy storage applications, demanding the simultaneous realization of high energy density, thermal stability, and rapid charge-discharge capability. Reticular framework materials, represented by metal-organic frameworks (MOFs) and covalent organic frameworks (COFs), have recently emerged as transformative fillers owing to their modular architectures and tunable electronic structures. Unlike conventional inorganic fillers, MOFs and COFs enable precise energy-level alignment, deep trap formation, and strong interfacial interactions with polymer matrices, thereby effectively suppressing charge transport, mitigating dielectric loss, and enhancing breakdown strength. Furthermore, the controllable dimensionality and morphology of reticular frameworks allow tailored percolation thresholds, mechanical reinforcement, and optimized polarization. Through the integration of interfacial engineering with reticular design, polymer-framework composites have exhibited exceptional discharged energy densities, particularly at elevated temperatures. Looking forward, the convergence of reticular chemistry, hierarchical interface design, and AI-guided discovery promises a rational platform for the predictive synthesis of next-generation dielectric composites, enabling unprecedented control over dielectric behavior, energy storage performance, and multifunctional properties. This minireview highlights the fundamental charge behaviors, interface-mediated transport mechanisms, and key design principles underpinning polymer-MOF/COF composites, providing a roadmap for the development of high-efficiency, high-performance electrostatic energy storage materials.</w:t>
      </w:r>
    </w:p>
    <w:p>
      <w:pPr>
        <w:spacing w:before="120" w:after="120"/>
      </w:pPr>
      <w:r>
        <w:rPr>
          <w:sz w:val="18"/>
        </w:rPr>
        <w:t>——————————————————————————————————————————————————————————————————————</w:t>
      </w:r>
    </w:p>
    <w:p>
      <w:pPr>
        <w:spacing w:before="160" w:after="40" w:line="240" w:lineRule="auto"/>
      </w:pPr>
      <w:r>
        <w:rPr>
          <w:b/>
        </w:rPr>
        <w:t xml:space="preserve">[136] </w:t>
      </w:r>
      <w:hyperlink r:id="rId204">
        <w:r>
          <w:rPr>
            <w:color w:val="1155CC"/>
            <w:u w:val="single"/>
          </w:rPr>
          <w:t>工程材料及其新应用中的光度特殊点</w:t>
        </w:r>
      </w:hyperlink>
    </w:p>
    <w:p>
      <w:pPr>
        <w:spacing w:before="0" w:after="80"/>
      </w:pPr>
      <w:r>
        <w:rPr>
          <w:i/>
          <w:sz w:val="20"/>
        </w:rPr>
        <w:t>EN: Photonic exceptional points in engineered materials and their emerging applications</w:t>
      </w:r>
    </w:p>
    <w:p>
      <w:pPr>
        <w:spacing w:before="0" w:after="120"/>
      </w:pPr>
      <w:r>
        <w:rPr>
          <w:b/>
        </w:rPr>
        <w:t xml:space="preserve">Source: </w:t>
      </w:r>
      <w:r>
        <w:t>Nature Reviews Materials</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借助于电子光值和电子元体的结合,非希腊光子系统中的例外点(EPs)使光物质相互作用的控制发生革命性革命,并引起不同材料和结构平台的日益关注。 本审查综合了利用电光晶体中电光晶体中的电动材料的工艺材料的进展:电光晶体中带式EPs,其中辐射引起的损失将赫米天分脱精转化成例外环和大块Fermi弧;将EPs分散在混合的电电极或损耗的元表面,促成单向反射传播;以及激光学和反粒体材料中的琼斯式EPs,其中利用天体脱氧分解法进行非对称分散和全息多重氧化。我们在d中突出新出现的现象。</w:t>
      </w:r>
    </w:p>
    <w:p>
      <w:pPr>
        <w:spacing w:before="0" w:after="200" w:lineRule="auto" w:line="276"/>
      </w:pPr>
      <w:r>
        <w:rPr>
          <w:b/>
        </w:rPr>
        <w:t xml:space="preserve">Abstract (EN): </w:t>
      </w:r>
      <w:r>
        <w:t>Enabled by the coalescence of eigenvalues and eigenstates, exceptional points (EPs) in non-Hermitian photonic systems have revolutionized the control of light–matter interactions and sparked growing interest across diverse material and structural platforms. This Review synthesizes advances in engineered materials that harness EPs across three key domains: band EPs in dielectric photonic crystals, wherein radiation-induced loss transforms Hermitian degeneracies into exceptional rings and bulk Fermi arcs; scattering EPs in hybrid dielectric or lossy metasurfaces, enabling unidirectional reflectionless propagation; and Jones EPs in plasmonic and anisotropic materials, which exploit chiral degeneracies for asymmetric scattering and holographic multiplexing. We highlight emerging phenomena in dynamic EP control using tunable materials such as graphene, phase-change media and micro-electromechanical systems, which enable real-time modulation, topological phase transitions and the direct observation of non-Hermitian braiding. The topological properties of EPs, manifested in phase accumulation and half-integer polarization charges, support key applications in wavefront shaping and singular optics. New frontiers involve the integration of EPs with other concepts, including bound states in the continuum, Dirac points, nonreciprocity and magnetic tunability. Bridging non-Hermitian physics with material-engineered platforms paves the way for adaptive photonic devices, topological meta-architectures and machine learning-driven designs, charting a path towards next-generation nanophotonics.</w:t>
      </w:r>
    </w:p>
    <w:p>
      <w:pPr>
        <w:spacing w:before="120" w:after="120"/>
      </w:pPr>
      <w:r>
        <w:rPr>
          <w:sz w:val="18"/>
        </w:rPr>
        <w:t>——————————————————————————————————————————————————————————————————————</w:t>
      </w:r>
    </w:p>
    <w:p>
      <w:pPr>
        <w:spacing w:before="160" w:after="40" w:line="240" w:lineRule="auto"/>
      </w:pPr>
      <w:r>
        <w:rPr>
          <w:b/>
        </w:rPr>
        <w:t xml:space="preserve">[137] </w:t>
      </w:r>
      <w:hyperlink r:id="rId205">
        <w:r>
          <w:rPr>
            <w:color w:val="1155CC"/>
            <w:u w:val="single"/>
          </w:rPr>
          <w:t>利用扫描探测器方法研究的表面分子磁特性</w:t>
        </w:r>
      </w:hyperlink>
    </w:p>
    <w:p>
      <w:pPr>
        <w:spacing w:before="0" w:after="80"/>
      </w:pPr>
      <w:r>
        <w:rPr>
          <w:i/>
          <w:sz w:val="20"/>
        </w:rPr>
        <w:t>EN: Magnetic properties of molecules on surfaces studied with scanning probe methods</w:t>
      </w:r>
    </w:p>
    <w:p>
      <w:pPr>
        <w:spacing w:before="0" w:after="120"/>
      </w:pPr>
      <w:r>
        <w:rPr>
          <w:b/>
        </w:rPr>
        <w:t xml:space="preserve">Source: </w:t>
      </w:r>
      <w:r>
        <w:t>National Science Review Advance Access</w:t>
      </w:r>
      <w:r>
        <w:t xml:space="preserve">    </w:t>
      </w:r>
      <w:r>
        <w:rPr>
          <w:b/>
        </w:rPr>
        <w:t xml:space="preserve">Pub date: </w:t>
      </w:r>
      <w:r>
        <w:t>2026-02-23 00:00:00+00:00</w:t>
      </w:r>
      <w:r>
        <w:t xml:space="preserve">    </w:t>
      </w:r>
      <w:r>
        <w:rPr>
          <w:b/>
        </w:rPr>
        <w:t xml:space="preserve">DOI: </w:t>
      </w:r>
      <w:hyperlink r:id="rId206">
        <w:r>
          <w:rPr>
            <w:color w:val="1155CC"/>
            <w:u w:val="single"/>
          </w:rPr>
          <w:t>10.1093/nsr/nwag109/8494839</w:t>
        </w:r>
      </w:hyperlink>
    </w:p>
    <w:p>
      <w:pPr>
        <w:spacing w:before="0" w:after="120"/>
      </w:pPr>
      <w:r>
        <w:rPr>
          <w:b/>
        </w:rPr>
        <w:t xml:space="preserve">Notes: </w:t>
      </w:r>
      <w:r>
        <w:t>abstract_source=rss_oup</w:t>
      </w:r>
    </w:p>
    <w:p>
      <w:pPr>
        <w:spacing w:before="0" w:after="80" w:lineRule="auto" w:line="276"/>
      </w:pPr>
      <w:r>
        <w:rPr>
          <w:b/>
        </w:rPr>
        <w:t xml:space="preserve">摘要（ZH）: </w:t>
      </w:r>
      <w:r>
        <w:t>表面的磁分子提供了原子精确的量子磁性测试台以及脊柱和量子信息中的设备概念。扫描探测器技术现在解决和控制单分子旋转状态、它们与子质的结合,以及新出现的许多体现象,包括孔多效应和Yu-Shiba-Rusinov(YSR)状态。本审查总结了最近在将分子设计、吸附几何和间基混合结合起来以创造可测量的旋脉动激素、振动和关联性的进展。 我们首先回忆了旋转形成和地表诱变的基本原理,然后考察了诸如扫描隧道显微镜、无弹性隧道光谱、泵-probe协议、功能化和超导精和磁性等关键方法。</w:t>
      </w:r>
    </w:p>
    <w:p>
      <w:pPr>
        <w:spacing w:before="0" w:after="200" w:lineRule="auto" w:line="276"/>
      </w:pPr>
      <w:r>
        <w:rPr>
          <w:b/>
        </w:rPr>
        <w:t xml:space="preserve">Abstract (EN): </w:t>
      </w:r>
      <w:r>
        <w:t>Magnetic molecules on surfaces provide atomically precise testbeds for quantum magnetism and device concepts in spintronics and quantum information. Scanning probe techniques now resolve and control single-molecule spin states, their coupling to substrates, and emergent many-body phenomena including the Kondo effect and Yu–Shiba–Rusinov (YSR) states. This review summarizes recent progress in combining molecular design, adsorption geometry, and interfacial hybridization to create measurable spin anisotropy, excitations, and correlations. We first recall fundamentals of spin formation and surface-induced modifications, then survey key methodologies like scanning tunneling microscopy, inelastic tunneling spectroscopy, pump–probe protocols, functionalized and superconducting tips, and magnetic exchange force microscopy. Case studies span single-ion magnets, metal-free Kondo-active molecules, molecular magnets on superconductors, and coupled spin architectures assembled by on-surface synthesis. Across these examples, we distill design rules for tuning exchange, anisotropy, and charge transfer at the molecule–surface interface. We conclude with open challenges—reproducibility, room-temperature stability, and multiscale theory—and outline opportunities in van der Waals integration, ultrafast spin dynamics, and data-driven spectroscopy, charting a path from single-molecule experiments to programmable molecular spin devices.</w:t>
      </w:r>
    </w:p>
    <w:p>
      <w:pPr>
        <w:spacing w:before="120" w:after="120"/>
      </w:pPr>
      <w:r>
        <w:rPr>
          <w:sz w:val="18"/>
        </w:rPr>
        <w:t>——————————————————————————————————————————————————————————————————————</w:t>
      </w:r>
    </w:p>
    <w:p>
      <w:pPr>
        <w:spacing w:before="160" w:after="40" w:line="240" w:lineRule="auto"/>
      </w:pPr>
      <w:r>
        <w:rPr>
          <w:b/>
        </w:rPr>
        <w:t xml:space="preserve">[138] </w:t>
      </w:r>
      <w:hyperlink r:id="rId207">
        <w:r>
          <w:rPr>
            <w:color w:val="1155CC"/>
            <w:u w:val="single"/>
          </w:rPr>
          <w:t>释放真实的禁闭效果:超高线性选择性和链长悬浮行为</w:t>
        </w:r>
      </w:hyperlink>
    </w:p>
    <w:p>
      <w:pPr>
        <w:spacing w:before="0" w:after="80"/>
      </w:pPr>
      <w:r>
        <w:rPr>
          <w:i/>
          <w:sz w:val="20"/>
        </w:rPr>
        <w:t>EN: Unmasking true confinement effects: ultrahigh linear selectivity and chain-length oscillatory behavior in zeolite-encapsulated rhodium hydroformylation</w:t>
      </w:r>
    </w:p>
    <w:p>
      <w:pPr>
        <w:spacing w:before="0" w:after="120"/>
      </w:pPr>
      <w:r>
        <w:rPr>
          <w:b/>
        </w:rPr>
        <w:t xml:space="preserve">Source: </w:t>
      </w:r>
      <w:r>
        <w:t>National Science Review Advance Access</w:t>
      </w:r>
      <w:r>
        <w:t xml:space="preserve">    </w:t>
      </w:r>
      <w:r>
        <w:rPr>
          <w:b/>
        </w:rPr>
        <w:t xml:space="preserve">Pub date: </w:t>
      </w:r>
      <w:r>
        <w:t>2026-02-23 00:00:00+00:00</w:t>
      </w:r>
      <w:r>
        <w:t xml:space="preserve">    </w:t>
      </w:r>
      <w:r>
        <w:rPr>
          <w:b/>
        </w:rPr>
        <w:t xml:space="preserve">DOI: </w:t>
      </w:r>
      <w:hyperlink r:id="rId208">
        <w:r>
          <w:rPr>
            <w:color w:val="1155CC"/>
            <w:u w:val="single"/>
          </w:rPr>
          <w:t>10.1093/nsr/nwag110/8494848</w:t>
        </w:r>
      </w:hyperlink>
    </w:p>
    <w:p>
      <w:pPr>
        <w:spacing w:before="0" w:after="120"/>
      </w:pPr>
      <w:r>
        <w:rPr>
          <w:b/>
        </w:rPr>
        <w:t xml:space="preserve">Notes: </w:t>
      </w:r>
      <w:r>
        <w:t>abstract_source=rss_oup</w:t>
      </w:r>
    </w:p>
    <w:p>
      <w:pPr>
        <w:spacing w:before="0" w:after="80" w:lineRule="auto" w:line="276"/>
      </w:pPr>
      <w:r>
        <w:rPr>
          <w:b/>
        </w:rPr>
        <w:t xml:space="preserve">摘要（ZH）: </w:t>
      </w:r>
      <w:r>
        <w:t>高α的液化</w:t>
      </w:r>
    </w:p>
    <w:p>
      <w:pPr>
        <w:spacing w:before="0" w:after="200" w:lineRule="auto" w:line="276"/>
      </w:pPr>
      <w:r>
        <w:rPr>
          <w:b/>
        </w:rPr>
        <w:t xml:space="preserve">Abstract (EN): </w:t>
      </w:r>
      <w:r>
        <w:t>Hydroformylation of higher α</w:t>
      </w:r>
    </w:p>
    <w:p>
      <w:pPr>
        <w:spacing w:before="120" w:after="120"/>
      </w:pPr>
      <w:r>
        <w:rPr>
          <w:sz w:val="18"/>
        </w:rPr>
        <w:t>——————————————————————————————————————————————————————————————————————</w:t>
      </w:r>
    </w:p>
    <w:p>
      <w:pPr>
        <w:spacing w:before="160" w:after="40" w:line="240" w:lineRule="auto"/>
      </w:pPr>
      <w:r>
        <w:rPr>
          <w:b/>
        </w:rPr>
        <w:t xml:space="preserve">[139] </w:t>
      </w:r>
      <w:hyperlink r:id="rId209">
        <w:r>
          <w:rPr>
            <w:color w:val="1155CC"/>
            <w:u w:val="single"/>
          </w:rPr>
          <w:t>从政策角度评价美国航空业对氢气的准备情况</w:t>
        </w:r>
      </w:hyperlink>
    </w:p>
    <w:p>
      <w:pPr>
        <w:spacing w:before="0" w:after="80"/>
      </w:pPr>
      <w:r>
        <w:rPr>
          <w:i/>
          <w:sz w:val="20"/>
        </w:rPr>
        <w:t>EN: Evaluating readiness for hydrogen in the United States aviation industry from a policy lens</w:t>
      </w:r>
    </w:p>
    <w:p>
      <w:pPr>
        <w:spacing w:before="0" w:after="120"/>
      </w:pPr>
      <w:r>
        <w:rPr>
          <w:b/>
        </w:rPr>
        <w:t xml:space="preserve">Source: </w:t>
      </w:r>
      <w:r>
        <w:t>ScienceDirect Publication: Energy Policy</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[140] </w:t>
      </w:r>
      <w:hyperlink r:id="rId210">
        <w:r>
          <w:rPr>
            <w:color w:val="1155CC"/>
            <w:u w:val="single"/>
          </w:rPr>
          <w:t>具有对称-对称-内陆磁电磁电联结的地磁多发电极</w:t>
        </w:r>
      </w:hyperlink>
    </w:p>
    <w:p>
      <w:pPr>
        <w:spacing w:before="0" w:after="80"/>
      </w:pPr>
      <w:r>
        <w:rPr>
          <w:i/>
          <w:sz w:val="20"/>
        </w:rPr>
        <w:t>EN: Altermagnetic multiferroics with symmetry-locked magnetoelectric coupling</w:t>
      </w:r>
    </w:p>
    <w:p>
      <w:pPr>
        <w:spacing w:before="0" w:after="120"/>
      </w:pPr>
      <w:r>
        <w:rPr>
          <w:b/>
        </w:rPr>
        <w:t xml:space="preserve">Source: </w:t>
      </w:r>
      <w:r>
        <w:t>Nature Materials</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[141] </w:t>
      </w:r>
      <w:hyperlink r:id="rId211">
        <w:r>
          <w:rPr>
            <w:color w:val="1155CC"/>
            <w:u w:val="single"/>
          </w:rPr>
          <w:t>作者更正: 树前死亡事件之前的干旱在持续时间和强度上都有所增加,特别是在干生物群落中。</w:t>
        </w:r>
      </w:hyperlink>
    </w:p>
    <w:p>
      <w:pPr>
        <w:spacing w:before="0" w:after="80"/>
      </w:pPr>
      <w:r>
        <w:rPr>
          <w:i/>
          <w:sz w:val="20"/>
        </w:rPr>
        <w:t>EN: Author Correction: Droughts preceding tree mortality events have increased in duration and intensity, especially in dry biomes</w:t>
      </w:r>
    </w:p>
    <w:p>
      <w:pPr>
        <w:spacing w:before="0" w:after="120"/>
      </w:pPr>
      <w:r>
        <w:rPr>
          <w:b/>
        </w:rPr>
        <w:t xml:space="preserve">Source: </w:t>
      </w:r>
      <w:r>
        <w:t>Nature Communications</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[142] </w:t>
      </w:r>
      <w:hyperlink r:id="rId212">
        <w:r>
          <w:rPr>
            <w:color w:val="1155CC"/>
            <w:u w:val="single"/>
          </w:rPr>
          <w:t>以水晶面为方向的全真空保存的千草枯太阳能电池</w:t>
        </w:r>
      </w:hyperlink>
    </w:p>
    <w:p>
      <w:pPr>
        <w:spacing w:before="0" w:after="80"/>
      </w:pPr>
      <w:r>
        <w:rPr>
          <w:i/>
          <w:sz w:val="20"/>
        </w:rPr>
        <w:t>EN: Crystal-facet-directed all-vacuum-deposited perovskite solar cells</w:t>
      </w:r>
    </w:p>
    <w:p>
      <w:pPr>
        <w:spacing w:before="0" w:after="120"/>
      </w:pPr>
      <w:r>
        <w:rPr>
          <w:b/>
        </w:rPr>
        <w:t xml:space="preserve">Source: </w:t>
      </w:r>
      <w:r>
        <w:t>Nature Materials</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真空沉降是用于在复杂基质上统一涂层的一种可变、无溶剂的工业方法理想。 但是,由热蒸发轨迹溶液处理的对等厂制造的全真空卸载的千草枯太阳能电池,由于电影质量的挑战、需要进步和更好的理解而具有效率和稳定性。 这里,我们通过引入一个PbCl2共同源来优化胶片质量,报告了1.67-eV宽带宽宽带甘巴普的共蒸发路线。 我们用已宣布的(100) " 面部 " 定向,为0.25厘米装置提供经认证的全真空卸载太阳能电池,效率为18.35%(实验室为19.3%)(1厘米2细胞为18.5% ) 。 根据ISOS-L-2方案,这些细胞在1 080小时后保留了80%的最高效率。</w:t>
      </w:r>
    </w:p>
    <w:p>
      <w:pPr>
        <w:spacing w:before="0" w:after="200" w:lineRule="auto" w:line="276"/>
      </w:pPr>
      <w:r>
        <w:rPr>
          <w:b/>
        </w:rPr>
        <w:t xml:space="preserve">Abstract (EN): </w:t>
      </w:r>
      <w:r>
        <w:t>Vacuum-based deposition is a scalable, solvent-free industrial method ideal for uniform coatings on complex substrates. However, all-vacuum-deposited perovskite solar cells fabricated by thermal evaporation trail solution-processed counterparts in efficiency and stability due to film quality challenges, necessitating advancement and improved understanding. Here, we report a co-evaporation route for 1.67-eV wide-bandgap perovskites by introducing a PbCl2 co-source to optimize film quality. We promote perovskite formation with pronounced (100) ‘face-up’ orientation and deliver a certified all-vacuum-deposited solar cell with 18.35% efficiency (19.3% in the laboratory) for 0.25-cm2 devices (18.5% for 1-cm2 cells). These cells retain 80% of peak efficiency after 1,080 h under the ISOS-L-2 protocol. Leveraging operando hyperspectral imaging, we provide spatiotemporal spectral insight into halide segregation and trap-mediated recombination, correlating microscopic luminescence features with macroscopic device performance while distinguishing radiative from non-ideal recombination channels. We further demonstrate 27.2%-efficient 1-cm2 evaporated perovskite-on-silicon tandem cells and outdoor stability of all-vacuum-deposited tandems in Italy, retaining ~80% initial performance after eight months.</w:t>
      </w:r>
    </w:p>
    <w:p>
      <w:pPr>
        <w:spacing w:before="120" w:after="120"/>
      </w:pPr>
      <w:r>
        <w:rPr>
          <w:sz w:val="18"/>
        </w:rPr>
        <w:t>——————————————————————————————————————————————————————————————————————</w:t>
      </w:r>
    </w:p>
    <w:p>
      <w:pPr>
        <w:spacing w:before="160" w:after="40" w:line="240" w:lineRule="auto"/>
      </w:pPr>
      <w:r>
        <w:rPr>
          <w:b/>
        </w:rPr>
        <w:t xml:space="preserve">[143] </w:t>
      </w:r>
      <w:hyperlink r:id="rId213">
        <w:r>
          <w:rPr>
            <w:color w:val="1155CC"/>
            <w:u w:val="single"/>
          </w:rPr>
          <w:t>Dion-Jacobson 2D 2D 层定制n价值评估工程使高效稳定的百草枯太阳能电池得以高效和稳定</w:t>
        </w:r>
      </w:hyperlink>
    </w:p>
    <w:p>
      <w:pPr>
        <w:spacing w:before="0" w:after="80"/>
      </w:pPr>
      <w:r>
        <w:rPr>
          <w:i/>
          <w:sz w:val="20"/>
        </w:rPr>
        <w:t>EN: Tailored n value engineering of Dion-Jacobson 2D layers enables efficient and stable perovskite solar cells</w:t>
      </w:r>
    </w:p>
    <w:p>
      <w:pPr>
        <w:spacing w:before="0" w:after="120"/>
      </w:pPr>
      <w:r>
        <w:rPr>
          <w:b/>
        </w:rPr>
        <w:t xml:space="preserve">Source: </w:t>
      </w:r>
      <w:r>
        <w:t>Joule</w:t>
      </w:r>
      <w:r>
        <w:t xml:space="preserve">    </w:t>
      </w:r>
      <w:r>
        <w:rPr>
          <w:b/>
        </w:rPr>
        <w:t xml:space="preserve">Pub date: </w:t>
      </w:r>
      <w:r>
        <w:t>2026-02-23 00:00:00+00:00</w:t>
      </w:r>
    </w:p>
    <w:p>
      <w:pPr>
        <w:spacing w:before="0" w:after="120"/>
      </w:pPr>
      <w:r>
        <w:rPr>
          <w:b/>
        </w:rPr>
        <w:t xml:space="preserve">Notes: </w:t>
      </w:r>
      <w:r>
        <w:t>abstract_source=rss_cell</w:t>
      </w:r>
    </w:p>
    <w:p>
      <w:pPr>
        <w:spacing w:before="0" w:after="80" w:lineRule="auto" w:line="276"/>
      </w:pPr>
      <w:r>
        <w:rPr>
          <w:b/>
        </w:rPr>
        <w:t xml:space="preserve">摘要（ZH）: </w:t>
      </w:r>
      <w:r>
        <w:t>这项工作表明,精确的温度控制可以调和Dion-Jacobson二维活性天文层之间的n值,优化3D/2D perovskite太阳能电池的充电传输。 这种方法同时提供25.56%的电转换效率,且具有n-定制的 2D 双层之间和显著的操作稳定性,并更深入地了解 3D/2D 双层形成和退化情况。</w:t>
      </w:r>
    </w:p>
    <w:p>
      <w:pPr>
        <w:spacing w:before="0" w:after="200" w:lineRule="auto" w:line="276"/>
      </w:pPr>
      <w:r>
        <w:rPr>
          <w:b/>
        </w:rPr>
        <w:t xml:space="preserve">Abstract (EN): </w:t>
      </w:r>
      <w:r>
        <w:t>This work shows that precise temperature control can tune the n value of a Dion-Jacobson two-dimensional perovskite interlayer, optimizing charge transport in 3D/2D perovskite solar cells. This approach simultaneously delivers a 25.56% power conversion efficiency with an n value-tailored 2D interlayer and remarkable operational stability and provides deeper insight into 3D/2D bilayer formation and degradation.</w:t>
      </w:r>
    </w:p>
    <w:p>
      <w:pPr>
        <w:spacing w:before="120" w:after="120"/>
      </w:pPr>
      <w:r>
        <w:rPr>
          <w:sz w:val="18"/>
        </w:rPr>
        <w:t>——————————————————————————————————————————————————————————————————————</w:t>
      </w:r>
    </w:p>
    <w:p>
      <w:pPr>
        <w:spacing w:before="160" w:after="40" w:line="240" w:lineRule="auto"/>
      </w:pPr>
      <w:r>
        <w:rPr>
          <w:b/>
        </w:rPr>
        <w:t xml:space="preserve">[144] </w:t>
      </w:r>
      <w:hyperlink r:id="rId214">
        <w:r>
          <w:rPr>
            <w:color w:val="1155CC"/>
            <w:u w:val="single"/>
          </w:rPr>
          <w:t>土著H2途径使细菌代谢性代谢性代谢性代谢性代谢性人得以进行生物兼容的氢化</w:t>
        </w:r>
      </w:hyperlink>
    </w:p>
    <w:p>
      <w:pPr>
        <w:spacing w:before="0" w:after="80"/>
      </w:pPr>
      <w:r>
        <w:rPr>
          <w:i/>
          <w:sz w:val="20"/>
        </w:rPr>
        <w:t>EN: Native H2 pathways enable biocompatible hydrogenation of metabolic alkenes in bacteria</w:t>
      </w:r>
    </w:p>
    <w:p>
      <w:pPr>
        <w:spacing w:before="0" w:after="120"/>
      </w:pPr>
      <w:r>
        <w:rPr>
          <w:b/>
        </w:rPr>
        <w:t xml:space="preserve">Source: </w:t>
      </w:r>
      <w:r>
        <w:t>Nature Chemistry</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氢气是可再生原料微生物自然产生的,而工业氢化则几乎完全依赖化石燃料产生的H2。 尽管工程生物学的进步和对绿色制造的需求不断增加,微生物H2在化学合成中的应用有限。在这里,我们证明,基因上未改变的微生物可在当地产生H2,以便利用含膜膜的聚丁膜催化剂在细胞膜内进行生物兼容的烷氢化。当与Escherichia coli工程中的新乙烷生物合成结合时,这一系统能够同时生产基质(烷)和再生试剂(H2),然后是膜相关生物氢化,以产生新的代谢终端产品。</w:t>
      </w:r>
    </w:p>
    <w:p>
      <w:pPr>
        <w:spacing w:before="0" w:after="200" w:lineRule="auto" w:line="276"/>
      </w:pPr>
      <w:r>
        <w:rPr>
          <w:b/>
        </w:rPr>
        <w:t xml:space="preserve">Abstract (EN): </w:t>
      </w:r>
      <w:r>
        <w:t>Hydrogen gas is naturally produced by microorganisms from renewable feedstocks, yet industrial hydrogenation relies almost entirely on fossil fuel-derived H2. Despite advances in engineering biology and increasing demand for greener manufacturing, microbial H2 has seen limited application in chemical synthesis. Here we demonstrate that genetically unmodified microorganisms can generate H2 in situ to drive biocompatible alkene hydrogenation at the cell membrane using membrane-bound Pd catalysts. When combined with de novo alkene biosynthesis in engineered Escherichia coli, this system enables the simultaneous in vivo production of both substrate (alkene) and reagent (H2), followed by membrane-associated biohydrogenation to yield new metabolic end products. Quantitative life cycle assessment reveals that hybrid chemo-microbial systems utilizing waste feedstocks can outperform electrolytic hydrogenation and achieve carbon-negative outcomes. Together, this work demonstrates how microbial metabolites can be generated, intercepted and metabolically multiplexed to support biocompatible transition metal catalysis and sustainable chemical synthesis in living cells.</w:t>
      </w:r>
    </w:p>
    <w:p>
      <w:pPr>
        <w:spacing w:before="120" w:after="120"/>
      </w:pPr>
      <w:r>
        <w:rPr>
          <w:sz w:val="18"/>
        </w:rPr>
        <w:t>——————————————————————————————————————————————————————————————————————</w:t>
      </w:r>
    </w:p>
    <w:p>
      <w:pPr>
        <w:spacing w:before="160" w:after="40" w:line="240" w:lineRule="auto"/>
      </w:pPr>
      <w:r>
        <w:rPr>
          <w:b/>
        </w:rPr>
        <w:t xml:space="preserve">[145] </w:t>
      </w:r>
      <w:hyperlink r:id="rId215">
        <w:r>
          <w:rPr>
            <w:color w:val="1155CC"/>
            <w:u w:val="single"/>
          </w:rPr>
          <w:t>用于细胞内蛋白蛋白通热的生物兼容性有机金属元体</w:t>
        </w:r>
      </w:hyperlink>
    </w:p>
    <w:p>
      <w:pPr>
        <w:spacing w:before="0" w:after="80"/>
      </w:pPr>
      <w:r>
        <w:rPr>
          <w:i/>
          <w:sz w:val="20"/>
        </w:rPr>
        <w:t>EN: Biocompatible organometallics for in-cell protein arylation</w:t>
      </w:r>
    </w:p>
    <w:p>
      <w:pPr>
        <w:spacing w:before="0" w:after="120"/>
      </w:pPr>
      <w:r>
        <w:rPr>
          <w:b/>
        </w:rPr>
        <w:t xml:space="preserve">Source: </w:t>
      </w:r>
      <w:r>
        <w:t>Nature Chemistry</w:t>
      </w:r>
      <w:r>
        <w:t xml:space="preserve">    </w:t>
      </w:r>
      <w:r>
        <w:rPr>
          <w:b/>
        </w:rPr>
        <w:t xml:space="preserve">Pub date: </w:t>
      </w:r>
      <w:r>
        <w:t>2026-02-23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[146] </w:t>
      </w:r>
      <w:hyperlink r:id="rId216">
        <w:r>
          <w:rPr>
            <w:color w:val="1155CC"/>
            <w:u w:val="single"/>
          </w:rPr>
          <w:t>控制染色磷组装和通过碳纳米探针进行联结,能够使在间染色磷距离不超过16度的单发裂变得以发生。</w:t>
        </w:r>
      </w:hyperlink>
    </w:p>
    <w:p>
      <w:pPr>
        <w:spacing w:before="0" w:after="80"/>
      </w:pPr>
      <w:r>
        <w:rPr>
          <w:i/>
          <w:sz w:val="20"/>
        </w:rPr>
        <w:t>EN: Controlling chromophore assembly and coupling via carbon nanohoops enables singlet fission at interchromophore distances up to 16 Å</w:t>
      </w:r>
    </w:p>
    <w:p>
      <w:pPr>
        <w:spacing w:before="0" w:after="120"/>
      </w:pPr>
      <w:r>
        <w:rPr>
          <w:b/>
        </w:rPr>
        <w:t xml:space="preserve">Source: </w:t>
      </w:r>
      <w:r>
        <w:t>Nature Chemistry</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单子裂变是一个过程,通过三对三对中间状态将光刺激单子激素转换成两个三重激素,它具有提高太阳能电池效率的重要潜力。 间相色谱距离在决定TT状态命运方面发挥着关键作用,更大的分离有利于TT变异。然而,通过分子间单质裂变而高效生成TT一直局限于近邻距离低于5.6的染色红外线组件,因为红外线交配必然由弱小范德华尔斯力量控制。 我们在这里通过同时进行跨空间工程和跨孔电荷转移互动来调节异色相距离。利用碳纳米来利用这一战略。</w:t>
      </w:r>
    </w:p>
    <w:p>
      <w:pPr>
        <w:spacing w:before="0" w:after="200" w:lineRule="auto" w:line="276"/>
      </w:pPr>
      <w:r>
        <w:rPr>
          <w:b/>
        </w:rPr>
        <w:t xml:space="preserve">Abstract (EN): </w:t>
      </w:r>
      <w:r>
        <w:t>Singlet fission, a process that converts a photoexcited singlet exciton into two triplet excitons via a triplet pair (TT) intermediate state, holds important potential for enhancing the efficiency of solar cells. The interchromophore distance plays a critical role in dictating the fate of TT states, with larger separations being favourable for TT decorrelation. However, efficient TT generation through intermolecular singlet fission has thus far been limited to chromophore assemblies with nearest-neighbour distances below 5.6 Å because interchromophore coupling is inherently governed by weak van der Waals forces. Here we modulate interchromophore distances by simultaneously engineering through-space and through-bond charge-transfer interactions. Utilizing this strategy with the carbon nanohoop motif, we demonstrate that ultrafast singlet fission (∼16 Å at its shortest point. This finding underscores that the van der Waals limit is no longer a fundamental design constraint in the search for new singlet fission materials.</w:t>
      </w:r>
    </w:p>
    <w:p>
      <w:pPr>
        <w:spacing w:before="120" w:after="120"/>
      </w:pPr>
      <w:r>
        <w:rPr>
          <w:sz w:val="18"/>
        </w:rPr>
        <w:t>——————————————————————————————————————————————————————————————————————</w:t>
      </w:r>
    </w:p>
    <w:p>
      <w:pPr>
        <w:spacing w:before="160" w:after="40" w:line="240" w:lineRule="auto"/>
      </w:pPr>
      <w:r>
        <w:rPr>
          <w:b/>
        </w:rPr>
        <w:t xml:space="preserve">[147] </w:t>
      </w:r>
      <w:hyperlink r:id="rId217">
        <w:r>
          <w:rPr>
            <w:color w:val="1155CC"/>
            <w:u w:val="single"/>
          </w:rPr>
          <w:t>Dy(III) 基单分子质溶液中单分子质谱质的智清异质旋状状态</w:t>
        </w:r>
      </w:hyperlink>
    </w:p>
    <w:p>
      <w:pPr>
        <w:spacing w:before="0" w:after="80"/>
      </w:pPr>
      <w:r>
        <w:rPr>
          <w:i/>
          <w:sz w:val="20"/>
        </w:rPr>
        <w:t>EN: Homochiral toroidal spin state in Dy(III)-based single-molecule toroics</w:t>
      </w:r>
    </w:p>
    <w:p>
      <w:pPr>
        <w:spacing w:before="0" w:after="120"/>
      </w:pPr>
      <w:r>
        <w:rPr>
          <w:b/>
        </w:rPr>
        <w:t xml:space="preserve">Source: </w:t>
      </w:r>
      <w:r>
        <w:t>Nature Chemistry</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将分子层的旋转和手力结合在一起的单分子分子分子材料,即单分子质粒子和手力混合材料,是数据储存、手性脊椎和磁电设备应用的有希望的候选对象,在过去20年中,通过液压设计和协调化学战略,在类固醇旋状状态的设计方面取得了长足的进展,然而,在分子和单位细胞尺度上实现同质磁旋涡轮配置,这是利用同质磁场——其余挑战性——诱导近似极分化的关键先决条件。</w:t>
      </w:r>
    </w:p>
    <w:p>
      <w:pPr>
        <w:spacing w:before="0" w:after="200" w:lineRule="auto" w:line="276"/>
      </w:pPr>
      <w:r>
        <w:rPr>
          <w:b/>
        </w:rPr>
        <w:t xml:space="preserve">Abstract (EN): </w:t>
      </w:r>
      <w:r>
        <w:t>Single-molecule toroics, materials that combine spin and chirality at the molecular level, are promising candidates for applications in data storage, chiral spintronics and magnetoelectric devices. Over the past two decades, substantial progress has been made in the design of toroidal spin states via ligand design and coordination chemistry strategies. However, achieving homochiral magnetic vortex configurations across both molecular and unit-cell scales—a key prerequisite to induce the toroidal polarization using a homogeneous magnetic field—remains challenging. Here we report enantiopure chiral dysprosium triangles in which introduction of structural chirality induces spin homochirality. µ-SQUID magnetometry and ab initio calculations evidence a non-coplanar spin texture that exhibits a toroidal ground state at low temperature. Furthermore, magneto-chiral dichroism spectroscopy, a technique sensitive to both chirality and magnetization, reveals unusual behaviours below 4.5 K, the temperature at which the coupling between Dy(III) ions favours the generation of a toroidal spin state.</w:t>
      </w:r>
    </w:p>
    <w:p>
      <w:pPr>
        <w:spacing w:before="120" w:after="120"/>
      </w:pPr>
      <w:r>
        <w:rPr>
          <w:sz w:val="18"/>
        </w:rPr>
        <w:t>——————————————————————————————————————————————————————————————————————</w:t>
      </w:r>
    </w:p>
    <w:p>
      <w:pPr>
        <w:spacing w:before="160" w:after="40" w:line="240" w:lineRule="auto"/>
      </w:pPr>
      <w:r>
        <w:rPr>
          <w:b/>
        </w:rPr>
        <w:t xml:space="preserve">[148] </w:t>
      </w:r>
      <w:hyperlink r:id="rId218">
        <w:r>
          <w:rPr>
            <w:color w:val="1155CC"/>
            <w:u w:val="single"/>
          </w:rPr>
          <w:t>原子稀薄抗推磁网中的六州时钟物理学</w:t>
        </w:r>
      </w:hyperlink>
    </w:p>
    <w:p>
      <w:pPr>
        <w:spacing w:before="0" w:after="80"/>
      </w:pPr>
      <w:r>
        <w:rPr>
          <w:i/>
          <w:sz w:val="20"/>
        </w:rPr>
        <w:t>EN: Six-state clock physics in an atomically thin antiferromagnet</w:t>
      </w:r>
    </w:p>
    <w:p>
      <w:pPr>
        <w:spacing w:before="0" w:after="120"/>
      </w:pPr>
      <w:r>
        <w:rPr>
          <w:b/>
        </w:rPr>
        <w:t xml:space="preserve">Source: </w:t>
      </w:r>
      <w:r>
        <w:t>Nature Materials</w:t>
      </w:r>
      <w:r>
        <w:t xml:space="preserve">    </w:t>
      </w:r>
      <w:r>
        <w:rPr>
          <w:b/>
        </w:rPr>
        <w:t xml:space="preserve">Pub date: </w:t>
      </w:r>
      <w:r>
        <w:t>2026-02-23 00:00:00+00:00</w:t>
      </w:r>
    </w:p>
    <w:p>
      <w:pPr>
        <w:spacing w:before="0" w:after="120"/>
      </w:pPr>
      <w:r>
        <w:rPr>
          <w:b/>
        </w:rPr>
        <w:t xml:space="preserve">Notes: </w:t>
      </w:r>
      <w:r>
        <w:t>abstract_source=nature_html</w:t>
      </w:r>
    </w:p>
    <w:p>
      <w:pPr>
        <w:spacing w:before="0" w:after="80" w:lineRule="auto" w:line="276"/>
      </w:pPr>
      <w:r>
        <w:rPr>
          <w:b/>
        </w:rPr>
        <w:t xml:space="preserve">摘要（ZH）: </w:t>
      </w:r>
      <w:r>
        <w:t>由自发的对称断裂和地形学驱动的集体行为研究对于理解量子物质阶段转变至关重要。 二维(2D)XY模型以连续的飞机旋转对称来描述旋转。它包含着“Berezinskii-Kosterlitz-Thoouless(BKT) ” 的顶层结构转型,其中涡旋-反电流结合引致半长距离顺序。这个模型后来扩展为包括了“反声磁场 ”, 导致六州时钟模型,该模型预测了“BKT” 阶段在低温下向真正的远程秩序的不稳定性。 我们在这里使用非线性光学光学微极测量法学对“ NiPS3” 中的物理进行了调查。 由于材料被稀释为单层,因此其磁反应开关从 3D XXZ 突如雷的3D 。</w:t>
      </w:r>
    </w:p>
    <w:p>
      <w:pPr>
        <w:spacing w:before="0" w:after="200" w:lineRule="auto" w:line="276"/>
      </w:pPr>
      <w:r>
        <w:rPr>
          <w:b/>
        </w:rPr>
        <w:t xml:space="preserve">Abstract (EN): </w:t>
      </w:r>
      <w:r>
        <w:t>The study of collective behaviour driven by spontaneous symmetry breaking and topology is crucial for understanding phase transitions in quantum matter. The two-dimensional (2D) XY model, describing spins with continuous in-plane rotational symmetry, hosts the topological Berezinskii–Kosterlitz–Thouless (BKT) transition, where vortex–antivortex binding induces quasi-long-range order. This model was later extended to include anisotropy fields, leading to the six-state clock model, which predicts the instability of the BKT phase toward true long-range order at low temperatures. Here we investigate this physics in the van der Waals antiferromagnet NiPS3 using nonlinear optical micropolarimetry. As the material is thinned to a monolayer, its magnetic response switches abruptly from the 3D XXZ behaviour of multilayers to a distinct 2D regime consistent with a BKT state. Upon further cooling, the monolayer BKT phase becomes unstable and transforms into a pinned state with long-range order. These results, corroborated by Monte Carlo simulations, open pathways to explore spin vortices and topological dynamics in 2D antiferromagnets.</w:t>
      </w:r>
    </w:p>
    <w:p>
      <w:pPr>
        <w:spacing w:before="120" w:after="120"/>
      </w:pPr>
      <w:r>
        <w:rPr>
          <w:sz w:val="18"/>
        </w:rPr>
        <w:t>——————————————————————————————————————————————————————————————————————</w:t>
      </w:r>
    </w:p>
    <w:p>
      <w:pPr>
        <w:spacing w:before="160" w:after="40" w:line="240" w:lineRule="auto"/>
      </w:pPr>
      <w:r>
        <w:rPr>
          <w:b/>
        </w:rPr>
        <w:t xml:space="preserve">[149] </w:t>
      </w:r>
      <w:hyperlink r:id="rId219">
        <w:r>
          <w:rPr>
            <w:color w:val="1155CC"/>
            <w:u w:val="single"/>
          </w:rPr>
          <w:t>3D 为高能金属电池制造厚电极和高功率金属电池的等级孔状结构</w:t>
        </w:r>
      </w:hyperlink>
    </w:p>
    <w:p>
      <w:pPr>
        <w:spacing w:before="0" w:after="80"/>
      </w:pPr>
      <w:r>
        <w:rPr>
          <w:i/>
          <w:sz w:val="20"/>
        </w:rPr>
        <w:t>EN: 3D Printing Manufacturing of Thick Electrodes With Hierarchical Porous Structures for High‐Power Lithium Metal Batteries</w:t>
      </w:r>
    </w:p>
    <w:p>
      <w:pPr>
        <w:spacing w:before="0" w:after="120"/>
      </w:pPr>
      <w:r>
        <w:rPr>
          <w:b/>
        </w:rPr>
        <w:t xml:space="preserve">Source: </w:t>
      </w:r>
      <w:r>
        <w:t>Wiley: Advanced Energy Materials: Table of Contents</w:t>
      </w:r>
      <w:r>
        <w:t xml:space="preserve">    </w:t>
      </w:r>
      <w:r>
        <w:rPr>
          <w:b/>
        </w:rPr>
        <w:t xml:space="preserve">Pub date: </w:t>
      </w:r>
      <w:r>
        <w:t>2026-02-23 04:55:59+00:00</w:t>
      </w:r>
      <w:r>
        <w:t xml:space="preserve">    </w:t>
      </w:r>
      <w:r>
        <w:rPr>
          <w:b/>
        </w:rPr>
        <w:t xml:space="preserve">DOI: </w:t>
      </w:r>
      <w:hyperlink r:id="rId220">
        <w:r>
          <w:rPr>
            <w:color w:val="1155CC"/>
            <w:u w:val="single"/>
          </w:rPr>
          <w:t>10.1002/aenm.202506389</w:t>
        </w:r>
      </w:hyperlink>
    </w:p>
    <w:p>
      <w:pPr>
        <w:spacing w:before="0" w:after="120"/>
      </w:pPr>
      <w:r>
        <w:rPr>
          <w:b/>
        </w:rPr>
        <w:t xml:space="preserve">Notes: </w:t>
      </w:r>
      <w:r>
        <w:t>abstract_source=crossref</w:t>
      </w:r>
    </w:p>
    <w:p>
      <w:pPr>
        <w:spacing w:before="0" w:after="80" w:lineRule="auto" w:line="276"/>
      </w:pPr>
      <w:r>
        <w:rPr>
          <w:b/>
        </w:rPr>
        <w:t xml:space="preserve">摘要（ZH）: </w:t>
      </w:r>
      <w:r>
        <w:t>氨金属电池ABSTACT Thick 电极在平衡离子传输动能与结构稳定性之间平衡方面面临重大挑战,特别是在高纬度条件下。本研究开发了一种协同制造战略,将直接墨写三维印刷与冰溶化和相分离结合起来,以建造LiFePO 4型厚电极,并配有高等级多孔结构。 系统红色优化将P 30% 的墨与理想剪裁行为和形状保留能力(Yield应力:538.9帕,存储模量:21 480帕)。由此产生的电极特征为大型打印通道和相连接的相干微粒,从而达到高孔度(79.57%) a。</w:t>
      </w:r>
    </w:p>
    <w:p>
      <w:pPr>
        <w:spacing w:before="0" w:after="200" w:lineRule="auto" w:line="276"/>
      </w:pPr>
      <w:r>
        <w:rPr>
          <w:b/>
        </w:rPr>
        <w:t xml:space="preserve">Abstract (EN): </w:t>
      </w:r>
      <w:r>
        <w:t>Thick electrodes of Lithium Metal battery face significant challenges in balancing ionic transport kinetics with structural stability, particularly under high‐rate conditions. This study develops a synergistic fabrication strategy integrating direct ink writing 3D printing with ice‐templating and phase separation to construct LiFePO</w:t>
      </w:r>
      <w:r>
        <w:rPr>
          <w:vertAlign w:val="subscript"/>
        </w:rPr>
        <w:t>4</w:t>
      </w:r>
      <w:r>
        <w:t>thick electrodes with hierarchical porous architectures. Systematic rheological optimization identifies the P‐30% ink with ideal shear‐thinning behavior and shape retention capability (yield stress: 538.9 Pa, storage modulus: 21 480 Pa). The resulting electrode features macro‐printed channels and interconnected phase‐separated micropores, achieving high porosity (79.57%) and low tortuosity. This unique architecture delivers exceptional electrochemical performance: a specific capacity of 109.3 mAh g</w:t>
      </w:r>
      <w:r>
        <w:t xml:space="preserve"> </w:t>
      </w:r>
      <w:r>
        <w:t>−</w:t>
      </w:r>
      <w:r>
        <w:rPr>
          <w:vertAlign w:val="subscript"/>
        </w:rPr>
        <w:t>1</w:t>
      </w:r>
      <w:r>
        <w:t>at 5C rate, 90.8% capacity retention after 2000 cycles, reduced charge transfer resistance (69.8 Ω), and enhanced Li‐ion diffusion coefficient (1.65 × 10</w:t>
      </w:r>
      <w:r>
        <w:t xml:space="preserve"> </w:t>
      </w:r>
      <w:r>
        <w:t>−</w:t>
      </w:r>
      <w:r>
        <w:rPr>
          <w:vertAlign w:val="subscript"/>
        </w:rPr>
        <w:t>1</w:t>
      </w:r>
      <w:r>
        <w:rPr>
          <w:vertAlign w:val="subscript"/>
        </w:rPr>
        <w:t>0</w:t>
      </w:r>
      <w:r>
        <w:t>cm</w:t>
      </w:r>
      <w:r>
        <w:rPr>
          <w:vertAlign w:val="subscript"/>
        </w:rPr>
        <w:t>2</w:t>
      </w:r>
      <w:r>
        <w:t>s</w:t>
      </w:r>
      <w:r>
        <w:t xml:space="preserve"> </w:t>
      </w:r>
      <w:r>
        <w:t>−</w:t>
      </w:r>
      <w:r>
        <w:rPr>
          <w:vertAlign w:val="subscript"/>
        </w:rPr>
        <w:t>1</w:t>
      </w:r>
      <w:r>
        <w:t>). COMSOL simulations confirm improved ion transport efficiency and mitigated concentration polarization. The assembled pouch cell maintains stable performance over 10 000 bending cycles, demonstrating superior mechanical flexibility and practical application potential for high‐power energy storage systems.</w:t>
      </w:r>
    </w:p>
    <w:p>
      <w:pPr>
        <w:spacing w:before="120" w:after="120"/>
      </w:pPr>
      <w:r>
        <w:rPr>
          <w:sz w:val="18"/>
        </w:rPr>
        <w:t>——————————————————————————————————————————————————————————————————————</w:t>
      </w:r>
    </w:p>
    <w:p>
      <w:pPr>
        <w:spacing w:before="160" w:after="40" w:line="240" w:lineRule="auto"/>
      </w:pPr>
      <w:r>
        <w:rPr>
          <w:b/>
        </w:rPr>
        <w:t xml:space="preserve">[150] </w:t>
      </w:r>
      <w:hyperlink r:id="rId221">
        <w:r>
          <w:rPr>
            <w:color w:val="1155CC"/>
            <w:u w:val="single"/>
          </w:rPr>
          <w:t>加强聚合自成一体的单层自组单层人促进高效和稳定地倒转的 Perovskite太阳能电池的基质组合</w:t>
        </w:r>
      </w:hyperlink>
    </w:p>
    <w:p>
      <w:pPr>
        <w:spacing w:before="0" w:after="80"/>
      </w:pPr>
      <w:r>
        <w:rPr>
          <w:i/>
          <w:sz w:val="20"/>
        </w:rPr>
        <w:t>EN: Strengthening Substrate Anchoring of Polymeric Self‐Assembled Monolayers for Efficient and Stable Inverted Perovskite Solar Cells</w:t>
      </w:r>
    </w:p>
    <w:p>
      <w:pPr>
        <w:spacing w:before="0" w:after="120"/>
      </w:pPr>
      <w:r>
        <w:rPr>
          <w:b/>
        </w:rPr>
        <w:t xml:space="preserve">Source: </w:t>
      </w:r>
      <w:r>
        <w:t>Wiley: Advanced Materials: Table of Contents</w:t>
      </w:r>
      <w:r>
        <w:t xml:space="preserve">    </w:t>
      </w:r>
      <w:r>
        <w:rPr>
          <w:b/>
        </w:rPr>
        <w:t xml:space="preserve">Pub date: </w:t>
      </w:r>
      <w:r>
        <w:t>2026-02-23 05:46:17+00:00</w:t>
      </w:r>
      <w:r>
        <w:t xml:space="preserve">    </w:t>
      </w:r>
      <w:r>
        <w:rPr>
          <w:b/>
        </w:rPr>
        <w:t xml:space="preserve">DOI: </w:t>
      </w:r>
      <w:hyperlink r:id="rId222">
        <w:r>
          <w:rPr>
            <w:color w:val="1155CC"/>
            <w:u w:val="single"/>
          </w:rPr>
          <w:t>10.1002/adma.72622</w:t>
        </w:r>
      </w:hyperlink>
    </w:p>
    <w:p>
      <w:pPr>
        <w:spacing w:before="0" w:after="120"/>
      </w:pPr>
      <w:r>
        <w:rPr>
          <w:b/>
        </w:rPr>
        <w:t xml:space="preserve">Notes: </w:t>
      </w:r>
      <w:r>
        <w:t>abstract_source=crossref</w:t>
      </w:r>
    </w:p>
    <w:p>
      <w:pPr>
        <w:spacing w:before="0" w:after="80" w:lineRule="auto" w:line="276"/>
      </w:pPr>
      <w:r>
        <w:rPr>
          <w:b/>
        </w:rPr>
        <w:t xml:space="preserve">摘要（ZH）: </w:t>
      </w:r>
      <w:r>
        <w:t>但是,小分子基基基覆盖率不足和操作稳定性不足导致聚合型SAM作为一种替代品的开发,聚合型SAM的分子结构仍然没有得到充分利用,导致与小型分子库SAMs相比性能较低。 这里,我们的结果显示,先前报告的Poly4PACz含有一些连接点,在单体之间产生严重的急性反弹,迫使磷酸盐组群形成一种替代的对齐,并降低基固能力。受此影响,我们设计了这些连接点。</w:t>
      </w:r>
    </w:p>
    <w:p>
      <w:pPr>
        <w:spacing w:before="0" w:after="200" w:lineRule="auto" w:line="276"/>
      </w:pPr>
      <w:r>
        <w:rPr>
          <w:b/>
        </w:rPr>
        <w:t xml:space="preserve">Abstract (EN): </w:t>
      </w:r>
      <w:r>
        <w:t>Small‐molecule‐based self‐assembled monolayers (SAMs) used as hole‐transporting layers have achieved exceptional efficiencies in inverted perovskite solar cells (PSCs). However, inadequate substrate coverage and insufficient operational stability of small molecules have led to the development of polymeric SAMs as an alternative. Nevertheless, the molecular configuration of polymeric SAMs remains underexplored, resulting in lower performance compared to small‐molecule SAMs. Here, our results show that the previously reported Poly‐4PACz contains linkage sites generating significant steric repulsion between monomers, forcing phosphate groups into an alternative alignment and reducing substrate anchoring capability. Inspired by this, we designed a new polymeric SAM, Poly‐4PADCB, by selecting specific monomer linkage sites to reduce steric hindrance. Consequently, the alignment of phosphate groups in Poly‐4PADCB becomes unidirectional after polymerization, resulting in higher coverage and improved molecular ordering. This ordered template facilitates high‐quality perovskite growth and optimizes energy level alignment at the buried interface via a synergistic dipole superposition effect. Ultimately, PSCs based on Poly‐4PADCB achieve a power conversion efficiency (PCE) of 26.90% (certified 26.50%) and a large‐area (1 cm</w:t>
      </w:r>
      <w:r>
        <w:rPr>
          <w:vertAlign w:val="subscript"/>
        </w:rPr>
        <w:t>2</w:t>
      </w:r>
      <w:r>
        <w:t>) PCE of 25.54% (certified 25.19%). This robust interfacial architecture inhibits SAM desorption and diffusion, with 96% of initial performance retained after 2000 h of continuous maximum power point tracking under the ISOS‐L‐2 protocol.</w:t>
      </w:r>
    </w:p>
    <w:p>
      <w:pPr>
        <w:spacing w:before="120" w:after="120"/>
      </w:pPr>
      <w:r>
        <w:rPr>
          <w:sz w:val="18"/>
        </w:rPr>
        <w:t>——————————————————————————————————————————————————————————————————————</w:t>
      </w:r>
    </w:p>
    <w:p>
      <w:pPr>
        <w:spacing w:before="160" w:after="40" w:line="240" w:lineRule="auto"/>
      </w:pPr>
      <w:r>
        <w:rPr>
          <w:b/>
        </w:rPr>
        <w:t xml:space="preserve">[151] </w:t>
      </w:r>
      <w:hyperlink r:id="rId223">
        <w:r>
          <w:rPr>
            <w:color w:val="1155CC"/>
            <w:u w:val="single"/>
          </w:rPr>
          <w:t>统一和稳定的两面破碎的 Lewis对等气,使CO2能够高高效转换,并使用氢-镍富分子</w:t>
        </w:r>
      </w:hyperlink>
    </w:p>
    <w:p>
      <w:pPr>
        <w:spacing w:before="0" w:after="80"/>
      </w:pPr>
      <w:r>
        <w:rPr>
          <w:i/>
          <w:sz w:val="20"/>
        </w:rPr>
        <w:t>EN: Uniform and Stable Dual Frustrated Lewis Pairs Enabling Highly Efficient Conversion of CO2 With Hydrogen‐rich Molecules</w:t>
      </w:r>
    </w:p>
    <w:p>
      <w:pPr>
        <w:spacing w:before="0" w:after="120"/>
      </w:pPr>
      <w:r>
        <w:rPr>
          <w:b/>
        </w:rPr>
        <w:t xml:space="preserve">Source: </w:t>
      </w:r>
      <w:r>
        <w:t>Wiley: Angewandte Chemie International Edition: Table of Contents</w:t>
      </w:r>
      <w:r>
        <w:t xml:space="preserve">    </w:t>
      </w:r>
      <w:r>
        <w:rPr>
          <w:b/>
        </w:rPr>
        <w:t xml:space="preserve">Pub date: </w:t>
      </w:r>
      <w:r>
        <w:t>2026-02-23 06:24:42+00:00</w:t>
      </w:r>
      <w:r>
        <w:t xml:space="preserve">    </w:t>
      </w:r>
      <w:r>
        <w:rPr>
          <w:b/>
        </w:rPr>
        <w:t xml:space="preserve">DOI: </w:t>
      </w:r>
      <w:hyperlink r:id="rId224">
        <w:r>
          <w:rPr>
            <w:color w:val="1155CC"/>
            <w:u w:val="single"/>
          </w:rPr>
          <w:t>10.1002/anie.202523755</w:t>
        </w:r>
      </w:hyperlink>
    </w:p>
    <w:p>
      <w:pPr>
        <w:spacing w:before="0" w:after="120"/>
      </w:pPr>
      <w:r>
        <w:rPr>
          <w:b/>
        </w:rPr>
        <w:t xml:space="preserve">Notes: </w:t>
      </w:r>
      <w:r>
        <w:t>abstract_source=crossref</w:t>
      </w:r>
    </w:p>
    <w:p>
      <w:pPr>
        <w:spacing w:before="0" w:after="80" w:lineRule="auto" w:line="276"/>
      </w:pPr>
      <w:r>
        <w:rPr>
          <w:b/>
        </w:rPr>
        <w:t xml:space="preserve">摘要（ZH）: </w:t>
      </w:r>
      <w:r>
        <w:t>ABSTACT 催化减少含氢丰富小分子(如H 2, C 3 H 8 和 CH 4 )的CO 2 催化减少含氢丰富小分子(如H 2, C 3 H 8 和 CH 4 ),为宝贵的化学品和燃料提供了一条有希望的道路,然而,要实现高催化效率,就必须在有效激活CO 2 和 氢丰富小分子与精确控制两地统一性以确保合作活动两者之间取得平衡。</w:t>
      </w:r>
    </w:p>
    <w:p>
      <w:pPr>
        <w:spacing w:before="0" w:after="200" w:lineRule="auto" w:line="276"/>
      </w:pPr>
      <w:r>
        <w:rPr>
          <w:b/>
        </w:rPr>
        <w:t xml:space="preserve">Abstract (EN): </w:t>
      </w:r>
      <w:r>
        <w:t>Catalytic reduction of CO</w:t>
      </w:r>
      <w:r>
        <w:rPr>
          <w:vertAlign w:val="subscript"/>
        </w:rPr>
        <w:t>2</w:t>
      </w:r>
      <w:r>
        <w:t>with hydrogen‐rich small molecules (e.g., H</w:t>
      </w:r>
      <w:r>
        <w:rPr>
          <w:vertAlign w:val="subscript"/>
        </w:rPr>
        <w:t>2</w:t>
      </w:r>
      <w:r>
        <w:t>, C</w:t>
      </w:r>
      <w:r>
        <w:rPr>
          <w:vertAlign w:val="subscript"/>
        </w:rPr>
        <w:t>3</w:t>
      </w:r>
      <w:r>
        <w:t>H</w:t>
      </w:r>
      <w:r>
        <w:rPr>
          <w:vertAlign w:val="subscript"/>
        </w:rPr>
        <w:t>8</w:t>
      </w:r>
      <w:r>
        <w:t>, and CH</w:t>
      </w:r>
      <w:r>
        <w:rPr>
          <w:vertAlign w:val="subscript"/>
        </w:rPr>
        <w:t>4</w:t>
      </w:r>
      <w:r>
        <w:t>) provides a promising route to valuable chemicals and fuels. However, achieving high catalytic efficiency requires balancing the effective activation of CO</w:t>
      </w:r>
      <w:r>
        <w:rPr>
          <w:vertAlign w:val="subscript"/>
        </w:rPr>
        <w:t>2</w:t>
      </w:r>
      <w:r>
        <w:t>and hydrogen‐rich small molecules with the precise control of dual‐site uniformity to ensure cooperative activity. Herein, we propose a high‐throughput screening strategy for ternary compounds based on descriptors of structural uniformity, coordination number, and phase stability. The screening identifies three wurtzite‐derived crystals, namely ZnGeN</w:t>
      </w:r>
      <w:r>
        <w:rPr>
          <w:vertAlign w:val="subscript"/>
        </w:rPr>
        <w:t>2</w:t>
      </w:r>
      <w:r>
        <w:t>, BeSiN</w:t>
      </w:r>
      <w:r>
        <w:rPr>
          <w:vertAlign w:val="subscript"/>
        </w:rPr>
        <w:t>2</w:t>
      </w:r>
      <w:r>
        <w:t>, and ZnSiN</w:t>
      </w:r>
      <w:r>
        <w:rPr>
          <w:vertAlign w:val="subscript"/>
        </w:rPr>
        <w:t>2</w:t>
      </w:r>
      <w:r>
        <w:t>, with uniform dual frustrated Lewis pairs (FLPs) on their (100) surfaces that are thermally stable up to 873 K. Among them, only the ZnGeN</w:t>
      </w:r>
      <w:r>
        <w:rPr>
          <w:vertAlign w:val="subscript"/>
        </w:rPr>
        <w:t>2</w:t>
      </w:r>
      <w:r>
        <w:t>(100) surface can selectively activate reactants, with Zn···N FLPs favoring CO</w:t>
      </w:r>
      <w:r>
        <w:rPr>
          <w:vertAlign w:val="subscript"/>
        </w:rPr>
        <w:t>2</w:t>
      </w:r>
      <w:r>
        <w:t>adsorption and Ge···N FLPs activating hydrogen‐rich small molecules, due to their intrinsic Lewis acid–base character. Importantly, kinetic Monte Carlo simulations show that the uniform distribution of Zn···N and Ge···N FLPs on ZnGeN</w:t>
      </w:r>
      <w:r>
        <w:rPr>
          <w:vertAlign w:val="subscript"/>
        </w:rPr>
        <w:t>2</w:t>
      </w:r>
      <w:r>
        <w:t>(100) enables efficient pathways, with CO</w:t>
      </w:r>
      <w:r>
        <w:rPr>
          <w:vertAlign w:val="subscript"/>
        </w:rPr>
        <w:t>2</w:t>
      </w:r>
      <w:r>
        <w:t>consumption rates of 19.67, 1.23, and 2.69 s</w:t>
      </w:r>
      <w:r>
        <w:t xml:space="preserve"> </w:t>
      </w:r>
      <w:r>
        <w:t>−1</w:t>
      </w:r>
      <w:r>
        <w:t xml:space="preserve"> </w:t>
      </w:r>
      <w:r>
        <w:t>in the reactions with H</w:t>
      </w:r>
      <w:r>
        <w:rPr>
          <w:vertAlign w:val="subscript"/>
        </w:rPr>
        <w:t>2</w:t>
      </w:r>
      <w:r>
        <w:t>, C</w:t>
      </w:r>
      <w:r>
        <w:rPr>
          <w:vertAlign w:val="subscript"/>
        </w:rPr>
        <w:t>3</w:t>
      </w:r>
      <w:r>
        <w:t>H</w:t>
      </w:r>
      <w:r>
        <w:rPr>
          <w:vertAlign w:val="subscript"/>
        </w:rPr>
        <w:t>8</w:t>
      </w:r>
      <w:r>
        <w:t>, and CH</w:t>
      </w:r>
      <w:r>
        <w:rPr>
          <w:vertAlign w:val="subscript"/>
        </w:rPr>
        <w:t>4</w:t>
      </w:r>
      <w:r>
        <w:t>, respectively. Moreover, the dual FLP remains highly active in CO</w:t>
      </w:r>
      <w:r>
        <w:rPr>
          <w:vertAlign w:val="subscript"/>
        </w:rPr>
        <w:t>2</w:t>
      </w:r>
      <w:r>
        <w:t>hydrogenation under stoichiometric ratio, CO</w:t>
      </w:r>
      <w:r>
        <w:rPr>
          <w:vertAlign w:val="subscript"/>
        </w:rPr>
        <w:t>2</w:t>
      </w:r>
      <w:r>
        <w:t>‐rich, and CO</w:t>
      </w:r>
      <w:r>
        <w:rPr>
          <w:vertAlign w:val="subscript"/>
        </w:rPr>
        <w:t>2</w:t>
      </w:r>
      <w:r>
        <w:t>‐lean conditions, ensuring practical reliability.</w:t>
      </w:r>
    </w:p>
    <w:p>
      <w:pPr>
        <w:spacing w:before="120" w:after="120"/>
      </w:pPr>
      <w:r>
        <w:rPr>
          <w:sz w:val="18"/>
        </w:rPr>
        <w:t>——————————————————————————————————————————————————————————————————————</w:t>
      </w:r>
    </w:p>
    <w:p>
      <w:pPr>
        <w:spacing w:before="160" w:after="40" w:line="240" w:lineRule="auto"/>
      </w:pPr>
      <w:r>
        <w:rPr>
          <w:b/>
        </w:rPr>
        <w:t xml:space="preserve">[152] </w:t>
      </w:r>
      <w:hyperlink r:id="rId225">
        <w:r>
          <w:rPr>
            <w:color w:val="1155CC"/>
            <w:u w:val="single"/>
          </w:rPr>
          <w:t>低温度低温有氧空气光电催化,用于轻光 Alkane 升级改造</w:t>
        </w:r>
      </w:hyperlink>
    </w:p>
    <w:p>
      <w:pPr>
        <w:spacing w:before="0" w:after="80"/>
      </w:pPr>
      <w:r>
        <w:rPr>
          <w:i/>
          <w:sz w:val="20"/>
        </w:rPr>
        <w:t>EN: Low‐Temperature Aerobic Photocatalysis for Light Alkane Upgrading</w:t>
      </w:r>
    </w:p>
    <w:p>
      <w:pPr>
        <w:spacing w:before="0" w:after="120"/>
      </w:pPr>
      <w:r>
        <w:rPr>
          <w:b/>
        </w:rPr>
        <w:t xml:space="preserve">Source: </w:t>
      </w:r>
      <w:r>
        <w:t>Wiley: Advanced Energy Materials: Table of Contents</w:t>
      </w:r>
      <w:r>
        <w:t xml:space="preserve">    </w:t>
      </w:r>
      <w:r>
        <w:rPr>
          <w:b/>
        </w:rPr>
        <w:t xml:space="preserve">Pub date: </w:t>
      </w:r>
      <w:r>
        <w:t>2026-02-23 06:32:22+00:00</w:t>
      </w:r>
      <w:r>
        <w:t xml:space="preserve">    </w:t>
      </w:r>
      <w:r>
        <w:rPr>
          <w:b/>
        </w:rPr>
        <w:t xml:space="preserve">DOI: </w:t>
      </w:r>
      <w:hyperlink r:id="rId226">
        <w:r>
          <w:rPr>
            <w:color w:val="1155CC"/>
            <w:u w:val="single"/>
          </w:rPr>
          <w:t>10.1002/aenm.202504565</w:t>
        </w:r>
      </w:hyperlink>
    </w:p>
    <w:p>
      <w:pPr>
        <w:spacing w:before="0" w:after="120"/>
      </w:pPr>
      <w:r>
        <w:rPr>
          <w:b/>
        </w:rPr>
        <w:t xml:space="preserve">Notes: </w:t>
      </w:r>
      <w:r>
        <w:t>abstract_source=crossref</w:t>
      </w:r>
    </w:p>
    <w:p>
      <w:pPr>
        <w:spacing w:before="0" w:after="80" w:lineRule="auto" w:line="276"/>
      </w:pPr>
      <w:r>
        <w:rPr>
          <w:b/>
        </w:rPr>
        <w:t xml:space="preserve">摘要（ZH）: </w:t>
      </w:r>
      <w:r>
        <w:t>天然气(主要是C 1 - C 3 3 光 alkanes ) 催化转化成增值化学物质是能源和化工行业的基本研究前沿,但传统方法通常要求高温,以实现相当大的C - H 债券激活和转换。 分子氧作为氧化剂的利用带来了巨大的热力效应,使得轻烷的低温有氧转化成为可能。 然而,氧化剂也带来了抑制过氧化和增加产品选择性的挑战。 光化催化,利用光生成高温的独特能力。</w:t>
      </w:r>
    </w:p>
    <w:p>
      <w:pPr>
        <w:spacing w:before="0" w:after="200" w:lineRule="auto" w:line="276"/>
      </w:pPr>
      <w:r>
        <w:rPr>
          <w:b/>
        </w:rPr>
        <w:t xml:space="preserve">Abstract (EN): </w:t>
      </w:r>
      <w:r>
        <w:t>The catalytic transformation of natural gas (primarily C</w:t>
      </w:r>
      <w:r>
        <w:rPr>
          <w:vertAlign w:val="subscript"/>
        </w:rPr>
        <w:t>1</w:t>
      </w:r>
      <w:r>
        <w:t>–C</w:t>
      </w:r>
      <w:r>
        <w:rPr>
          <w:vertAlign w:val="subscript"/>
        </w:rPr>
        <w:t>3</w:t>
      </w:r>
      <w:r>
        <w:t>light alkanes) into value‐added chemicals represents a fundamental research frontier in the energy and chemical industry, yet conventional approaches typically demand elevated temperatures to achieve considerable C–H bond activation and conversion. The utilization of molecular oxygen as an oxidant presents significant thermodynamic benefits, enabling the potential for low‐temperature aerobic conversion of light alkanes. However, oxidants also introduce challenges in inhibiting overoxidation and enhancing product selectivity. Photocatalysis, leveraging the distinctive capacity of photogenerated high‐energy charge carriers to selectively cleave strong C–H bonds, further circumvents reaction kinetics and selectivity limitations for converting inert light alkanes under mild conditions. In this Perspective, we focus particularly on the selective C–H bond activation in oxygen‐containing environment for the photocatalytic oxidation coupling of methane, while also reviewing recent advances in photocatalytic dehydrogenation of ethane and propane. We conclude by critically analyzing the current challenges and future opportunities in low‐temperature aerobic photocatalytic conversion of light alkanes.</w:t>
      </w:r>
    </w:p>
    <w:p>
      <w:pPr>
        <w:spacing w:before="120" w:after="120"/>
      </w:pPr>
      <w:r>
        <w:rPr>
          <w:sz w:val="18"/>
        </w:rPr>
        <w:t>——————————————————————————————————————————————————————————————————————</w:t>
      </w:r>
    </w:p>
    <w:p>
      <w:pPr>
        <w:spacing w:before="160" w:after="40" w:line="240" w:lineRule="auto"/>
      </w:pPr>
      <w:r>
        <w:rPr>
          <w:b/>
        </w:rPr>
        <w:t xml:space="preserve">[153] </w:t>
      </w:r>
      <w:hyperlink r:id="rId227">
        <w:r>
          <w:rPr>
            <w:color w:val="1155CC"/>
            <w:u w:val="single"/>
          </w:rPr>
          <w:t>大洋洲卡瓦消费和社会政治复杂性的上升</w:t>
        </w:r>
      </w:hyperlink>
    </w:p>
    <w:p>
      <w:pPr>
        <w:spacing w:before="0" w:after="80"/>
      </w:pPr>
      <w:r>
        <w:rPr>
          <w:i/>
          <w:sz w:val="20"/>
        </w:rPr>
        <w:t>EN: Kava consumption and the rise of sociopolitical complexity in Oceania</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28">
        <w:r>
          <w:rPr>
            <w:color w:val="1155CC"/>
            <w:u w:val="single"/>
          </w:rPr>
          <w:t>10.1073/pnas.2521658123</w:t>
        </w:r>
      </w:hyperlink>
    </w:p>
    <w:p>
      <w:pPr>
        <w:spacing w:before="0" w:after="120"/>
      </w:pPr>
      <w:r>
        <w:rPr>
          <w:b/>
        </w:rPr>
        <w:t xml:space="preserve">Notes: </w:t>
      </w:r>
      <w:r>
        <w:t>abstract_source=crossref</w:t>
      </w:r>
    </w:p>
    <w:p>
      <w:pPr>
        <w:spacing w:before="0" w:after="80" w:lineRule="auto" w:line="276"/>
      </w:pPr>
      <w:r>
        <w:rPr>
          <w:b/>
        </w:rPr>
        <w:t xml:space="preserve">摘要（ZH）: </w:t>
      </w:r>
      <w:r>
        <w:t>人类千百年来一直在使用精神活性物质,尽管它们具有潜在的负面健康和社会后果。 据一些学者说,我们渴望改变思想的药物是一种进化错误 — — 劫持我们的奖励制度。 相反,“脱落假设”认为,中毒是适应性的,对于大规模社会崛起至关重要,因为它促进了社会联系,增加了合作,减轻了压力,增强了人类的创造力。 在这里,我们以卡瓦为例来检验这一假设,卡瓦是一种传统的太平洋饮料,具有一系列精神活性影响,由Piper methysticum的根基产生。 我们对83个讲海洋的社会的分析表明,传统的卡瓦之间有着积极的关系。</w:t>
      </w:r>
    </w:p>
    <w:p>
      <w:pPr>
        <w:spacing w:before="0" w:after="200" w:lineRule="auto" w:line="276"/>
      </w:pPr>
      <w:r>
        <w:rPr>
          <w:b/>
        </w:rPr>
        <w:t xml:space="preserve">Abstract (EN): </w:t>
      </w:r>
      <w:r>
        <w:t>Humans have been using psychoactive substances for millennia, despite their potential negative health and social consequences. According to some scholars, our craving for mind-altering drugs is an evolutionary mistake—a hijacking of our reward system. In contrast, the “drunk hypothesis” argues that intoxication has been adaptive and essential for the rise of large-scale societies because it promotes social bonding, increases cooperation, alleviates stress, and enhances human creativity. Here, we test this hypothesis using the example of kava, a traditional Pacific beverage with a range of psychoactive effects, made from the root of</w:t>
      </w:r>
      <w:r>
        <w:t xml:space="preserve"> </w:t>
      </w:r>
      <w:r>
        <w:t>Piper methysticum</w:t>
      </w:r>
      <w:r>
        <w:t xml:space="preserve"> </w:t>
      </w:r>
      <w:r>
        <w:t>. Our analysis of 83 Oceanic-speaking societies shows a positive relationship between traditional kava consumption and both political complexity and social stratification. However, the results are not robust to controls for nonindependence. Moreover, we found no evidence of coevolution between kava drinking and either of the two sociopolitical traits after controlling for spatial nonindependence. Despite the cultural significance of kava in many Pacific societies, our results suggest that its consumption was unlikely to have been a major driver of sociopolitical complexity, underscoring the importance of controlling for nonindependence in cross-cultural studies.</w:t>
      </w:r>
    </w:p>
    <w:p>
      <w:pPr>
        <w:spacing w:before="120" w:after="120"/>
      </w:pPr>
      <w:r>
        <w:rPr>
          <w:sz w:val="18"/>
        </w:rPr>
        <w:t>——————————————————————————————————————————————————————————————————————</w:t>
      </w:r>
    </w:p>
    <w:p>
      <w:pPr>
        <w:spacing w:before="160" w:after="40" w:line="240" w:lineRule="auto"/>
      </w:pPr>
      <w:r>
        <w:rPr>
          <w:b/>
        </w:rPr>
        <w:t xml:space="preserve">[154] </w:t>
      </w:r>
      <w:hyperlink r:id="rId229">
        <w:r>
          <w:rPr>
            <w:color w:val="1155CC"/>
            <w:u w:val="single"/>
          </w:rPr>
          <w:t>Nemp1-Nessprin复杂的中间介质对矩阵力学的细胞反应</w:t>
        </w:r>
      </w:hyperlink>
    </w:p>
    <w:p>
      <w:pPr>
        <w:spacing w:before="0" w:after="80"/>
      </w:pPr>
      <w:r>
        <w:rPr>
          <w:i/>
          <w:sz w:val="20"/>
        </w:rPr>
        <w:t>EN: The Nemp1–Nesprin complex mediates cellular responses to matrix mechanics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30">
        <w:r>
          <w:rPr>
            <w:color w:val="1155CC"/>
            <w:u w:val="single"/>
          </w:rPr>
          <w:t>10.1073/pnas.2521253123</w:t>
        </w:r>
      </w:hyperlink>
    </w:p>
    <w:p>
      <w:pPr>
        <w:spacing w:before="0" w:after="120"/>
      </w:pPr>
      <w:r>
        <w:rPr>
          <w:b/>
        </w:rPr>
        <w:t xml:space="preserve">Notes: </w:t>
      </w:r>
      <w:r>
        <w:t>abstract_source=crossref</w:t>
      </w:r>
    </w:p>
    <w:p>
      <w:pPr>
        <w:spacing w:before="0" w:after="80" w:lineRule="auto" w:line="276"/>
      </w:pPr>
      <w:r>
        <w:rPr>
          <w:b/>
        </w:rPr>
        <w:t xml:space="preserve">摘要（ZH）: </w:t>
      </w:r>
      <w:r>
        <w:t>Membrane Protein 1 (NEMP1) 核子信封 Membrane Protein 1 (NEMP1) 对甲型动物的生育至关重要; Nenmp1 的丧失导致居住在机械上具有挑战性的卵巢皮层中的原始卵细胞死亡。 在这里,我们证明软化卵巢救卵细胞损失并恢复N Venti1 击倒鼠的生育力。 在细胞文化中,坚硬的基质上的NEMP1 耗竭导致死亡,而细胞在软基质上仍然可以生存。 我们还进一步表明 NEMP1 管理YAP 核转置,这是机械化转换所必不可少的。 机械学上, Nenmp1 耗尽的细胞在硬基质基质上或展展展展展示会减少核YAP的局部化,并表达核YAP5SA 恢复细胞生存能力。</w:t>
      </w:r>
    </w:p>
    <w:p>
      <w:pPr>
        <w:spacing w:before="0" w:after="200" w:lineRule="auto" w:line="276"/>
      </w:pPr>
      <w:r>
        <w:rPr>
          <w:b/>
        </w:rPr>
        <w:t xml:space="preserve">Abstract (EN): </w:t>
      </w:r>
      <w:r>
        <w:t>Nuclear Envelope Membrane Protein 1 (NEMP1) is crucial for metazoan fertility; loss of Nemp1 causes death of primordial oocytes that reside in the mechanically challenging ovarian cortex. Here, we show that softening the ovary rescues oocyte loss and restores fertility in</w:t>
      </w:r>
      <w:r>
        <w:t xml:space="preserve"> </w:t>
      </w:r>
      <w:r>
        <w:t>N</w:t>
      </w:r>
      <w:r>
        <w:t xml:space="preserve"> </w:t>
      </w:r>
      <w:r>
        <w:t>emp1</w:t>
      </w:r>
      <w:r>
        <w:t xml:space="preserve"> </w:t>
      </w:r>
      <w:r>
        <w:t>knockout</w:t>
      </w:r>
      <w:r>
        <w:t xml:space="preserve"> </w:t>
      </w:r>
      <w:r>
        <w:t>(KO)</w:t>
      </w:r>
      <w:r>
        <w:t xml:space="preserve"> </w:t>
      </w:r>
      <w:r>
        <w:t>mice. In cell culture, NEMP1 depletion on stiff substrates leads to death, while cells remain viable on soft substrates. We further show that NEMP1 regulates YAP nuclear translocation, essential for mechanotransduction. Mechanistically, Nemp1-depleted cells on stiff substrates or subjected to stretching exhibit reduced nuclear YAP localization, and expressing nuclear YAP5SA restores cell viability. Loss of NEMP1 disrupts actin organization. Inducing actin polymerization partially rescues nuclear YAP, indicating a role for F-actin in NEMP1 mediated mechanotransduction. NEMP1 forms a complex with NESPRIN’s Klarsicht, Anchorage (ANC)-1, Syne Homology (KASH) domain, strengthening the actin cytoskeleton to withstand mechanical forces, independent of SUN proteins. Thus, the Nemp1–Nesprin complex supports a mechanosensitive pathway parallel to the LINC complex, enabling cellular response to mechanical stress in vitro and in vivo.</w:t>
      </w:r>
    </w:p>
    <w:p>
      <w:pPr>
        <w:spacing w:before="120" w:after="120"/>
      </w:pPr>
      <w:r>
        <w:rPr>
          <w:sz w:val="18"/>
        </w:rPr>
        <w:t>——————————————————————————————————————————————————————————————————————</w:t>
      </w:r>
    </w:p>
    <w:p>
      <w:pPr>
        <w:spacing w:before="160" w:after="40" w:line="240" w:lineRule="auto"/>
      </w:pPr>
      <w:r>
        <w:rPr>
          <w:b/>
        </w:rPr>
        <w:t xml:space="preserve">[155] </w:t>
      </w:r>
      <w:hyperlink r:id="rId231">
        <w:r>
          <w:rPr>
            <w:color w:val="1155CC"/>
            <w:u w:val="single"/>
          </w:rPr>
          <w:t>全球绿色浪潮轨迹向东北的加速转移</w:t>
        </w:r>
      </w:hyperlink>
    </w:p>
    <w:p>
      <w:pPr>
        <w:spacing w:before="0" w:after="80"/>
      </w:pPr>
      <w:r>
        <w:rPr>
          <w:i/>
          <w:sz w:val="20"/>
        </w:rPr>
        <w:t>EN: Accelerated north–east shift of the global green wave trajectory</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32">
        <w:r>
          <w:rPr>
            <w:color w:val="1155CC"/>
            <w:u w:val="single"/>
          </w:rPr>
          <w:t>10.1073/pnas.2515835123</w:t>
        </w:r>
      </w:hyperlink>
    </w:p>
    <w:p>
      <w:pPr>
        <w:spacing w:before="0" w:after="120"/>
      </w:pPr>
      <w:r>
        <w:rPr>
          <w:b/>
        </w:rPr>
        <w:t xml:space="preserve">Notes: </w:t>
      </w:r>
      <w:r>
        <w:t>abstract_source=crossref</w:t>
      </w:r>
    </w:p>
    <w:p>
      <w:pPr>
        <w:spacing w:before="0" w:after="80" w:lineRule="auto" w:line="276"/>
      </w:pPr>
      <w:r>
        <w:rPr>
          <w:b/>
        </w:rPr>
        <w:t xml:space="preserve">摘要（ZH）: </w:t>
      </w:r>
      <w:r>
        <w:t>从空间看,一个“绿色波”季节性穿越地球表面的“绿色波 ”, 从北方到北方,从北方,从北方到北方,从北方,从北方到南方,从北方,从北方到南方,从严寒的夏季。这一波代表着主要受太阳辐照和气候多变性和生态系统动态调节驱动的植被动物学。 尽管它对多个地球系统进程意义重大,但我们缺乏一个统一指标来描述和理解其动态。 在这里,我们提出了一个概念,通过利用卫星和地球系统模型数据跟踪绿色波的中子机器人来量化全球人文学。 由此形成的轨迹总结了全球人文动态和定向趋势。 早些时候关于全球绿化的报告导致我们在旱夏期间对快速向北移动的轨道进行了调整,而在奥斯特拉时期则对中向南移动的轨道进行了调整。</w:t>
      </w:r>
    </w:p>
    <w:p>
      <w:pPr>
        <w:spacing w:before="0" w:after="200" w:lineRule="auto" w:line="276"/>
      </w:pPr>
      <w:r>
        <w:rPr>
          <w:b/>
        </w:rPr>
        <w:t xml:space="preserve">Abstract (EN): </w:t>
      </w:r>
      <w:r>
        <w:t>Viewed from space, a “green wave” seasonally traverses Earth’s surface, from the north in boreal summer to the south in austral summer. This wave represents vegetation phenology, driven primarily by solar irradiation and modulated by climate variability and ecosystem dynamics. Despite its significance for multiple Earth system processes, we lack a unified metric to characterize and understand its dynamics. Here, we propose a concept to quantify global phenology by tracking the green wave’s centroid using satellite and Earth system model data. The resulting trajectory summarizes global phenological dynamics and directional trends. Earlier reports on global greening led us to hypothesize a rapidly northward shifting trajectory during boreal summer and a moderate southward shift during austral summer. Contrary to this expectation, we find that the centroid moves northward during both summer periods, with the austral summer shift consistently exceeding the boreal shift across datasets. As a consequence, the amplitude of the green wave trajectory is decreasing, a trend projected to intensify throughout this century. We also detect an accelerating eastward shift, a phenomenon not previously reported. Tracking the green wave’s centroid reveals how regionally changing land dynamics affect the global functioning of Earth’s terrestrial biosphere.</w:t>
      </w:r>
    </w:p>
    <w:p>
      <w:pPr>
        <w:spacing w:before="120" w:after="120"/>
      </w:pPr>
      <w:r>
        <w:rPr>
          <w:sz w:val="18"/>
        </w:rPr>
        <w:t>——————————————————————————————————————————————————————————————————————</w:t>
      </w:r>
    </w:p>
    <w:p>
      <w:pPr>
        <w:spacing w:before="160" w:after="40" w:line="240" w:lineRule="auto"/>
      </w:pPr>
      <w:r>
        <w:rPr>
          <w:b/>
        </w:rPr>
        <w:t xml:space="preserve">[156] </w:t>
      </w:r>
      <w:hyperlink r:id="rId233">
        <w:r>
          <w:rPr>
            <w:color w:val="1155CC"/>
            <w:u w:val="single"/>
          </w:rPr>
          <w:t>被忽视和过度开发:全球粮食、饲料和生物能源需求驱动的草地和湿地大规模转化</w:t>
        </w:r>
      </w:hyperlink>
    </w:p>
    <w:p>
      <w:pPr>
        <w:spacing w:before="0" w:after="80"/>
      </w:pPr>
      <w:r>
        <w:rPr>
          <w:i/>
          <w:sz w:val="20"/>
        </w:rPr>
        <w:t>EN: Overlooked and overexploited: Extensive conversion of grasslands and wetlands driven by global food, feed, and bioenergy demand</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34">
        <w:r>
          <w:rPr>
            <w:color w:val="1155CC"/>
            <w:u w:val="single"/>
          </w:rPr>
          <w:t>10.1073/pnas.2521183123</w:t>
        </w:r>
      </w:hyperlink>
    </w:p>
    <w:p>
      <w:pPr>
        <w:spacing w:before="0" w:after="120"/>
      </w:pPr>
      <w:r>
        <w:rPr>
          <w:b/>
        </w:rPr>
        <w:t xml:space="preserve">Notes: </w:t>
      </w:r>
      <w:r>
        <w:t>abstract_source=crossref</w:t>
      </w:r>
    </w:p>
    <w:p>
      <w:pPr>
        <w:spacing w:before="0" w:after="80" w:lineRule="auto" w:line="276"/>
      </w:pPr>
      <w:r>
        <w:rPr>
          <w:b/>
        </w:rPr>
        <w:t xml:space="preserve">摘要（ZH）: </w:t>
      </w:r>
      <w:r>
        <w:t>全球农业供应链日益威胁自然生态系统,而狭隘的森林政策重点狭隘,助长了农业向具有生态意义但严重被忽视的非森林生态系统,包括草地和露天湿地的扩展,使农业发展成为具有生态重要性但又受到严重忽视的非森林生态系统,包括草地和露天湿地。虽然一些新出现的政策试图保护非森林生态系统,但仍然缺乏全球一致评估其转化程度和驱动因素,特别是与牲畜生产和商品特定供应链需求有关的转换程度和驱动因素。在这里,我们进行了空间明确的分析,以确定2005年至2020年期间牧场和耕地向非森林生态系统的扩展,以及与转化相关的初级农业商品及其基本需求驱动因素(终端用途和最终市场目的地)。</w:t>
      </w:r>
    </w:p>
    <w:p>
      <w:pPr>
        <w:spacing w:before="0" w:after="200" w:lineRule="auto" w:line="276"/>
      </w:pPr>
      <w:r>
        <w:rPr>
          <w:b/>
        </w:rPr>
        <w:t xml:space="preserve">Abstract (EN): </w:t>
      </w:r>
      <w:r>
        <w:t>Natural ecosystems are increasingly threatened by global agricultural supply chains, and a narrow policy focus on forests has fueled agricultural expansion into ecologically significant but severely overlooked non-forest ecosystems, including grasslands and open wetlands. While a few emerging policies attempt to protect non-forest ecosystems, a globally consistent assessment of their conversion extent and drivers, especially related to livestock production and commodity-specific supply chain demand, remains lacking. Here, we conducted a spatially explicit analysis to identify pasture and cropland expansion into non-forest ecosystems between 2005 and 2020, as well as conversion-linked primary agricultural commodities and their underlying demand drivers (end uses and final market destinations). We found that the conversion rate of natural non-forest ecosystems was nearly four times that of lands with tree cover exceeding 5 m (a common forest height threshold), with Brazil contributing 13% of the global total and Russia, India, China, and the United States each contributing about 6%. While drivers varied greatly across regions, globally 50% of the conversion was linked to pasture, and 27, 17, and 6% to cropland for food, feed, and other uses (mainly bioenergy), respectively. Among conversion-linked commodities, most livestock-associated products served domestic demand, while 32% of feed crops and 20% of all crops were exported, with export shares reaching 70 to 80% in Brazil and Argentina. These findings reveal important areas for non-forest ecosystem conservation and highlight the need for integrated policies to prevent leakage across different ecosystems and different sustainable development goals while also aligning local actions with global supply chain governance.</w:t>
      </w:r>
    </w:p>
    <w:p>
      <w:pPr>
        <w:spacing w:before="120" w:after="120"/>
      </w:pPr>
      <w:r>
        <w:rPr>
          <w:sz w:val="18"/>
        </w:rPr>
        <w:t>——————————————————————————————————————————————————————————————————————</w:t>
      </w:r>
    </w:p>
    <w:p>
      <w:pPr>
        <w:spacing w:before="160" w:after="40" w:line="240" w:lineRule="auto"/>
      </w:pPr>
      <w:r>
        <w:rPr>
          <w:b/>
        </w:rPr>
        <w:t xml:space="preserve">[157] </w:t>
      </w:r>
      <w:hyperlink r:id="rId235">
        <w:r>
          <w:rPr>
            <w:color w:val="1155CC"/>
            <w:u w:val="single"/>
          </w:rPr>
          <w:t>对野火和火山爆发的可探测全球温度反应</w:t>
        </w:r>
      </w:hyperlink>
    </w:p>
    <w:p>
      <w:pPr>
        <w:spacing w:before="0" w:after="80"/>
      </w:pPr>
      <w:r>
        <w:rPr>
          <w:i/>
          <w:sz w:val="20"/>
        </w:rPr>
        <w:t>EN: Detectable global temperature responses to wildfires and volcanic eruptions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36">
        <w:r>
          <w:rPr>
            <w:color w:val="1155CC"/>
            <w:u w:val="single"/>
          </w:rPr>
          <w:t>10.1073/pnas.2525500123</w:t>
        </w:r>
      </w:hyperlink>
    </w:p>
    <w:p>
      <w:pPr>
        <w:spacing w:before="0" w:after="120"/>
      </w:pPr>
      <w:r>
        <w:rPr>
          <w:b/>
        </w:rPr>
        <w:t xml:space="preserve">Notes: </w:t>
      </w:r>
      <w:r>
        <w:t>abstract_source=crossref</w:t>
      </w:r>
    </w:p>
    <w:p>
      <w:pPr>
        <w:spacing w:before="0" w:after="80" w:lineRule="auto" w:line="276"/>
      </w:pPr>
      <w:r>
        <w:rPr>
          <w:b/>
        </w:rPr>
        <w:t xml:space="preserve">摘要（ZH）: </w:t>
      </w:r>
      <w:r>
        <w:t>虽然火山硫酸盐气溶胶对气候的影响是有据可查的,但其他的自然影响 — — 包括到达平流层的野火烟雾和从海底喷射的水蒸气 — — 给探测和确定其大气温度影响带来了新的挑战。 在这里,我们用多十年的卫星观测和从气候模型共同体和观测中得出的内部变异性估计,有力地检测了对流层和平流层中具有统计意义的温度异常。</w:t>
      </w:r>
    </w:p>
    <w:p>
      <w:pPr>
        <w:spacing w:before="0" w:after="200" w:lineRule="auto" w:line="276"/>
      </w:pPr>
      <w:r>
        <w:rPr>
          <w:b/>
        </w:rPr>
        <w:t xml:space="preserve">Abstract (EN): </w:t>
      </w:r>
      <w:r>
        <w:t>Large volcanic eruptions and intense wildfires perturb Earth’s atmospheric temperature. Understanding the climate response to such natural forcings is essential for obtaining reliable estimates of its response to anthropogenic greenhouse gas emissions. While the climate impacts of volcanic sulfate aerosols are well documented, other natural forcings—including wildfire smoke reaching the stratosphere and water vapor injections from a submarine eruption—pose new challenges for detecting and attributing their atmospheric temperature impacts. Here, we demonstrate robust detection of statistically significant temperature anomalies in the troposphere and stratosphere using multidecadal satellite observations and internal variability estimates from a climate model ensemble and from observations. We analyze three landmark events: the 1991 Pinatubo eruption, the 2019-2020 Australian wildfires, and the 2022 Hunga Tonga eruption. Each leaves a fingerprint with distinct altitudinal, geographical, and temporal structure. The global-mean stratospheric signal from Australian wildfires is detectable even in time averages extending beyond 10 mo, despite injecting only ~5% of Pinatubo’s aerosol mass. For Hunga Tonga, we detect significant and prolonged stratospheric cooling, but no robust tropospheric signal in the first 2 y. These findings show that both sulfate and nonsulfate stratospheric perturbations produce distinct, statistically identifiable global temperature signals. Accounting for such forcings in climate model simulations is therefore essential for improving comparisons of simulated and observed variability.</w:t>
      </w:r>
    </w:p>
    <w:p>
      <w:pPr>
        <w:spacing w:before="120" w:after="120"/>
      </w:pPr>
      <w:r>
        <w:rPr>
          <w:sz w:val="18"/>
        </w:rPr>
        <w:t>——————————————————————————————————————————————————————————————————————</w:t>
      </w:r>
    </w:p>
    <w:p>
      <w:pPr>
        <w:spacing w:before="160" w:after="40" w:line="240" w:lineRule="auto"/>
      </w:pPr>
      <w:r>
        <w:rPr>
          <w:b/>
        </w:rPr>
        <w:t xml:space="preserve">[158] </w:t>
      </w:r>
      <w:hyperlink r:id="rId237">
        <w:r>
          <w:rPr>
            <w:color w:val="1155CC"/>
            <w:u w:val="single"/>
          </w:rPr>
          <w:t>演化和软体动物历史的独特性和可预测性</w:t>
        </w:r>
      </w:hyperlink>
    </w:p>
    <w:p>
      <w:pPr>
        <w:spacing w:before="0" w:after="80"/>
      </w:pPr>
      <w:r>
        <w:rPr>
          <w:i/>
          <w:sz w:val="20"/>
        </w:rPr>
        <w:t>EN: Uniqueness and predictability in evolution and the history of mollusks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38">
        <w:r>
          <w:rPr>
            <w:color w:val="1155CC"/>
            <w:u w:val="single"/>
          </w:rPr>
          <w:t>10.1073/pnas.2520986123</w:t>
        </w:r>
      </w:hyperlink>
    </w:p>
    <w:p>
      <w:pPr>
        <w:spacing w:before="0" w:after="120"/>
      </w:pPr>
      <w:r>
        <w:rPr>
          <w:b/>
        </w:rPr>
        <w:t xml:space="preserve">Notes: </w:t>
      </w:r>
      <w:r>
        <w:t>abstract_source=crossref</w:t>
      </w:r>
    </w:p>
    <w:p>
      <w:pPr>
        <w:spacing w:before="0" w:after="80" w:lineRule="auto" w:line="276"/>
      </w:pPr>
      <w:r>
        <w:rPr>
          <w:b/>
        </w:rPr>
        <w:t xml:space="preserve">摘要（ZH）: </w:t>
      </w:r>
      <w:r>
        <w:t>进化是一个历史过程,其轨迹部分取决于引入新的苯型。虽然大多数苯型在生物圈内部和相互之间反复演变,但大多数苯型在生物圈内和相互之间反复演化,但其他是独一无二的,显然仅产生过一次,甚至最早的重复性特征的发生时间和情况也对其时间来说是独特的。为了调查这些独特事件的发生时间和情况,我们汇编了单一来源的成人骨骼型,以及植物群Mollusca的化石记录所记录的重复性特征的首次发生。在我们所考虑的24个独特和72个重复性特征中,46个(48%)源自于最初96米的软体史(每2.1毫年频率1个),而此后只有50个发生在444米(每8.9毫年频率1个),其次峰为次峰。</w:t>
      </w:r>
    </w:p>
    <w:p>
      <w:pPr>
        <w:spacing w:before="0" w:after="200" w:lineRule="auto" w:line="276"/>
      </w:pPr>
      <w:r>
        <w:rPr>
          <w:b/>
        </w:rPr>
        <w:t xml:space="preserve">Abstract (EN): </w:t>
      </w:r>
      <w:r>
        <w:t>Evolution is a historical process whose trajectories are determined in part by the introduction of new phenotypes. Although most phenotypes have evolved repeatedly within and among clades of organisms, others are unique and apparently originated only once, and even the earliest occurrences of repeated traits were unique for their time. To investigate the timing and circumstances of these unique events, we compiled adult skeletal phenotypes with single origins and first occurrences of repeated traits as recorded in the fossil record in the phylum Mollusca. Of the 24 unique and 72 repeated traits we considered, 46 (48%) originated during the first 96 m.y. of molluscan history (frequency 1 per 2.1 m.y.) and only 50 in the 444 m.y. since then (frequency 1 per 8.9 m.y.), with secondary peaks of frequency in the Triassic and Cenozoic. We interpret this finding to mean that molluscan evolutionary history has become substantially more predictable over time despite increasing diversity. Expansions of the phylum from its ancestral marine epifaunal benthic environment to other habitats including fresh water and dry land were generally not associated with unique or earliest occurrences of repeated phenotypes. Most of the innovations enhanced individual defense or activity and were therefore honed by interactions within and among species, although it remains possible that they originated in temporarily permissive conditions in which genetic and other constraints were relaxed.</w:t>
      </w:r>
    </w:p>
    <w:p>
      <w:pPr>
        <w:spacing w:before="120" w:after="120"/>
      </w:pPr>
      <w:r>
        <w:rPr>
          <w:sz w:val="18"/>
        </w:rPr>
        <w:t>——————————————————————————————————————————————————————————————————————</w:t>
      </w:r>
    </w:p>
    <w:p>
      <w:pPr>
        <w:spacing w:before="160" w:after="40" w:line="240" w:lineRule="auto"/>
      </w:pPr>
      <w:r>
        <w:rPr>
          <w:b/>
        </w:rPr>
        <w:t xml:space="preserve">[159] </w:t>
      </w:r>
      <w:hyperlink r:id="rId239">
        <w:r>
          <w:rPr>
            <w:color w:val="1155CC"/>
            <w:u w:val="single"/>
          </w:rPr>
          <w:t>通过交配复制的基因多形态学</w:t>
        </w:r>
      </w:hyperlink>
    </w:p>
    <w:p>
      <w:pPr>
        <w:spacing w:before="0" w:after="80"/>
      </w:pPr>
      <w:r>
        <w:rPr>
          <w:i/>
          <w:sz w:val="20"/>
        </w:rPr>
        <w:t>EN: Phenotypic polymorphism via mate copying</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40">
        <w:r>
          <w:rPr>
            <w:color w:val="1155CC"/>
            <w:u w:val="single"/>
          </w:rPr>
          <w:t>10.1073/pnas.2510849123</w:t>
        </w:r>
      </w:hyperlink>
    </w:p>
    <w:p>
      <w:pPr>
        <w:spacing w:before="0" w:after="120"/>
      </w:pPr>
      <w:r>
        <w:rPr>
          <w:b/>
        </w:rPr>
        <w:t xml:space="preserve">Notes: </w:t>
      </w:r>
      <w:r>
        <w:t>abstract_source=crossref</w:t>
      </w:r>
    </w:p>
    <w:p>
      <w:pPr>
        <w:spacing w:before="0" w:after="80" w:lineRule="auto" w:line="276"/>
      </w:pPr>
      <w:r>
        <w:rPr>
          <w:b/>
        </w:rPr>
        <w:t xml:space="preserve">摘要（ZH）: </w:t>
      </w:r>
      <w:r>
        <w:t>古老的伴侣选择理论假定独立决策,但越来越多的证据表明,个人经常使用社会信息并复制伴侣选择,一种被称为伴侣复制的行为。 虽然这种非独立伴侣选择在脊椎动物之间被记录下来,特别是在Drosophipla melanogaster 中,但理论和实验框架主要局限于二进制选择情景,限制了我们对自然人口进化影响的理解。 在这里,我们开发了适用于多变人群的伴侣复制的理论模式,将私人(固有)和公共(文化)信息纳入伴侣选择决定。 不同的男性形态的人口动态。</w:t>
      </w:r>
    </w:p>
    <w:p>
      <w:pPr>
        <w:spacing w:before="0" w:after="200" w:lineRule="auto" w:line="276"/>
      </w:pPr>
      <w:r>
        <w:rPr>
          <w:b/>
        </w:rPr>
        <w:t xml:space="preserve">Abstract (EN): </w:t>
      </w:r>
      <w:r>
        <w:t>Classical mate choice theories assume independent decision-making, yet mounting evidence shows that individuals often use social information and copy conspecifics’ mate choices, a behavior termed mate copying. While this nonindependent mate choice has been documented across vertebrates and notably in</w:t>
      </w:r>
      <w:r>
        <w:t xml:space="preserve"> </w:t>
      </w:r>
      <w:r>
        <w:t>Drosophila melanogaster</w:t>
      </w:r>
      <w:r>
        <w:t xml:space="preserve"> </w:t>
      </w:r>
      <w:r>
        <w:t>, theoretical and experimental frameworks have been mainly restricted to binary choice scenarios, limiting our understanding of its evolutionary implications in natural populations. Here, we develop a theoretical model of mate copying applicable to populations with multiple morphs, incorporating both private (inherent) and public (cultural) information in mate choice decisions. The population dynamics of the different male morphs are driven by the differing intensities of conformist and anticonformist mate copying. We demonstrate that mate copying can lead to the fixation of low-quality morphs and identify the conditions necessary for the existence of a polymorphism consisting of all male morphs in the population. Furthermore, we identify a plausible mechanism that could maintain a stable polymorphism in the case of conformist mate copying with two morphs. Our findings provide a theoretical framework for understanding how social learning in mate choice can influence evolutionary trajectories and contribute to maintaining phenotypic diversity in populations, with potential implications for sexual selection and speciation.</w:t>
      </w:r>
    </w:p>
    <w:p>
      <w:pPr>
        <w:spacing w:before="120" w:after="120"/>
      </w:pPr>
      <w:r>
        <w:rPr>
          <w:sz w:val="18"/>
        </w:rPr>
        <w:t>——————————————————————————————————————————————————————————————————————</w:t>
      </w:r>
    </w:p>
    <w:p>
      <w:pPr>
        <w:spacing w:before="160" w:after="40" w:line="240" w:lineRule="auto"/>
      </w:pPr>
      <w:r>
        <w:rPr>
          <w:b/>
        </w:rPr>
        <w:t xml:space="preserve">[160] </w:t>
      </w:r>
      <w:hyperlink r:id="rId241">
        <w:r>
          <w:rPr>
            <w:color w:val="1155CC"/>
            <w:u w:val="single"/>
          </w:rPr>
          <w:t>导航进化史的神秘空间</w:t>
        </w:r>
      </w:hyperlink>
    </w:p>
    <w:p>
      <w:pPr>
        <w:spacing w:before="0" w:after="80"/>
      </w:pPr>
      <w:r>
        <w:rPr>
          <w:i/>
          <w:sz w:val="20"/>
        </w:rPr>
        <w:t>EN: Navigating the mysterious space of evolutionary histories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42">
        <w:r>
          <w:rPr>
            <w:color w:val="1155CC"/>
            <w:u w:val="single"/>
          </w:rPr>
          <w:t>10.1073/pnas.2537196123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243">
        <w:r>
          <w:rPr>
            <w:color w:val="1155CC"/>
            <w:u w:val="single"/>
          </w:rPr>
          <w:t>抗抗抗超可超可抗超分辨率超分辨率DNA框架点</w:t>
        </w:r>
      </w:hyperlink>
    </w:p>
    <w:p>
      <w:pPr>
        <w:spacing w:before="0" w:after="80"/>
      </w:pPr>
      <w:r>
        <w:rPr>
          <w:i/>
          <w:sz w:val="20"/>
        </w:rPr>
        <w:t>EN: Reactive oxygen species–resistant ultrastable super-resolution DNA framework dots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44">
        <w:r>
          <w:rPr>
            <w:color w:val="1155CC"/>
            <w:u w:val="single"/>
          </w:rPr>
          <w:t>10.1073/pnas.2514438123</w:t>
        </w:r>
      </w:hyperlink>
    </w:p>
    <w:p>
      <w:pPr>
        <w:spacing w:before="0" w:after="120"/>
      </w:pPr>
      <w:r>
        <w:rPr>
          <w:b/>
        </w:rPr>
        <w:t xml:space="preserve">Notes: </w:t>
      </w:r>
      <w:r>
        <w:t>abstract_source=crossref</w:t>
      </w:r>
    </w:p>
    <w:p>
      <w:pPr>
        <w:spacing w:before="0" w:after="80" w:lineRule="auto" w:line="276"/>
      </w:pPr>
      <w:r>
        <w:rPr>
          <w:b/>
        </w:rPr>
        <w:t xml:space="preserve">摘要（ZH）: </w:t>
      </w:r>
      <w:r>
        <w:t>在自然(例如绿色荧光蛋白、GFP)或人工(金属-有机或共价有机框架)系统中观测到的纳米内分泌系统有效地调节了各种光学、电子或催化应用中封装分子的化学和物理特性。在GFP的管状状酸盐脚架的启发下,它稳定了封闭空间内的铬磷,我们在此开发了防光破损、防光超分辨率DNA框架(SDF)点,以便能够将各种类型的氟磷在内腔聚合的GFP内进行可编程的封闭。我们发现,由于DNA框架的屏蔽作用,SDF点对反应式氧物种引发的光斑具有抗药性。</w:t>
      </w:r>
    </w:p>
    <w:p>
      <w:pPr>
        <w:spacing w:before="0" w:after="200" w:lineRule="auto" w:line="276"/>
      </w:pPr>
      <w:r>
        <w:rPr>
          <w:b/>
        </w:rPr>
        <w:t xml:space="preserve">Abstract (EN): </w:t>
      </w:r>
      <w:r>
        <w:t>Nanoconfinement as observed in natural (e.g. green fluorescent protein, GFP) or artificial (metal-organic or covalent organic frameworks) systems effectively modulates chemical and physical properties of encapsulated molecules for various photonic, electronic, or catalytic applications. Inspired by GFP’s barrel-like peptide scaffold, which stabilizes the chromophore within a confined space, here we develop photobleaching-resistant super-resolution DNA framework (SDF) dots that enables programmable confinement of various types of fluorophores within the inner cavity resembling GFP. We find that SDF dots are resistant to reactive oxygen species-induced photobleaching due to the shielding effects of DNA frameworks. SDF dots with four fluorophores labeling inside of the cavity leads to ~1.8-fold enhancement in photostability compared to the corner labeling, whereas ~50-fold enhancement compared to single fluorophore labeled on double-stranded DNA. These ultrastable SDF dots are readily adaptable for super-resolution imaging including stimulated emission depletion (STED) and structured illumination microscopy (SIM) imaging. We realize STED imaging of live cell membranes over 30 min. We further construct ultrastable super-resolution SIM barcodes that can distinguish eighteen colored barcodes with a spatial resolution of ~70 nm. This strategy provides a versatile platform for engineering ultrastable fluorescent probes for advancing super-resolution imaging and single-particle tracking in biophysics and biomedical research.</w:t>
      </w:r>
    </w:p>
    <w:p>
      <w:pPr>
        <w:spacing w:before="120" w:after="120"/>
      </w:pPr>
      <w:r>
        <w:rPr>
          <w:sz w:val="18"/>
        </w:rPr>
        <w:t>——————————————————————————————————————————————————————————————————————</w:t>
      </w:r>
    </w:p>
    <w:p>
      <w:pPr>
        <w:spacing w:before="160" w:after="40" w:line="240" w:lineRule="auto"/>
      </w:pPr>
      <w:r>
        <w:rPr>
          <w:b/>
        </w:rPr>
        <w:t xml:space="preserve">[162] </w:t>
      </w:r>
      <w:hyperlink r:id="rId245">
        <w:r>
          <w:rPr>
            <w:color w:val="1155CC"/>
            <w:u w:val="single"/>
          </w:rPr>
          <w:t>对同性性行为的社会影响进行多类社会影响分析,对昆虫的错误身份假设提出质疑</w:t>
        </w:r>
      </w:hyperlink>
    </w:p>
    <w:p>
      <w:pPr>
        <w:spacing w:before="0" w:after="80"/>
      </w:pPr>
      <w:r>
        <w:rPr>
          <w:i/>
          <w:sz w:val="20"/>
        </w:rPr>
        <w:t>EN: Multispecies analysis of social effects on same-sex sexual behavior challenges mistaken identity hypotheses in insects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46">
        <w:r>
          <w:rPr>
            <w:color w:val="1155CC"/>
            <w:u w:val="single"/>
          </w:rPr>
          <w:t>10.1073/pnas.2506022123</w:t>
        </w:r>
      </w:hyperlink>
    </w:p>
    <w:p>
      <w:pPr>
        <w:spacing w:before="0" w:after="120"/>
      </w:pPr>
      <w:r>
        <w:rPr>
          <w:b/>
        </w:rPr>
        <w:t xml:space="preserve">Notes: </w:t>
      </w:r>
      <w:r>
        <w:t>abstract_source=crossref</w:t>
      </w:r>
    </w:p>
    <w:p>
      <w:pPr>
        <w:spacing w:before="0" w:after="80" w:lineRule="auto" w:line="276"/>
      </w:pPr>
      <w:r>
        <w:rPr>
          <w:b/>
        </w:rPr>
        <w:t xml:space="preserve">摘要（ZH）: </w:t>
      </w:r>
      <w:r>
        <w:t>在历史上,昆虫的同性性行为(SSB)一直被认为是性别识别失败或“否认身份”的副产品,而其他假设的考虑也落后于脊椎动物的假设,因为人们常常认为脊椎动物在适应性上可以减轻侵略性互动。 缺乏比较分析来帮助分解昆虫SSSB的功能。 为了解决这个问题,我们量化了北美八种野外板球物种(Gryllus spp.)在受控试验中的男性与男性之间的相互作用。 虽然有限的分类抽样排除了正式的植物基因比较分析,但我们还是能够用结构方程模型来评估不同物种的差异。 使用这一技术,我们区分了合作伙伴的影响并评估了 su 。</w:t>
      </w:r>
    </w:p>
    <w:p>
      <w:pPr>
        <w:spacing w:before="0" w:after="200" w:lineRule="auto" w:line="276"/>
      </w:pPr>
      <w:r>
        <w:rPr>
          <w:b/>
        </w:rPr>
        <w:t xml:space="preserve">Abstract (EN): </w:t>
      </w:r>
      <w:r>
        <w:t>Same-sex sexual behavior (SSB) in insects has historically been considered a byproduct of sex recognition failure, or “mistaken identity,” and consideration of other hypotheses lags behind that of vertebrates where it is often thought to adaptively mitigate aggressive interactions. Comparative analyses to help disentangle the functions of insect SSB are lacking. To address this, we quantified male–male interactions in controlled trials across eight North American field cricket species (</w:t>
      </w:r>
      <w:r>
        <w:t xml:space="preserve"> </w:t>
      </w:r>
      <w:r>
        <w:t>Gryllus</w:t>
      </w:r>
      <w:r>
        <w:t xml:space="preserve"> </w:t>
      </w:r>
      <w:r>
        <w:t>spp.). While limited taxonomic sampling precluded a formal phylogenetic comparative analysis, we were able to assess variation across species with structural equation models. Using this technique, we distinguished focal from partner influences and evaluated support for mistaken identity vs. other models of SSB. SSB expression varied extensively across species. It was always associated with reduced aggression, but the strength of this association and the balance of focal vs. partner effects varied. Temporal analysis of behavioral interactions showed that males exhibited SSB while able to discern the sex of their partner. These findings, along with observations of a previously undescribed sexual behavior not seen in different-sex interactions, imply a history of adaptive evolution inconsistent with mistaken identity SSB.</w:t>
      </w:r>
    </w:p>
    <w:p>
      <w:pPr>
        <w:spacing w:before="120" w:after="120"/>
      </w:pPr>
      <w:r>
        <w:rPr>
          <w:sz w:val="18"/>
        </w:rPr>
        <w:t>——————————————————————————————————————————————————————————————————————</w:t>
      </w:r>
    </w:p>
    <w:p>
      <w:pPr>
        <w:spacing w:before="160" w:after="40" w:line="240" w:lineRule="auto"/>
      </w:pPr>
      <w:r>
        <w:rPr>
          <w:b/>
        </w:rPr>
        <w:t xml:space="preserve">[163] </w:t>
      </w:r>
      <w:hyperlink r:id="rId247">
        <w:r>
          <w:rPr>
            <w:color w:val="1155CC"/>
            <w:u w:val="single"/>
          </w:rPr>
          <w:t>人类4万年前 开发了一套传统标志系统</w:t>
        </w:r>
      </w:hyperlink>
    </w:p>
    <w:p>
      <w:pPr>
        <w:spacing w:before="0" w:after="80"/>
      </w:pPr>
      <w:r>
        <w:rPr>
          <w:i/>
          <w:sz w:val="20"/>
        </w:rPr>
        <w:t>EN: Humans 40,000 y ago developed a system of conventional signs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48">
        <w:r>
          <w:rPr>
            <w:color w:val="1155CC"/>
            <w:u w:val="single"/>
          </w:rPr>
          <w:t>10.1073/pnas.2520385123</w:t>
        </w:r>
      </w:hyperlink>
    </w:p>
    <w:p>
      <w:pPr>
        <w:spacing w:before="0" w:after="120"/>
      </w:pPr>
      <w:r>
        <w:rPr>
          <w:b/>
        </w:rPr>
        <w:t xml:space="preserve">Notes: </w:t>
      </w:r>
      <w:r>
        <w:t>abstract_source=crossref</w:t>
      </w:r>
    </w:p>
    <w:p>
      <w:pPr>
        <w:spacing w:before="0" w:after="80" w:lineRule="auto" w:line="276"/>
      </w:pPr>
      <w:r>
        <w:rPr>
          <w:b/>
        </w:rPr>
        <w:t xml:space="preserve">摘要（ZH）: </w:t>
      </w:r>
      <w:r>
        <w:t>作为人类,我们储存和共享信息。这使我们能够传播生存所必需的知识,并协调大型群体。我们的人类祖先利用移动文物和洞穴墙的表面作为自石化时代以来的信息载体。关于这些石化标志的含义和功能的理论很多。然而,对于这些标志的基本、可测量的特性却知之甚少。我们在这里分析了200多个移动物体的集合体,它们有43 000至34 000个古老的奥里格纳西亚文化——它们与第一批在中欧定居的现代人类有关。这些物体装饰着数千个几何标志。我们运用分类算法和统计模型来捕捉它们的定量特性。首先,我们的分析表明,这些物体具有430 000至34 000个古老的奥里格纳西亚文化,与第一批在中欧定居的现代人类有关。这些物体有数千个几何标志。我们应用分类算法和统计模型来捕捉它们的定量特性。</w:t>
      </w:r>
    </w:p>
    <w:p>
      <w:pPr>
        <w:spacing w:before="0" w:after="200" w:lineRule="auto" w:line="276"/>
      </w:pPr>
      <w:r>
        <w:rPr>
          <w:b/>
        </w:rPr>
        <w:t xml:space="preserve">Abstract (EN): </w:t>
      </w:r>
      <w:r>
        <w:t>As humans, we store and share information. This allows us to distribute knowledge necessary for survival and to coordinate large groups. Our hominin ancestors harnessed the surfaces of mobile artifacts and cave walls as information carriers since the Paleolithic time period. Theories abound as to the meaning and function of these Paleolithic signs. However, very little is known about their basic, measurable properties. We here analyze a corpus of more than 200 mobile objects of a 43,000 to 34,000 y old Aurignacian culture—associated with the first modern humans to settle in Central Europe. These objects are adorned with several thousand geometric signs. We apply classification algorithms and statistical models to capture their quantitative properties. First, our analyses illustrate that these sign sequences are clearly distinguishable from modern day writing. Second, however, their statistical properties are comparable to sign sequences on the earliest protocuneiform tablets. Third, Paleolithic signs were systematically applied to yield higher information density on certain types of objects, e.g. ivory figurines compared to tools. These results cannot be taken to strictly prove that Aurignacian sign sequences encoded numero-ideographic information as in the case of protocuneiform. However, they prove that the first hunter-gatherers arriving in Europe already applied sign sequences of comparable complexity in a deliberate, systematic, and conventional manner—several ten thousand years before the advent of genuine writing.</w:t>
      </w:r>
    </w:p>
    <w:p>
      <w:pPr>
        <w:spacing w:before="120" w:after="120"/>
      </w:pPr>
      <w:r>
        <w:rPr>
          <w:sz w:val="18"/>
        </w:rPr>
        <w:t>——————————————————————————————————————————————————————————————————————</w:t>
      </w:r>
    </w:p>
    <w:p>
      <w:pPr>
        <w:spacing w:before="160" w:after="40" w:line="240" w:lineRule="auto"/>
      </w:pPr>
      <w:r>
        <w:rPr>
          <w:b/>
        </w:rPr>
        <w:t xml:space="preserve">[164] </w:t>
      </w:r>
      <w:hyperlink r:id="rId249">
        <w:r>
          <w:rPr>
            <w:color w:val="1155CC"/>
            <w:u w:val="single"/>
          </w:rPr>
          <w:t>嗜食性沉睡</w:t>
        </w:r>
      </w:hyperlink>
    </w:p>
    <w:p>
      <w:pPr>
        <w:spacing w:before="0" w:after="80"/>
      </w:pPr>
      <w:r>
        <w:rPr>
          <w:i/>
          <w:sz w:val="20"/>
        </w:rPr>
        <w:t>EN: Aerophilic debubbling</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50">
        <w:r>
          <w:rPr>
            <w:color w:val="1155CC"/>
            <w:u w:val="single"/>
          </w:rPr>
          <w:t>10.1073/pnas.2526444123</w:t>
        </w:r>
      </w:hyperlink>
    </w:p>
    <w:p>
      <w:pPr>
        <w:spacing w:before="0" w:after="120"/>
      </w:pPr>
      <w:r>
        <w:rPr>
          <w:b/>
        </w:rPr>
        <w:t xml:space="preserve">Notes: </w:t>
      </w:r>
      <w:r>
        <w:t>abstract_source=crossref</w:t>
      </w:r>
    </w:p>
    <w:p>
      <w:pPr>
        <w:spacing w:before="0" w:after="80" w:lineRule="auto" w:line="276"/>
      </w:pPr>
      <w:r>
        <w:rPr>
          <w:b/>
        </w:rPr>
        <w:t xml:space="preserve">摘要（ZH）: </w:t>
      </w:r>
      <w:r>
        <w:t>气体泡沫经常在液体界面中积聚,从而损害通过量、选择性和稳定性,从微氟化物到自然生态系统,在各种尺度上都是如此。 在这里,我们实验性地展示了高渗透性活性膜放置在液-空气界面中,在毫秒内将空气界面的气泡消灭。 这个超快的气泡只出现在临界渗透临界点之上,而这种气泡的流量偏离了传统的微粒达西驱动的动力。 我们量化地描述这种以生物繁殖为媒介的调试过程,通过检查单一气泡规模的局部相互作用,接近薄膜,并找出三种气态疏散系统,我们通过简单的比例法捕捉到这些系统的物理原理。</w:t>
      </w:r>
    </w:p>
    <w:p>
      <w:pPr>
        <w:spacing w:before="0" w:after="200" w:lineRule="auto" w:line="276"/>
      </w:pPr>
      <w:r>
        <w:rPr>
          <w:b/>
        </w:rPr>
        <w:t xml:space="preserve">Abstract (EN): </w:t>
      </w:r>
      <w:r>
        <w:t>Gas bubbles frequently accumulate at liquid interfaces, compromising throughput, selectivity, and stability across scales from microfluidics to natural ecosystems. Here, we experimentally show that highly permeable aerophilic membranes placed on a liquid–air interface annihilate bubbles within milliseconds. This ultrafast regime appears only above a critical permeability threshold, where the flow departs from classical Darcy-driven dynamics in micropores. We quantitatively characterize this aerophilicity-mediated debubbling process by examining local interactions at the scale of single bubbles approaching the membrane and identify three asymptotic evacuation regimes, the physics of which we capture through simple scaling laws.</w:t>
      </w:r>
    </w:p>
    <w:p>
      <w:pPr>
        <w:spacing w:before="120" w:after="120"/>
      </w:pPr>
      <w:r>
        <w:rPr>
          <w:sz w:val="18"/>
        </w:rPr>
        <w:t>——————————————————————————————————————————————————————————————————————</w:t>
      </w:r>
    </w:p>
    <w:p>
      <w:pPr>
        <w:spacing w:before="160" w:after="40" w:line="240" w:lineRule="auto"/>
      </w:pPr>
      <w:r>
        <w:rPr>
          <w:b/>
        </w:rPr>
        <w:t xml:space="preserve">[165] </w:t>
      </w:r>
      <w:hyperlink r:id="rId251">
        <w:r>
          <w:rPr>
            <w:color w:val="1155CC"/>
            <w:u w:val="single"/>
          </w:rPr>
          <w:t>相关碰撞和互连性对幸运滴子生长的影响</w:t>
        </w:r>
      </w:hyperlink>
    </w:p>
    <w:p>
      <w:pPr>
        <w:spacing w:before="0" w:after="80"/>
      </w:pPr>
      <w:r>
        <w:rPr>
          <w:i/>
          <w:sz w:val="20"/>
        </w:rPr>
        <w:t>EN: Effects of correlated collisions and intermittency on the growth of lucky droplets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52">
        <w:r>
          <w:rPr>
            <w:color w:val="1155CC"/>
            <w:u w:val="single"/>
          </w:rPr>
          <w:t>10.1073/pnas.2502553123</w:t>
        </w:r>
      </w:hyperlink>
    </w:p>
    <w:p>
      <w:pPr>
        <w:spacing w:before="0" w:after="120"/>
      </w:pPr>
      <w:r>
        <w:rPr>
          <w:b/>
        </w:rPr>
        <w:t xml:space="preserve">Notes: </w:t>
      </w:r>
      <w:r>
        <w:t>abstract_source=crossref</w:t>
      </w:r>
    </w:p>
    <w:p>
      <w:pPr>
        <w:spacing w:before="0" w:after="80" w:lineRule="auto" w:line="276"/>
      </w:pPr>
      <w:r>
        <w:rPr>
          <w:b/>
        </w:rPr>
        <w:t xml:space="preserve">摘要（ZH）: </w:t>
      </w:r>
      <w:r>
        <w:t>为了触发降水,热云中的水滴必须达到足够的大小。光靠凝结和引力碰撞得出的理论估计就未能解释一系列小滴大小降水开始的观测时间尺度。这意味着由动荡调解的碰撞增长会参与解决所谓的“大小差距问题 ” 。 对于雨水的开始,统计外端,即创造的“幸运滴子”就足以跨越大小差距。在本研究中,我们探索了气流对滴子生长的影响,重点是相关的碰撞和间歇性。我们利用对动荡流中滴子的直接数字模拟,限制一种非马尔科维的随机分析框架,使我们能够评估对滴子的记忆影响。</w:t>
      </w:r>
    </w:p>
    <w:p>
      <w:pPr>
        <w:spacing w:before="0" w:after="200" w:lineRule="auto" w:line="276"/>
      </w:pPr>
      <w:r>
        <w:rPr>
          <w:b/>
        </w:rPr>
        <w:t xml:space="preserve">Abstract (EN): </w:t>
      </w:r>
      <w:r>
        <w:t>To trigger precipitation, water droplets in warm clouds need to attain a sufficient size. Theoretical estimates based on condensation and gravitational collisions alone fail to explain the observed timescales for the onset of precipitation for a range of droplet sizes. This suggests the involvement of collisional growth mediated by turbulence to resolve the so-called “size-gap problem.” For the onset of rain, it is sufficient that statistical outliers, coined “lucky droplets,” cross the size gap. In this study, we explore the influence of turbulence on droplet growth, focusing on correlated collisions and intermittency. Using direct numerical simulations of droplets in turbulent flow, we constrain a non-Markovian stochastic framework that allows us to assess memory effects on the droplet-size distribution arising from correlations between consecutive collisions. Using our framework, we find that correlated collisions accelerate the initial growth of lucky droplets but have subleading effect at later stages. Consequently, we neglect correlations from collisions and model an ensemble of cloud parcels representing fluctuations in the volume-averaged dissipation rate. Here, the distribution of droplet sizes in each parcel is described by a linear master equation with a time-dependent collision rate according to the volume-averaged dissipation rate. Our analyses of this toy model show that intermittency can significantly reduce the time required by lucky droplets to cross the size gap.</w:t>
      </w:r>
    </w:p>
    <w:p>
      <w:pPr>
        <w:spacing w:before="120" w:after="120"/>
      </w:pPr>
      <w:r>
        <w:rPr>
          <w:sz w:val="18"/>
        </w:rPr>
        <w:t>——————————————————————————————————————————————————————————————————————</w:t>
      </w:r>
    </w:p>
    <w:p>
      <w:pPr>
        <w:spacing w:before="160" w:after="40" w:line="240" w:lineRule="auto"/>
      </w:pPr>
      <w:r>
        <w:rPr>
          <w:b/>
        </w:rPr>
        <w:t xml:space="preserve">[166] </w:t>
      </w:r>
      <w:hyperlink r:id="rId253">
        <w:r>
          <w:rPr>
            <w:color w:val="1155CC"/>
            <w:u w:val="single"/>
          </w:rPr>
          <w:t>促进可持续性转型的社会动员</w:t>
        </w:r>
      </w:hyperlink>
    </w:p>
    <w:p>
      <w:pPr>
        <w:spacing w:before="0" w:after="80"/>
      </w:pPr>
      <w:r>
        <w:rPr>
          <w:i/>
          <w:sz w:val="20"/>
        </w:rPr>
        <w:t>EN: Social mobilizations for sustainability transformations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54">
        <w:r>
          <w:rPr>
            <w:color w:val="1155CC"/>
            <w:u w:val="single"/>
          </w:rPr>
          <w:t>10.1073/pnas.2537960123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[167] </w:t>
      </w:r>
      <w:hyperlink r:id="rId255">
        <w:r>
          <w:rPr>
            <w:color w:val="1155CC"/>
            <w:u w:val="single"/>
          </w:rPr>
          <w:t>Camacho等人的更正,来自另一海洋的珊瑚物种可能是拯救加勒比珊瑚礁的唯一途径。</w:t>
        </w:r>
      </w:hyperlink>
    </w:p>
    <w:p>
      <w:pPr>
        <w:spacing w:before="0" w:after="80"/>
      </w:pPr>
      <w:r>
        <w:rPr>
          <w:i/>
          <w:sz w:val="20"/>
        </w:rPr>
        <w:t>EN: Correction for Camacho et al., Coral species from another ocean may be the only way to save Caribbean reefs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56">
        <w:r>
          <w:rPr>
            <w:color w:val="1155CC"/>
            <w:u w:val="single"/>
          </w:rPr>
          <w:t>10.1073/pnas.2603871123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[168] </w:t>
      </w:r>
      <w:hyperlink r:id="rId257">
        <w:r>
          <w:rPr>
            <w:color w:val="1155CC"/>
            <w:u w:val="single"/>
          </w:rPr>
          <w:t>生活方式:大脑血液流动的网络挑战</w:t>
        </w:r>
      </w:hyperlink>
    </w:p>
    <w:p>
      <w:pPr>
        <w:spacing w:before="0" w:after="80"/>
      </w:pPr>
      <w:r>
        <w:rPr>
          <w:i/>
          <w:sz w:val="20"/>
        </w:rPr>
        <w:t>EN: The way of life: The network challenge of blood flow in the brain</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58">
        <w:r>
          <w:rPr>
            <w:color w:val="1155CC"/>
            <w:u w:val="single"/>
          </w:rPr>
          <w:t>10.1073/pnas.2537961123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[169] </w:t>
      </w:r>
      <w:hyperlink r:id="rId259">
        <w:r>
          <w:rPr>
            <w:color w:val="1155CC"/>
            <w:u w:val="single"/>
          </w:rPr>
          <w:t>少数群体高估的认知基础</w:t>
        </w:r>
      </w:hyperlink>
    </w:p>
    <w:p>
      <w:pPr>
        <w:spacing w:before="0" w:after="80"/>
      </w:pPr>
      <w:r>
        <w:rPr>
          <w:i/>
          <w:sz w:val="20"/>
        </w:rPr>
        <w:t>EN: The cognitive underpinnings of minority overestimation</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60">
        <w:r>
          <w:rPr>
            <w:color w:val="1155CC"/>
            <w:u w:val="single"/>
          </w:rPr>
          <w:t>10.1073/pnas.2527709123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261">
        <w:r>
          <w:rPr>
            <w:color w:val="1155CC"/>
            <w:u w:val="single"/>
          </w:rPr>
          <w:t>对Kardosh和Sklar的答复:优先提出对误解的一般域解释</w:t>
        </w:r>
      </w:hyperlink>
    </w:p>
    <w:p>
      <w:pPr>
        <w:spacing w:before="0" w:after="80"/>
      </w:pPr>
      <w:r>
        <w:rPr>
          <w:i/>
          <w:sz w:val="20"/>
        </w:rPr>
        <w:t>EN: Reply to Kardosh and Sklar: Prioritizing domain-general explanations of misperception</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62">
        <w:r>
          <w:rPr>
            <w:color w:val="1155CC"/>
            <w:u w:val="single"/>
          </w:rPr>
          <w:t>10.1073/pnas.2531604123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[171] </w:t>
      </w:r>
      <w:hyperlink r:id="rId263">
        <w:r>
          <w:rPr>
            <w:color w:val="1155CC"/>
            <w:u w:val="single"/>
          </w:rPr>
          <w:t>Dipteran carboxylersterase中有机磷酸酯抗力的结构和进化限制</w:t>
        </w:r>
      </w:hyperlink>
    </w:p>
    <w:p>
      <w:pPr>
        <w:spacing w:before="0" w:after="80"/>
      </w:pPr>
      <w:r>
        <w:rPr>
          <w:i/>
          <w:sz w:val="20"/>
        </w:rPr>
        <w:t>EN: Structural and evolutionary constraints of organophosphate resistance in dipteran carboxylesterases</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64">
        <w:r>
          <w:rPr>
            <w:color w:val="1155CC"/>
            <w:u w:val="single"/>
          </w:rPr>
          <w:t>10.1073/pnas.2517957123</w:t>
        </w:r>
      </w:hyperlink>
    </w:p>
    <w:p>
      <w:pPr>
        <w:spacing w:before="0" w:after="120"/>
      </w:pPr>
      <w:r>
        <w:rPr>
          <w:b/>
        </w:rPr>
        <w:t xml:space="preserve">Notes: </w:t>
      </w:r>
      <w:r>
        <w:t>abstract_source=crossref</w:t>
      </w:r>
    </w:p>
    <w:p>
      <w:pPr>
        <w:spacing w:before="0" w:after="80" w:lineRule="auto" w:line="276"/>
      </w:pPr>
      <w:r>
        <w:rPr>
          <w:b/>
        </w:rPr>
        <w:t xml:space="preserve">摘要（ZH）: </w:t>
      </w:r>
      <w:r>
        <w:t>有机磷(OP)杀虫剂的酶解毒可以对某些昆虫产生抗药性,但这种特性的精确分子基础及其演变方式仍然不易理解。 在某些diderran物种中,α-碳之星酶(CBEs)氧气洞中的G&amp;D突变会增强OP水解作用,然而,尽管在也接触OPs的其他昆虫物种中存在正粒体脱毒作用,但这种适应性并不普遍。 尚未探索这种催化OP抗力的进化应急和沉积的程度和分子基础,进一步突变会如何优化OP在未来的解毒作用尚不清楚。 在这里,我们系统地比较OP的水解作用,并分析多种Dipteran物种中CBE的正球结构,揭示出六溴。</w:t>
      </w:r>
    </w:p>
    <w:p>
      <w:pPr>
        <w:spacing w:before="0" w:after="200" w:lineRule="auto" w:line="276"/>
      </w:pPr>
      <w:r>
        <w:rPr>
          <w:b/>
        </w:rPr>
        <w:t xml:space="preserve">Abstract (EN): </w:t>
      </w:r>
      <w:r>
        <w:t>Enzymatic detoxification of organophosphate (OP) insecticides can confer resistance in some insects, yet the precise molecular basis of this trait, and how it has evolved, remains poorly understood. In certain dipteran species, a G→D mutation in the oxyanion hole of α-carboxylesterases (CBEs) enhances OP hydrolysis, yet this adaptation is not widespread despite the presence of orthologous CBEs in other insect species that are also exposed to OPs. The extent, and molecular basis, of evolutionary contingency and epistasis in this catalytic OP resistance has not been explored, and how further mutations might optimize OP detoxification in the future is not clear. Here, we systematically compare OP hydrolysis and analyze structures of CBE orthologs across several dipteran species, revealing that the success of the G137D mutation is sequence context-dependent. We employed laboratory-directed evolution to enhance OP turnover over 1,000-fold vs. the wildtype enzyme and tested these variants in transgenic</w:t>
      </w:r>
      <w:r>
        <w:t xml:space="preserve"> </w:t>
      </w:r>
      <w:r>
        <w:t>Drosophila melanogaster</w:t>
      </w:r>
      <w:r>
        <w:t xml:space="preserve"> </w:t>
      </w:r>
      <w:r>
        <w:t>, demonstrating that improved catalytic rates do not directly translate to increased resistance. By highlighting the trade-off between organophosphate affinity and turnover, this work further clarifies the complex evolutionary trajectories determining why a particular resistance mechanism may evolve in some species but not others.</w:t>
      </w:r>
    </w:p>
    <w:p>
      <w:pPr>
        <w:spacing w:before="120" w:after="120"/>
      </w:pPr>
      <w:r>
        <w:rPr>
          <w:sz w:val="18"/>
        </w:rPr>
        <w:t>——————————————————————————————————————————————————————————————————————</w:t>
      </w:r>
    </w:p>
    <w:p>
      <w:pPr>
        <w:spacing w:before="160" w:after="40" w:line="240" w:lineRule="auto"/>
      </w:pPr>
      <w:r>
        <w:rPr>
          <w:b/>
        </w:rPr>
        <w:t xml:space="preserve">[172] </w:t>
      </w:r>
      <w:hyperlink r:id="rId265">
        <w:r>
          <w:rPr>
            <w:color w:val="1155CC"/>
            <w:u w:val="single"/>
          </w:rPr>
          <w:t>甘硫酸甘硫酸催化残留物减少和大米中除草剂耐受性</w:t>
        </w:r>
      </w:hyperlink>
    </w:p>
    <w:p>
      <w:pPr>
        <w:spacing w:before="0" w:after="80"/>
      </w:pPr>
      <w:r>
        <w:rPr>
          <w:i/>
          <w:sz w:val="20"/>
        </w:rPr>
        <w:t>EN: Glycosylation of glyphosate drives residue reduction and herbicide tolerance in rice</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66">
        <w:r>
          <w:rPr>
            <w:color w:val="1155CC"/>
            <w:u w:val="single"/>
          </w:rPr>
          <w:t>10.1073/pnas.2516099123</w:t>
        </w:r>
      </w:hyperlink>
    </w:p>
    <w:p>
      <w:pPr>
        <w:spacing w:before="0" w:after="120"/>
      </w:pPr>
      <w:r>
        <w:rPr>
          <w:b/>
        </w:rPr>
        <w:t xml:space="preserve">Notes: </w:t>
      </w:r>
      <w:r>
        <w:t>abstract_source=crossref</w:t>
      </w:r>
    </w:p>
    <w:p>
      <w:pPr>
        <w:spacing w:before="0" w:after="80" w:lineRule="auto" w:line="276"/>
      </w:pPr>
      <w:r>
        <w:rPr>
          <w:b/>
        </w:rPr>
        <w:t xml:space="preserve">摘要（ZH）: </w:t>
      </w:r>
      <w:r>
        <w:t>甘硫酸盐是全球使用最广泛的除草剂,特别是由于广泛种植了基因改变的甘硫酸盐抗药性作物,因此甘硫酸盐是全球使用最广泛的除草剂,然而,其密集应用引起了公众对食品安全和人类健康风险的担忧。查明植物中能够对甘硫酸盐进行新陈代谢的酶是解决这一问题的理想战略,但鲜为人知。在这里,我们查明了对甘硫酸具有自然耐受力的Kitaake水稻品种,并表明这种耐受力是由甘硫酸盐合合金新陈代谢驱动的。</w:t>
      </w:r>
    </w:p>
    <w:p>
      <w:pPr>
        <w:spacing w:before="0" w:after="200" w:lineRule="auto" w:line="276"/>
      </w:pPr>
      <w:r>
        <w:rPr>
          <w:b/>
        </w:rPr>
        <w:t xml:space="preserve">Abstract (EN): </w:t>
      </w:r>
      <w:r>
        <w:t>Glyphosate is the most widely used herbicide globally, especially due to the extensive cultivation of genetically modified glyphosate-resistant crops. However, its intensive application has raised public concerns about the risks to food safety and human health. Identifying enzymes capable of metabolizing glyphosate in plants represents an ideal strategy for addressing this issue, but few are known. Here, we identified the rice variety Kitaake with natural tolerance to glyphosate and demonstrated that this tolerance is driven by glyphosate glycosylation metabolism. Seven up-regulated UDP-dependent glycosyltransferase (</w:t>
      </w:r>
      <w:r>
        <w:t xml:space="preserve"> </w:t>
      </w:r>
      <w:r>
        <w:t>UGT</w:t>
      </w:r>
      <w:r>
        <w:t xml:space="preserve"> </w:t>
      </w:r>
      <w:r>
        <w:t>) genes associated with glyphosate tolerance were identified in Kitaake. Molecular-docking analysis indicated that these UGT proteins have moderate binding affinity for glyphosate. Among these, a deletion of an adenine at position –803 in the promoter region of</w:t>
      </w:r>
      <w:r>
        <w:t xml:space="preserve"> </w:t>
      </w:r>
      <w:r>
        <w:t>GLYPHOSATE RESPONSIVE GLYCOSYLTRANSFERASE 1</w:t>
      </w:r>
      <w:r>
        <w:t xml:space="preserve"> </w:t>
      </w:r>
      <w:r>
        <w:t>(</w:t>
      </w:r>
      <w:r>
        <w:t xml:space="preserve"> </w:t>
      </w:r>
      <w:r>
        <w:t>GRGT1</w:t>
      </w:r>
      <w:r>
        <w:t xml:space="preserve"> </w:t>
      </w:r>
      <w:r>
        <w:t>) enhances its expression in Kitaake. GRGT1 localizes to the endoplasmic reticulum and catalyzes glyphosate glycosylation both in vivo and in vitro. Rice lines complemented with</w:t>
      </w:r>
      <w:r>
        <w:t xml:space="preserve"> </w:t>
      </w:r>
      <w:r>
        <w:t>GRGT1–GFP</w:t>
      </w:r>
      <w:r>
        <w:t xml:space="preserve"> </w:t>
      </w:r>
      <w:r>
        <w:t>rescue the inability of</w:t>
      </w:r>
      <w:r>
        <w:t xml:space="preserve"> </w:t>
      </w:r>
      <w:r>
        <w:t>grgt1</w:t>
      </w:r>
      <w:r>
        <w:t xml:space="preserve"> </w:t>
      </w:r>
      <w:r>
        <w:t>knockout mutants to produce glycosylated glyphosate derivatives. Overexpression of</w:t>
      </w:r>
      <w:r>
        <w:t xml:space="preserve"> </w:t>
      </w:r>
      <w:r>
        <w:t>GRGT1</w:t>
      </w:r>
      <w:r>
        <w:t xml:space="preserve"> </w:t>
      </w:r>
      <w:r>
        <w:t>in the susceptible Nipponbare cultivar confers glyphosate tolerance by up-regulating glyphosate metabolism to produce glycosylated glyphosate derivatives M329, M331, and M345. This provides a strategy for developing herbicide-tolerant crops, but also offers a potential approach to consequently reduce glyphosate residues in crops.</w:t>
      </w:r>
    </w:p>
    <w:p>
      <w:pPr>
        <w:spacing w:before="120" w:after="120"/>
      </w:pPr>
      <w:r>
        <w:rPr>
          <w:sz w:val="18"/>
        </w:rPr>
        <w:t>——————————————————————————————————————————————————————————————————————</w:t>
      </w:r>
    </w:p>
    <w:p>
      <w:pPr>
        <w:spacing w:before="160" w:after="40" w:line="240" w:lineRule="auto"/>
      </w:pPr>
      <w:r>
        <w:rPr>
          <w:b/>
        </w:rPr>
        <w:t xml:space="preserve">[173] </w:t>
      </w:r>
      <w:hyperlink r:id="rId267">
        <w:r>
          <w:rPr>
            <w:color w:val="1155CC"/>
            <w:u w:val="single"/>
          </w:rPr>
          <w:t>Liao等人的校正,非古代遗传标志解决了地球历史上在《全球可见效果评估》前出现的有氧细菌。</w:t>
        </w:r>
      </w:hyperlink>
    </w:p>
    <w:p>
      <w:pPr>
        <w:spacing w:before="0" w:after="80"/>
      </w:pPr>
      <w:r>
        <w:rPr>
          <w:i/>
          <w:sz w:val="20"/>
        </w:rPr>
        <w:t>EN: Correction for Liao et al., Noncanonical genetic markers resolve the pre-GOE emergence of aerobic bacteria in Earth’s history</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68">
        <w:r>
          <w:rPr>
            <w:color w:val="1155CC"/>
            <w:u w:val="single"/>
          </w:rPr>
          <w:t>10.1073/pnas.2604241123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[174] </w:t>
      </w:r>
      <w:hyperlink r:id="rId269">
        <w:r>
          <w:rPr>
            <w:color w:val="1155CC"/>
            <w:u w:val="single"/>
          </w:rPr>
          <w:t>与“雪球地球”相比,“雪球地球”的冰川是造成大不达标的原因。</w:t>
        </w:r>
      </w:hyperlink>
    </w:p>
    <w:p>
      <w:pPr>
        <w:spacing w:before="0" w:after="80"/>
      </w:pPr>
      <w:r>
        <w:rPr>
          <w:i/>
          <w:sz w:val="20"/>
        </w:rPr>
        <w:t>EN: Tectonism rather than “snowball Earth” glaciation is responsible for the Great Unconformity</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70">
        <w:r>
          <w:rPr>
            <w:color w:val="1155CC"/>
            <w:u w:val="single"/>
          </w:rPr>
          <w:t>10.1073/pnas.2523891123</w:t>
        </w:r>
      </w:hyperlink>
    </w:p>
    <w:p>
      <w:pPr>
        <w:spacing w:before="0" w:after="120"/>
      </w:pPr>
      <w:r>
        <w:rPr>
          <w:b/>
        </w:rPr>
        <w:t xml:space="preserve">Notes: </w:t>
      </w:r>
      <w:r>
        <w:t>abstract_source=crossref</w:t>
      </w:r>
    </w:p>
    <w:p>
      <w:pPr>
        <w:spacing w:before="0" w:after="80" w:lineRule="auto" w:line="276"/>
      </w:pPr>
      <w:r>
        <w:rPr>
          <w:b/>
        </w:rPr>
        <w:t xml:space="preserve">摘要（ZH）: </w:t>
      </w:r>
      <w:r>
        <w:t>大不兼容性(GUN) — — 广泛承认Precambrian和Cambrian岩石之间在岩石记录上的不连续性和相关差距 — — 代表着一个全球重要的大陆接触和侵蚀间隔,对于地球上所有主要动物植物首次出现也是值得注意的。然而,其起源仍然是激烈辩论的主题。 这里我们展示了实地关系,以及Zircon和monazite U-Pb、生物热和混凝土Rb-Sr以及zircon(U-Th)/He热化学数据,这些数据来自中国北部的Precambrian晶状地下岩石,以限制不相容的地下挖掘历史。 多时表和热历史的反射日期显示,大陆地下最大幅度的冷却从~2100马到1 600马。</w:t>
      </w:r>
    </w:p>
    <w:p>
      <w:pPr>
        <w:spacing w:before="0" w:after="200" w:lineRule="auto" w:line="276"/>
      </w:pPr>
      <w:r>
        <w:rPr>
          <w:b/>
        </w:rPr>
        <w:t xml:space="preserve">Abstract (EN): </w:t>
      </w:r>
      <w:r>
        <w:t>The Great Unconformity (GUn)—a widely recognized discontinuity and associated gap in the rock record between Precambrian and Cambrian rocks—represents a globally important interval of continental exposure and erosion that is notable also for the first appearance of all major animal phyla on Earth. However, its origin remains the subject of vigorous debate. Here, we present field relationships, and zircon and monazite U–Pb, biotite and muscovite Rb–Sr, and zircon (U–Th)/He thermochronology data for Precambrian crystalline basement rocks from North China to constrain the exhumation history below the unconformity. Dates from multichronometers and thermal history inversions show that the most substantial cooling of continental basement took place from ~2,100 to 1,600 Ma. Comparison with thermal history data from Laurentia, Baltica, and Amazonia suggests that protracted plate tectonics broadly modulated by supercontinent cycles, and not “snowball Earth” glaciation, is responsible for crustal exhumation below the unconformity. The most pronounced erosion evident in both the thermochronologic record and geochemical indicators of continental weathering is shown to correspond with development of Earth’s first true supercontinent (Columbia), rather than with either the Cambrian explosion or the emergence of modern plate tectonics.</w:t>
      </w:r>
    </w:p>
    <w:p>
      <w:pPr>
        <w:spacing w:before="120" w:after="120"/>
      </w:pPr>
      <w:r>
        <w:rPr>
          <w:sz w:val="18"/>
        </w:rPr>
        <w:t>——————————————————————————————————————————————————————————————————————</w:t>
      </w:r>
    </w:p>
    <w:p>
      <w:pPr>
        <w:spacing w:before="160" w:after="40" w:line="240" w:lineRule="auto"/>
      </w:pPr>
      <w:r>
        <w:rPr>
          <w:b/>
        </w:rPr>
        <w:t xml:space="preserve">[175] </w:t>
      </w:r>
      <w:hyperlink r:id="rId271">
        <w:r>
          <w:rPr>
            <w:color w:val="1155CC"/>
            <w:u w:val="single"/>
          </w:rPr>
          <w:t>研究无形规模的适应</w:t>
        </w:r>
      </w:hyperlink>
    </w:p>
    <w:p>
      <w:pPr>
        <w:spacing w:before="0" w:after="80"/>
      </w:pPr>
      <w:r>
        <w:rPr>
          <w:i/>
          <w:sz w:val="20"/>
        </w:rPr>
        <w:t>EN: Studying adaptation at the invisible scale</w:t>
      </w:r>
    </w:p>
    <w:p>
      <w:pPr>
        <w:spacing w:before="0" w:after="120"/>
      </w:pPr>
      <w:r>
        <w:rPr>
          <w:b/>
        </w:rPr>
        <w:t xml:space="preserve">Source: </w:t>
      </w:r>
      <w:r>
        <w:t>Proceedings of the National Academy of Sciences: Keyword search for query</w:t>
      </w:r>
      <w:r>
        <w:t xml:space="preserve">    </w:t>
      </w:r>
      <w:r>
        <w:rPr>
          <w:b/>
        </w:rPr>
        <w:t xml:space="preserve">Pub date: </w:t>
      </w:r>
      <w:r>
        <w:t>2026-02-23 08:00:00+00:00</w:t>
      </w:r>
      <w:r>
        <w:t xml:space="preserve">    </w:t>
      </w:r>
      <w:r>
        <w:rPr>
          <w:b/>
        </w:rPr>
        <w:t xml:space="preserve">DOI: </w:t>
      </w:r>
      <w:hyperlink r:id="rId272">
        <w:r>
          <w:rPr>
            <w:color w:val="1155CC"/>
            <w:u w:val="single"/>
          </w:rPr>
          <w:t>10.1073/pnas.2522021123</w:t>
        </w:r>
      </w:hyperlink>
    </w:p>
    <w:p>
      <w:pPr>
        <w:spacing w:before="0" w:after="120"/>
      </w:pPr>
      <w:r>
        <w:rPr>
          <w:b/>
        </w:rPr>
        <w:t xml:space="preserve">Notes: </w:t>
      </w:r>
      <w:r>
        <w:t>abstract_source=crossref</w:t>
      </w:r>
    </w:p>
    <w:p>
      <w:pPr>
        <w:spacing w:before="0" w:after="80" w:lineRule="auto" w:line="276"/>
      </w:pPr>
      <w:r>
        <w:rPr>
          <w:b/>
        </w:rPr>
        <w:t xml:space="preserve">摘要（ZH）: </w:t>
      </w:r>
      <w:r>
        <w:t>为了了解自然选择的适应,有必要观察自然栖息地的生物体。因此,专门测试生物观测适应性解释的行为生态领域以对昆虫、哺乳动物、鱼类和鸟类等大型多细胞动物的研究为主。然而,绝大多数现代生命科学都关注细胞、基因和分子的研究,而这些细胞、基因和分子往往无法直接观察自然性质。这严重削弱了我们以适应性理解来补充对感兴趣特性的机械性理解的能力。这很重要,因为只有适应理论才能解释生物学为何以适应性理解的方式运作。</w:t>
      </w:r>
    </w:p>
    <w:p>
      <w:pPr>
        <w:spacing w:before="0" w:after="200" w:lineRule="auto" w:line="276"/>
      </w:pPr>
      <w:r>
        <w:rPr>
          <w:b/>
        </w:rPr>
        <w:t xml:space="preserve">Abstract (EN): </w:t>
      </w:r>
      <w:r>
        <w:t>In order to understand adaptation by natural selection, it is necessary to observe organisms in their natural habitat. For this reason, the field of behavioral ecology, which specializes in testing adaptive explanations for biological observations, is dominated by research on larger multicellular animals such as insects, mammals, fish, and birds. The vast majority of modern life sciences, however, is concerned with the study of cells, genes, and molecules, which are often impossible to observe directly in nature. This severely compromises our ability to complement mechanistic understand of traits of interest with adaptive understanding. This matters because only the theory of adaptation can provide an explanation for</w:t>
      </w:r>
      <w:r>
        <w:t xml:space="preserve"> </w:t>
      </w:r>
      <w:r>
        <w:t>why</w:t>
      </w:r>
      <w:r>
        <w:t xml:space="preserve"> </w:t>
      </w:r>
      <w:r>
        <w:t>biology operates in the way that it does, why it varies across individuals and species, a formal tool for making predictions about the future. The good news is that technological advances are creating new opportunities for understanding cellular and subcellular traits as the products of natural selection.</w:t>
      </w:r>
    </w:p>
    <w:p>
      <w:pPr>
        <w:spacing w:before="120" w:after="120"/>
      </w:pPr>
      <w:r>
        <w:rPr>
          <w:sz w:val="18"/>
        </w:rPr>
        <w:t>——————————————————————————————————————————————————————————————————————</w:t>
      </w:r>
    </w:p>
    <w:p>
      <w:pPr>
        <w:spacing w:before="160" w:after="40" w:line="240" w:lineRule="auto"/>
      </w:pPr>
      <w:r>
        <w:rPr>
          <w:b/>
        </w:rPr>
        <w:t xml:space="preserve">[176] </w:t>
      </w:r>
      <w:hyperlink r:id="rId273">
        <w:r>
          <w:rPr>
            <w:color w:val="1155CC"/>
            <w:u w:val="single"/>
          </w:rPr>
          <w:t>[ASAP] K4N6 高压力合成 K4N6 与全部氮原子形成芳香异丙氨[N6]4 - Anions</w:t>
        </w:r>
      </w:hyperlink>
    </w:p>
    <w:p>
      <w:pPr>
        <w:spacing w:before="0" w:after="80"/>
      </w:pPr>
      <w:r>
        <w:rPr>
          <w:i/>
          <w:sz w:val="20"/>
        </w:rPr>
        <w:t>EN: [ASAP] High-Pressure Synthesis of K4N6 with All Nitrogen Atoms Forming Aromatic Hexazine [N6]4– Anions</w:t>
      </w:r>
    </w:p>
    <w:p>
      <w:pPr>
        <w:spacing w:before="0" w:after="120"/>
      </w:pPr>
      <w:r>
        <w:rPr>
          <w:b/>
        </w:rPr>
        <w:t xml:space="preserve">Source: </w:t>
      </w:r>
      <w:r>
        <w:t>Journal of the American Chemical Society: Latest Articles (ACS Publications)</w:t>
      </w:r>
      <w:r>
        <w:t xml:space="preserve">    </w:t>
      </w:r>
      <w:r>
        <w:rPr>
          <w:b/>
        </w:rPr>
        <w:t xml:space="preserve">Pub date: </w:t>
      </w:r>
      <w:r>
        <w:t>2026-02-23 09:02:13+00:00</w:t>
      </w:r>
      <w:r>
        <w:t xml:space="preserve">    </w:t>
      </w:r>
      <w:r>
        <w:rPr>
          <w:b/>
        </w:rPr>
        <w:t xml:space="preserve">DOI: </w:t>
      </w:r>
      <w:hyperlink r:id="rId274">
        <w:r>
          <w:rPr>
            <w:color w:val="1155CC"/>
            <w:u w:val="single"/>
          </w:rPr>
          <w:t>10.1021/jacs.5c21993</w:t>
        </w:r>
      </w:hyperlink>
    </w:p>
    <w:p>
      <w:pPr>
        <w:spacing w:before="0" w:after="120"/>
      </w:pPr>
      <w:r>
        <w:rPr>
          <w:b/>
        </w:rPr>
        <w:t xml:space="preserve">Notes: </w:t>
      </w:r>
      <w:r>
        <w:t>abstract_source=pubmed</w:t>
      </w:r>
    </w:p>
    <w:p>
      <w:pPr>
        <w:spacing w:before="0" w:after="80" w:lineRule="auto" w:line="276"/>
      </w:pPr>
      <w:r>
        <w:rPr>
          <w:b/>
        </w:rPr>
        <w:t xml:space="preserve">摘要（ZH）: </w:t>
      </w:r>
      <w:r>
        <w:t>完全由高度稳定的芳烃六环N6环组成的实现化合物是一个长期的挑战。现有的高压合成化合物包含5.36%的N原子,形成芳烃[N6]4-环。我们预测,所有N原子都对K4N6中的芳烃[N6]4-环有贡献,该原子稳定在60GPa,并可在0GPa上刺入最多600KK。此外,K和KN3被建议为合成K4N6的前体。根据这一方法,在激光加热后,在45GPa合成了最大5.36%的氮原子,由同步器X射线分解和射线光光光光光谱仪识别。我们的结果使我们更接近于在环境条件下实现芳香N6环。</w:t>
      </w:r>
    </w:p>
    <w:p>
      <w:pPr>
        <w:spacing w:before="0" w:after="200" w:lineRule="auto" w:line="276"/>
      </w:pPr>
      <w:r>
        <w:rPr>
          <w:b/>
        </w:rPr>
        <w:t xml:space="preserve">Abstract (EN): </w:t>
      </w:r>
      <w:r>
        <w:t>Realizing compounds entirely composed of aromatic hexazine N6 rings with high stability is a long-term challenge. Existing high-pressure synthesized compounds contain a maximum of 5.36% N atoms, forming aromatic [N6]4- rings. We predict that all N atoms contribute to aromatic [N6]4- rings in K4N6, which become stable at 60 GPa and can stably exist up to 600 K at 0 GPa. Furthermore, K and KN3 are suggested as precursors for the synthesis of K4N6. Following this approach, based on the diamond anvil cell, K4N6 with 100% nitrogen atoms forming aromatic hexazine [N6]4- rings is synthesized at 45 GPa after laser heating and identified by synchrotron X-ray diffraction and Raman spectroscopy. Our results bring us closer to achieving aromatic N6 rings at ambient condition.</w:t>
      </w:r>
    </w:p>
    <w:p>
      <w:pPr>
        <w:spacing w:before="120" w:after="120"/>
      </w:pPr>
      <w:r>
        <w:rPr>
          <w:sz w:val="18"/>
        </w:rPr>
        <w:t>——————————————————————————————————————————————————————————————————————</w:t>
      </w:r>
    </w:p>
    <w:p>
      <w:pPr>
        <w:spacing w:before="160" w:after="40" w:line="240" w:lineRule="auto"/>
      </w:pPr>
      <w:r>
        <w:rPr>
          <w:b/>
        </w:rPr>
        <w:t xml:space="preserve">[177] </w:t>
      </w:r>
      <w:hyperlink r:id="rId275">
        <w:r>
          <w:rPr>
            <w:color w:val="1155CC"/>
            <w:u w:val="single"/>
          </w:rPr>
          <w:t>[ASAP] 水微粒中Phenotiazine和Amines聚在一起的电流双路双车道双车道点击 [ASAP]</w:t>
        </w:r>
      </w:hyperlink>
    </w:p>
    <w:p>
      <w:pPr>
        <w:spacing w:before="0" w:after="80"/>
      </w:pPr>
      <w:r>
        <w:rPr>
          <w:i/>
          <w:sz w:val="20"/>
        </w:rPr>
        <w:t>EN: [ASAP] Electric-Field-Driven Dual-Pathway Click Coupling of Phenothiazines and Amines in Aqueous Microdroplets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2026-02-23 09:12:21+00:00</w:t>
      </w:r>
      <w:r>
        <w:t xml:space="preserve">    </w:t>
      </w:r>
      <w:r>
        <w:rPr>
          <w:b/>
        </w:rPr>
        <w:t xml:space="preserve">DOI: </w:t>
      </w:r>
      <w:hyperlink r:id="rId276">
        <w:r>
          <w:rPr>
            <w:color w:val="1155CC"/>
            <w:u w:val="single"/>
          </w:rPr>
          <w:t>10.1021/jacs.5c17939</w:t>
        </w:r>
      </w:hyperlink>
    </w:p>
    <w:p>
      <w:pPr>
        <w:spacing w:before="0" w:after="120"/>
      </w:pPr>
      <w:r>
        <w:rPr>
          <w:b/>
        </w:rPr>
        <w:t xml:space="preserve">Notes: </w:t>
      </w:r>
      <w:r>
        <w:t>abstract_source=pubmed</w:t>
      </w:r>
    </w:p>
    <w:p>
      <w:pPr>
        <w:spacing w:before="0" w:after="80" w:lineRule="auto" w:line="276"/>
      </w:pPr>
      <w:r>
        <w:rPr>
          <w:b/>
        </w:rPr>
        <w:t xml:space="preserve">摘要（ZH）: </w:t>
      </w:r>
      <w:r>
        <w:t>“ 点击化学” 提供了分子构造的有效战略, 然而 S- N 债券形成通常需要强氧化剂, 导致侧面反应, 与芳香系统不兼容性差。 这里, 我们报告在室温时, 室温时, 和氨在水状微滴中发生无氧化性点击反应。 这种反应是由中间电场驱动的, 并且通过两种不同途径通过受地雷氧化潜力制约的两种不同途径进行: 具有高度氧化潜力的氨通过苯并硫配方中间体反应, 而氧化潜力较低的那些通过氮- 以基体和苯并硫氨基体发生联动。 同位素标签( H218O) 和中间跟踪实验有助于个人的参与。</w:t>
      </w:r>
    </w:p>
    <w:p>
      <w:pPr>
        <w:spacing w:before="0" w:after="200" w:lineRule="auto" w:line="276"/>
      </w:pPr>
      <w:r>
        <w:rPr>
          <w:b/>
        </w:rPr>
        <w:t xml:space="preserve">Abstract (EN): </w:t>
      </w:r>
      <w:r>
        <w:t>"Click chemistry" offers an efficient strategy for molecular construction, yet S-N bond formation typically requires strong oxidants, leading to side reactions and poor compatibility with aromatic systems. Here, we report an oxidant-free click reaction between phenothiazines and amines within aqueous microdroplets at room temperature. This reaction is driven by the interfacial electric field and proceeds via two distinct pathways governed by the amine oxidation potential: amines with high oxidation potentials react via the phenothiazine dication intermediate, whereas those with lower oxidation potentials undergo coupling via nitrogen-centered radicals and phenothiazine radical cations. Isotopic labeling (H218O) together with intermediate-trapping experiments supports the involvement of phenothiazine dications and nitrogen-centered radical intermediates. Cyclic voltammetry measurements further reveal that the distinct pathways are fundamentally governed by the intrinsic redox properties of the organic substrates. This strategy expands the scope of microdroplet-based click transformations, overcoming previous limitations in aromatic amine reactivity and showcasing the utility of microdroplet environments for oxidative transformations.</w:t>
      </w:r>
    </w:p>
    <w:p>
      <w:pPr>
        <w:spacing w:before="120" w:after="120"/>
      </w:pPr>
      <w:r>
        <w:rPr>
          <w:sz w:val="18"/>
        </w:rPr>
        <w:t>——————————————————————————————————————————————————————————————————————</w:t>
      </w:r>
    </w:p>
    <w:p>
      <w:pPr>
        <w:spacing w:before="160" w:after="40" w:line="240" w:lineRule="auto"/>
      </w:pPr>
      <w:r>
        <w:rPr>
          <w:b/>
        </w:rPr>
        <w:t xml:space="preserve">[178] </w:t>
      </w:r>
      <w:hyperlink r:id="rId277">
        <w:r>
          <w:rPr>
            <w:color w:val="1155CC"/>
            <w:u w:val="single"/>
          </w:rPr>
          <w:t>[ASAP]高压锂电池快速充电的电解设计原则</w:t>
        </w:r>
      </w:hyperlink>
    </w:p>
    <w:p>
      <w:pPr>
        <w:spacing w:before="0" w:after="80"/>
      </w:pPr>
      <w:r>
        <w:rPr>
          <w:i/>
          <w:sz w:val="20"/>
        </w:rPr>
        <w:t>EN: [ASAP] Electrolyte Design Principles for Fast Charging in High-Voltage Lithium Batteries</w:t>
      </w:r>
    </w:p>
    <w:p>
      <w:pPr>
        <w:spacing w:before="0" w:after="120"/>
      </w:pPr>
      <w:r>
        <w:rPr>
          <w:b/>
        </w:rPr>
        <w:t xml:space="preserve">Source: </w:t>
      </w:r>
      <w:r>
        <w:t>ACS Energy Letters: Latest Articles (ACS Publications)</w:t>
      </w:r>
      <w:r>
        <w:t xml:space="preserve">    </w:t>
      </w:r>
      <w:r>
        <w:rPr>
          <w:b/>
        </w:rPr>
        <w:t xml:space="preserve">Pub date: </w:t>
      </w:r>
      <w:r>
        <w:t>2026-02-23 09:14:58+00:00</w:t>
      </w:r>
      <w:r>
        <w:t xml:space="preserve">    </w:t>
      </w:r>
      <w:r>
        <w:rPr>
          <w:b/>
        </w:rPr>
        <w:t xml:space="preserve">DOI: </w:t>
      </w:r>
      <w:hyperlink r:id="rId278">
        <w:r>
          <w:rPr>
            <w:color w:val="1155CC"/>
            <w:u w:val="single"/>
          </w:rPr>
          <w:t>10.1021/acsenergylett.5c04182</w:t>
        </w:r>
      </w:hyperlink>
    </w:p>
    <w:p>
      <w:pPr>
        <w:spacing w:before="0" w:after="120"/>
      </w:pPr>
      <w:r>
        <w:rPr>
          <w:b/>
        </w:rPr>
        <w:t xml:space="preserve">Notes: </w:t>
      </w:r>
      <w:r>
        <w:t>abstract_source=openalex; must_have_abstract=True</w:t>
      </w:r>
    </w:p>
    <w:p>
      <w:pPr>
        <w:spacing w:before="0" w:after="80" w:lineRule="auto" w:line="276"/>
      </w:pPr>
      <w:r>
        <w:rPr>
          <w:b/>
        </w:rPr>
        <w:t xml:space="preserve">摘要（ZH）: </w:t>
      </w:r>
      <w:r>
        <w:t>电压电池作为具有电压和容量的能源输出尺度,具有特别的吸引力。然而,高电压电压的快速电压受低力李+输送和相互作用降解的制约。有理电解技术设计是克服这些限制的关键战略。在本审查中,我们审查了这些限制的关键机械性根源,并总结了高压、快速热能锂电池的电解驱动解决方案。我们总结了五个战略的最新进展,包括氟化电解解层、超浓缩和局部高浓度电解层、具有竞争力的电解解层。</w:t>
      </w:r>
    </w:p>
    <w:p>
      <w:pPr>
        <w:spacing w:before="0" w:after="200" w:lineRule="auto" w:line="276"/>
      </w:pPr>
      <w:r>
        <w:rPr>
          <w:b/>
        </w:rPr>
        <w:t xml:space="preserve">Abstract (EN): </w:t>
      </w:r>
      <w:r>
        <w:t>Enhancing charging rates is pivotal for electrified technologies, motivating the development of “charge-and-go” energy storage systems. High-voltage batteries are particularly attractive as the energy output scales with both voltage and capacity. However, fast-charging at high voltages is fundamentally constrained by sluggish Li+ transport and interfacial degradation. Rational electrolyte design is therfore a critical strategy to overcome these limitations. In this Review, we examine the key mechanistic origins of these limitations and summarize electrolyte-driven solutions for high-voltage, fast-charging lithium batteries. We summarize recent advances across five strategies, including fluorinated electrolytes, superconcentrated and localized high-concentration electrolytes, competitive and cooperative coordination, electron-donor molecular design, and asymmetric molecular architectures. We further elucidate the correlation between operating voltage and ionic conductivity in emerging high-voltage fast-charging electrolytes and highlight cathode–electrolyte redox dynamics and structure–property relationships. These insights establish design principles to guide next-generation lithium batteries and broaden the landscape of electrochemical energy storage systems.</w:t>
      </w:r>
    </w:p>
    <w:p>
      <w:pPr>
        <w:spacing w:before="120" w:after="120"/>
      </w:pPr>
      <w:r>
        <w:rPr>
          <w:sz w:val="18"/>
        </w:rPr>
        <w:t>——————————————————————————————————————————————————————————————————————</w:t>
      </w:r>
    </w:p>
    <w:p>
      <w:pPr>
        <w:spacing w:before="160" w:after="40" w:line="240" w:lineRule="auto"/>
      </w:pPr>
      <w:r>
        <w:rPr>
          <w:b/>
        </w:rPr>
        <w:t xml:space="preserve">[179] </w:t>
      </w:r>
      <w:hyperlink r:id="rId279">
        <w:r>
          <w:rPr>
            <w:color w:val="1155CC"/>
            <w:u w:val="single"/>
          </w:rPr>
          <w:t>[ASAP] 多功能等离子性可溶性共价有机框架:用于稳定锂阳极界面的多功能等离子质介质</w:t>
        </w:r>
      </w:hyperlink>
    </w:p>
    <w:p>
      <w:pPr>
        <w:spacing w:before="0" w:after="80"/>
      </w:pPr>
      <w:r>
        <w:rPr>
          <w:i/>
          <w:sz w:val="20"/>
        </w:rPr>
        <w:t>EN: [ASAP] Multifunctional Asymmetric Soluble Covalent Organic Frameworks: A Versatile Medium for Stabilizing Lithium Anode Interfaces</w:t>
      </w:r>
    </w:p>
    <w:p>
      <w:pPr>
        <w:spacing w:before="0" w:after="120"/>
      </w:pPr>
      <w:r>
        <w:rPr>
          <w:b/>
        </w:rPr>
        <w:t xml:space="preserve">Source: </w:t>
      </w:r>
      <w:r>
        <w:t>Journal of the American Chemical Society: Latest Articles (ACS Publications)</w:t>
      </w:r>
      <w:r>
        <w:t xml:space="preserve">    </w:t>
      </w:r>
      <w:r>
        <w:rPr>
          <w:b/>
        </w:rPr>
        <w:t xml:space="preserve">Pub date: </w:t>
      </w:r>
      <w:r>
        <w:t>2026-02-23 09:38:44+00:00</w:t>
      </w:r>
      <w:r>
        <w:t xml:space="preserve">    </w:t>
      </w:r>
      <w:r>
        <w:rPr>
          <w:b/>
        </w:rPr>
        <w:t xml:space="preserve">DOI: </w:t>
      </w:r>
      <w:hyperlink r:id="rId280">
        <w:r>
          <w:rPr>
            <w:color w:val="1155CC"/>
            <w:u w:val="single"/>
          </w:rPr>
          <w:t>10.1021/jacs.5c19821</w:t>
        </w:r>
      </w:hyperlink>
    </w:p>
    <w:p>
      <w:pPr>
        <w:spacing w:before="0" w:after="120"/>
      </w:pPr>
      <w:r>
        <w:rPr>
          <w:b/>
        </w:rPr>
        <w:t xml:space="preserve">Notes: </w:t>
      </w:r>
      <w:r>
        <w:t>abstract_source=pubmed</w:t>
      </w:r>
    </w:p>
    <w:p>
      <w:pPr>
        <w:spacing w:before="0" w:after="80" w:lineRule="auto" w:line="276"/>
      </w:pPr>
      <w:r>
        <w:rPr>
          <w:b/>
        </w:rPr>
        <w:t xml:space="preserve">摘要（ZH）: </w:t>
      </w:r>
      <w:r>
        <w:t>为解决不可控制的锂脱丁酸生长和锂阳极中不稳定固态电解相(SEI)的问题,我们设计了一种非对称和多功能COF材料(CityU-55),由强烈溶解聚醚和高电阴性氟烷基侧组组成,该材料被用作人为的中间层,在阳极中制造快速锂离离导和富氟的中间层,从而减轻内部问题。值得注意的是,采用侧链提高了COF材料的溶解性,大大提高了其可处理性。这种对称COF材料使不同的相互调节得以实现。CityU-55@Li anode展示了对锂沉积的可逆性,并大大减少了对流体的数量。</w:t>
      </w:r>
    </w:p>
    <w:p>
      <w:pPr>
        <w:spacing w:before="0" w:after="200" w:lineRule="auto" w:line="276"/>
      </w:pPr>
      <w:r>
        <w:rPr>
          <w:b/>
        </w:rPr>
        <w:t xml:space="preserve">Abstract (EN): </w:t>
      </w:r>
      <w:r>
        <w:t>To address the issues of uncontrollable lithium dendrite growth and an unstable solid electrolyte interphase (SEI) in lithium anodes, we designed an asymmetric and multifunctional COF material (CityU-55) composed of strongly solvating polyether and highly electronegative fluoroalkyl side groups. This material was employed as an artificial interphase layer to create a fast lithium-ion-conducting and fluorine-rich interphase on the anode, thereby mitigating interfacial problems. Notably, the introduction of side chains enhanced the solubility of the COF material, significantly improving its processability. This asymmetric COF enables distinct interfacial regulation. The CityU-55@Li anode exhibited improved reversibility of lithium deposition and substantially reduced the number of interfacial side reactions. Leveraging these synergistic properties, the lithium anode with this multifunctional artificial interphase layer showed a low nucleation barrier of 28 mV and excellent cycling stability of 4500 h at 1 mA cm-2 and 1 mAh cm-2. Additionally, compared with bare lithium anodes, full cells paired with LiFePO4 and LiNi0.8Co0.1Mn0.1O2 cathodes demonstrated remarkably better cycling stability, capacity retention, and capacity utilization at high rates. Our research indicates that asymmetric multifunctional side-chain engineering in COFs significantly expands structural diversity and provides a promising strategy for the development of high-performance lithium metal batteries.</w:t>
      </w:r>
    </w:p>
    <w:p>
      <w:pPr>
        <w:spacing w:before="120" w:after="120"/>
      </w:pPr>
      <w:r>
        <w:rPr>
          <w:sz w:val="18"/>
        </w:rPr>
        <w:t>——————————————————————————————————————————————————————————————————————</w:t>
      </w:r>
    </w:p>
    <w:p>
      <w:pPr>
        <w:spacing w:before="160" w:after="40" w:line="240" w:lineRule="auto"/>
      </w:pPr>
      <w:r>
        <w:rPr>
          <w:b/>
        </w:rPr>
        <w:t xml:space="preserve">[180] </w:t>
      </w:r>
      <w:hyperlink r:id="rId281">
        <w:r>
          <w:rPr>
            <w:color w:val="1155CC"/>
            <w:u w:val="single"/>
          </w:rPr>
          <w:t>在以聚氯乙烯c为基础的半人造光合酶中,在1英寸深氧化1°C时,在半人造光电聚苯乙烯中制止诺诺</w:t>
        </w:r>
      </w:hyperlink>
    </w:p>
    <w:p>
      <w:pPr>
        <w:spacing w:before="0" w:after="80"/>
      </w:pPr>
      <w:r>
        <w:rPr>
          <w:i/>
          <w:sz w:val="20"/>
        </w:rPr>
        <w:t>EN: Suppression of NO2 Generation During One‐Step Deep Oxidation of NO at a Semi‐Artificial Photoenzyme Based on Cytochrome c</w:t>
      </w:r>
    </w:p>
    <w:p>
      <w:pPr>
        <w:spacing w:before="0" w:after="120"/>
      </w:pPr>
      <w:r>
        <w:rPr>
          <w:b/>
        </w:rPr>
        <w:t xml:space="preserve">Source: </w:t>
      </w:r>
      <w:r>
        <w:t>Wiley: Angewandte Chemie International Edition: Table of Contents</w:t>
      </w:r>
      <w:r>
        <w:t xml:space="preserve">    </w:t>
      </w:r>
      <w:r>
        <w:rPr>
          <w:b/>
        </w:rPr>
        <w:t xml:space="preserve">Pub date: </w:t>
      </w:r>
      <w:r>
        <w:t>2026-02-23 10:32:51+00:00</w:t>
      </w:r>
      <w:r>
        <w:t xml:space="preserve">    </w:t>
      </w:r>
      <w:r>
        <w:rPr>
          <w:b/>
        </w:rPr>
        <w:t xml:space="preserve">DOI: </w:t>
      </w:r>
      <w:hyperlink r:id="rId282">
        <w:r>
          <w:rPr>
            <w:color w:val="1155CC"/>
            <w:u w:val="single"/>
          </w:rPr>
          <w:t>10.1002/anie.3296119</w:t>
        </w:r>
      </w:hyperlink>
    </w:p>
    <w:p>
      <w:pPr>
        <w:spacing w:before="0" w:after="120"/>
      </w:pPr>
      <w:r>
        <w:rPr>
          <w:b/>
        </w:rPr>
        <w:t xml:space="preserve">Notes: </w:t>
      </w:r>
      <w:r>
        <w:t>abstract_source=pubmed</w:t>
      </w:r>
    </w:p>
    <w:p>
      <w:pPr>
        <w:spacing w:before="0" w:after="80" w:lineRule="auto" w:line="276"/>
      </w:pPr>
      <w:r>
        <w:rPr>
          <w:b/>
        </w:rPr>
        <w:t xml:space="preserve">摘要（ZH）: </w:t>
      </w:r>
      <w:r>
        <w:t>由太阳能驱动的催化在分子氧活化和低浓度的NOx消除方面很有希望,但实现了将NO转化为无毒性硝酸盐(NO3 - - )的高度选择性转换,同时抑制有毒的NO2形成仍具有挑战性。在这里,我们报告在碳硝酸盐(CN)上用半人工光共聚物催化酶催化剂(Ccyt c)制造的碳硝酸并阻动反应性物种生成以进行深氧化。混合光酶催化剂在细胞c和氯化萘之间建立了局部内部电场,促进异子分解,并在细胞c上创建极化活性点,以优先吸附O2为主,并通过电传导路径将O2激活到活性过氧化物(O2-和*O2-2-2-),抑制1O2的形成。</w:t>
      </w:r>
    </w:p>
    <w:p>
      <w:pPr>
        <w:spacing w:before="0" w:after="200" w:lineRule="auto" w:line="276"/>
      </w:pPr>
      <w:r>
        <w:rPr>
          <w:b/>
        </w:rPr>
        <w:t xml:space="preserve">Abstract (EN): </w:t>
      </w:r>
      <w:r>
        <w:t>Solar-driven catalysis holds promise in molecular oxygen activation and low-concentration NOx elimination but achieving highly selective conversion of NO to nontoxic nitrate (NO3 -), while suppressing toxic NO2 formation remains challenging. Here, we report a semi-artificial photoenzyme catalyst constructed by immobilizing mono-heme cytochrome c (cyt c) on carbon nitride (CN) to refine reactive species generation for deep NO oxidation. The hybrid photoenzyme catalyst establishes localized internal electric fields (IEF) between cyt c and CN that promote exciton dissociation, and creates polarized active sites on cyt c that preferentially adsorb O2, and activate O2 to active peroxides (•O2 - and *O2 2-) via an electron transfer pathway with inhibiting 1O2 formation. The one-step NO oxidation to NO3 - is boosted over cyt c/CN, showing exceptional 97.4% NO conversion with ultralow NO2 selectivity (1.5%, 6.5 ppb) and long-term stability (98.1% after 300 min) at a weight hourly space velocity (WHSV) of 850 L g-1·h-1 across wide humidity ranges. The undesirable NO2 generation is significantly lower than that of bare CN (17.0%, 104.7 ppb) and reported catalysts. The catalyst exhibits high activity in direct NO2 removal (92.9%) and rapidly reduces NO levels to below the safe concentration (52 ppb) in a simulated environment chamber.</w:t>
      </w:r>
    </w:p>
    <w:p>
      <w:pPr>
        <w:spacing w:before="120" w:after="120"/>
      </w:pPr>
      <w:r>
        <w:rPr>
          <w:sz w:val="18"/>
        </w:rPr>
        <w:t>——————————————————————————————————————————————————————————————————————</w:t>
      </w:r>
    </w:p>
    <w:p>
      <w:pPr>
        <w:spacing w:before="160" w:after="40" w:line="240" w:lineRule="auto"/>
      </w:pPr>
      <w:r>
        <w:rPr>
          <w:b/>
        </w:rPr>
        <w:t xml:space="preserve">[181] </w:t>
      </w:r>
      <w:hyperlink r:id="rId283">
        <w:r>
          <w:rPr>
            <w:color w:val="1155CC"/>
            <w:u w:val="single"/>
          </w:rPr>
          <w:t>说明C4 丙基类小组对伽勒苯基捐助者的陈规定型观念效应</w:t>
        </w:r>
      </w:hyperlink>
    </w:p>
    <w:p>
      <w:pPr>
        <w:spacing w:before="0" w:after="80"/>
      </w:pPr>
      <w:r>
        <w:rPr>
          <w:i/>
          <w:sz w:val="20"/>
        </w:rPr>
        <w:t>EN: Elucidating the Stereodirecting Effect of C‐4 Acyl Groups on Galactosyl Donors</w:t>
      </w:r>
    </w:p>
    <w:p>
      <w:pPr>
        <w:spacing w:before="0" w:after="120"/>
      </w:pPr>
      <w:r>
        <w:rPr>
          <w:b/>
        </w:rPr>
        <w:t xml:space="preserve">Source: </w:t>
      </w:r>
      <w:r>
        <w:t>Wiley: Angewandte Chemie International Edition: Table of Contents</w:t>
      </w:r>
      <w:r>
        <w:t xml:space="preserve">    </w:t>
      </w:r>
      <w:r>
        <w:rPr>
          <w:b/>
        </w:rPr>
        <w:t xml:space="preserve">Pub date: </w:t>
      </w:r>
      <w:r>
        <w:t>2026-02-23 10:37:00+00:00</w:t>
      </w:r>
      <w:r>
        <w:t xml:space="preserve">    </w:t>
      </w:r>
      <w:r>
        <w:rPr>
          <w:b/>
        </w:rPr>
        <w:t xml:space="preserve">DOI: </w:t>
      </w:r>
      <w:hyperlink r:id="rId284">
        <w:r>
          <w:rPr>
            <w:color w:val="1155CC"/>
            <w:u w:val="single"/>
          </w:rPr>
          <w:t>10.1002/anie.202521698</w:t>
        </w:r>
      </w:hyperlink>
    </w:p>
    <w:p>
      <w:pPr>
        <w:spacing w:before="0" w:after="120"/>
      </w:pPr>
      <w:r>
        <w:rPr>
          <w:b/>
        </w:rPr>
        <w:t xml:space="preserve">Notes: </w:t>
      </w:r>
      <w:r>
        <w:t>abstract_source=pubmed</w:t>
      </w:r>
    </w:p>
    <w:p>
      <w:pPr>
        <w:spacing w:before="0" w:after="80" w:lineRule="auto" w:line="276"/>
      </w:pPr>
      <w:r>
        <w:rPr>
          <w:b/>
        </w:rPr>
        <w:t xml:space="preserve">摘要（ZH）: </w:t>
      </w:r>
      <w:r>
        <w:t>在碳水化合物化学中,对1,2-cis 甘立立比债券进行立体选择性合成是一项重大挑战。 通过使用C-4 丙基保护组作为立体指令组,1,2-氯丙二烯二烯二酰胺可以获得1,2-氯丙烯二烯二烯二烯二酰二酰二酰二氧二苯并呋喃,然而,指导有选择性的阴极阳性变异的基本机制仍然难以找到。在这里,我们调查了C-4 丙基环十二烷基团在使用相合反应、交换NMR光谱和DFT计算法的电离子体中的立基电联效应。我们没有发现通过C-4 丙基环十二烷相邻组参与C-4 的C-4 亚丙烯二氮离子聚苯三体的实验性证据。相反,我们通过交换NMRW检测到β-grycsyl的三体积,这种交换NMRMR能够通过类似脱硫的迁移来购买α-甘化物。对产品成型转型状态的地理图进行的比较研究表明C-4-4-4-C-4-C-4-C</w:t>
      </w:r>
    </w:p>
    <w:p>
      <w:pPr>
        <w:spacing w:before="0" w:after="200" w:lineRule="auto" w:line="276"/>
      </w:pPr>
      <w:r>
        <w:rPr>
          <w:b/>
        </w:rPr>
        <w:t xml:space="preserve">Abstract (EN): </w:t>
      </w:r>
      <w:r>
        <w:t>The stereoselective synthesis of 1,2-cis glycosidic bonds is a significant challenge in carbohydrate chemistry. 1,2-Cis galactosides can be obtained by using C-4 acyl protection groups as a stereodirecting group, yet the underlying mechanism that steers selective galactosylation has remained elusive. Herein, we investigate the stereodirecting effect of C-4 acyl groups in galactosides using glycosylation reactions, exchange NMR spectroscopy and DFT-calculations. We found no experimental evidence for C-4 dioxepanium ion formation through C-4 acyl neighboring group participation. Instead, β-glycosyl triflates were detected using exchange NMR which could afford α-galactosides via SN2-like displacement. Computational studies of the product-forming transition state geometries reveal that the C-4 benzoate group shields the β-face of the galactosyl donor, thereby disfavoring reactions that proceed via the α-glycosyl triflate pathway. These findings can explain the stereodirecting effect of C-4 acyl groups on galactosyl donors, and provides fundamental insights for the development of stereoselective glycosylation methods in the future.</w:t>
      </w:r>
    </w:p>
    <w:p>
      <w:pPr>
        <w:spacing w:before="120" w:after="120"/>
      </w:pPr>
      <w:r>
        <w:rPr>
          <w:sz w:val="18"/>
        </w:rPr>
        <w:t>——————————————————————————————————————————————————————————————————————</w:t>
      </w:r>
    </w:p>
    <w:p>
      <w:pPr>
        <w:spacing w:before="160" w:after="40" w:line="240" w:lineRule="auto"/>
      </w:pPr>
      <w:r>
        <w:rPr>
          <w:b/>
        </w:rPr>
        <w:t xml:space="preserve">[182] </w:t>
      </w:r>
      <w:hyperlink r:id="rId285">
        <w:r>
          <w:rPr>
            <w:color w:val="1155CC"/>
            <w:u w:val="single"/>
          </w:rPr>
          <w:t>诺玛迪克分子键盘驱动器 即时共价重建 使超高冲击力增强 阻吓聚合器械</w:t>
        </w:r>
      </w:hyperlink>
    </w:p>
    <w:p>
      <w:pPr>
        <w:spacing w:before="0" w:after="80"/>
      </w:pPr>
      <w:r>
        <w:rPr>
          <w:i/>
          <w:sz w:val="20"/>
        </w:rPr>
        <w:t>EN: Nomadic Molecular Key‐Driven Instantaneous Covalent Reconstruction Enables Ultrahigh Impact‐Stiffening Polymeric Armor</w:t>
      </w:r>
    </w:p>
    <w:p>
      <w:pPr>
        <w:spacing w:before="0" w:after="120"/>
      </w:pPr>
      <w:r>
        <w:rPr>
          <w:b/>
        </w:rPr>
        <w:t xml:space="preserve">Source: </w:t>
      </w:r>
      <w:r>
        <w:t>Wiley: Advanced Materials: Table of Contents</w:t>
      </w:r>
      <w:r>
        <w:t xml:space="preserve">    </w:t>
      </w:r>
      <w:r>
        <w:rPr>
          <w:b/>
        </w:rPr>
        <w:t xml:space="preserve">Pub date: </w:t>
      </w:r>
      <w:r>
        <w:t>2026-02-23 11:10:43+00:00</w:t>
      </w:r>
      <w:r>
        <w:t xml:space="preserve">    </w:t>
      </w:r>
      <w:r>
        <w:rPr>
          <w:b/>
        </w:rPr>
        <w:t xml:space="preserve">DOI: </w:t>
      </w:r>
      <w:hyperlink r:id="rId286">
        <w:r>
          <w:rPr>
            <w:color w:val="1155CC"/>
            <w:u w:val="single"/>
          </w:rPr>
          <w:t>10.1002/adma.202523607</w:t>
        </w:r>
      </w:hyperlink>
    </w:p>
    <w:p>
      <w:pPr>
        <w:spacing w:before="0" w:after="120"/>
      </w:pPr>
      <w:r>
        <w:rPr>
          <w:b/>
        </w:rPr>
        <w:t xml:space="preserve">Notes: </w:t>
      </w:r>
      <w:r>
        <w:t>abstract_source=pubmed</w:t>
      </w:r>
    </w:p>
    <w:p>
      <w:pPr>
        <w:spacing w:before="0" w:after="80" w:lineRule="auto" w:line="276"/>
      </w:pPr>
      <w:r>
        <w:rPr>
          <w:b/>
        </w:rPr>
        <w:t xml:space="preserve">摘要（ZH）: </w:t>
      </w:r>
      <w:r>
        <w:t>影响强化材料在保障人的安全和装置完整性方面有着巨大的希望,作为智能盔甲,可以减轻瞬时影响和损害,但高活性电压/电压/速率、僵硬歇斯底里以及当前材料的低耗能效率对匹配极端事件构成重大挑战。 我们在此报告一种游牧分子分子关键关键驱动的超高影响强化战略,它利用紧张力敏感和共价活性分子在聚合物中引发共价重建以及纳米元聚变。 我们的设计采用多(苯-硫酸)(PSTx)和几种硫酸(TTA)作为关键强化键,其中硫化物/氢元素联结构成能源分散的多网络,而苯则作为前体。</w:t>
      </w:r>
    </w:p>
    <w:p>
      <w:pPr>
        <w:spacing w:before="0" w:after="200" w:lineRule="auto" w:line="276"/>
      </w:pPr>
      <w:r>
        <w:rPr>
          <w:b/>
        </w:rPr>
        <w:t xml:space="preserve">Abstract (EN): </w:t>
      </w:r>
      <w:r>
        <w:t>Impact-stiffening materials hold great promise in safeguarding human safety and apparatus integrity, serving as intelligent armor to mitigate transient impact and damage. However, high activation strain/rate, stiffening hysteresis, and inefficient energy dissipation of current materials pose significant challenges for matching extreme events. Herein, we report a nomadic molecular key-driven ultrahigh impact-stiffening strategy that leverages strain-rate-sensitive and covalent-active molecules to trigger covalent reconstruction and nanodomain agglomeration within polymers. Our design employs poly(styrene-thioctic acid) (PSTx) with a few thioctic acids (TA) as a critical stiffening key, in which disulfide/hydrogen bonds form energy-dissipating multi-networks, while phenyls act as precursors for physical crosslinking. Distinct from conventional mechanisms, force-activated TA functions as a molecular key that rapidly induces covalent crosslinking and phenyl nanodomain resembling, effectively "locking" networks and blunting cracks to achieve efficient impact-resistance. PSTx exhibits ultralow relaxation time (15.8 ms), exceptional stiffening response (2925 times), and stretchability over 4000%. Even at low strains/rates of 2000 s-1, it achieves high modulus (5.8 GPa), record strength (84.3 MPa), and excellent energy dissipation (12.4 MJ/m3), yielding 97% impact-force reduction. PSTx is processable into various wearable composites with outstanding impact force attenuation (+957%) and puncture resistance (+360%). This work resolves challenges of activation thresholds and stiffening hysteresis in impact-stiffening materials, providing a molecular key-switchable paradigm for intelligent systems.</w:t>
      </w:r>
    </w:p>
    <w:p>
      <w:pPr>
        <w:spacing w:before="120" w:after="120"/>
      </w:pPr>
      <w:r>
        <w:rPr>
          <w:sz w:val="18"/>
        </w:rPr>
        <w:t>——————————————————————————————————————————————————————————————————————</w:t>
      </w:r>
    </w:p>
    <w:p>
      <w:pPr>
        <w:spacing w:before="160" w:after="40" w:line="240" w:lineRule="auto"/>
      </w:pPr>
      <w:r>
        <w:rPr>
          <w:b/>
        </w:rPr>
        <w:t xml:space="preserve">[183] </w:t>
      </w:r>
      <w:hyperlink r:id="rId287">
        <w:r>
          <w:rPr>
            <w:color w:val="1155CC"/>
            <w:u w:val="single"/>
          </w:rPr>
          <w:t>致癌细胞中粒虫病的细胞内透析</w:t>
        </w:r>
      </w:hyperlink>
    </w:p>
    <w:p>
      <w:pPr>
        <w:spacing w:before="0" w:after="80"/>
      </w:pPr>
      <w:r>
        <w:rPr>
          <w:i/>
          <w:sz w:val="20"/>
        </w:rPr>
        <w:t>EN: Singlet Exciton Drives Intracellular Photoredox Catalysis for Pyroptosis in Cancer Cells</w:t>
      </w:r>
    </w:p>
    <w:p>
      <w:pPr>
        <w:spacing w:before="0" w:after="120"/>
      </w:pPr>
      <w:r>
        <w:rPr>
          <w:b/>
        </w:rPr>
        <w:t xml:space="preserve">Source: </w:t>
      </w:r>
      <w:r>
        <w:t>Wiley: Angewandte Chemie International Edition: Table of Contents</w:t>
      </w:r>
      <w:r>
        <w:t xml:space="preserve">    </w:t>
      </w:r>
      <w:r>
        <w:rPr>
          <w:b/>
        </w:rPr>
        <w:t xml:space="preserve">Pub date: </w:t>
      </w:r>
      <w:r>
        <w:t>2026-02-23 11:11:40+00:00</w:t>
      </w:r>
      <w:r>
        <w:t xml:space="preserve">    </w:t>
      </w:r>
      <w:r>
        <w:rPr>
          <w:b/>
        </w:rPr>
        <w:t xml:space="preserve">DOI: </w:t>
      </w:r>
      <w:hyperlink r:id="rId288">
        <w:r>
          <w:rPr>
            <w:color w:val="1155CC"/>
            <w:u w:val="single"/>
          </w:rPr>
          <w:t>10.1002/anie.202525323</w:t>
        </w:r>
      </w:hyperlink>
    </w:p>
    <w:p>
      <w:pPr>
        <w:spacing w:before="0" w:after="120"/>
      </w:pPr>
      <w:r>
        <w:rPr>
          <w:b/>
        </w:rPr>
        <w:t xml:space="preserve">Notes: </w:t>
      </w:r>
      <w:r>
        <w:t>abstract_source=pubmed</w:t>
      </w:r>
    </w:p>
    <w:p>
      <w:pPr>
        <w:spacing w:before="0" w:after="80" w:lineRule="auto" w:line="276"/>
      </w:pPr>
      <w:r>
        <w:rPr>
          <w:b/>
        </w:rPr>
        <w:t xml:space="preserve">摘要（ZH）: </w:t>
      </w:r>
      <w:r>
        <w:t>由于传统光感应器依赖依赖氧的机制,明显降低其在缺氧肿瘤区域的效力,目前改进的战略经常受到催化效率降低或复杂的合成过程的阻碍,这突出表明迫切需要创新分子设计,在本研究中,我们首次引入了自适应功能,即Mitochondria目标光敏化器TPP-Cy,采用新颖的单体外激素驱动电子运输链(ETC)断裂机制(称为Type-ETC),以实现缺氧依赖PDT。</w:t>
      </w:r>
    </w:p>
    <w:p>
      <w:pPr>
        <w:spacing w:before="0" w:after="200" w:lineRule="auto" w:line="276"/>
      </w:pPr>
      <w:r>
        <w:rPr>
          <w:b/>
        </w:rPr>
        <w:t xml:space="preserve">Abstract (EN): </w:t>
      </w:r>
      <w:r>
        <w:t>Hypoxia continues to pose a significant challenge in photodynamic therapy (PDT) due to the reliance of conventional photosensitizers on oxygen-dependent mechanisms, which markedly diminishes their efficacy in hypoxic tumor regions. Current improving strategies are often hindered by reduced catalytic efficiency or intricate synthetic processes, highlighting the pressing need for innovative molecular designs. In this study, for the first time, we introduce a self-adapting function, mitochondria-targeted photosensitizer TPP-Cy that employs a novel singlet exciton-driven electron transport chain (ETC) breakdown mechanism (named Type-sETC) to achieve oxygen-independent PDT. Specifically speaking, TPP-Cy proficiently generates free radical species under normoxia conditions, while directly photocatalyzing critical mitochondrial biomolecules such as NADH and Cyt c in hypoxic, better than most previously reported metal catalysts. Additionally, even under hypoxia conditions, TPP-Cy's photoredox catalysis significantly disrupts ETC, leading to a severe energetic crisis that compromises cellular viability. Importantly, this photon-driven cell death occurs through immunogenic pyroptosis, thus possessing the potential for antitumor immunotherapy. Mechanistically, TPP-Cy breaks the traditional triplet sensitization paradigm, achieving efficient electron transfer with biological substrates through singlet exciton dissociation mechanism. This approach minimizes energy loss during intersystem crossing and broadens the range of catalytic substrates, thereby establishing a novel concept for effective PDT.</w:t>
      </w:r>
    </w:p>
    <w:p>
      <w:pPr>
        <w:spacing w:before="120" w:after="120"/>
      </w:pPr>
      <w:r>
        <w:rPr>
          <w:sz w:val="18"/>
        </w:rPr>
        <w:t>——————————————————————————————————————————————————————————————————————</w:t>
      </w:r>
    </w:p>
    <w:p>
      <w:pPr>
        <w:spacing w:before="160" w:after="40" w:line="240" w:lineRule="auto"/>
      </w:pPr>
      <w:r>
        <w:rPr>
          <w:b/>
        </w:rPr>
        <w:t xml:space="preserve">[184] </w:t>
      </w:r>
      <w:hyperlink r:id="rId289">
        <w:r>
          <w:rPr>
            <w:color w:val="1155CC"/>
            <w:u w:val="single"/>
          </w:rPr>
          <w:t>用于同位素环球化的卤素联结催化平台:广泛范围和多样化产品框架</w:t>
        </w:r>
      </w:hyperlink>
    </w:p>
    <w:p>
      <w:pPr>
        <w:spacing w:before="0" w:after="80"/>
      </w:pPr>
      <w:r>
        <w:rPr>
          <w:i/>
          <w:sz w:val="20"/>
        </w:rPr>
        <w:t>EN: A Chalcogen Bonding Catalysis Platform for Isoprenoid Cyclization: Broad Scope and Diverse Product Frameworks</w:t>
      </w:r>
    </w:p>
    <w:p>
      <w:pPr>
        <w:spacing w:before="0" w:after="120"/>
      </w:pPr>
      <w:r>
        <w:rPr>
          <w:b/>
        </w:rPr>
        <w:t xml:space="preserve">Source: </w:t>
      </w:r>
      <w:r>
        <w:t>Wiley: Angewandte Chemie International Edition: Table of Contents</w:t>
      </w:r>
      <w:r>
        <w:t xml:space="preserve">    </w:t>
      </w:r>
      <w:r>
        <w:rPr>
          <w:b/>
        </w:rPr>
        <w:t xml:space="preserve">Pub date: </w:t>
      </w:r>
      <w:r>
        <w:t>2026-02-23 11:17:04+00:00</w:t>
      </w:r>
      <w:r>
        <w:t xml:space="preserve">    </w:t>
      </w:r>
      <w:r>
        <w:rPr>
          <w:b/>
        </w:rPr>
        <w:t xml:space="preserve">DOI: </w:t>
      </w:r>
      <w:hyperlink r:id="rId290">
        <w:r>
          <w:rPr>
            <w:color w:val="1155CC"/>
            <w:u w:val="single"/>
          </w:rPr>
          <w:t>10.1002/anie.7836129</w:t>
        </w:r>
      </w:hyperlink>
    </w:p>
    <w:p>
      <w:pPr>
        <w:spacing w:before="0" w:after="120"/>
      </w:pPr>
      <w:r>
        <w:rPr>
          <w:b/>
        </w:rPr>
        <w:t xml:space="preserve">Notes: </w:t>
      </w:r>
      <w:r>
        <w:t>abstract_source=pubmed</w:t>
      </w:r>
    </w:p>
    <w:p>
      <w:pPr>
        <w:spacing w:before="0" w:after="80" w:lineRule="auto" w:line="276"/>
      </w:pPr>
      <w:r>
        <w:rPr>
          <w:b/>
        </w:rPr>
        <w:t xml:space="preserve">摘要（ZH）: </w:t>
      </w:r>
      <w:r>
        <w:t>异类类的细胞分类是最重要的生物合成事件之一,它产生最大的自然产品类别。然而,对于异类的循环化,一种非共价的催化催化战略仍然难以实现。此外,一种使用人工催化剂的一般合成方法,使异类类的循环化能够与不同的功能群体一起进行,这种方法仍然不够发达。在这里,我们报告了一种异类循环化的非共价催化战略,并表明同异类的相联性能够催化一系列广泛的循环反应。这个铬素结合的催化平台被广泛的范围所突出,因为乙烷、乙烯、碳二烯酸、酒精、苯醇、酚、酶、硫化物、酯和烷可以参与循环活动,给不同种类的产品带来不同的产品。</w:t>
      </w:r>
    </w:p>
    <w:p>
      <w:pPr>
        <w:spacing w:before="0" w:after="200" w:lineRule="auto" w:line="276"/>
      </w:pPr>
      <w:r>
        <w:rPr>
          <w:b/>
        </w:rPr>
        <w:t xml:space="preserve">Abstract (EN): </w:t>
      </w:r>
      <w:r>
        <w:t>Cyclization of isoprenoids is one of the most important biosynthetic events that yields the largest class of natural products. Yet, a noncovalent catalysis strategy for isoprenoid cyclization remains elusive. Furthermore, a general synthetic method using artificial catalyst that enables isoprenoid cyclization with diverse functional groups remains underdeveloped. Herein, we report a noncovalent catalysis strategy for isoprenoid cyclization, and demonstrate that chalcogen bonding with isoprenoids can catalyze a wide range of cyclization reactions. This chalcogen bonding catalysis platform is highlighted by the broad scope since arene, heteroarene, carboxylic acid, alcohol, phenol, enol, sulfamide, ester, and alkyne can participate in the cyclization events, giving diverse classes of products. Moreover, the product frameworks could be varied, affording different ring sizes including seven-membered heterocycles and diverse product structures involving fused-, spiro-, and bridged-ring architectures. As a highlight of this catalysis platform, unusual cyclization reactions between prenyl and alkynes that enable the formation of seven-membered ring and six-membered allene were achieved by chalcogen bonding catalysis while the conventional gold catalysis approach gave different ring systems.</w:t>
      </w:r>
    </w:p>
    <w:p>
      <w:pPr>
        <w:spacing w:before="120" w:after="120"/>
      </w:pPr>
      <w:r>
        <w:rPr>
          <w:sz w:val="18"/>
        </w:rPr>
        <w:t>——————————————————————————————————————————————————————————————————————</w:t>
      </w:r>
    </w:p>
    <w:p>
      <w:pPr>
        <w:spacing w:before="160" w:after="40" w:line="240" w:lineRule="auto"/>
      </w:pPr>
      <w:r>
        <w:rPr>
          <w:b/>
        </w:rPr>
        <w:t xml:space="preserve">[185] </w:t>
      </w:r>
      <w:hyperlink r:id="rId291">
        <w:r>
          <w:rPr>
            <w:color w:val="1155CC"/>
            <w:u w:val="single"/>
          </w:rPr>
          <w:t>光能恢复利用的Aminal-联结共价有机框架</w:t>
        </w:r>
      </w:hyperlink>
    </w:p>
    <w:p>
      <w:pPr>
        <w:spacing w:before="0" w:after="80"/>
      </w:pPr>
      <w:r>
        <w:rPr>
          <w:i/>
          <w:sz w:val="20"/>
        </w:rPr>
        <w:t>EN: Aminal‐linked Covalent Organic Frameworks for Light Energy Upconversion</w:t>
      </w:r>
    </w:p>
    <w:p>
      <w:pPr>
        <w:spacing w:before="0" w:after="120"/>
      </w:pPr>
      <w:r>
        <w:rPr>
          <w:b/>
        </w:rPr>
        <w:t xml:space="preserve">Source: </w:t>
      </w:r>
      <w:r>
        <w:t>Wiley: Angewandte Chemie International Edition: Table of Contents</w:t>
      </w:r>
      <w:r>
        <w:t xml:space="preserve">    </w:t>
      </w:r>
      <w:r>
        <w:rPr>
          <w:b/>
        </w:rPr>
        <w:t xml:space="preserve">Pub date: </w:t>
      </w:r>
      <w:r>
        <w:t>2026-02-23 11:19:01+00:00</w:t>
      </w:r>
      <w:r>
        <w:t xml:space="preserve">    </w:t>
      </w:r>
      <w:r>
        <w:rPr>
          <w:b/>
        </w:rPr>
        <w:t xml:space="preserve">DOI: </w:t>
      </w:r>
      <w:hyperlink r:id="rId292">
        <w:r>
          <w:rPr>
            <w:color w:val="1155CC"/>
            <w:u w:val="single"/>
          </w:rPr>
          <w:t>10.1002/anie.202522521</w:t>
        </w:r>
      </w:hyperlink>
    </w:p>
    <w:p>
      <w:pPr>
        <w:spacing w:before="0" w:after="120"/>
      </w:pPr>
      <w:r>
        <w:rPr>
          <w:b/>
        </w:rPr>
        <w:t xml:space="preserve">Notes: </w:t>
      </w:r>
      <w:r>
        <w:t>abstract_source=pubmed</w:t>
      </w:r>
    </w:p>
    <w:p>
      <w:pPr>
        <w:spacing w:before="0" w:after="80" w:lineRule="auto" w:line="276"/>
      </w:pPr>
      <w:r>
        <w:rPr>
          <w:b/>
        </w:rPr>
        <w:t xml:space="preserve">摘要（ZH）: </w:t>
      </w:r>
      <w:r>
        <w:t>将两个低能光子转换成一个在低辐照条件下的单一高能光子,对于生物成像和太阳能收获是十分可取的。然而,将既定的溶性三相消灭三相毁灭高变换(TTA-UC)系统转换成一个强大的固态平台仍是一项挑战。在这里,我们报告了第一个能够对TA-UC有敏感认识的共价有机框架。两个将炭疽色染色体、Ant-COF-H和Ant-COF-OH结合的微小相关框架已经合成并具有结构特征,揭示出高晶度和强光发性(F   40% )。当对一个类磷素复合体有敏化反应时,两个COF公司都显示高反向排放,其产量高达1.8 %,超过了常规全溶性性效应的性能。</w:t>
      </w:r>
    </w:p>
    <w:p>
      <w:pPr>
        <w:spacing w:before="0" w:after="200" w:lineRule="auto" w:line="276"/>
      </w:pPr>
      <w:r>
        <w:rPr>
          <w:b/>
        </w:rPr>
        <w:t xml:space="preserve">Abstract (EN): </w:t>
      </w:r>
      <w:r>
        <w:t>The conversion of two low-energy photons into a single higher-energy photon at low irradiance is highly desirable for bioimaging and solar energy harvesting. Yet translating established solution-phase triplet-triplet annihilation upconversion (TTA-UC) systems into robust solid-state platforms remains a challenge. Here, we report the first covalent organic frameworks (COFs) capable of sensitized TTA-UC. Two aminal-linked frameworks integrating anthracene chromophores, Ant-COF-H and Ant-COF-OH, were synthesized and structurally characterized, revealing high crystallinity and strong photoluminescence (ΦF ≈ 40%). When sensitized with a palladium porphyrin complex, both COFs display upconverted emission with quantum yields up to 1.8%, surpassing the performance of the conventional all-in-solution reference system. Notably, the onset of saturation occurs at excitation power densities as low as 100 mW cm-2. Time-resolved emission spectroscopy reveals fast energy-transfer consistent with intra-framework triplet migration rather than diffusion. Finally, we correlate framework structural features with energy-loss pathways, providing design guidelines for further improvement. This work establishes a foundation for practical, low-power light management in crystalline polymers by demonstrating that aminal-linked COFs can be engineered to support efficient energy transfer and function as solid-state upconverters.</w:t>
      </w:r>
    </w:p>
    <w:p>
      <w:pPr>
        <w:spacing w:before="120" w:after="120"/>
      </w:pPr>
      <w:r>
        <w:rPr>
          <w:sz w:val="18"/>
        </w:rPr>
        <w:t>——————————————————————————————————————————————————————————————————————</w:t>
      </w:r>
    </w:p>
    <w:p>
      <w:pPr>
        <w:spacing w:before="160" w:after="40" w:line="240" w:lineRule="auto"/>
      </w:pPr>
      <w:r>
        <w:rPr>
          <w:b/>
        </w:rPr>
        <w:t xml:space="preserve">[186] </w:t>
      </w:r>
      <w:hyperlink r:id="rId293">
        <w:r>
          <w:rPr>
            <w:color w:val="1155CC"/>
            <w:u w:val="single"/>
          </w:rPr>
          <w:t>硬体机械和极佳的治疗功能,用于腹壁破损修复</w:t>
        </w:r>
      </w:hyperlink>
    </w:p>
    <w:p>
      <w:pPr>
        <w:spacing w:before="0" w:after="80"/>
      </w:pPr>
      <w:r>
        <w:rPr>
          <w:i/>
          <w:sz w:val="20"/>
        </w:rPr>
        <w:t>EN: Activated Carbon‐Reinforced Super‐Structured Porous Hydrogel With Robust Mechanical and Excellent Pro‐Healing Properties for Abdominal Wall Defect Repair</w:t>
      </w:r>
    </w:p>
    <w:p>
      <w:pPr>
        <w:spacing w:before="0" w:after="120"/>
      </w:pPr>
      <w:r>
        <w:rPr>
          <w:b/>
        </w:rPr>
        <w:t xml:space="preserve">Source: </w:t>
      </w:r>
      <w:r>
        <w:t>Wiley: Advanced Materials: Table of Contents</w:t>
      </w:r>
      <w:r>
        <w:t xml:space="preserve">    </w:t>
      </w:r>
      <w:r>
        <w:rPr>
          <w:b/>
        </w:rPr>
        <w:t xml:space="preserve">Pub date: </w:t>
      </w:r>
      <w:r>
        <w:t>2026-02-23 11:21:00+00:00</w:t>
      </w:r>
      <w:r>
        <w:t xml:space="preserve">    </w:t>
      </w:r>
      <w:r>
        <w:rPr>
          <w:b/>
        </w:rPr>
        <w:t xml:space="preserve">DOI: </w:t>
      </w:r>
      <w:hyperlink r:id="rId294">
        <w:r>
          <w:rPr>
            <w:color w:val="1155CC"/>
            <w:u w:val="single"/>
          </w:rPr>
          <w:t>10.1002/adma.202518217</w:t>
        </w:r>
      </w:hyperlink>
    </w:p>
    <w:p>
      <w:pPr>
        <w:spacing w:before="0" w:after="120"/>
      </w:pPr>
      <w:r>
        <w:rPr>
          <w:b/>
        </w:rPr>
        <w:t xml:space="preserve">Notes: </w:t>
      </w:r>
      <w:r>
        <w:t>abstract_source=pubmed</w:t>
      </w:r>
    </w:p>
    <w:p>
      <w:pPr>
        <w:spacing w:before="0" w:after="80" w:lineRule="auto" w:line="276"/>
      </w:pPr>
      <w:r>
        <w:rPr>
          <w:b/>
        </w:rPr>
        <w:t xml:space="preserve">摘要（ZH）: </w:t>
      </w:r>
      <w:r>
        <w:t>修复腹壁缺陷需要使用先进的生物材料,这些材料既能提供机械支持,调节免疫反应,又能促进组织再生,但目前的解决方案很难整合这些功能。 因此,我们报告了一项简单而有效的战略,它通过结合活性碳(AC)产生超结构多孔PVA(SPVA-AC)水凝胶,将高孔化、高机械强度和聚乙烯(PVA)水凝体免疫分子性能的独特组合,不仅作为可透析剂,而且作为僵硬交叉中心,使丙烷不仅能够发挥可透射剂的作用。</w:t>
      </w:r>
    </w:p>
    <w:p>
      <w:pPr>
        <w:spacing w:before="0" w:after="200" w:lineRule="auto" w:line="276"/>
      </w:pPr>
      <w:r>
        <w:rPr>
          <w:b/>
        </w:rPr>
        <w:t xml:space="preserve">Abstract (EN): </w:t>
      </w:r>
      <w:r>
        <w:t>The repair of abdominal wall defects necessitates the use of advanced biomaterials that can concurrently provide mechanical support, modulate immune responses, and promote tissue regeneration, but current solutions are difficult to integrate these functions. Herein, we report a facile yet effective strategy that confers a unique combination of high porosity, superior mechanical strength, and immunomodulatory performance on poly(vinyl alcohol) (PVA) hydrogel by incorporating activated carbon (AC) to produce super-structured porous PVA (SPVA-AC) hydrogel. The robust hydrogen bonding, hydrophobic interaction, and mechanical interlocking between AC and PVA enable AC to function not only as a pore-expanding agent but also as a rigid crosslinking center. Such dual roles facilitate the construction of enlarged porous structures for fibroblast infiltration while simultaneously enhancing mechanical stability for structural durability in wet environments. Meanwhile, AC serves as an efficient scavenger for reactive oxygen species and inflammatory factors, thereby reshaping the local immune microenvironment by promoting M2 macrophage polarization and accelerating tissue healing. In a rat model of abdominal wall defect, the anti-adhesion SPVA-AC hydrogel demonstrates robust mechanical stability, remarkable anti-inflammatory activity, and accelerated tissue healing. This work offers a scalable and innovative strategy for designing high-performance biomaterials aimed at soft tissue reconstruction.</w:t>
      </w:r>
    </w:p>
    <w:p>
      <w:pPr>
        <w:spacing w:before="120" w:after="120"/>
      </w:pPr>
      <w:r>
        <w:rPr>
          <w:sz w:val="18"/>
        </w:rPr>
        <w:t>——————————————————————————————————————————————————————————————————————</w:t>
      </w:r>
    </w:p>
    <w:p>
      <w:pPr>
        <w:spacing w:before="160" w:after="40" w:line="240" w:lineRule="auto"/>
      </w:pPr>
      <w:r>
        <w:rPr>
          <w:b/>
        </w:rPr>
        <w:t xml:space="preserve">[187] </w:t>
      </w:r>
      <w:hyperlink r:id="rId295">
        <w:r>
          <w:rPr>
            <w:color w:val="1155CC"/>
            <w:u w:val="single"/>
          </w:rPr>
          <w:t>2HNbSe2xSx 中极稀释磁性病变中的无悬殊超导力</w:t>
        </w:r>
      </w:hyperlink>
    </w:p>
    <w:p>
      <w:pPr>
        <w:spacing w:before="0" w:after="80"/>
      </w:pPr>
      <w:r>
        <w:rPr>
          <w:i/>
          <w:sz w:val="20"/>
        </w:rPr>
        <w:t>EN: Gapless Superconductivity From Extremely Dilute Magnetic Disorder in 2H‐NbSe2‐xSx</w:t>
      </w:r>
    </w:p>
    <w:p>
      <w:pPr>
        <w:spacing w:before="0" w:after="120"/>
      </w:pPr>
      <w:r>
        <w:rPr>
          <w:b/>
        </w:rPr>
        <w:t xml:space="preserve">Source: </w:t>
      </w:r>
      <w:r>
        <w:t>Wiley: Advanced Materials: Table of Contents</w:t>
      </w:r>
      <w:r>
        <w:t xml:space="preserve">    </w:t>
      </w:r>
      <w:r>
        <w:rPr>
          <w:b/>
        </w:rPr>
        <w:t xml:space="preserve">Pub date: </w:t>
      </w:r>
      <w:r>
        <w:t>2026-02-23 11:21:57+00:00</w:t>
      </w:r>
      <w:r>
        <w:t xml:space="preserve">    </w:t>
      </w:r>
      <w:r>
        <w:rPr>
          <w:b/>
        </w:rPr>
        <w:t xml:space="preserve">DOI: </w:t>
      </w:r>
      <w:hyperlink r:id="rId296">
        <w:r>
          <w:rPr>
            <w:color w:val="1155CC"/>
            <w:u w:val="single"/>
          </w:rPr>
          <w:t>10.1002/adma.202519118</w:t>
        </w:r>
      </w:hyperlink>
    </w:p>
    <w:p>
      <w:pPr>
        <w:spacing w:before="0" w:after="120"/>
      </w:pPr>
      <w:r>
        <w:rPr>
          <w:b/>
        </w:rPr>
        <w:t xml:space="preserve">Notes: </w:t>
      </w:r>
      <w:r>
        <w:t>abstract_source=semanticscholar</w:t>
      </w:r>
    </w:p>
    <w:p>
      <w:pPr>
        <w:spacing w:before="0" w:after="80" w:lineRule="auto" w:line="276"/>
      </w:pPr>
      <w:r>
        <w:rPr>
          <w:b/>
        </w:rPr>
        <w:t xml:space="preserve">摘要（ZH）: </w:t>
      </w:r>
      <w:r>
        <w:t>大多数超导材料显示,Fermi级各州的密度正在消失,Anderson的理论认为,超导差距对非磁性紊乱是强大的。尽管稀释的磁杂质导致局部的地缘状态,但这些状态通常对材料的散装超导特性没有影响。然而,许多实验显示,Fermi级各州在磁性杂质数量明显可忽略的系统中的密度是有限的。在这里,通过扫描隧道显微镜和自我兼容的Bogoliubov-de Gennes计算,我们发现,在2H-NbSe 2 - x S $@rm NbSe2xrm S} x$_xx$x$x$,磁性极低的不纯度浓度。此外,我们密度功能理论的计算结果显示,在2H-NbSe 2 - x s $@rm=2x s $ x$_x$x$x$x$x$。</w:t>
      </w:r>
    </w:p>
    <w:p>
      <w:pPr>
        <w:spacing w:before="0" w:after="200" w:lineRule="auto" w:line="276"/>
      </w:pPr>
      <w:r>
        <w:rPr>
          <w:b/>
        </w:rPr>
        <w:t xml:space="preserve">Abstract (EN): </w:t>
      </w:r>
      <w:r>
        <w:t>Most superconducting materials exhibit a vanishing density of states at the Fermi level and Anderson's theorem posits that the superconducting gap is robust against nonmagnetic disorder. Although dilute magnetic impurities lead to localized in-gap states, these states typically have no bearing on the material's bulk superconducting properties. However, numerous experiments reveal a finite density of states at the Fermi level in systems with an apparently negligible number of magnetic impurities. Here, using scanning tunneling microscopy and self-consistent Bogoliubov-de Gennes calculations, we find that gapless superconductivity emerges in 2H- NbSe 2 - x S ${\rm NbSe}_{2-x}{\rm S}$ x $_x$ at remarkably low magnetic impurity concentrations. Furthermore, our density functional theory calculations and in-gap quasiparticle interference measurements demonstrate that the Se-S substitution significantly modifies the band structure. This modification favours nesting and dictates the in-gap scattering for x &gt; 0 $x&gt;0$ , in stark contrast to the dominant charge density wave interactions in pure 2H- NbSe 2 ${\rm NbSe}_2$ . Our findings reveal an unusual superconducting response to disorder and highlight the importance of incorporating material-specific band structures in the understanding of a superconductor's response to even very low concentrations of magnetic impurities.</w:t>
      </w:r>
    </w:p>
    <w:p>
      <w:pPr>
        <w:spacing w:before="120" w:after="120"/>
      </w:pPr>
      <w:r>
        <w:rPr>
          <w:sz w:val="18"/>
        </w:rPr>
        <w:t>——————————————————————————————————————————————————————————————————————</w:t>
      </w:r>
    </w:p>
    <w:p>
      <w:pPr>
        <w:spacing w:before="160" w:after="40" w:line="240" w:lineRule="auto"/>
      </w:pPr>
      <w:r>
        <w:rPr>
          <w:b/>
        </w:rPr>
        <w:t xml:space="preserve">[188] </w:t>
      </w:r>
      <w:hyperlink r:id="rId297">
        <w:r>
          <w:rPr>
            <w:color w:val="1155CC"/>
            <w:u w:val="single"/>
          </w:rPr>
          <w:t>ABC 三角块聚合物</w:t>
        </w:r>
      </w:hyperlink>
    </w:p>
    <w:p>
      <w:pPr>
        <w:spacing w:before="0" w:after="80"/>
      </w:pPr>
      <w:r>
        <w:rPr>
          <w:i/>
          <w:sz w:val="20"/>
        </w:rPr>
        <w:t>EN: Hydrophilic Janus Micelles From an ABC Triblock Copolymer</w:t>
      </w:r>
    </w:p>
    <w:p>
      <w:pPr>
        <w:spacing w:before="0" w:after="120"/>
      </w:pPr>
      <w:r>
        <w:rPr>
          <w:b/>
        </w:rPr>
        <w:t xml:space="preserve">Source: </w:t>
      </w:r>
      <w:r>
        <w:t>Wiley: Angewandte Chemie International Edition: Table of Contents</w:t>
      </w:r>
      <w:r>
        <w:t xml:space="preserve">    </w:t>
      </w:r>
      <w:r>
        <w:rPr>
          <w:b/>
        </w:rPr>
        <w:t xml:space="preserve">Pub date: </w:t>
      </w:r>
      <w:r>
        <w:t>2026-02-23 11:28:24+00:00</w:t>
      </w:r>
      <w:r>
        <w:t xml:space="preserve">    </w:t>
      </w:r>
      <w:r>
        <w:rPr>
          <w:b/>
        </w:rPr>
        <w:t xml:space="preserve">DOI: </w:t>
      </w:r>
      <w:hyperlink r:id="rId298">
        <w:r>
          <w:rPr>
            <w:color w:val="1155CC"/>
            <w:u w:val="single"/>
          </w:rPr>
          <w:t>10.1002/anie.202517752</w:t>
        </w:r>
      </w:hyperlink>
    </w:p>
    <w:p>
      <w:pPr>
        <w:spacing w:before="0" w:after="120"/>
      </w:pPr>
      <w:r>
        <w:rPr>
          <w:b/>
        </w:rPr>
        <w:t xml:space="preserve">Notes: </w:t>
      </w:r>
      <w:r>
        <w:t>abstract_source=pubmed</w:t>
      </w:r>
    </w:p>
    <w:p>
      <w:pPr>
        <w:spacing w:before="0" w:after="80" w:lineRule="auto" w:line="276"/>
      </w:pPr>
      <w:r>
        <w:rPr>
          <w:b/>
        </w:rPr>
        <w:t xml:space="preserve">摘要（ZH）: </w:t>
      </w:r>
      <w:r>
        <w:t>我们描述在小日冕内形成推动横向分离相相相分离的两栖三合物聚合物的形成。设计将一个疏水聚苯乙烯(Lactide)核心成形块与两个截然不同的流水生殖分块(聚(乙烯甘醇)(PEG)和聚苯乙烯(Nävinylpyrolidone)(PVP)结合在一起。在水中,共同聚合物组装成球状小鼠,由低温TEM和多交角光散发证实。对聚碳聚苯乙烯(PVP)的选择性端贴标签加上一个电当量复合复合体,使聚苯乙烯(PLA)核心成形块能够进行无污染的TEM成像,暴露出将聚苯乙烯(PVP)定位于corona的单一半球的明显对比不对称性。C 2D 1H-1H-多光效应光谱(HNOESY) NMR证实了PE和PVP的Janus-型分离。这些结果表明分子结构如何孵化。</w:t>
      </w:r>
    </w:p>
    <w:p>
      <w:pPr>
        <w:spacing w:before="0" w:after="200" w:lineRule="auto" w:line="276"/>
      </w:pPr>
      <w:r>
        <w:rPr>
          <w:b/>
        </w:rPr>
        <w:t xml:space="preserve">Abstract (EN): </w:t>
      </w:r>
      <w:r>
        <w:t>We describe the creation of an amphiphilic triblock copolymer that drives lateral phase separation within micelle coronas. The design combines a hydrophobic poly(lactide) (PLA) core‑forming block with two distinct hydrophilic segments: poly(ethylene glycol) (PEG) and poly(N‑vinylpyrrolidone) (PVP). In water, the copolymer assembles into spherical micelles, confirmed by cryogenic TEM and multi‑angle light scattering. Selective end‑labelling of PVP with an electron‑dense iridium complex enabled unstained TEM imaging, revealing clear contrast asymmetry that locates PVP to a single hemisphere of the corona. Complementary 2D 1H-Nuclear Overhauser Effect Spectroscopy (1H‑NOESY) NMR confirmed this Janus‑type segregation of PEG and PVP. These results demonstrate how molecular architecture can encode asymmetry into soft nanostructures, offering a versatile route to polymer‑based Janus nanoparticles with dual surface functionality and broad technological potential.</w:t>
      </w:r>
    </w:p>
    <w:p>
      <w:pPr>
        <w:spacing w:before="120" w:after="120"/>
      </w:pPr>
      <w:r>
        <w:rPr>
          <w:sz w:val="18"/>
        </w:rPr>
        <w:t>——————————————————————————————————————————————————————————————————————</w:t>
      </w:r>
    </w:p>
    <w:p>
      <w:pPr>
        <w:spacing w:before="160" w:after="40" w:line="240" w:lineRule="auto"/>
      </w:pPr>
      <w:r>
        <w:rPr>
          <w:b/>
        </w:rPr>
        <w:t xml:space="preserve">[189] </w:t>
      </w:r>
      <w:hyperlink r:id="rId299">
        <w:r>
          <w:rPr>
            <w:color w:val="1155CC"/>
            <w:u w:val="single"/>
          </w:rPr>
          <w:t>[ASAP] 高效臭氧分解的碘化经测量的微滴</w:t>
        </w:r>
      </w:hyperlink>
    </w:p>
    <w:p>
      <w:pPr>
        <w:spacing w:before="0" w:after="80"/>
      </w:pPr>
      <w:r>
        <w:rPr>
          <w:i/>
          <w:sz w:val="20"/>
        </w:rPr>
        <w:t>EN: [ASAP] An Iodide-Mediated Microdroplet for Efficient Ozone Decomposition</w:t>
      </w:r>
    </w:p>
    <w:p>
      <w:pPr>
        <w:spacing w:before="0" w:after="120"/>
      </w:pPr>
      <w:r>
        <w:rPr>
          <w:b/>
        </w:rPr>
        <w:t xml:space="preserve">Source: </w:t>
      </w:r>
      <w:r>
        <w:t>Journal of the American Chemical Society: Latest Articles (ACS Publications)</w:t>
      </w:r>
      <w:r>
        <w:t xml:space="preserve">    </w:t>
      </w:r>
      <w:r>
        <w:rPr>
          <w:b/>
        </w:rPr>
        <w:t xml:space="preserve">Pub date: </w:t>
      </w:r>
      <w:r>
        <w:t>2026-02-23 11:28:40+00:00</w:t>
      </w:r>
      <w:r>
        <w:t xml:space="preserve">    </w:t>
      </w:r>
      <w:r>
        <w:rPr>
          <w:b/>
        </w:rPr>
        <w:t xml:space="preserve">DOI: </w:t>
      </w:r>
      <w:hyperlink r:id="rId300">
        <w:r>
          <w:rPr>
            <w:color w:val="1155CC"/>
            <w:u w:val="single"/>
          </w:rPr>
          <w:t>10.1021/jacs.5c19641</w:t>
        </w:r>
      </w:hyperlink>
    </w:p>
    <w:p>
      <w:pPr>
        <w:spacing w:before="0" w:after="120"/>
      </w:pPr>
      <w:r>
        <w:rPr>
          <w:b/>
        </w:rPr>
        <w:t xml:space="preserve">Notes: </w:t>
      </w:r>
      <w:r>
        <w:t>abstract_source=pubmed</w:t>
      </w:r>
    </w:p>
    <w:p>
      <w:pPr>
        <w:spacing w:before="0" w:after="80" w:lineRule="auto" w:line="276"/>
      </w:pPr>
      <w:r>
        <w:rPr>
          <w:b/>
        </w:rPr>
        <w:t xml:space="preserve">摘要（ZH）: </w:t>
      </w:r>
      <w:r>
        <w:t>微滴化学为推进绿色化学过程提供了一个充满希望的平台;然而,其有限的反应效率限制了实际应用。在这里,我们报告了一个可扩缩的碘化中间介质微滴系统,它明显地提高了稳定性和速度。碘化中间介质微滴系统(0.1 wt%)可以达到气体-液体界面臭氧(O3)100%的分解120小时,并显示出持续和稳定的特性。实验证明,与散装溶液相比,微滴接口的I浓缩和强力O3亲和力促进反应剂的积累并稳定转型状态。此外,强大的间电场还诱发氢氧化脱硫并驱动碘物种I的电介质再生。</w:t>
      </w:r>
    </w:p>
    <w:p>
      <w:pPr>
        <w:spacing w:before="0" w:after="200" w:lineRule="auto" w:line="276"/>
      </w:pPr>
      <w:r>
        <w:rPr>
          <w:b/>
        </w:rPr>
        <w:t xml:space="preserve">Abstract (EN): </w:t>
      </w:r>
      <w:r>
        <w:t>Microdroplet chemistry offers a promising platform for advancing green chemical processes; however, its limited reaction efficiency has restricted practical applications. Herein, we report a scalable iodide-mediated microdroplet system that markedly enhances stability and rate. The iodide-mediated microdroplet system (0.1 wt %) can achieve 100% ozone (O3) decomposition at the gas-liquid interface for 120 h and exhibits continuous and stable characteristics. Experiments proved that compared with bulk solution, I- enrichment and strong O3 affinity at microdroplet interfaces promote the accumulation of reactants and stabilize transition states. Moreover, the strong interfacial electric field induces hydroxide dissociation and drives electron-mediated regeneration of I- from iodine species, thereby sustaining continuous O3 reduction. Compared with the spray reactor, the iodide-mediated microdroplet reactor achieves a 100% O3 conversion, above 5-fold longer operational stability, 8.0% cost, and 10.4% energy consumption. Life cycle assessment further confirms its superior environmental and economic performance. This work provides a mechanistic understanding of the iodide-driven interfacial redox reaction and offers a scalable, green approach for O3 purification.</w:t>
      </w:r>
    </w:p>
    <w:p>
      <w:pPr>
        <w:spacing w:before="120" w:after="120"/>
      </w:pPr>
      <w:r>
        <w:rPr>
          <w:sz w:val="18"/>
        </w:rPr>
        <w:t>——————————————————————————————————————————————————————————————————————</w:t>
      </w:r>
    </w:p>
    <w:p>
      <w:pPr>
        <w:spacing w:before="160" w:after="40" w:line="240" w:lineRule="auto"/>
      </w:pPr>
      <w:r>
        <w:rPr>
          <w:b/>
        </w:rPr>
        <w:t xml:space="preserve">[190] </w:t>
      </w:r>
      <w:hyperlink r:id="rId301">
        <w:r>
          <w:rPr>
            <w:color w:val="1155CC"/>
            <w:u w:val="single"/>
          </w:rPr>
          <w:t>由稀有地球有机金属支持的单单单环热环环环极激进体</w:t>
        </w:r>
      </w:hyperlink>
    </w:p>
    <w:p>
      <w:pPr>
        <w:spacing w:before="0" w:after="80"/>
      </w:pPr>
      <w:r>
        <w:rPr>
          <w:i/>
          <w:sz w:val="20"/>
        </w:rPr>
        <w:t>EN: Isolable Monocyclic N‐Heterocyclic Radicals Supported by Rare‐Earth Organometallics</w:t>
      </w:r>
    </w:p>
    <w:p>
      <w:pPr>
        <w:spacing w:before="0" w:after="120"/>
      </w:pPr>
      <w:r>
        <w:rPr>
          <w:b/>
        </w:rPr>
        <w:t xml:space="preserve">Source: </w:t>
      </w:r>
      <w:r>
        <w:t>Wiley: Angewandte Chemie International Edition: Table of Contents</w:t>
      </w:r>
      <w:r>
        <w:t xml:space="preserve">    </w:t>
      </w:r>
      <w:r>
        <w:rPr>
          <w:b/>
        </w:rPr>
        <w:t xml:space="preserve">Pub date: </w:t>
      </w:r>
      <w:r>
        <w:t>2026-02-23 12:44:37+00:00</w:t>
      </w:r>
      <w:r>
        <w:t xml:space="preserve">    </w:t>
      </w:r>
      <w:r>
        <w:rPr>
          <w:b/>
        </w:rPr>
        <w:t xml:space="preserve">DOI: </w:t>
      </w:r>
      <w:hyperlink r:id="rId302">
        <w:r>
          <w:rPr>
            <w:color w:val="1155CC"/>
            <w:u w:val="single"/>
          </w:rPr>
          <w:t>10.1002/anie.5912572</w:t>
        </w:r>
      </w:hyperlink>
    </w:p>
    <w:p>
      <w:pPr>
        <w:spacing w:before="0" w:after="120"/>
      </w:pPr>
      <w:r>
        <w:rPr>
          <w:b/>
        </w:rPr>
        <w:t xml:space="preserve">Notes: </w:t>
      </w:r>
      <w:r>
        <w:t>abstract_source=pubmed</w:t>
      </w:r>
    </w:p>
    <w:p>
      <w:pPr>
        <w:spacing w:before="0" w:after="80" w:lineRule="auto" w:line="276"/>
      </w:pPr>
      <w:r>
        <w:rPr>
          <w:b/>
        </w:rPr>
        <w:t xml:space="preserve">摘要（ZH）: </w:t>
      </w:r>
      <w:r>
        <w:t>单环N-热循环基是合成化学和生化过程中的初级反应性中间体,但由于反应性极强,它们的隔离仍是一个中心挑战。这里我们报告第一个结构特征典型的单环丙烯基,由金属离子支持,[K(crypt-222)][Cp*2RE(PyS2-B)](2-RE,PyS2-BYS2) =丙烯-2-硫酸基基离子极离子,以及任何物种的第一个稳定的单环丙三氮基,[K(crypt-222)][(Cp*2RE)3(TrizS4- )](4-RE,TrizS4- =1,3,5-三氮-2,4,6-三(thiolate)基离子,以稀土硫酸系统为基础,根据详细结构、计算、UV-V和ERP数据支持存在三环流基,表明两种环状体都有复杂、不均匀的脊密度分布。</w:t>
      </w:r>
    </w:p>
    <w:p>
      <w:pPr>
        <w:spacing w:before="0" w:after="200" w:lineRule="auto" w:line="276"/>
      </w:pPr>
      <w:r>
        <w:rPr>
          <w:b/>
        </w:rPr>
        <w:t xml:space="preserve">Abstract (EN): </w:t>
      </w:r>
      <w:r>
        <w:t>Monocyclic N-heterocyclic radicals are the elementary reactive intermediates in synthetic chemistry and biochemical processes, but their isolation remains a central challenge due to extremely high reactivity. Here we report the first structurally characterized example of monocyclic pyridine radical supported by metal ions, [K(crypt-222)][Cp*2RE(PyS2-•)] (2-RE, PyS2-• = radical anion of pyridine-2-thiolate), and the first stable monocyclic triazine radical for any species, [K(crypt-222)][(Cp*2RE)3(TrizS4-•)] (4-RE, TrizS4-• = radical anion of 1,3,5-triazine-2,4,6-tris(thiolate)), based on rare earth thiolate systems. Detailed structural, computational, UV-vis, and EPR data support the presence of heterocyclic radicals, which show a complicated, uneven spin density distribution at both pyridine and triazine rings. Remarkably, the unusual bonding characters between the lanthanide centers and the SOMO π*-orbital of the radical promote strong ferromagnetic coupling from radical to lanthanide ions and achieve the largest gadolinium-radical ferromagnetic coupling observed to date, JGd-rad = +28.55(57) cm-1 (Ĥ = -2JGd-Rad ŜGd·ŜRad) in 2-Gd, while compound 4-Dy exhibits slow magnetic relaxation. Furthermore, the initial exploration on reactivity revealed the potential ability of the pyridine radical to activate inert bonds. Those results contribute to a better understanding of highly reactive species involving monocyclic heterocyclic radicals.</w:t>
      </w:r>
    </w:p>
    <w:p>
      <w:pPr>
        <w:spacing w:before="120" w:after="120"/>
      </w:pPr>
      <w:r>
        <w:rPr>
          <w:sz w:val="18"/>
        </w:rPr>
        <w:t>——————————————————————————————————————————————————————————————————————</w:t>
      </w:r>
    </w:p>
    <w:p>
      <w:pPr>
        <w:spacing w:before="160" w:after="40" w:line="240" w:lineRule="auto"/>
      </w:pPr>
      <w:r>
        <w:rPr>
          <w:b/>
        </w:rPr>
        <w:t xml:space="preserve">[191] </w:t>
      </w:r>
      <w:hyperlink r:id="rId303">
        <w:r>
          <w:rPr>
            <w:color w:val="1155CC"/>
            <w:u w:val="single"/>
          </w:rPr>
          <w:t>共振有机框架大型系统综合综合体溶解计量大会</w:t>
        </w:r>
      </w:hyperlink>
    </w:p>
    <w:p>
      <w:pPr>
        <w:spacing w:before="0" w:after="80"/>
      </w:pPr>
      <w:r>
        <w:rPr>
          <w:i/>
          <w:sz w:val="20"/>
        </w:rPr>
        <w:t>EN: Solvation‐Mediated Assembly for Large‐Scale Synthesis of Covalent Organic Framework Membranes</w:t>
      </w:r>
    </w:p>
    <w:p>
      <w:pPr>
        <w:spacing w:before="0" w:after="120"/>
      </w:pPr>
      <w:r>
        <w:rPr>
          <w:b/>
        </w:rPr>
        <w:t xml:space="preserve">Source: </w:t>
      </w:r>
      <w:r>
        <w:t>Wiley: Angewandte Chemie International Edition: Table of Contents</w:t>
      </w:r>
      <w:r>
        <w:t xml:space="preserve">    </w:t>
      </w:r>
      <w:r>
        <w:rPr>
          <w:b/>
        </w:rPr>
        <w:t xml:space="preserve">Pub date: </w:t>
      </w:r>
      <w:r>
        <w:t>2026-02-23 12:55:01+00:00</w:t>
      </w:r>
      <w:r>
        <w:t xml:space="preserve">    </w:t>
      </w:r>
      <w:r>
        <w:rPr>
          <w:b/>
        </w:rPr>
        <w:t xml:space="preserve">DOI: </w:t>
      </w:r>
      <w:hyperlink r:id="rId304">
        <w:r>
          <w:rPr>
            <w:color w:val="1155CC"/>
            <w:u w:val="single"/>
          </w:rPr>
          <w:t>10.1002/anie.202525844</w:t>
        </w:r>
      </w:hyperlink>
    </w:p>
    <w:p>
      <w:pPr>
        <w:spacing w:before="0" w:after="120"/>
      </w:pPr>
      <w:r>
        <w:rPr>
          <w:b/>
        </w:rPr>
        <w:t xml:space="preserve">Notes: </w:t>
      </w:r>
      <w:r>
        <w:t>abstract_source=pubmed</w:t>
      </w:r>
    </w:p>
    <w:p>
      <w:pPr>
        <w:spacing w:before="0" w:after="80" w:lineRule="auto" w:line="276"/>
      </w:pPr>
      <w:r>
        <w:rPr>
          <w:b/>
        </w:rPr>
        <w:t xml:space="preserve">摘要（ZH）: </w:t>
      </w:r>
      <w:r>
        <w:t>具有僵硬框架和定购渠道的共价有机框架膜克服了传统聚合膜的离子渗透性和选择性取舍的两难困境,然而,在扩大共价膜合成规模和了解其中的动态形成机制方面,这仍然是一个挑战。我们报告了一种以溶解为中介的集成器(SMA)法,将大型独立COF膜与2400厘米2和65兆帕抗拉强度合成。通过现场供暖液传输电子显微镜,将溶化为中间核分离、拉长、结晶化和组装过程视觉化,与多尺度模拟相结合,对薄膜形成期间的溶化相互作用进行了阐述。</w:t>
      </w:r>
    </w:p>
    <w:p>
      <w:pPr>
        <w:spacing w:before="0" w:after="200" w:lineRule="auto" w:line="276"/>
      </w:pPr>
      <w:r>
        <w:rPr>
          <w:b/>
        </w:rPr>
        <w:t xml:space="preserve">Abstract (EN): </w:t>
      </w:r>
      <w:r>
        <w:t>Covalent organic framework (COF) membranes featuring rigid frameworks and ordered channels have surmounted the dilemma of ion permeability and selectivity trade-off for traditional polymeric membranes. However, it remains a challenge regarding the scale-up synthesis of COF membranes and the understanding of dynamic formation mechanisms therein. We report a solvation-mediated assembly (SMA) approach to synthesize large-scale freestanding COF membranes with ∼2400 cm2 and a tensile strength of ∼65 Mpa. The solvation-mediated nucleation, elongation, crystallization, and assembling processes are visualized via the in situ heating liquid transmission electron microscopy, which integrated with multiscale simulations provide elaboration on the solvation interactions during membrane formation. The as-prepared membranes demonstrate selective ion separation for high-salt water reclamation and rare-earth ions recovery, endowing potential for the practical application of COF membranes.</w:t>
      </w:r>
    </w:p>
    <w:p>
      <w:pPr>
        <w:spacing w:before="120" w:after="120"/>
      </w:pPr>
      <w:r>
        <w:rPr>
          <w:sz w:val="18"/>
        </w:rPr>
        <w:t>——————————————————————————————————————————————————————————————————————</w:t>
      </w:r>
    </w:p>
    <w:p>
      <w:pPr>
        <w:spacing w:before="160" w:after="40" w:line="240" w:lineRule="auto"/>
      </w:pPr>
      <w:r>
        <w:rPr>
          <w:b/>
        </w:rPr>
        <w:t xml:space="preserve">[192] </w:t>
      </w:r>
      <w:hyperlink r:id="rId305">
        <w:r>
          <w:rPr>
            <w:color w:val="1155CC"/>
            <w:u w:val="single"/>
          </w:rPr>
          <w:t>[ASAP] Lewis基单层稳定水锌金属电池</w:t>
        </w:r>
      </w:hyperlink>
    </w:p>
    <w:p>
      <w:pPr>
        <w:spacing w:before="0" w:after="80"/>
      </w:pPr>
      <w:r>
        <w:rPr>
          <w:i/>
          <w:sz w:val="20"/>
        </w:rPr>
        <w:t>EN: [ASAP] Molecular Protonation Gating of Lewis Base Monolayers Stabilizes Aqueous Zinc Metal Batteries</w:t>
      </w:r>
    </w:p>
    <w:p>
      <w:pPr>
        <w:spacing w:before="0" w:after="120"/>
      </w:pPr>
      <w:r>
        <w:rPr>
          <w:b/>
        </w:rPr>
        <w:t xml:space="preserve">Source: </w:t>
      </w:r>
      <w:r>
        <w:t>ACS Energy Letters: Latest Articles (ACS Publications)</w:t>
      </w:r>
      <w:r>
        <w:t xml:space="preserve">    </w:t>
      </w:r>
      <w:r>
        <w:rPr>
          <w:b/>
        </w:rPr>
        <w:t xml:space="preserve">Pub date: </w:t>
      </w:r>
      <w:r>
        <w:t>2026-02-23 12:59:56+00:00</w:t>
      </w:r>
      <w:r>
        <w:t xml:space="preserve">    </w:t>
      </w:r>
      <w:r>
        <w:rPr>
          <w:b/>
        </w:rPr>
        <w:t xml:space="preserve">DOI: </w:t>
      </w:r>
      <w:hyperlink r:id="rId306">
        <w:r>
          <w:rPr>
            <w:color w:val="1155CC"/>
            <w:u w:val="single"/>
          </w:rPr>
          <w:t>10.1021/acsenergylett.6c00092</w:t>
        </w:r>
      </w:hyperlink>
    </w:p>
    <w:p>
      <w:pPr>
        <w:spacing w:before="0" w:after="120"/>
      </w:pPr>
      <w:r>
        <w:rPr>
          <w:b/>
        </w:rPr>
        <w:t xml:space="preserve">Notes: </w:t>
      </w:r>
      <w:r>
        <w:t>abstract_source=openalex; must_have_abstract=True</w:t>
      </w:r>
    </w:p>
    <w:p>
      <w:pPr>
        <w:spacing w:before="0" w:after="80" w:lineRule="auto" w:line="276"/>
      </w:pPr>
      <w:r>
        <w:rPr>
          <w:b/>
        </w:rPr>
        <w:t xml:space="preserve">摘要（ZH）: </w:t>
      </w:r>
      <w:r>
        <w:t>水锌-金属电池提供安全、低成本的电网储存,但受到不统一的Zn电镀和寄生虫水减少的影响。 吸附型添加剂提供相互调节调节,但由于在实际水水条件下的质子化,往往丧失功能。在这里,我们提议了一种质子耐分子设计,将电子调制与平板、锌-二恶性吸附吸附软骨架相结合。通过引入电离式双电除子替代成芳烃,基本性降低,同时保持NH2单面锚定,使4-氨-苯甲二硝基苯基保持稳定的横向吸附和高地表覆盖。 由此形成的分子层重建了电电的双层,抑制了水引起的侧反应,并促进了统一( 002)</w:t>
      </w:r>
    </w:p>
    <w:p>
      <w:pPr>
        <w:spacing w:before="0" w:after="200" w:lineRule="auto" w:line="276"/>
      </w:pPr>
      <w:r>
        <w:rPr>
          <w:b/>
        </w:rPr>
        <w:t xml:space="preserve">Abstract (EN): </w:t>
      </w:r>
      <w:r>
        <w:t>Aqueous zinc–metal batteries offer safe, low-cost grid storage but suffer from nonuniform Zn plating and parasitic water reduction. Adsorption-type additives offer interfacial regulation but often lose functionality due to protonation under practical aqueous conditions. Here, we propose a protonation-tolerant molecular design integrating electronic modulation with a planar, zincophilic adsorption scaffold. By introducing an electron-withdrawing cyano substituent into an aromatic amine, the basicity is reduced while preserving the NH2 lone-pair anchoring, enabling 4-aminobenzonitrile (ABN) to maintain stable horizontal adsorption and high surface coverage. The resulting molecular layer reconstructs the electric double layer, suppresses water-induced side reactions, and promotes uniform (002)-oriented Zn plating/stripping through facet-selective interactions. With 3.3 mM ABN, symmetric Zn//Zn cells cycle for &gt;700 h at 4 mAh cm–2. Zn//β-MnO2 cells deliver 4.4 mAh cm–2 after 250 cycles at 0.25 A g–1 with zinc utilization ratio of 21.4% and retain 4.28 mAh cm–2 for 150 cycles at ZUR of 46.2%.</w:t>
      </w:r>
    </w:p>
    <w:p>
      <w:pPr>
        <w:spacing w:before="120" w:after="120"/>
      </w:pPr>
      <w:r>
        <w:rPr>
          <w:sz w:val="18"/>
        </w:rPr>
        <w:t>——————————————————————————————————————————————————————————————————————</w:t>
      </w:r>
    </w:p>
    <w:p>
      <w:pPr>
        <w:spacing w:before="160" w:after="40" w:line="240" w:lineRule="auto"/>
      </w:pPr>
      <w:r>
        <w:rPr>
          <w:b/>
        </w:rPr>
        <w:t xml:space="preserve">[193] </w:t>
      </w:r>
      <w:hyperlink r:id="rId307">
        <w:r>
          <w:rPr>
            <w:color w:val="1155CC"/>
            <w:u w:val="single"/>
          </w:rPr>
          <w:t>炭疽二离子体的机械切除</w:t>
        </w:r>
      </w:hyperlink>
    </w:p>
    <w:p>
      <w:pPr>
        <w:spacing w:before="0" w:after="80"/>
      </w:pPr>
      <w:r>
        <w:rPr>
          <w:i/>
          <w:sz w:val="20"/>
        </w:rPr>
        <w:t>EN: Mechanical Peeling of Anthracene Dimers</w:t>
      </w:r>
    </w:p>
    <w:p>
      <w:pPr>
        <w:spacing w:before="0" w:after="120"/>
      </w:pPr>
      <w:r>
        <w:rPr>
          <w:b/>
        </w:rPr>
        <w:t xml:space="preserve">Source: </w:t>
      </w:r>
      <w:r>
        <w:t>Wiley: Angewandte Chemie International Edition: Table of Contents</w:t>
      </w:r>
      <w:r>
        <w:t xml:space="preserve">    </w:t>
      </w:r>
      <w:r>
        <w:rPr>
          <w:b/>
        </w:rPr>
        <w:t xml:space="preserve">Pub date: </w:t>
      </w:r>
      <w:r>
        <w:t>2026-02-23 13:07:44+00:00</w:t>
      </w:r>
      <w:r>
        <w:t xml:space="preserve">    </w:t>
      </w:r>
      <w:r>
        <w:rPr>
          <w:b/>
        </w:rPr>
        <w:t xml:space="preserve">DOI: </w:t>
      </w:r>
      <w:hyperlink r:id="rId308">
        <w:r>
          <w:rPr>
            <w:color w:val="1155CC"/>
            <w:u w:val="single"/>
          </w:rPr>
          <w:t>10.1002/anie.202526118</w:t>
        </w:r>
      </w:hyperlink>
    </w:p>
    <w:p>
      <w:pPr>
        <w:spacing w:before="0" w:after="120"/>
      </w:pPr>
      <w:r>
        <w:rPr>
          <w:b/>
        </w:rPr>
        <w:t xml:space="preserve">Notes: </w:t>
      </w:r>
      <w:r>
        <w:t>abstract_source=pubmed</w:t>
      </w:r>
    </w:p>
    <w:p>
      <w:pPr>
        <w:spacing w:before="0" w:after="80" w:lineRule="auto" w:line="276"/>
      </w:pPr>
      <w:r>
        <w:rPr>
          <w:b/>
        </w:rPr>
        <w:t xml:space="preserve">摘要（ZH）: </w:t>
      </w:r>
      <w:r>
        <w:t>在聚合体机械化分子中,机械技师通过聚合体臂的拉动动作被激活。这种激活可以来自各种拉动式的几何,最常见的是剪切,即将抗拉应力分布在整个结构中,以及剥皮,这种剥皮会一次将紧张气氛集中在一个导弹联结上,后者通常会带来更好的激活,并且往往与循环机械化分子中精密安排的拉点相关联。我们在这里表明,这种精密安排并不总是有利于有效的剥离活性。对蝴蝶形炭角的四种异构体的调查表明,只有一种晶体异构体经过正式的反转[4+4]循环增殖,以重新生成炭色核心。与实验和实验结合。</w:t>
      </w:r>
    </w:p>
    <w:p>
      <w:pPr>
        <w:spacing w:before="0" w:after="200" w:lineRule="auto" w:line="276"/>
      </w:pPr>
      <w:r>
        <w:rPr>
          <w:b/>
        </w:rPr>
        <w:t xml:space="preserve">Abstract (EN): </w:t>
      </w:r>
      <w:r>
        <w:t>In polymer mechanochemistry, mechanophores are activated by the pulling action of polymer arms. This activation can be achieved from various pulling geometries, the most common being shearing, where tensile stress is distributed across the entire structure, and peeling, which concentrates tension on one scissile bond at a time. The latter usually leads to a better activation and is often associated to pulling points with a cis arrangement in cyclic mechanophores. Here we show that such a cis arrangement is not always conducive of an efficient peeling activation. The investigation of four isomers of butterfly-shaped anthracene dimers show that only one of the cis isomers undergoes a formal retro-[4+4] cycloaddition to regenerate the anthracene cores. Combining with experimental and theoretical studies, we have revealed the reaction pathway and shown that the asymmetric force transmission is crucial for the mechanochemical activation. Furthermore, altering the rigidity of the anchoring handle from a flexible alkyl chain to a rigid phenyl handle accelerates the reaction by sevenfold. Our findings establish new structural and geometric design principles for mechanochemical transformations.</w:t>
      </w:r>
    </w:p>
    <w:p>
      <w:pPr>
        <w:spacing w:before="120" w:after="120"/>
      </w:pPr>
      <w:r>
        <w:rPr>
          <w:sz w:val="18"/>
        </w:rPr>
        <w:t>——————————————————————————————————————————————————————————————————————</w:t>
      </w:r>
    </w:p>
    <w:p>
      <w:pPr>
        <w:spacing w:before="160" w:after="40" w:line="240" w:lineRule="auto"/>
      </w:pPr>
      <w:r>
        <w:rPr>
          <w:b/>
        </w:rPr>
        <w:t xml:space="preserve">[194] </w:t>
      </w:r>
      <w:hyperlink r:id="rId309">
        <w:r>
          <w:rPr>
            <w:color w:val="1155CC"/>
            <w:u w:val="single"/>
          </w:rPr>
          <w:t>与UV-Generated 激进分子拆分动态核极化所查明的结构水具体签名</w:t>
        </w:r>
      </w:hyperlink>
    </w:p>
    <w:p>
      <w:pPr>
        <w:spacing w:before="0" w:after="80"/>
      </w:pPr>
      <w:r>
        <w:rPr>
          <w:i/>
          <w:sz w:val="20"/>
        </w:rPr>
        <w:t>EN: Residue‐Specific Signatures of Structural Water Identified by Dissolution Dynamic Nuclear Polarization with UV‐Generated Radicals</w:t>
      </w:r>
    </w:p>
    <w:p>
      <w:pPr>
        <w:spacing w:before="0" w:after="120"/>
      </w:pPr>
      <w:r>
        <w:rPr>
          <w:b/>
        </w:rPr>
        <w:t xml:space="preserve">Source: </w:t>
      </w:r>
      <w:r>
        <w:t>Wiley: Angewandte Chemie International Edition: Table of Contents</w:t>
      </w:r>
      <w:r>
        <w:t xml:space="preserve">    </w:t>
      </w:r>
      <w:r>
        <w:rPr>
          <w:b/>
        </w:rPr>
        <w:t xml:space="preserve">Pub date: </w:t>
      </w:r>
      <w:r>
        <w:t>2026-02-23 13:51:20+00:00</w:t>
      </w:r>
      <w:r>
        <w:t xml:space="preserve">    </w:t>
      </w:r>
      <w:r>
        <w:rPr>
          <w:b/>
        </w:rPr>
        <w:t xml:space="preserve">DOI: </w:t>
      </w:r>
      <w:hyperlink r:id="rId310">
        <w:r>
          <w:rPr>
            <w:color w:val="1155CC"/>
            <w:u w:val="single"/>
          </w:rPr>
          <w:t>10.1002/anie.202523739</w:t>
        </w:r>
      </w:hyperlink>
    </w:p>
    <w:p>
      <w:pPr>
        <w:spacing w:before="0" w:after="120"/>
      </w:pPr>
      <w:r>
        <w:rPr>
          <w:b/>
        </w:rPr>
        <w:t xml:space="preserve">Notes: </w:t>
      </w:r>
      <w:r>
        <w:t>abstract_source=pubmed</w:t>
      </w:r>
    </w:p>
    <w:p>
      <w:pPr>
        <w:spacing w:before="0" w:after="80" w:lineRule="auto" w:line="276"/>
      </w:pPr>
      <w:r>
        <w:rPr>
          <w:b/>
        </w:rPr>
        <w:t xml:space="preserve">摘要（ZH）: </w:t>
      </w:r>
      <w:r>
        <w:t>电离层结构水分子稳定蛋白折叠并调节其功能,但仍难以在解答中观察,因为基于交换的读出偏好溶剂外溢点。在这里,我们引入了一项协议,在本地条件下,利用由紫外线诱发的非持久性基体促成的长寿命超极化水(HyperW)检测结构水分子。在2号模型蛋白质环球菌抑制剂中,超W增强的双维NMR相关光谱在pD 5.5-8.4中显示溶剂外溢残留有强大的由交换驱动的增强。相比之下,一组不同的4个残留物显示超极化的氨化信号,在通过核反射效应(NOE)通过空间极化转移时,通过CLEANEX-PM实验抑制了这些信号消失。</w:t>
      </w:r>
    </w:p>
    <w:p>
      <w:pPr>
        <w:spacing w:before="0" w:after="200" w:lineRule="auto" w:line="276"/>
      </w:pPr>
      <w:r>
        <w:rPr>
          <w:b/>
        </w:rPr>
        <w:t xml:space="preserve">Abstract (EN): </w:t>
      </w:r>
      <w:r>
        <w:t>Conserved structural water molecules stabilize protein folds and modulate their function, yet remain difficult to observe in solution because exchange-based readouts favor solvent-exposed sites. Here, we introduce a protocol to detect structural water molecules under native conditions, using long-lived hyperpolarized water (HyperW) enabled by UV-induced, nonpersistent radicals. In the model protein chymotrypsin inhibitor 2, HyperW-enhanced two-dimensional NMR correlation spectra across pD 5.5-8.4 reveal strong exchange-driven enhancements at solvent-exposed residues. By contrast, a distinct group of four residues shows hyperpolarized amide signals, which disappear when through-space polarization transfer via nuclear Overhauser effect (NOE) is suppressed using a CLEANEX-PM experiment. The CLEANEX-negative/HyperW-positive signature, together with the spatial proximity of these residues to crystallographically conserved water molecules, supports NOE-mediated transfer from long-residence internal water, not distinguishable by standard NMR methods. The combined observables establish HyperW NMR as a residue-specific reporter of structural hydration and hydration-coupled dynamics under native conditions, providing a route to link conserved water observed in crystals to their roles in solution.</w:t>
      </w:r>
    </w:p>
    <w:p>
      <w:pPr>
        <w:spacing w:before="120" w:after="120"/>
      </w:pPr>
      <w:r>
        <w:rPr>
          <w:sz w:val="18"/>
        </w:rPr>
        <w:t>——————————————————————————————————————————————————————————————————————</w:t>
      </w:r>
    </w:p>
    <w:p>
      <w:pPr>
        <w:spacing w:before="160" w:after="40" w:line="240" w:lineRule="auto"/>
      </w:pPr>
      <w:r>
        <w:rPr>
          <w:b/>
        </w:rPr>
        <w:t xml:space="preserve">[195] </w:t>
      </w:r>
      <w:hyperlink r:id="rId311">
        <w:r>
          <w:rPr>
            <w:color w:val="1155CC"/>
            <w:u w:val="single"/>
          </w:rPr>
          <w:t>[ASAP]通过集束修改光电催化器定制甲烷氧化混合途径</w:t>
        </w:r>
      </w:hyperlink>
    </w:p>
    <w:p>
      <w:pPr>
        <w:spacing w:before="0" w:after="80"/>
      </w:pPr>
      <w:r>
        <w:rPr>
          <w:i/>
          <w:sz w:val="20"/>
        </w:rPr>
        <w:t>EN: [ASAP] Tailoring Methane Oxidative Coupling Pathways through Cluster-Modified Photocatalysts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2026-02-23 14:19:15+00:00</w:t>
      </w:r>
      <w:r>
        <w:t xml:space="preserve">    </w:t>
      </w:r>
      <w:r>
        <w:rPr>
          <w:b/>
        </w:rPr>
        <w:t xml:space="preserve">DOI: </w:t>
      </w:r>
      <w:hyperlink r:id="rId312">
        <w:r>
          <w:rPr>
            <w:color w:val="1155CC"/>
            <w:u w:val="single"/>
          </w:rPr>
          <w:t>10.1021/jacs.5c22091</w:t>
        </w:r>
      </w:hyperlink>
    </w:p>
    <w:p>
      <w:pPr>
        <w:spacing w:before="0" w:after="120"/>
      </w:pPr>
      <w:r>
        <w:rPr>
          <w:b/>
        </w:rPr>
        <w:t xml:space="preserve">Notes: </w:t>
      </w:r>
      <w:r>
        <w:t>abstract_source=openalex</w:t>
      </w:r>
    </w:p>
    <w:p>
      <w:pPr>
        <w:spacing w:before="0" w:after="80" w:lineRule="auto" w:line="276"/>
      </w:pPr>
      <w:r>
        <w:rPr>
          <w:b/>
        </w:rPr>
        <w:t xml:space="preserve">摘要（ZH）: </w:t>
      </w:r>
      <w:r>
        <w:t>光化催化甲烷结合是生产有价值的C&lt;sub&gt;24 &lt;/subn&lt;sub&gt;1 &lt;/sub&gt; &lt; sub&gt;1 &lt;/sub&gt;纳米集束成ZnO催化剂的合理设计,以提高光化催化性能,由此产生的Au&lt;sub&gt;24 &lt;/subn &lt;sub&gt;1 &lt;/sub&gt;1 &lt;/sub&gt;/ZnO催化剂展示了C&lt;sub&gt;2/sub&gt;选择93.5%和663.1微克/mol/g &lt; sub&gt;catsup &lt;/sub&gt;-1 &lt;supp&gt;/sup &gt; (510.1mm/supsup&gt; &lt; sub &lt; sug&gt; &lt;/subsupp&gt;-1 &lt;/supsup&gt;-1 &lt;/sup&gt;/sup&gt;-1 &lt;/sup&gt;,在分批反应堆中展示了C&lt;sub&gt;93.5%的C&lt;sub&gt;选择性选择度和93.5%的反射反射红外光红四色变光谱-CO吸附(CO-DRIFTERS)(CO-D</w:t>
      </w:r>
    </w:p>
    <w:p>
      <w:pPr>
        <w:spacing w:before="0" w:after="200" w:lineRule="auto" w:line="276"/>
      </w:pPr>
      <w:r>
        <w:rPr>
          <w:b/>
        </w:rPr>
        <w:t xml:space="preserve">Abstract (EN): </w:t>
      </w:r>
      <w:r>
        <w:t>Photocatalytic methane coupling represents a promising strategy for the production of valuable C&lt;sub&gt;2+&lt;/sub&gt; chemicals. Herein, the rational design of an Au&lt;sub&gt;24&lt;/sub&gt;Zn&lt;sub&gt;1&lt;/sub&gt; nanocluster-embedded ZnO catalyst was demonstrated to enhance photocatalytic performance, and the resultant Au&lt;sub&gt;24&lt;/sub&gt;Zn&lt;sub&gt;1&lt;/sub&gt;/ZnO catalyst exhibited a C&lt;sub&gt;2+&lt;/sub&gt; selectivity of 93.5% and a yield of 663.1 μmol·g&lt;sub&gt;cat&lt;/sub&gt;&lt;sup&gt;-1&lt;/sup&gt;·h&lt;sup&gt;-1&lt;/sup&gt; (510.1 mmol·g&lt;sub&gt;Au&lt;/sub&gt;&lt;sup&gt;-1&lt;/sup&gt;·h&lt;sup&gt;-1&lt;/sup&gt;) in a batch reactor. X-ray photoelectron spectroscopy (XPS) and diffuse reflectance infrared Fourier transform spectroscopy-CO adsorption (CO-DRIFTS) revealed that the clusters functioned as hole acceptors, thereby accelerating the separation of photogenerated carriers. Radical experiments and isotope-labeling studies confirmed that the •OH radical derived from water serves as the primary reactive oxygen species responsible for activating methane to •CH&lt;sub&gt;3&lt;/sub&gt; radicals under the coexistence of H&lt;sub&gt;2&lt;/sub&gt;O and O&lt;sub&gt;2&lt;/sub&gt;, which demonstrates a significant discrepancy compared to the reported photogenerated hole activation pathway. Additionally, the •OOH radical generated via oxygen reduction played a supporting role both in modulating the concentration of •OH radicals and promoting the catalytic cycle. The cooperation contributed to the high yield and excellent selectivity of the C&lt;sub&gt;2+&lt;/sub&gt; products. This work provides valuable insights into the mechanistic pathway of methane conversion and highlights the potential of metal nanocluster-based materials in photocatalysis.</w:t>
      </w:r>
    </w:p>
    <w:p>
      <w:pPr>
        <w:spacing w:before="120" w:after="120"/>
      </w:pPr>
      <w:r>
        <w:rPr>
          <w:sz w:val="18"/>
        </w:rPr>
        <w:t>——————————————————————————————————————————————————————————————————————</w:t>
      </w:r>
    </w:p>
    <w:p>
      <w:pPr>
        <w:spacing w:before="160" w:after="40" w:line="240" w:lineRule="auto"/>
      </w:pPr>
      <w:r>
        <w:rPr>
          <w:b/>
        </w:rPr>
        <w:t xml:space="preserve">[196] </w:t>
      </w:r>
      <w:hyperlink r:id="rId313">
        <w:r>
          <w:rPr>
            <w:color w:val="1155CC"/>
            <w:u w:val="single"/>
          </w:rPr>
          <w:t>[ASAP] 协同拉蒂合金和地方债券组合战略,以逐步推进Na4Fe3(PO4)2P2O7 Cathode 与硬拉蒂框架</w:t>
        </w:r>
      </w:hyperlink>
    </w:p>
    <w:p>
      <w:pPr>
        <w:spacing w:before="0" w:after="80"/>
      </w:pPr>
      <w:r>
        <w:rPr>
          <w:i/>
          <w:sz w:val="20"/>
        </w:rPr>
        <w:t>EN: [ASAP] Synergistic Lattice Confinement and Local Bond Anchoring Strategy toward a Phase-Pure Na4Fe3(PO4)2P2O7 Cathode with Robust Lattice Framework for Sodium-Ion Batteries</w:t>
      </w:r>
    </w:p>
    <w:p>
      <w:pPr>
        <w:spacing w:before="0" w:after="120"/>
      </w:pPr>
      <w:r>
        <w:rPr>
          <w:b/>
        </w:rPr>
        <w:t xml:space="preserve">Source: </w:t>
      </w:r>
      <w:r>
        <w:t>ACS Energy Letters: Latest Articles (ACS Publications)</w:t>
      </w:r>
      <w:r>
        <w:t xml:space="preserve">    </w:t>
      </w:r>
      <w:r>
        <w:rPr>
          <w:b/>
        </w:rPr>
        <w:t xml:space="preserve">Pub date: </w:t>
      </w:r>
      <w:r>
        <w:t>2026-02-23 14:42:40+00:00</w:t>
      </w:r>
      <w:r>
        <w:t xml:space="preserve">    </w:t>
      </w:r>
      <w:r>
        <w:rPr>
          <w:b/>
        </w:rPr>
        <w:t xml:space="preserve">DOI: </w:t>
      </w:r>
      <w:hyperlink r:id="rId314">
        <w:r>
          <w:rPr>
            <w:color w:val="1155CC"/>
            <w:u w:val="single"/>
          </w:rPr>
          <w:t>10.1021/acsenergylett.5c04226</w:t>
        </w:r>
      </w:hyperlink>
    </w:p>
    <w:p>
      <w:pPr>
        <w:spacing w:before="0" w:after="120"/>
      </w:pPr>
      <w:r>
        <w:rPr>
          <w:b/>
        </w:rPr>
        <w:t xml:space="preserve">Notes: </w:t>
      </w:r>
      <w:r>
        <w:t>abstract_source=openalex</w:t>
      </w:r>
    </w:p>
    <w:p>
      <w:pPr>
        <w:spacing w:before="0" w:after="80" w:lineRule="auto" w:line="276"/>
      </w:pPr>
      <w:r>
        <w:rPr>
          <w:b/>
        </w:rPr>
        <w:t xml:space="preserve">摘要（ZH）: </w:t>
      </w:r>
      <w:r>
        <w:t>Na4Fe3(PO4)(PO4)2P2O7是钠离子电池的潜在阴极。然而,它的低电子导电率和纳氏扩散动力学的不足严重妨碍了实际应用。本研究在此提出一个拉特基封闭性结合的本地债券锚定战略,其中在封闭空间内Ti4+和O2p轨道的空缺 t2g(d0)轨道上的深度重叠会增强-博交融。这通过Ti-O-Fe网络可以快速地实现电子迁移,并内在地改善电导性。同时,硬的[TiO6]单位固定着拉蒂氏菌株,将其固定在微粒区域,抑制破坏性的宏观变形。结果,Na3.90Fe2.95Tion5(PO4)2P2O7在2000年之后保留了其能力的86.2%。</w:t>
      </w:r>
    </w:p>
    <w:p>
      <w:pPr>
        <w:spacing w:before="0" w:after="200" w:lineRule="auto" w:line="276"/>
      </w:pPr>
      <w:r>
        <w:rPr>
          <w:b/>
        </w:rPr>
        <w:t xml:space="preserve">Abstract (EN): </w:t>
      </w:r>
      <w:r>
        <w:t>Na4Fe3(PO4)2P2O7 is a potential cathode for sodium-ion batteries. However, its low electronic conductivity and insufficient Na+ diffusion kinetics severely hinder practical application. Herein, this study proposes a lattice confinement-coupled local bond anchoring strategy, where the profound overlap between the vacant t2g (d0) orbitals of Ti4+ and O 2p orbitals within the confined space enhances π-bond coupling hybridization. This enables rapid electron delocalization through the Ti–O–Fe network and intrinsically improves the electrical conductivity. Simultaneously, rigid [TiO6] units anchor the lattice strain, confining it to microscopic regions and suppressing destructive macroscopic deformation. As a result, the Na3.90Fe2.95Ti0.05(PO4)2P2O7 retained 86.2% of its capacity after 2000 cycles at 10 C. Furthermore, at −40 °C, it delivers a reversible capacity of 90.43 mAh·g–1 at 0.5 C (vs 91.88% of room temperature). This demonstrates that the lattice-confinement-based design paradigm successfully unlocks the immense potential of sodium-ion batteries.</w:t>
      </w:r>
    </w:p>
    <w:p>
      <w:pPr>
        <w:spacing w:before="120" w:after="120"/>
      </w:pPr>
      <w:r>
        <w:rPr>
          <w:sz w:val="18"/>
        </w:rPr>
        <w:t>——————————————————————————————————————————————————————————————————————</w:t>
      </w:r>
    </w:p>
    <w:p>
      <w:pPr>
        <w:spacing w:before="160" w:after="40" w:line="240" w:lineRule="auto"/>
      </w:pPr>
      <w:r>
        <w:rPr>
          <w:b/>
        </w:rPr>
        <w:t xml:space="preserve">[197] </w:t>
      </w:r>
      <w:hyperlink r:id="rId315">
        <w:r>
          <w:rPr>
            <w:color w:val="1155CC"/>
            <w:u w:val="single"/>
          </w:rPr>
          <w:t>[ASAP] 用于HER2信号库和癌症治疗的微规模2D抗体阵列</w:t>
        </w:r>
      </w:hyperlink>
    </w:p>
    <w:p>
      <w:pPr>
        <w:spacing w:before="0" w:after="80"/>
      </w:pPr>
      <w:r>
        <w:rPr>
          <w:i/>
          <w:sz w:val="20"/>
        </w:rPr>
        <w:t>EN: [ASAP] Micron-Scale 2D Antibody Arrays for HER2 Signaling Blockade and Cancer Therapy</w:t>
      </w:r>
    </w:p>
    <w:p>
      <w:pPr>
        <w:spacing w:before="0" w:after="120"/>
      </w:pPr>
      <w:r>
        <w:rPr>
          <w:b/>
        </w:rPr>
        <w:t xml:space="preserve">Source: </w:t>
      </w:r>
      <w:r>
        <w:t>Journal of the American Chemical Society: Latest Articles (ACS Publications)</w:t>
      </w:r>
      <w:r>
        <w:t xml:space="preserve">    </w:t>
      </w:r>
      <w:r>
        <w:rPr>
          <w:b/>
        </w:rPr>
        <w:t xml:space="preserve">Pub date: </w:t>
      </w:r>
      <w:r>
        <w:t>2026-02-23 14:43:29+00:00</w:t>
      </w:r>
      <w:r>
        <w:t xml:space="preserve">    </w:t>
      </w:r>
      <w:r>
        <w:rPr>
          <w:b/>
        </w:rPr>
        <w:t xml:space="preserve">DOI: </w:t>
      </w:r>
      <w:hyperlink r:id="rId316">
        <w:r>
          <w:rPr>
            <w:color w:val="1155CC"/>
            <w:u w:val="single"/>
          </w:rPr>
          <w:t>10.1021/jacs.5c22627</w:t>
        </w:r>
      </w:hyperlink>
    </w:p>
    <w:p>
      <w:pPr>
        <w:spacing w:before="0" w:after="120"/>
      </w:pPr>
      <w:r>
        <w:rPr>
          <w:b/>
        </w:rPr>
        <w:t xml:space="preserve">Notes: </w:t>
      </w:r>
      <w:r>
        <w:t>abstract_source=openalex</w:t>
      </w:r>
    </w:p>
    <w:p>
      <w:pPr>
        <w:spacing w:before="0" w:after="80" w:lineRule="auto" w:line="276"/>
      </w:pPr>
      <w:r>
        <w:rPr>
          <w:b/>
        </w:rPr>
        <w:t xml:space="preserve">摘要（ZH）: </w:t>
      </w:r>
      <w:r>
        <w:t>针对人类上皮生长因子受体2 (HER2) 的单克隆抗体(mAbs) 以人类上皮生长因子受体2 (HER2) 为对象的单细胞抗体(mAbs) 被广泛用于治疗乳房、胃和其他固态肿瘤。然而,快速的HER2内分泌和再循环有助于低反应率和治疗抗抗药性。在这里,我们引入了RhuA-P(自组装蛋白),一种形成统一体的自组蛋白质,缩微尺寸的2D阵列(2.4×2.4 微克/2.4 微米),其中含有空间可定位的 mAB conjugation Protein G 站点。这个设计可以控制抗体密度(每阵列22-274个分子分子分子)和间分子间距(57-230纳米) 。我们发现,RhuA-P(P) 抑制HER2的分化,将HH2聚体聚体聚入由 2D TM 地质测量所决定的微型非活动区域,并延长接收器膜保留。</w:t>
      </w:r>
    </w:p>
    <w:p>
      <w:pPr>
        <w:spacing w:before="0" w:after="200" w:lineRule="auto" w:line="276"/>
      </w:pPr>
      <w:r>
        <w:rPr>
          <w:b/>
        </w:rPr>
        <w:t xml:space="preserve">Abstract (EN): </w:t>
      </w:r>
      <w:r>
        <w:t>Monoclonal antibodies (mAbs) targeting the human epidermal growth factor receptor 2 (HER2) are widely used in the treatment of breast, gastric, and other solid tumors. However, rapid HER2 endocytosis and recycling contribute to low response rates and treatment resistance. Here, we introduce RhuA-P, a self-assembling protein that forms uniform, micron-sized 2D arrays (2.4 × 2.4 μm) featuring spatially addressable Protein G sites for mAb conjugation. This design allows control over antibody density (22-274 molecules per array) and intermolecular spacing (57-230 nm). We show that trastuzumab (TmAb) arrays templated on RhuA-P inhibit HER2 dimerization, cluster HER2 into micron-scale inactive domains dictated by the 2D TmAb geometry, and prolong receptor membrane retention by blocking endocytosis. This sustained blockade of HER2 signaling induces oxidative stress and triggers potent apoptosis. In a murine breast cancer model, TmAb arrays exhibited superior antitumor efficacy compared to free TmAb. Moreover, the modular design of RhuA-P makes it a versatile platform for assembling other clinically relevant mAbs─such as anti-PD-1 and anti-PD-L1 antibodies─offering a generalized strategy for enhancing antibody-based therapies.</w:t>
      </w:r>
    </w:p>
    <w:p>
      <w:pPr>
        <w:spacing w:before="120" w:after="120"/>
      </w:pPr>
      <w:r>
        <w:rPr>
          <w:sz w:val="18"/>
        </w:rPr>
        <w:t>——————————————————————————————————————————————————————————————————————</w:t>
      </w:r>
    </w:p>
    <w:p>
      <w:pPr>
        <w:spacing w:before="160" w:after="40" w:line="240" w:lineRule="auto"/>
      </w:pPr>
      <w:r>
        <w:rPr>
          <w:b/>
        </w:rPr>
        <w:t xml:space="preserve">[198] </w:t>
      </w:r>
      <w:hyperlink r:id="rId317">
        <w:r>
          <w:rPr>
            <w:color w:val="1155CC"/>
            <w:u w:val="single"/>
          </w:rPr>
          <w:t>[ASAP] 与铁基探针结合的用于调节乳腺癌中米托贡德里功能和恒温的聚氯二烯二硝基苯二烯酯</w:t>
        </w:r>
      </w:hyperlink>
    </w:p>
    <w:p>
      <w:pPr>
        <w:spacing w:before="0" w:after="80"/>
      </w:pPr>
      <w:r>
        <w:rPr>
          <w:i/>
          <w:sz w:val="20"/>
        </w:rPr>
        <w:t>EN: [ASAP] Succinylated D-Type Neuropeptide Integrated with Iron-Based Probes for Regulating Mitochondrial Function and Homeostasis in Breast Cancer</w:t>
      </w:r>
    </w:p>
    <w:p>
      <w:pPr>
        <w:spacing w:before="0" w:after="120"/>
      </w:pPr>
      <w:r>
        <w:rPr>
          <w:b/>
        </w:rPr>
        <w:t xml:space="preserve">Source: </w:t>
      </w:r>
      <w:r>
        <w:t>Journal of the American Chemical Society: Latest Articles (ACS Publications)</w:t>
      </w:r>
      <w:r>
        <w:t xml:space="preserve">    </w:t>
      </w:r>
      <w:r>
        <w:rPr>
          <w:b/>
        </w:rPr>
        <w:t xml:space="preserve">Pub date: </w:t>
      </w:r>
      <w:r>
        <w:t>2026-02-23 15:02:11+00:00</w:t>
      </w:r>
      <w:r>
        <w:t xml:space="preserve">    </w:t>
      </w:r>
      <w:r>
        <w:rPr>
          <w:b/>
        </w:rPr>
        <w:t xml:space="preserve">DOI: </w:t>
      </w:r>
      <w:hyperlink r:id="rId318">
        <w:r>
          <w:rPr>
            <w:color w:val="1155CC"/>
            <w:u w:val="single"/>
          </w:rPr>
          <w:t>10.1021/jacs.5c20947</w:t>
        </w:r>
      </w:hyperlink>
    </w:p>
    <w:p>
      <w:pPr>
        <w:spacing w:before="0" w:after="120"/>
      </w:pPr>
      <w:r>
        <w:rPr>
          <w:b/>
        </w:rPr>
        <w:t xml:space="preserve">Notes: </w:t>
      </w:r>
      <w:r>
        <w:t>abstract_source=openalex</w:t>
      </w:r>
    </w:p>
    <w:p>
      <w:pPr>
        <w:spacing w:before="0" w:after="80" w:lineRule="auto" w:line="276"/>
      </w:pPr>
      <w:r>
        <w:rPr>
          <w:b/>
        </w:rPr>
        <w:t xml:space="preserve">摘要（ZH）: </w:t>
      </w:r>
      <w:r>
        <w:t>尽管突变作为一种翻译后修改在调节细胞软体保持和代谢途径方面具有关键作用,但精确控制线粒体体功能和引发乳腺癌中多孔化的软体静态以诱发乳腺癌中的多孔化中毒仍然是一个重大挑战。在本研究中,我们设计了一种闪光D型神经激素,结合了铁基探针,目的是通过SIMRT5通过SIMRT5调解的稀释来调节线粒体功能和软体保持。该探针有选择地通过Y &lt;sub&gt;1 &lt;/sub&gt;受体-中位内分泌系统将探针送到乳腺癌细胞,在那里它会进行SIRT5-催化微粒变异作用。这种酶变异导致D型神经激素的二级结构发生重大变化,将探针转化为agg。</w:t>
      </w:r>
    </w:p>
    <w:p>
      <w:pPr>
        <w:spacing w:before="0" w:after="200" w:lineRule="auto" w:line="276"/>
      </w:pPr>
      <w:r>
        <w:rPr>
          <w:b/>
        </w:rPr>
        <w:t xml:space="preserve">Abstract (EN): </w:t>
      </w:r>
      <w:r>
        <w:t>Despite the critical role of succinylation as a posttranslational modification in regulating cellular homeostasis and metabolic pathways, achieving precise control over mitochondrial function and homeostasis to induce apoptosis in breast cancer remains a significant challenge. In this study, we designed a succinylated D-type neuropeptide integrated with an iron-based probe aimed at regulating mitochondrial function and homeostasis through SIRT5-mediated desuccinylation. The probe is selectively delivered to breast cancer cells via Y&lt;sub&gt;1&lt;/sub&gt; receptor-mediated endocytosis, where it undergoes SIRT5-catalyzed desuccinylation within the mitochondria. This enzymatic modification induces substantial changes in the secondary structure of the D-type neuropeptide, transforming the probe into aggregates that disrupt the mitochondrial membrane potential and electron transport. By interacting competitively with cellular desuccinylation pathways, this probe further disturbs cellular homeostasis, ultimately leading to apoptosis in tumor cells. Additionally, we observe the upregulation of key genes associated with inflammation and ferroptosis, which may contribute to the establishment of an inflammatory microenvironment, thereby enhancing the antitumor effect. Notably, the aggregation process shifts the magnetic resonance imaging (MRI) contrast from T&lt;sub&gt;1&lt;/sub&gt; to T&lt;sub&gt;2&lt;/sub&gt;, enabling the real-time visualization of mitochondrial perturbations. This work establishes a versatile platform for designing neuropeptide-based nanoprobes with diagnostic and therapeutic potential for the treatment of breast cancer.</w:t>
      </w:r>
    </w:p>
    <w:p>
      <w:pPr>
        <w:spacing w:before="120" w:after="120"/>
      </w:pPr>
      <w:r>
        <w:rPr>
          <w:sz w:val="18"/>
        </w:rPr>
        <w:t>——————————————————————————————————————————————————————————————————————</w:t>
      </w:r>
    </w:p>
    <w:p>
      <w:pPr>
        <w:spacing w:before="160" w:after="40" w:line="240" w:lineRule="auto"/>
      </w:pPr>
      <w:r>
        <w:rPr>
          <w:b/>
        </w:rPr>
        <w:t xml:space="preserve">[199] </w:t>
      </w:r>
      <w:hyperlink r:id="rId319">
        <w:r>
          <w:rPr>
            <w:color w:val="1155CC"/>
            <w:u w:val="single"/>
          </w:rPr>
          <w:t>[ASAP]在用质子检测到的固态NMR确定E. 细胞膜膜膜薄膜的薄膜蛋白质的锡图结构中</w:t>
        </w:r>
      </w:hyperlink>
    </w:p>
    <w:p>
      <w:pPr>
        <w:spacing w:before="0" w:after="80"/>
      </w:pPr>
      <w:r>
        <w:rPr>
          <w:i/>
          <w:sz w:val="20"/>
        </w:rPr>
        <w:t>EN: [ASAP] In Situ Structure Determination of a Membrane Protein in E. coli Cellular Membranes by Proton-Detected Solid-State NMR</w:t>
      </w:r>
    </w:p>
    <w:p>
      <w:pPr>
        <w:spacing w:before="0" w:after="120"/>
      </w:pPr>
      <w:r>
        <w:rPr>
          <w:b/>
        </w:rPr>
        <w:t xml:space="preserve">Source: </w:t>
      </w:r>
      <w:r>
        <w:t>Journal of the American Chemical Society: Latest Articles (ACS Publications)</w:t>
      </w:r>
      <w:r>
        <w:t xml:space="preserve">    </w:t>
      </w:r>
      <w:r>
        <w:rPr>
          <w:b/>
        </w:rPr>
        <w:t xml:space="preserve">Pub date: </w:t>
      </w:r>
      <w:r>
        <w:t>2026-02-23 15:19:41+00:00</w:t>
      </w:r>
      <w:r>
        <w:t xml:space="preserve">    </w:t>
      </w:r>
      <w:r>
        <w:rPr>
          <w:b/>
        </w:rPr>
        <w:t xml:space="preserve">DOI: </w:t>
      </w:r>
      <w:hyperlink r:id="rId320">
        <w:r>
          <w:rPr>
            <w:color w:val="1155CC"/>
            <w:u w:val="single"/>
          </w:rPr>
          <w:t>10.1021/jacs.5c19046</w:t>
        </w:r>
      </w:hyperlink>
    </w:p>
    <w:p>
      <w:pPr>
        <w:spacing w:before="0" w:after="120"/>
      </w:pPr>
      <w:r>
        <w:rPr>
          <w:b/>
        </w:rPr>
        <w:t xml:space="preserve">Notes: </w:t>
      </w:r>
      <w:r>
        <w:t>abstract_source=pubmed</w:t>
      </w:r>
    </w:p>
    <w:p>
      <w:pPr>
        <w:spacing w:before="0" w:after="80" w:lineRule="auto" w:line="276"/>
      </w:pPr>
      <w:r>
        <w:rPr>
          <w:b/>
        </w:rPr>
        <w:t xml:space="preserve">摘要（ZH）: </w:t>
      </w:r>
      <w:r>
        <w:t>在研究中,我们提出了一个质子探测到的固态NMR (sNMR) 质子探测固态NMR (40-60 kHz) 方法,结合一种优化的减少相邻质子(RAP) 标签战略,以确定大型导体机械敏感信道(MMCL)的高分辨率结构,直接在本地E. coli membranes(RMSD背骨=1.9 )内部确定。我们的方法有效地抑制了背景蛋白信号,并在中度MAS频率(40-60 kHz)实现高光谱分辨率和灵敏度(40-60 kHz),通过微调沉淀和侧链质子水平。我们利用先进的重新组合办法,获得了3D HCCH Spe的侧链质的化学转移任务。</w:t>
      </w:r>
    </w:p>
    <w:p>
      <w:pPr>
        <w:spacing w:before="0" w:after="200" w:lineRule="auto" w:line="276"/>
      </w:pPr>
      <w:r>
        <w:rPr>
          <w:b/>
        </w:rPr>
        <w:t xml:space="preserve">Abstract (EN): </w:t>
      </w:r>
      <w:r>
        <w:t>Determining the structure of membrane proteins within their native cellular membranes remains a substantial challenge in structural biology. In this study, we present a proton-detected solid-state NMR (ssNMR) approach, combined with an optimized reduced adjoining protonation (RAP) labeling strategy, to determine the high-resolution structure of the large-conductance mechanosensitive channel (MscL) directly within native E. coli membranes (backbone RMSD = 1.9 Å). Our approach effectively suppresses background protein signals and achieves high spectral resolution and sensitivity at moderate MAS frequencies (40-60 kHz) by differentially tuning amide and side-chain protonation levels. Using advanced recoupling schemes, we obtained chemical shift assignments of side-chain protons by 3D hCCH spectra and 1H-1H distance restraints from a series of 3D hNHH spectra. With 10% protonation in side-chains, the 1H signals exhibited line widths of approximately 50 Hz, facilitating the extraction of 49 long-range distance restraints between amide and side-chain protons, which are crucial for structural convergence. Ambiguities in the assignment of weak signals corresponding to distance restraints were resolved by integrating 3D hNHH experimental data with CS-Rosetta structural modeling. The resulting structure reveals a well-defined pentameric assembly with transmembrane helix packing consistent with that observed in detergent environments. This study demonstrates significant sensitivity advantages of 1H-detected over 13C-detected in situ ssNMR methods, highlighting the potential of 1H-detected ssNMR for the structure determination of a broad range of membrane proteins in native membranes.</w:t>
      </w:r>
    </w:p>
    <w:p>
      <w:pPr>
        <w:spacing w:before="120" w:after="120"/>
      </w:pPr>
      <w:r>
        <w:rPr>
          <w:sz w:val="18"/>
        </w:rPr>
        <w:t>——————————————————————————————————————————————————————————————————————</w:t>
      </w:r>
    </w:p>
    <w:p>
      <w:pPr>
        <w:spacing w:before="160" w:after="40" w:line="240" w:lineRule="auto"/>
      </w:pPr>
      <w:r>
        <w:rPr>
          <w:b/>
        </w:rPr>
        <w:t xml:space="preserve">[200] </w:t>
      </w:r>
      <w:hyperlink r:id="rId321">
        <w:r>
          <w:rPr>
            <w:color w:val="1155CC"/>
            <w:u w:val="single"/>
          </w:rPr>
          <w:t>[ASAP] Anion-Binding 催化分析环环开放聚合化产生的聚(1,3-二氧醇)扶持控制合成合成</w:t>
        </w:r>
      </w:hyperlink>
    </w:p>
    <w:p>
      <w:pPr>
        <w:spacing w:before="0" w:after="80"/>
      </w:pPr>
      <w:r>
        <w:rPr>
          <w:i/>
          <w:sz w:val="20"/>
        </w:rPr>
        <w:t>EN: [ASAP] Enabling Controlled Synthesis of Poly(1,3-dioxolane) by Anion-Binding Catalytic Cationic Ring-Opening Polymerization</w:t>
      </w:r>
    </w:p>
    <w:p>
      <w:pPr>
        <w:spacing w:before="0" w:after="120"/>
      </w:pPr>
      <w:r>
        <w:rPr>
          <w:b/>
        </w:rPr>
        <w:t xml:space="preserve">Source: </w:t>
      </w:r>
      <w:r>
        <w:t>Journal of the American Chemical Society: Latest Articles (ACS Publications)</w:t>
      </w:r>
      <w:r>
        <w:t xml:space="preserve">    </w:t>
      </w:r>
      <w:r>
        <w:rPr>
          <w:b/>
        </w:rPr>
        <w:t xml:space="preserve">Pub date: </w:t>
      </w:r>
      <w:r>
        <w:t>2026-02-23 15:23:17+00:00</w:t>
      </w:r>
      <w:r>
        <w:t xml:space="preserve">    </w:t>
      </w:r>
      <w:r>
        <w:rPr>
          <w:b/>
        </w:rPr>
        <w:t xml:space="preserve">DOI: </w:t>
      </w:r>
      <w:hyperlink r:id="rId322">
        <w:r>
          <w:rPr>
            <w:color w:val="1155CC"/>
            <w:u w:val="single"/>
          </w:rPr>
          <w:t>10.1021/jacs.5c18989</w:t>
        </w:r>
      </w:hyperlink>
    </w:p>
    <w:p>
      <w:pPr>
        <w:spacing w:before="0" w:after="120"/>
      </w:pPr>
      <w:r>
        <w:rPr>
          <w:b/>
        </w:rPr>
        <w:t xml:space="preserve">Notes: </w:t>
      </w:r>
      <w:r>
        <w:t>abstract_source=pubmed</w:t>
      </w:r>
    </w:p>
    <w:p>
      <w:pPr>
        <w:spacing w:before="0" w:after="80" w:lineRule="auto" w:line="276"/>
      </w:pPr>
      <w:r>
        <w:rPr>
          <w:b/>
        </w:rPr>
        <w:t xml:space="preserve">摘要（ZH）: </w:t>
      </w:r>
      <w:r>
        <w:t>聚酚(1,3-二氧酚) (PDXL)是一种充满希望的可化学再循环的可再循环热塑性材料,具有丰富的单体供应和极好的物理特性,但是其广泛的商业应用却受到合成挑战的阻碍,特别是在控制分子重量和链端对等方面。在这里,我们引入了一种具有阴离子约束力的催化催化环开环聚合(CROP)战略,以便在温和条件下对PDXL进行有控制的合成,其方法是战略性地利用超环二氧磷催化剂和商用Me3SiX(X = I 或 OTf) 催化剂和商用Me3SiX(X = I 或 OTf) 启动者。聚合通过一种非共生的无共生约束力原则来控制可反作用的CROP进程。值得注意的是,M3SiX 启动者不仅起到聚合作用,而且还起到“ma”的作用。</w:t>
      </w:r>
    </w:p>
    <w:p>
      <w:pPr>
        <w:spacing w:before="0" w:after="200" w:lineRule="auto" w:line="276"/>
      </w:pPr>
      <w:r>
        <w:rPr>
          <w:b/>
        </w:rPr>
        <w:t xml:space="preserve">Abstract (EN): </w:t>
      </w:r>
      <w:r>
        <w:t>Poly(1,3-dioxolane) (PDXL) is a promising chemically recyclable thermoplastic material with abundant monomer availability and excellent physical properties, yet its widespread commercial application has been hindered by synthetic challenges, particularly in controlling molecular weights and chain-end fidelities. Here, we introduce an anion-binding catalytic cationic ring-opening polymerization (CROP) strategy to enable controlled synthesis of PDXL under mild conditions, by strategically utilizing a selenocyclodiphosph(V)azane catalyst and commercial Me3SiX (X = I or OTf) initiators. The polymerization operates via a noncovalent anion-binding principle to tame the reversible-deactivation CROP process. Notably, the Me3SiX initiator serves not only to initiate polymerization but also as a "mask" for the α-chain end, which is cleanly converted to a hydroxyl group upon quenching to ensure telechelic fidelity. This design further allows on-demand modulation of transient concentration of cationic species through counteranion engineering: using the low nucleofugality of I- minimizes competitive cyclization and ensures precise synthesis of low-molecular-weight (MW) α,ω-dihydroxy telechelic PDXL (4.2-24.4 kDa), whereas selecting the highly nucleofugal OTf- coupled with a proton trap facilitates rapid propagation to high-MW PDXL (up to 562.0 kDa).</w:t>
      </w:r>
    </w:p>
    <w:p>
      <w:pPr>
        <w:spacing w:before="120" w:after="120"/>
      </w:pPr>
      <w:r>
        <w:rPr>
          <w:sz w:val="18"/>
        </w:rPr>
        <w:t>——————————————————————————————————————————————————————————————————————</w:t>
      </w:r>
    </w:p>
    <w:p>
      <w:pPr>
        <w:spacing w:before="160" w:after="40" w:line="240" w:lineRule="auto"/>
      </w:pPr>
      <w:r>
        <w:rPr>
          <w:b/>
        </w:rPr>
        <w:t xml:space="preserve">[201] </w:t>
      </w:r>
      <w:hyperlink r:id="rId323">
        <w:r>
          <w:rPr>
            <w:color w:val="1155CC"/>
            <w:u w:val="single"/>
          </w:rPr>
          <w:t>[APAP]一个小分子,该分子在Staphylococccus Aureus 中不比受量遥感受体AgrC</w:t>
        </w:r>
      </w:hyperlink>
    </w:p>
    <w:p>
      <w:pPr>
        <w:spacing w:before="0" w:after="80"/>
      </w:pPr>
      <w:r>
        <w:rPr>
          <w:i/>
          <w:sz w:val="20"/>
        </w:rPr>
        <w:t>EN: [ASAP] A Small Molecule That Inhibits the Quorum Sensing Receptor AgrC in Staphylococcus aureus</w:t>
      </w:r>
    </w:p>
    <w:p>
      <w:pPr>
        <w:spacing w:before="0" w:after="120"/>
      </w:pPr>
      <w:r>
        <w:rPr>
          <w:b/>
        </w:rPr>
        <w:t xml:space="preserve">Source: </w:t>
      </w:r>
      <w:r>
        <w:t>Journal of the American Chemical Society: Latest Articles (ACS Publications)</w:t>
      </w:r>
      <w:r>
        <w:t xml:space="preserve">    </w:t>
      </w:r>
      <w:r>
        <w:rPr>
          <w:b/>
        </w:rPr>
        <w:t xml:space="preserve">Pub date: </w:t>
      </w:r>
      <w:r>
        <w:t>2026-02-23 15:42:06+00:00</w:t>
      </w:r>
      <w:r>
        <w:t xml:space="preserve">    </w:t>
      </w:r>
      <w:r>
        <w:rPr>
          <w:b/>
        </w:rPr>
        <w:t xml:space="preserve">DOI: </w:t>
      </w:r>
      <w:hyperlink r:id="rId324">
        <w:r>
          <w:rPr>
            <w:color w:val="1155CC"/>
            <w:u w:val="single"/>
          </w:rPr>
          <w:t>10.1021/jacs.5c21051</w:t>
        </w:r>
      </w:hyperlink>
    </w:p>
    <w:p>
      <w:pPr>
        <w:spacing w:before="0" w:after="120"/>
      </w:pPr>
      <w:r>
        <w:rPr>
          <w:b/>
        </w:rPr>
        <w:t xml:space="preserve">Notes: </w:t>
      </w:r>
      <w:r>
        <w:t>abstract_source=openalex</w:t>
      </w:r>
    </w:p>
    <w:p>
      <w:pPr>
        <w:spacing w:before="0" w:after="80" w:lineRule="auto" w:line="276"/>
      </w:pPr>
      <w:r>
        <w:rPr>
          <w:b/>
        </w:rPr>
        <w:t xml:space="preserve">摘要（ZH）: </w:t>
      </w:r>
      <w:r>
        <w:t>我们报告对一个小分子CP-20的合成和定性,该分子能够抑制&lt;i&gt;Staphylococcus aureus &lt;/i&gt;中的关键法定人数感测受体AgrC。 结构改变使得能够发现一种CP-20衍生物,这种衍生物能够以中豆类能量完全受法定人数感测抑制。 &lt;i&gt;体外 &lt;/i &gt; 生物化学调查支持CP-20约束的AgrC,并有竞争力地抑制其活动。 CP-20代表一个通过法定人数感测调控调查Staphylococal vurence的多功能和合成可移动的小分子探测器。</w:t>
      </w:r>
    </w:p>
    <w:p>
      <w:pPr>
        <w:spacing w:before="0" w:after="200" w:lineRule="auto" w:line="276"/>
      </w:pPr>
      <w:r>
        <w:rPr>
          <w:b/>
        </w:rPr>
        <w:t xml:space="preserve">Abstract (EN): </w:t>
      </w:r>
      <w:r>
        <w:t>We report the synthesis and characterization of a small molecule, CP-20, capable of inhibiting the key quorum sensing receptor AgrC in &lt;i&gt;Staphylococcus aureus&lt;/i&gt;. Structural alterations enabled the discovery of a CP-20 derivative that is capable of complete quorum sensing inhibition with mid-nanomolar potency. &lt;i&gt;In vitro&lt;/i&gt; biochemical investigations support CP-20 binding AgrC and competitively inhibiting its activity. CP-20 represents a versatile and synthetically tractable small molecule probe for investigating Staphylococcal virulence via quorum sensing modulation.</w:t>
      </w:r>
    </w:p>
    <w:p>
      <w:pPr>
        <w:spacing w:before="120" w:after="120"/>
      </w:pPr>
      <w:r>
        <w:rPr>
          <w:sz w:val="18"/>
        </w:rPr>
        <w:t>——————————————————————————————————————————————————————————————————————</w:t>
      </w:r>
    </w:p>
    <w:p>
      <w:pPr>
        <w:spacing w:before="160" w:after="40" w:line="240" w:lineRule="auto"/>
      </w:pPr>
      <w:r>
        <w:rPr>
          <w:b/>
        </w:rPr>
        <w:t xml:space="preserve">[202] </w:t>
      </w:r>
      <w:hyperlink r:id="rId325">
        <w:r>
          <w:rPr>
            <w:color w:val="1155CC"/>
            <w:u w:val="single"/>
          </w:rPr>
          <w:t>[ASAP] 用于高效全氟化碳分解的热解原子-工程原子电场激活 C-F 债券</w:t>
        </w:r>
      </w:hyperlink>
    </w:p>
    <w:p>
      <w:pPr>
        <w:spacing w:before="0" w:after="80"/>
      </w:pPr>
      <w:r>
        <w:rPr>
          <w:i/>
          <w:sz w:val="20"/>
        </w:rPr>
        <w:t>EN: [ASAP] Heteroatom-Engineered Atomic Electric Fields Activate C–F Bond for Efficient Perfluorocarbon Decomposition</w:t>
      </w:r>
    </w:p>
    <w:p>
      <w:pPr>
        <w:spacing w:before="0" w:after="120"/>
      </w:pPr>
      <w:r>
        <w:rPr>
          <w:b/>
        </w:rPr>
        <w:t xml:space="preserve">Source: </w:t>
      </w:r>
      <w:r>
        <w:t>Journal of the American Chemical Society: Latest Articles (ACS Publications)</w:t>
      </w:r>
      <w:r>
        <w:t xml:space="preserve">    </w:t>
      </w:r>
      <w:r>
        <w:rPr>
          <w:b/>
        </w:rPr>
        <w:t xml:space="preserve">Pub date: </w:t>
      </w:r>
      <w:r>
        <w:t>2026-02-23 15:42:14+00:00</w:t>
      </w:r>
      <w:r>
        <w:t xml:space="preserve">    </w:t>
      </w:r>
      <w:r>
        <w:rPr>
          <w:b/>
        </w:rPr>
        <w:t xml:space="preserve">DOI: </w:t>
      </w:r>
      <w:hyperlink r:id="rId326">
        <w:r>
          <w:rPr>
            <w:color w:val="1155CC"/>
            <w:u w:val="single"/>
          </w:rPr>
          <w:t>10.1021/jacs.5c23226</w:t>
        </w:r>
      </w:hyperlink>
    </w:p>
    <w:p>
      <w:pPr>
        <w:spacing w:before="0" w:after="120"/>
      </w:pPr>
      <w:r>
        <w:rPr>
          <w:b/>
        </w:rPr>
        <w:t xml:space="preserve">Notes: </w:t>
      </w:r>
      <w:r>
        <w:t>abstract_source=pubmed</w:t>
      </w:r>
    </w:p>
    <w:p>
      <w:pPr>
        <w:spacing w:before="0" w:after="80" w:lineRule="auto" w:line="276"/>
      </w:pPr>
      <w:r>
        <w:rPr>
          <w:b/>
        </w:rPr>
        <w:t xml:space="preserve">摘要（ZH）: </w:t>
      </w:r>
      <w:r>
        <w:t>四氟甲烷(CF4)是化学作用最强的惰性全氟烷基物质之一,由于其超强的C-F介质,对催化分解构成巨大的挑战。这里,我们报告了一个强大的原子规模地方电场工程战略,能够高效地激活和分解CF4(LEF),将Ga-Zn双重原子纳入Al2O3(Ga1Zn1/AL2O3),从而产生一个高度强化和空间封闭的电场(x3x1010N/C)。可见特征特征显示,LEF放大了邻近的Al-III三相协调场址的刘易斯酸性,大大加强了通过内部两极化的CF4吸附,并促进了C-F联系的伸展和裂变。因此,Ga1Zn1/AL2O3催化剂交付了折合体。</w:t>
      </w:r>
    </w:p>
    <w:p>
      <w:pPr>
        <w:spacing w:before="0" w:after="200" w:lineRule="auto" w:line="276"/>
      </w:pPr>
      <w:r>
        <w:rPr>
          <w:b/>
        </w:rPr>
        <w:t xml:space="preserve">Abstract (EN): </w:t>
      </w:r>
      <w:r>
        <w:t>Tetrafluoromethane (CF4), among the most chemically inert per- and polyfluoroalkyl substances (PFAS), poses a formidable challenge for catalytic decomposition due to its exceptionally strong C-F bonds. Here, we report a strong atomic-scale local electric-field (LEF) engineering strategy that enables efficient CF4 activation and decomposition. By incorporating Ga-Zn dual-atom into Al2O3 (Ga1Zn1/Al2O3), it generates a highly intensified and spatially confined electric field (∼3 × 1010 N/C). Spectroscopic characterizations reveal that this LEF amplifies the Lewis acidity of neighboring tricoordination Al (AlIII) sites, significantly strengthens CF4 adsorption through interfacial polarization, and promotes C-F bond stretching and cleavage. As a result, the Ga1Zn1/Al2O3 catalyst delivers complete CF4 conversion at an ultralow temperature of 540 °C, exhibiting an apparent turnover frequency 4.5 times higher and an apparent activation energy nearly half that of pristine Al2O3. The catalyst also demonstrates exceptional durability, maintaining 100% conversion for over 600 h under continuous operation, indicating robust structural and catalytic stability. This work establishes dual-atom-induced LEF engineering as a powerful strategy for activating ultrastable fluorocarbons and offers a promising pathway toward sustainable degradation of persistent perfluorinated pollutants.</w:t>
      </w:r>
    </w:p>
    <w:p>
      <w:pPr>
        <w:spacing w:before="120" w:after="120"/>
      </w:pPr>
      <w:r>
        <w:rPr>
          <w:sz w:val="18"/>
        </w:rPr>
        <w:t>——————————————————————————————————————————————————————————————————————</w:t>
      </w:r>
    </w:p>
    <w:p>
      <w:pPr>
        <w:spacing w:before="160" w:after="40" w:line="240" w:lineRule="auto"/>
      </w:pPr>
      <w:r>
        <w:rPr>
          <w:b/>
        </w:rPr>
        <w:t xml:space="preserve">[203] </w:t>
      </w:r>
      <w:hyperlink r:id="rId327">
        <w:r>
          <w:rPr>
            <w:color w:val="1155CC"/>
            <w:u w:val="single"/>
          </w:rPr>
          <w:t>[ASAP] 短程短程框架命令,在Spinel-Type Li对等导体中观测到</w:t>
        </w:r>
      </w:hyperlink>
    </w:p>
    <w:p>
      <w:pPr>
        <w:spacing w:before="0" w:after="80"/>
      </w:pPr>
      <w:r>
        <w:rPr>
          <w:i/>
          <w:sz w:val="20"/>
        </w:rPr>
        <w:t>EN: [ASAP] Framework Short-Range Order Observed in a Spinel-Type Li Superionic Conductor</w:t>
      </w:r>
    </w:p>
    <w:p>
      <w:pPr>
        <w:spacing w:before="0" w:after="120"/>
      </w:pPr>
      <w:r>
        <w:rPr>
          <w:b/>
        </w:rPr>
        <w:t xml:space="preserve">Source: </w:t>
      </w:r>
      <w:r>
        <w:t>Journal of the American Chemical Society: Latest Articles (ACS Publications)</w:t>
      </w:r>
      <w:r>
        <w:t xml:space="preserve">    </w:t>
      </w:r>
      <w:r>
        <w:rPr>
          <w:b/>
        </w:rPr>
        <w:t xml:space="preserve">Pub date: </w:t>
      </w:r>
      <w:r>
        <w:t>2026-02-23 15:46:09+00:00</w:t>
      </w:r>
      <w:r>
        <w:t xml:space="preserve">    </w:t>
      </w:r>
      <w:r>
        <w:rPr>
          <w:b/>
        </w:rPr>
        <w:t xml:space="preserve">DOI: </w:t>
      </w:r>
      <w:hyperlink r:id="rId328">
        <w:r>
          <w:rPr>
            <w:color w:val="1155CC"/>
            <w:u w:val="single"/>
          </w:rPr>
          <w:t>10.1021/jacs.5c12231</w:t>
        </w:r>
      </w:hyperlink>
    </w:p>
    <w:p>
      <w:pPr>
        <w:spacing w:before="0" w:after="120"/>
      </w:pPr>
      <w:r>
        <w:rPr>
          <w:b/>
        </w:rPr>
        <w:t xml:space="preserve">Notes: </w:t>
      </w:r>
      <w:r>
        <w:t>abstract_source=openalex</w:t>
      </w:r>
    </w:p>
    <w:p>
      <w:pPr>
        <w:spacing w:before="0" w:after="80" w:lineRule="auto" w:line="276"/>
      </w:pPr>
      <w:r>
        <w:rPr>
          <w:b/>
        </w:rPr>
        <w:t xml:space="preserve">摘要（ZH）: </w:t>
      </w:r>
      <w:r>
        <w:t>虽然结构复杂性是其功能的核心,但往往产生短程序列,无法通过常规的基于碎片的常规技术探测出来,因此在建立精确的结构-财产关系时被忽略。在这项工作中,我们合成了最近发现的锂(Li)超光电导体Li &lt;sub&gt;16.2(1) &lt;/sub&gt;In &lt;sub9.00(2) &lt;/sub&gt;Sn &lt;sub&gt;1.10(1) &lt;/sub&gt;Osub&gt;23.8 &lt;/sub&gt;(LISO),以深入描述结构微妙之处。LISO展示了一个与大李超声光谱和面共享李网络相异的脊椎相似的阶段。</w:t>
      </w:r>
    </w:p>
    <w:p>
      <w:pPr>
        <w:spacing w:before="0" w:after="200" w:lineRule="auto" w:line="276"/>
      </w:pPr>
      <w:r>
        <w:rPr>
          <w:b/>
        </w:rPr>
        <w:t xml:space="preserve">Abstract (EN): </w:t>
      </w:r>
      <w:r>
        <w:t>Solid-state superionic conductors are characterized by rich structural disorders. Though structural complexities are central to their functionalities, they often give rise to short-range order that eludes detection by conventional diffraction-based techniques and is thus overlooked in establishing precise structure-property relationships. In this work, we synthesized single crystals of a recently discovered lithium (Li) superionic conductor Li&lt;sub&gt;16.2(1)&lt;/sub&gt;In&lt;sub&gt;9.00(2)&lt;/sub&gt;Sn&lt;sub&gt;1.10(1)&lt;/sub&gt;O&lt;sub&gt;23.8&lt;/sub&gt; (LISO) for in-depth characterizations of structural subtleties. LISO exhibits an unusual spinel-like phase with significant Li overstoichiometry and a face-sharing Li network. Single-crystal neutron diffraction confirms significant Li disorder, as manifested in Li site splitting and partial occupancy. More importantly, synchrotron diffuse scattering combined with 3D-ΔPDF analysis and Monte Carlo simulations reveal short-range order in the nonalkali framework that might contribute to the phase stability and ionic conductivity. This work showcases an example in which subtle local energetics can be directly visualized in structurally disordered ionic conductors.</w:t>
      </w:r>
    </w:p>
    <w:p>
      <w:pPr>
        <w:spacing w:before="120" w:after="120"/>
      </w:pPr>
      <w:r>
        <w:rPr>
          <w:sz w:val="18"/>
        </w:rPr>
        <w:t>——————————————————————————————————————————————————————————————————————</w:t>
      </w:r>
    </w:p>
    <w:p>
      <w:pPr>
        <w:spacing w:before="160" w:after="40" w:line="240" w:lineRule="auto"/>
      </w:pPr>
      <w:r>
        <w:rPr>
          <w:b/>
        </w:rPr>
        <w:t xml:space="preserve">[204] </w:t>
      </w:r>
      <w:hyperlink r:id="rId329">
        <w:r>
          <w:rPr>
            <w:color w:val="1155CC"/>
            <w:u w:val="single"/>
          </w:rPr>
          <w:t>[ASAP]因转移埃斯特斯而诱导的阿尔肯的催化远距离催化性远距离二卤化</w:t>
        </w:r>
      </w:hyperlink>
    </w:p>
    <w:p>
      <w:pPr>
        <w:spacing w:before="0" w:after="80"/>
      </w:pPr>
      <w:r>
        <w:rPr>
          <w:i/>
          <w:sz w:val="20"/>
        </w:rPr>
        <w:t>EN: [ASAP] Catalytic Remote Dihalogenation of Alkenes Induced by Transposition of Esters</w:t>
      </w:r>
    </w:p>
    <w:p>
      <w:pPr>
        <w:spacing w:before="0" w:after="120"/>
      </w:pPr>
      <w:r>
        <w:rPr>
          <w:b/>
        </w:rPr>
        <w:t xml:space="preserve">Source: </w:t>
      </w:r>
      <w:r>
        <w:t>Journal of the American Chemical Society: Latest Articles (ACS Publications)</w:t>
      </w:r>
      <w:r>
        <w:t xml:space="preserve">    </w:t>
      </w:r>
      <w:r>
        <w:rPr>
          <w:b/>
        </w:rPr>
        <w:t xml:space="preserve">Pub date: </w:t>
      </w:r>
      <w:r>
        <w:t>2026-02-23 16:04:17+00:00</w:t>
      </w:r>
      <w:r>
        <w:t xml:space="preserve">    </w:t>
      </w:r>
      <w:r>
        <w:rPr>
          <w:b/>
        </w:rPr>
        <w:t xml:space="preserve">DOI: </w:t>
      </w:r>
      <w:hyperlink r:id="rId330">
        <w:r>
          <w:rPr>
            <w:color w:val="1155CC"/>
            <w:u w:val="single"/>
          </w:rPr>
          <w:t>10.1021/jacs.5c20677</w:t>
        </w:r>
      </w:hyperlink>
    </w:p>
    <w:p>
      <w:pPr>
        <w:spacing w:before="0" w:after="120"/>
      </w:pPr>
      <w:r>
        <w:rPr>
          <w:b/>
        </w:rPr>
        <w:t xml:space="preserve">Notes: </w:t>
      </w:r>
      <w:r>
        <w:t>abstract_source=pubmed</w:t>
      </w:r>
    </w:p>
    <w:p>
      <w:pPr>
        <w:spacing w:before="0" w:after="80" w:lineRule="auto" w:line="276"/>
      </w:pPr>
      <w:r>
        <w:rPr>
          <w:b/>
        </w:rPr>
        <w:t xml:space="preserve">摘要（ZH）: </w:t>
      </w:r>
      <w:r>
        <w:t>有机卤化物在分子功能合成和药物中发挥着不可或缺的作用,推动不断努力制定有效的合成战略。虽然直接的烷卤化是卤化产品的理想途径,但常规方法通常限于1,2二卤化。我们在此报告磷二二二二氮化催化法,用于通过转移酯诱发的藻类的远距离二卤化。在不需要预先安装的指导组的情况下,这种方法在轻度和操作简单的条件下实现1,4-、1,3-和2,3-二卤化。终端/内部或切片/转口合用/热解酯在功能良好的群体容忍下顺利地进行远距离二卤化。初步机械学研究表明,催化剂是共生的。</w:t>
      </w:r>
    </w:p>
    <w:p>
      <w:pPr>
        <w:spacing w:before="0" w:after="200" w:lineRule="auto" w:line="276"/>
      </w:pPr>
      <w:r>
        <w:rPr>
          <w:b/>
        </w:rPr>
        <w:t xml:space="preserve">Abstract (EN): </w:t>
      </w:r>
      <w:r>
        <w:t>Organic halides play an indispensable role in functional molecule synthesis and pharmaceuticals, driving continuous efforts to develop efficient synthetic strategies. While direct alkene halogenation is an ideal route to halogenated products, conventional methods are typically limited to 1,2-dihalogenation. Here, we report a phosphordiamide-catalyzed strategy for remote dihalogenation of alkenes induced by transposition of esters. Without the need for preinstalled directing groups, this approach achieves 1,4-, 1,3-, and 2,3-dihalogenation of alkenes under mild and operationally simple conditions. Terminal/internal or cis/trans allylic/homoallylic esters undergo remote dihalogenation smoothly with good functional group tolerance. Preliminary mechanistic studies indicate that the catalyst cooperates with NBS and SOCl2 to form an active intermediate, which enables selective remote dihalogenation promoted by ester transposition. Moreover, the products are readily accessible via gram-scale preparations, and their diverse transformations further highlight the protocol's potential as a versatile synthetic platform.</w:t>
      </w:r>
    </w:p>
    <w:p>
      <w:pPr>
        <w:spacing w:before="120" w:after="120"/>
      </w:pPr>
      <w:r>
        <w:rPr>
          <w:sz w:val="18"/>
        </w:rPr>
        <w:t>——————————————————————————————————————————————————————————————————————</w:t>
      </w:r>
    </w:p>
    <w:p>
      <w:pPr>
        <w:spacing w:before="160" w:after="40" w:line="240" w:lineRule="auto"/>
      </w:pPr>
      <w:r>
        <w:rPr>
          <w:b/>
        </w:rPr>
        <w:t xml:space="preserve">[205] </w:t>
      </w:r>
      <w:hyperlink r:id="rId331">
        <w:r>
          <w:rPr>
            <w:color w:val="1155CC"/>
            <w:u w:val="single"/>
          </w:rPr>
          <w:t>[ASAP]扩大Nanomolar 19F NMR 氨基氨基氨基氨基氨基氨基氨基氨基氨基氨基氨基氨基氨基氨基氨基烷的光-CIDNP的分子范围</w:t>
        </w:r>
      </w:hyperlink>
    </w:p>
    <w:p>
      <w:pPr>
        <w:spacing w:before="0" w:after="80"/>
      </w:pPr>
      <w:r>
        <w:rPr>
          <w:i/>
          <w:sz w:val="20"/>
        </w:rPr>
        <w:t>EN: [ASAP] Expanding the Molecular Scope of Photo-CIDNP for Nanomolar 19F NMR Detection of Amines</w:t>
      </w:r>
    </w:p>
    <w:p>
      <w:pPr>
        <w:spacing w:before="0" w:after="120"/>
      </w:pPr>
      <w:r>
        <w:rPr>
          <w:b/>
        </w:rPr>
        <w:t xml:space="preserve">Source: </w:t>
      </w:r>
      <w:r>
        <w:t>Journal of the American Chemical Society: Latest Articles (ACS Publications)</w:t>
      </w:r>
      <w:r>
        <w:t xml:space="preserve">    </w:t>
      </w:r>
      <w:r>
        <w:rPr>
          <w:b/>
        </w:rPr>
        <w:t xml:space="preserve">Pub date: </w:t>
      </w:r>
      <w:r>
        <w:t>2026-02-23 16:31:27+00:00</w:t>
      </w:r>
      <w:r>
        <w:t xml:space="preserve">    </w:t>
      </w:r>
      <w:r>
        <w:rPr>
          <w:b/>
        </w:rPr>
        <w:t xml:space="preserve">DOI: </w:t>
      </w:r>
      <w:hyperlink r:id="rId332">
        <w:r>
          <w:rPr>
            <w:color w:val="1155CC"/>
            <w:u w:val="single"/>
          </w:rPr>
          <w:t>10.1021/jacs.5c21094</w:t>
        </w:r>
      </w:hyperlink>
    </w:p>
    <w:p>
      <w:pPr>
        <w:spacing w:before="0" w:after="120"/>
      </w:pPr>
      <w:r>
        <w:rPr>
          <w:b/>
        </w:rPr>
        <w:t xml:space="preserve">Notes: </w:t>
      </w:r>
      <w:r>
        <w:t>abstract_source=openalex</w:t>
      </w:r>
    </w:p>
    <w:p>
      <w:pPr>
        <w:spacing w:before="0" w:after="80" w:lineRule="auto" w:line="276"/>
      </w:pPr>
      <w:r>
        <w:rPr>
          <w:b/>
        </w:rPr>
        <w:t xml:space="preserve">摘要（ZH）: </w:t>
      </w:r>
      <w:r>
        <w:t>光化学诱发动态核两极化(photo-CIDNP)在温和条件下提供NMR信号增强,但其适用性基本上仍局限于一小组内在光-CIDNP活性分子。这里,我们引入了基于衍生的战略,以扩大光-CIDNP的分子范围。根据理论计算,我们设计了一个有选择地与Amines发生反应的光-CIDNP &lt;sup&gt;19 &lt;/sup&gt;F探针,作为概念的证明。我们证明,除了分线外,所有蛋白性氨基酸都可以衍生出来,产生强烈超极极化的 &lt;sup&gt;19 &lt;/sup&gt;F NMR信号,信号增强至160倍。</w:t>
      </w:r>
    </w:p>
    <w:p>
      <w:pPr>
        <w:spacing w:before="0" w:after="200" w:lineRule="auto" w:line="276"/>
      </w:pPr>
      <w:r>
        <w:rPr>
          <w:b/>
        </w:rPr>
        <w:t xml:space="preserve">Abstract (EN): </w:t>
      </w:r>
      <w:r>
        <w:t>Enhancing NMR sensitivity is essential for broadening its utility in metabolic profiling and other biological analyses. Photochemically induced dynamic nuclear polarization (photo-CIDNP) provides NMR signal enhancement at mild conditions, but its applicability has remained largely restricted to a small subset of intrinsically photo-CIDNP-active molecules. Here, we introduce a derivatization-based strategy to expand the molecular scope of photo-CIDNP. Guided by theoretical calculations, we designed a photo-CIDNP &lt;sup&gt;19&lt;/sup&gt;F probe that selectively reacts with amines. As a proof of concept, we show that all proteinogenic amino acids except proline can be derivatized to yield strongly hyperpolarized &lt;sup&gt;19&lt;/sup&gt;F NMR signals, with signal enhancements of up to 160-fold. The method enables single-scan detection of total amino acids at 1.0 μM and individual amino acids at concentrations as low as 20 nM, and it allows rapid, quantitative profiling of amino acids in complex cell lysates. This work provides a generalizable blueprint for molecular design of photo-CIDNP probes and substantially expands the analytical capabilities of this hyperpolarization technique.</w:t>
      </w:r>
    </w:p>
    <w:p>
      <w:pPr>
        <w:spacing w:before="120" w:after="120"/>
      </w:pPr>
      <w:r>
        <w:rPr>
          <w:sz w:val="18"/>
        </w:rPr>
        <w:t>——————————————————————————————————————————————————————————————————————</w:t>
      </w:r>
    </w:p>
    <w:p>
      <w:pPr>
        <w:spacing w:before="160" w:after="40" w:line="240" w:lineRule="auto"/>
      </w:pPr>
      <w:r>
        <w:rPr>
          <w:b/>
        </w:rPr>
        <w:t xml:space="preserve">[206] </w:t>
      </w:r>
      <w:hyperlink r:id="rId333">
        <w:r>
          <w:rPr>
            <w:color w:val="1155CC"/>
            <w:u w:val="single"/>
          </w:rPr>
          <w:t>[APAP] FAP-协同性有机目标MRNA-LNP,以克服肝纤维和肺纤维化中的障碍</w:t>
        </w:r>
      </w:hyperlink>
    </w:p>
    <w:p>
      <w:pPr>
        <w:spacing w:before="0" w:after="80"/>
      </w:pPr>
      <w:r>
        <w:rPr>
          <w:i/>
          <w:sz w:val="20"/>
        </w:rPr>
        <w:t>EN: [ASAP] FAP-Synergistic Organ-Targeted mRNA-LNP for Overcoming Delivery Barriers in Hepatic and Pulmonary Fibrosis</w:t>
      </w:r>
    </w:p>
    <w:p>
      <w:pPr>
        <w:spacing w:before="0" w:after="120"/>
      </w:pPr>
      <w:r>
        <w:rPr>
          <w:b/>
        </w:rPr>
        <w:t xml:space="preserve">Source: </w:t>
      </w:r>
      <w:r>
        <w:t>Journal of the American Chemical Society: Latest Articles (ACS Publications)</w:t>
      </w:r>
      <w:r>
        <w:t xml:space="preserve">    </w:t>
      </w:r>
      <w:r>
        <w:rPr>
          <w:b/>
        </w:rPr>
        <w:t xml:space="preserve">Pub date: </w:t>
      </w:r>
      <w:r>
        <w:t>2026-02-23 16:54:24+00:00</w:t>
      </w:r>
      <w:r>
        <w:t xml:space="preserve">    </w:t>
      </w:r>
      <w:r>
        <w:rPr>
          <w:b/>
        </w:rPr>
        <w:t xml:space="preserve">DOI: </w:t>
      </w:r>
      <w:hyperlink r:id="rId334">
        <w:r>
          <w:rPr>
            <w:color w:val="1155CC"/>
            <w:u w:val="single"/>
          </w:rPr>
          <w:t>10.1021/jacs.5c16886</w:t>
        </w:r>
      </w:hyperlink>
    </w:p>
    <w:p>
      <w:pPr>
        <w:spacing w:before="0" w:after="120"/>
      </w:pPr>
      <w:r>
        <w:rPr>
          <w:b/>
        </w:rPr>
        <w:t xml:space="preserve">Notes: </w:t>
      </w:r>
      <w:r>
        <w:t>abstract_source=pubmed</w:t>
      </w:r>
    </w:p>
    <w:p>
      <w:pPr>
        <w:spacing w:before="0" w:after="80" w:lineRule="auto" w:line="276"/>
      </w:pPr>
      <w:r>
        <w:rPr>
          <w:b/>
        </w:rPr>
        <w:t xml:space="preserve">摘要（ZH）: </w:t>
      </w:r>
      <w:r>
        <w:t>低效率地提供脂肪纳米粒子(LNPs)加盖成封的脂肪纳米粒子(MRNA)到纤维组织中的活性纤维纤维化纤维化组织(FAP),仍然是抗纤维化疗法的一项重大挑战。为了克服这一点,我们开发了一种纤维性器官和细胞统一目标系统(FOCUS),用于与LNPs一起进行 mRNA的纤维性器官和细胞统一目标系统(FOCUS)。FOCUS LNPs将一个可移植的脂质库(通过Ugi多成分反应合成的合成)与纤维性活性蛋白-α(FAP)锁定类似脂质的脂质软体(FOCUS LNPs)结合起来。这些LNPS在纤维性肝脏和肺中达到+3和+12+12倍的 mNA表达量,以及由器官或仅绑定目标可保持的2至5倍高纤维化的纤维化分布。作为概念的证明,Pentraxin-2 mRNA(mPTX-2)装Fonal andhibrois,红色。</w:t>
      </w:r>
    </w:p>
    <w:p>
      <w:pPr>
        <w:spacing w:before="0" w:after="200" w:lineRule="auto" w:line="276"/>
      </w:pPr>
      <w:r>
        <w:rPr>
          <w:b/>
        </w:rPr>
        <w:t xml:space="preserve">Abstract (EN): </w:t>
      </w:r>
      <w:r>
        <w:t>The inefficient delivery of lipid nanoparticles (LNPs)-encapsulated mRNA to activated fibroblasts in fibrotic tissues remains a major challenge for antifibrotic therapy. To overcome this, we develop a fibrosis organ and cell unified-targeting system (FOCUS) for mRNA delivery with LNPs. FOCUS LNPs combines an ionizable lipid library (synthesized via Ugi multicomponent reactions) with fibroblast activation protein-α (FAP)-targeting lipid-like ligands. These LNPs achieve ∼3-fold and ∼12-fold greater mRNA expression in fibrotic liver and lung, along with ∼2-5-fold higher fibroblast distribution─unattainable by organ- or ligand-only targeting. As proof of concept, Pentraxin-2 mRNA (mPTX-2)-loaded FOCUS LNPs drive localized PTX-2 production in murine models of pulmonary and hepatic fibrosis, reducing collagen deposition by 60-80% while avoiding systemic side effects like impaired wound healing. Mechanistically, mPTX-2 FOCUS LNPs suppress monocyte-to-fibrocyte differentiation, M2 macrophage polarization, and fibroblast activation. This work establishes a precision mRNA delivery platform for fibrotic diseases, offering a safer and more effective therapeutic strategy.</w:t>
      </w:r>
    </w:p>
    <w:p>
      <w:pPr>
        <w:spacing w:before="120" w:after="120"/>
      </w:pPr>
      <w:r>
        <w:rPr>
          <w:sz w:val="18"/>
        </w:rPr>
        <w:t>——————————————————————————————————————————————————————————————————————</w:t>
      </w:r>
    </w:p>
    <w:p>
      <w:pPr>
        <w:spacing w:before="160" w:after="40" w:line="240" w:lineRule="auto"/>
      </w:pPr>
      <w:r>
        <w:rPr>
          <w:b/>
        </w:rPr>
        <w:t xml:space="preserve">[207] </w:t>
      </w:r>
      <w:hyperlink r:id="rId335">
        <w:r>
          <w:rPr>
            <w:color w:val="1155CC"/>
            <w:u w:val="single"/>
          </w:rPr>
          <w:t>[ASAP] 取代Li3BS3: 揭示新的超显性导导相阶段和晶体的重要性</w:t>
        </w:r>
      </w:hyperlink>
    </w:p>
    <w:p>
      <w:pPr>
        <w:spacing w:before="0" w:after="80"/>
      </w:pPr>
      <w:r>
        <w:rPr>
          <w:i/>
          <w:sz w:val="20"/>
        </w:rPr>
        <w:t>EN: [ASAP] Substitution of Li3BS3: Revealing New Superionic Conductor Phases and the Significance of Crystallinity</w:t>
      </w:r>
    </w:p>
    <w:p>
      <w:pPr>
        <w:spacing w:before="0" w:after="120"/>
      </w:pPr>
      <w:r>
        <w:rPr>
          <w:b/>
        </w:rPr>
        <w:t xml:space="preserve">Source: </w:t>
      </w:r>
      <w:r>
        <w:t>ACS Energy Letters: Latest Articles (ACS Publications)</w:t>
      </w:r>
      <w:r>
        <w:t xml:space="preserve">    </w:t>
      </w:r>
      <w:r>
        <w:rPr>
          <w:b/>
        </w:rPr>
        <w:t xml:space="preserve">Pub date: </w:t>
      </w:r>
      <w:r>
        <w:t>2026-02-23 17:59:14+00:00</w:t>
      </w:r>
      <w:r>
        <w:t xml:space="preserve">    </w:t>
      </w:r>
      <w:r>
        <w:rPr>
          <w:b/>
        </w:rPr>
        <w:t xml:space="preserve">DOI: </w:t>
      </w:r>
      <w:hyperlink r:id="rId336">
        <w:r>
          <w:rPr>
            <w:color w:val="1155CC"/>
            <w:u w:val="single"/>
          </w:rPr>
          <w:t>10.1021/acsenergylett.5c03293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[208] </w:t>
      </w:r>
      <w:hyperlink r:id="rId337">
        <w:r>
          <w:rPr>
            <w:color w:val="1155CC"/>
            <w:u w:val="single"/>
          </w:rPr>
          <w:t>[ASAP] C2-对称Rhenacyllobutadienes: re(V) Alkylidyne-Catalyzed Alkyne 元体反应中的关键中间体</w:t>
        </w:r>
      </w:hyperlink>
    </w:p>
    <w:p>
      <w:pPr>
        <w:spacing w:before="0" w:after="80"/>
      </w:pPr>
      <w:r>
        <w:rPr>
          <w:i/>
          <w:sz w:val="20"/>
        </w:rPr>
        <w:t>EN: [ASAP] C2-Symmetric Rhenacyclobutadienes: Key Intermediates in Re(V) Alkylidyne-Catalyzed Alkyne Metathesis Reactions</w:t>
      </w:r>
    </w:p>
    <w:p>
      <w:pPr>
        <w:spacing w:before="0" w:after="120"/>
      </w:pPr>
      <w:r>
        <w:rPr>
          <w:b/>
        </w:rPr>
        <w:t xml:space="preserve">Source: </w:t>
      </w:r>
      <w:r>
        <w:t>Journal of the American Chemical Society: Latest Articles (ACS Publications)</w:t>
      </w:r>
      <w:r>
        <w:t xml:space="preserve">    </w:t>
      </w:r>
      <w:r>
        <w:rPr>
          <w:b/>
        </w:rPr>
        <w:t xml:space="preserve">Pub date: </w:t>
      </w:r>
      <w:r>
        <w:t>2026-02-23 18:15:28+00:00</w:t>
      </w:r>
      <w:r>
        <w:t xml:space="preserve">    </w:t>
      </w:r>
      <w:r>
        <w:rPr>
          <w:b/>
        </w:rPr>
        <w:t xml:space="preserve">DOI: </w:t>
      </w:r>
      <w:hyperlink r:id="rId338">
        <w:r>
          <w:rPr>
            <w:color w:val="1155CC"/>
            <w:u w:val="single"/>
          </w:rPr>
          <w:t>10.1021/jacs.5c20312</w:t>
        </w:r>
      </w:hyperlink>
    </w:p>
    <w:p>
      <w:pPr>
        <w:spacing w:before="0" w:after="120"/>
      </w:pPr>
      <w:r>
        <w:rPr>
          <w:b/>
        </w:rPr>
        <w:t xml:space="preserve">Notes: </w:t>
      </w:r>
      <w:r>
        <w:t>abstract_source=pubmed</w:t>
      </w:r>
    </w:p>
    <w:p>
      <w:pPr>
        <w:spacing w:before="0" w:after="80" w:lineRule="auto" w:line="276"/>
      </w:pPr>
      <w:r>
        <w:rPr>
          <w:b/>
        </w:rPr>
        <w:t xml:space="preserve">摘要（ZH）: </w:t>
      </w:r>
      <w:r>
        <w:t>一种单晶X射线分解分析揭示了一种假C2-对称结构,其中两种磷是跨向的。这些恒星环丁二烯在使用PMePhh2或另一种烷基时可以进行[2+2]环球循环,并能够产生内电离子元体。这项工作是首次观测到 alkynes的可逆[2+2]周期性反应,其非二烷基离子复合体是可逆的,阐明了Re(V)-alkylidyne-Calkalyzed alkyne 元体的机理,为以非二甲基苯为基的改进活动而合理设计新的烷基元体催化剂提供了宝贵的洞察力。</w:t>
      </w:r>
    </w:p>
    <w:p>
      <w:pPr>
        <w:spacing w:before="0" w:after="200" w:lineRule="auto" w:line="276"/>
      </w:pPr>
      <w:r>
        <w:rPr>
          <w:b/>
        </w:rPr>
        <w:t xml:space="preserve">Abstract (EN): </w:t>
      </w:r>
      <w:r>
        <w:t>Key rhenacyclobutadiene intermediates were isolated from the reactions of alkynes with a d2 Re(V) alkylidyne complex (5a) bearing bidentate phosphinoanilide ligands. Single crystal X-ray diffraction analysis revealed a pseudo-C2-symmetric structure wherein two phosphines are trans-oriented. These rhenacyclobutadienes can undergo [2 + 2] cycloreversion when treated with PMePh2 or another alkyne and are able to effect internal alkyne metathesis. This work represents the first observation of reversible [2 + 2] cycloaddition reactions of alkynes with a non-d0 alkylidyne complex, elucidates the mechanism of Re(V)-alkylidyne-catalyzed alkyne metathesis, and provides valuable insight for the rational design of new alkyne metathesis catalysts with improved activity based on non-d0 alkylidynes.</w:t>
      </w:r>
    </w:p>
    <w:p>
      <w:pPr>
        <w:spacing w:before="120" w:after="120"/>
      </w:pPr>
      <w:r>
        <w:rPr>
          <w:sz w:val="18"/>
        </w:rPr>
        <w:t>——————————————————————————————————————————————————————————————————————</w:t>
      </w:r>
    </w:p>
    <w:p>
      <w:pPr>
        <w:spacing w:before="160" w:after="40" w:line="240" w:lineRule="auto"/>
      </w:pPr>
      <w:r>
        <w:rPr>
          <w:b/>
        </w:rPr>
        <w:t xml:space="preserve">[209] </w:t>
      </w:r>
      <w:hyperlink r:id="rId339">
        <w:r>
          <w:rPr>
            <w:color w:val="1155CC"/>
            <w:u w:val="single"/>
          </w:rPr>
          <w:t>[ASAP] 将电离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电动</w:t>
        </w:r>
      </w:hyperlink>
    </w:p>
    <w:p>
      <w:pPr>
        <w:spacing w:before="0" w:after="80"/>
      </w:pPr>
      <w:r>
        <w:rPr>
          <w:i/>
          <w:sz w:val="20"/>
        </w:rPr>
        <w:t>EN: [ASAP] Leveraging Conformational and Nitrogen Atom Inversion for Room-Temperature Ferroelectricity</w:t>
      </w:r>
    </w:p>
    <w:p>
      <w:pPr>
        <w:spacing w:before="0" w:after="120"/>
      </w:pPr>
      <w:r>
        <w:rPr>
          <w:b/>
        </w:rPr>
        <w:t xml:space="preserve">Source: </w:t>
      </w:r>
      <w:r>
        <w:t>Journal of the American Chemical Society: Latest Articles (ACS Publications)</w:t>
      </w:r>
      <w:r>
        <w:t xml:space="preserve">    </w:t>
      </w:r>
      <w:r>
        <w:rPr>
          <w:b/>
        </w:rPr>
        <w:t xml:space="preserve">Pub date: </w:t>
      </w:r>
      <w:r>
        <w:t>2026-02-23 18:30:17+00:00</w:t>
      </w:r>
      <w:r>
        <w:t xml:space="preserve">    </w:t>
      </w:r>
      <w:r>
        <w:rPr>
          <w:b/>
        </w:rPr>
        <w:t xml:space="preserve">DOI: </w:t>
      </w:r>
      <w:hyperlink r:id="rId340">
        <w:r>
          <w:rPr>
            <w:color w:val="1155CC"/>
            <w:u w:val="single"/>
          </w:rPr>
          <w:t>10.1021/jacs.5c22312</w:t>
        </w:r>
      </w:hyperlink>
    </w:p>
    <w:p>
      <w:pPr>
        <w:spacing w:before="0" w:after="120"/>
      </w:pPr>
      <w:r>
        <w:rPr>
          <w:b/>
        </w:rPr>
        <w:t xml:space="preserve">Notes: </w:t>
      </w:r>
      <w:r>
        <w:t>abstract_source=pubmed</w:t>
      </w:r>
    </w:p>
    <w:p>
      <w:pPr>
        <w:spacing w:before="0" w:after="80" w:lineRule="auto" w:line="276"/>
      </w:pPr>
      <w:r>
        <w:rPr>
          <w:b/>
        </w:rPr>
        <w:t xml:space="preserve">摘要（ZH）: </w:t>
      </w:r>
      <w:r>
        <w:t>氮的反转,即一个金字塔形的三相氮中心转“侧外外”的三相氮中心,是一种令人感兴趣的现象,它激发了一个世纪的基础研究,但还没有找到实际应用。在这项工作中,古典氮的反转用于在新一代数字信息储存系统的材料候选者——新型分子电源——材料候选物——中模范极分化转换。我们证明,在采用极晶晶包装模型时,一种碗状氮-centrent heteroricenne,展示出我们认为是整个分子反转的高于室温的铁电。虽然古典氮转换机制预示着一种平面过渡状态结构,但我们分离出一种晶形多形态,其中t</w:t>
      </w:r>
    </w:p>
    <w:p>
      <w:pPr>
        <w:spacing w:before="0" w:after="200" w:lineRule="auto" w:line="276"/>
      </w:pPr>
      <w:r>
        <w:rPr>
          <w:b/>
        </w:rPr>
        <w:t xml:space="preserve">Abstract (EN): </w:t>
      </w:r>
      <w:r>
        <w:t>Nitrogen inversion, in which a pyramidalized tricoordinate nitrogen center turns "inside out", is an intriguing phenomenon that has inspired a century of fundamental research but has yet to find practical application. In this work, classical nitrogen inversion is used to template polarization switching in a new class of molecular ferroelectrics, material candidates for next-generation digital information storage systems. We demonstrate that azangulene, a bowl-shaped nitrogen-centered heterotriangulene, when adopting a polar crystal packing motif, exhibits above-room-temperature ferroelectricity that we attribute to whole-molecule inversion. Although the mechanism of classical nitrogen inversion predicts a planar transition-state structure, we isolate a crystallographic polymorph in which the bowl depth of azangulene is flat, suggesting that the planar geometry is a stable and isolable structure on the conformational energy surface. A combination of crystallographic polymorphism and computational investigations unravels the complex interplay between the enthalpic and entropic factors contributing to the unique functionality of this molecule.</w:t>
      </w:r>
    </w:p>
    <w:p>
      <w:pPr>
        <w:spacing w:before="120" w:after="120"/>
      </w:pPr>
      <w:r>
        <w:rPr>
          <w:sz w:val="18"/>
        </w:rPr>
        <w:t>——————————————————————————————————————————————————————————————————————</w:t>
      </w:r>
    </w:p>
    <w:p>
      <w:pPr>
        <w:spacing w:before="160" w:after="40" w:line="240" w:lineRule="auto"/>
      </w:pPr>
      <w:r>
        <w:rPr>
          <w:b/>
        </w:rPr>
        <w:t xml:space="preserve">[210] </w:t>
      </w:r>
      <w:hyperlink r:id="rId341">
        <w:r>
          <w:rPr>
            <w:color w:val="1155CC"/>
            <w:u w:val="single"/>
          </w:rPr>
          <w:t>[ASAP] 用于太阳能驱动水氧化的活光电图</w:t>
        </w:r>
      </w:hyperlink>
    </w:p>
    <w:p>
      <w:pPr>
        <w:spacing w:before="0" w:after="80"/>
      </w:pPr>
      <w:r>
        <w:rPr>
          <w:i/>
          <w:sz w:val="20"/>
        </w:rPr>
        <w:t>EN: [ASAP] Living Photoanodes for Solar-Driven Water Oxidation</w:t>
      </w:r>
    </w:p>
    <w:p>
      <w:pPr>
        <w:spacing w:before="0" w:after="120"/>
      </w:pPr>
      <w:r>
        <w:rPr>
          <w:b/>
        </w:rPr>
        <w:t xml:space="preserve">Source: </w:t>
      </w:r>
      <w:r>
        <w:t>Chemical Reviews: Latest Articles (ACS Publications)</w:t>
      </w:r>
      <w:r>
        <w:t xml:space="preserve">    </w:t>
      </w:r>
      <w:r>
        <w:rPr>
          <w:b/>
        </w:rPr>
        <w:t xml:space="preserve">Pub date: </w:t>
      </w:r>
      <w:r>
        <w:t>2026-02-23 19:57:13+00:00</w:t>
      </w:r>
      <w:r>
        <w:t xml:space="preserve">    </w:t>
      </w:r>
      <w:r>
        <w:rPr>
          <w:b/>
        </w:rPr>
        <w:t xml:space="preserve">DOI: </w:t>
      </w:r>
      <w:hyperlink r:id="rId342">
        <w:r>
          <w:rPr>
            <w:color w:val="1155CC"/>
            <w:u w:val="single"/>
          </w:rPr>
          <w:t>10.1021/acs.chemrev.5c00921</w:t>
        </w:r>
      </w:hyperlink>
    </w:p>
    <w:p>
      <w:pPr>
        <w:spacing w:before="0" w:after="120"/>
      </w:pPr>
      <w:r>
        <w:rPr>
          <w:b/>
        </w:rPr>
        <w:t xml:space="preserve">Notes: </w:t>
      </w:r>
      <w:r>
        <w:t>abstract_source=pubmed</w:t>
      </w:r>
    </w:p>
    <w:p>
      <w:pPr>
        <w:spacing w:before="0" w:after="80" w:lineRule="auto" w:line="276"/>
      </w:pPr>
      <w:r>
        <w:rPr>
          <w:b/>
        </w:rPr>
        <w:t xml:space="preserve">摘要（ZH）: </w:t>
      </w:r>
      <w:r>
        <w:t>光合作微生物是丰富的、可自我维持的催化剂,能够将太阳能转换成高能电子。通过将这些活催化剂与电极相连接,这些电子可用于发电或利用可持续的太阳能技术进行化学生产。这些所谓的活光电学微生物的开发是一个新兴的、高度跨学科的领域,近年来已经取得很大进展。在本次审查中,我们从我们目前对氧光合作微生物光合作微生物光电传输过程基础的基本生物学的理解开始,绘制了这些进展的图表。我们然后描述了估算最大可获取光流外流的理论方法。</w:t>
      </w:r>
    </w:p>
    <w:p>
      <w:pPr>
        <w:spacing w:before="0" w:after="200" w:lineRule="auto" w:line="276"/>
      </w:pPr>
      <w:r>
        <w:rPr>
          <w:b/>
        </w:rPr>
        <w:t xml:space="preserve">Abstract (EN): </w:t>
      </w:r>
      <w:r>
        <w:t>Photosynthetic microorganisms are abundant, self-sustaining catalysts that convert solar energy into high energy electrons. By interfacing these living catalysts with electrodes, these electrons can be harnessed for electricity generation or chemical production in sustainable solar-powered technologies. The development of these so-called living photoanodes is an emerging and highly interdisciplinary field that has progressed substantially in recent years. In this review, we chart these advancements, beginning with our current understanding of the fundamental biology underpinning the key photocatalytic and electron transport processes of oxygenic photosynthetic microorganisms─namely cyanobacteria. We then describe theoretical approaches to estimating the maximum obtainable photocurrent outputs of living photoanodes to gauge their technological potential. Next, we discuss the main strategies employed to attain these values which include genetic engineering, electrode and diffusional/polymeric mediator design. Finally, in the outlook section, we recommend standardized reporting methods to formalize the field and propose future research directions to realize the full potential of this nascent technology.</w:t>
      </w:r>
    </w:p>
    <w:p>
      <w:pPr>
        <w:spacing w:before="120" w:after="120"/>
      </w:pPr>
      <w:r>
        <w:rPr>
          <w:sz w:val="18"/>
        </w:rPr>
        <w:t>——————————————————————————————————————————————————————————————————————</w:t>
      </w:r>
    </w:p>
    <w:p>
      <w:pPr>
        <w:spacing w:before="160" w:after="40" w:line="240" w:lineRule="auto"/>
      </w:pPr>
      <w:r>
        <w:rPr>
          <w:b/>
        </w:rPr>
        <w:t xml:space="preserve">[211] </w:t>
      </w:r>
      <w:hyperlink r:id="rId343">
        <w:r>
          <w:rPr>
            <w:color w:val="1155CC"/>
            <w:u w:val="single"/>
          </w:rPr>
          <w:t>[ASAP]使用大语言模型的高度水晶共振有机框架综合</w:t>
        </w:r>
      </w:hyperlink>
    </w:p>
    <w:p>
      <w:pPr>
        <w:spacing w:before="0" w:after="80"/>
      </w:pPr>
      <w:r>
        <w:rPr>
          <w:i/>
          <w:sz w:val="20"/>
        </w:rPr>
        <w:t>EN: [ASAP] Synthesis of Highly Crystalline Covalent Organic Frameworks Using Large Language Models</w:t>
      </w:r>
    </w:p>
    <w:p>
      <w:pPr>
        <w:spacing w:before="0" w:after="120"/>
      </w:pPr>
      <w:r>
        <w:rPr>
          <w:b/>
        </w:rPr>
        <w:t xml:space="preserve">Source: </w:t>
      </w:r>
      <w:r>
        <w:t>Journal of the American Chemical Society: Latest Articles (ACS Publications)</w:t>
      </w:r>
      <w:r>
        <w:t xml:space="preserve">    </w:t>
      </w:r>
      <w:r>
        <w:rPr>
          <w:b/>
        </w:rPr>
        <w:t xml:space="preserve">Pub date: </w:t>
      </w:r>
      <w:r>
        <w:t>2026-02-23 20:00:00+00:00</w:t>
      </w:r>
      <w:r>
        <w:t xml:space="preserve">    </w:t>
      </w:r>
      <w:r>
        <w:rPr>
          <w:b/>
        </w:rPr>
        <w:t xml:space="preserve">DOI: </w:t>
      </w:r>
      <w:hyperlink r:id="rId344">
        <w:r>
          <w:rPr>
            <w:color w:val="1155CC"/>
            <w:u w:val="single"/>
          </w:rPr>
          <w:t>10.1021/jacs.5c23233</w:t>
        </w:r>
      </w:hyperlink>
    </w:p>
    <w:p>
      <w:pPr>
        <w:spacing w:before="0" w:after="120"/>
      </w:pPr>
      <w:r>
        <w:rPr>
          <w:b/>
        </w:rPr>
        <w:t xml:space="preserve">Notes: </w:t>
      </w:r>
      <w:r>
        <w:t>abstract_source=pubmed</w:t>
      </w:r>
    </w:p>
    <w:p>
      <w:pPr>
        <w:spacing w:before="0" w:after="80" w:lineRule="auto" w:line="276"/>
      </w:pPr>
      <w:r>
        <w:rPr>
          <w:b/>
        </w:rPr>
        <w:t xml:space="preserve">摘要（ZH）: </w:t>
      </w:r>
      <w:r>
        <w:t>共价有机框架(COFs)的结晶化仍然是地球化学的一个中心挑战,因为实现长距离秩序通常需要在很多月或许多年内进行广泛的试验和加速优化。在这里,我们证明,通过将深层研究剂纳入ChatGPT,这一过程可以明显加速,将结晶时间缩短到不到一个月。我们称为加速合成技术LLM(LLM)的方法通过两个相互关联的周期运作。在第一个周期,我们制定了一个结构化、多步式的快速程序,以指导深层研究剂在采矿、关联和验证相关化学文献的综合参数方面的深层研究剂。这为反应状况筛选提供了扩大和完善的设计空间。在第二个周期,我们制定了一个结构化的、多步式的快速程序,以指导深层研究剂在采矿、关联和验证相关化学文献中的合成参数。这为反应状况筛选提供了扩大和完善的设计空间。</w:t>
      </w:r>
    </w:p>
    <w:p>
      <w:pPr>
        <w:spacing w:before="0" w:after="200" w:lineRule="auto" w:line="276"/>
      </w:pPr>
      <w:r>
        <w:rPr>
          <w:b/>
        </w:rPr>
        <w:t xml:space="preserve">Abstract (EN): </w:t>
      </w:r>
      <w:r>
        <w:t>Crystallizing covalent organic frameworks (COFs) remain a central challenge in reticular chemistry, as achieving long-range order typically requires extensive trial-and-error optimization over many months or years. Here, we demonstrate that by integrating a deep research agent within ChatGPT, this process can be markedly accelerated, reducing the crystallization timeline to less than one month. Our approach, termed the LLM For Accelerated Synthesis Technique (LFAST), operates through two interlinked cycles. In the first, we formulated a structured, multistep prompt to guide the deep research agent in mining, correlating, and validating synthesis parameters from the relevant chemical literature. This yielded an expanded and refined design space for reaction condition screening. In the second, these conditions were executed by using an automated synthesis platform coupled with high-throughput powder X-ray diffraction analysis. Using a widely reported β-ketoenamine-linked COF, TpPa-SO3H, as a benchmark, LFAST produced frameworks with diffraction peaks corresponding to a 350% increase in crystallinity index (CI) relative to prior reports. The same protocol enabled the synthesis of an unreported β-ketoenamine-linked COF-2000 with an even higher structural order. To ensure reproducibility and data accessibility, we further introduce a standardized metadata format encompassing synthesis and PXRD data sets. This data-driven methodology transforms the way that COFs are crystallized and significantly accelerates the pace of materials discovery.</w:t>
      </w:r>
    </w:p>
    <w:p>
      <w:pPr>
        <w:spacing w:before="120" w:after="120"/>
      </w:pPr>
      <w:r>
        <w:rPr>
          <w:sz w:val="18"/>
        </w:rPr>
        <w:t>——————————————————————————————————————————————————————————————————————</w:t>
      </w:r>
    </w:p>
    <w:p>
      <w:pPr>
        <w:spacing w:before="160" w:after="40" w:line="240" w:lineRule="auto"/>
      </w:pPr>
      <w:r>
        <w:rPr>
          <w:b/>
        </w:rPr>
        <w:t xml:space="preserve">[212] </w:t>
      </w:r>
      <w:hyperlink r:id="rId345">
        <w:r>
          <w:rPr>
            <w:color w:val="1155CC"/>
            <w:u w:val="single"/>
          </w:rPr>
          <w:t>[ASAP] 使用二胺电解解液的钠隔热石墨中的电化学压缩和结构动态</w:t>
        </w:r>
      </w:hyperlink>
    </w:p>
    <w:p>
      <w:pPr>
        <w:spacing w:before="0" w:after="80"/>
      </w:pPr>
      <w:r>
        <w:rPr>
          <w:i/>
          <w:sz w:val="20"/>
        </w:rPr>
        <w:t>EN: [ASAP] Electrochemical Compression and Structural Dynamics in Sodium-Intercalated Graphite Using Diamine Electrolytes</w:t>
      </w:r>
    </w:p>
    <w:p>
      <w:pPr>
        <w:spacing w:before="0" w:after="120"/>
      </w:pPr>
      <w:r>
        <w:rPr>
          <w:b/>
        </w:rPr>
        <w:t xml:space="preserve">Source: </w:t>
      </w:r>
      <w:r>
        <w:t>ACS Energy Letters: Latest Articles (ACS Publications)</w:t>
      </w:r>
      <w:r>
        <w:t xml:space="preserve">    </w:t>
      </w:r>
      <w:r>
        <w:rPr>
          <w:b/>
        </w:rPr>
        <w:t xml:space="preserve">Pub date: </w:t>
      </w:r>
      <w:r>
        <w:t>2026-02-23 20:10:27+00:00</w:t>
      </w:r>
      <w:r>
        <w:t xml:space="preserve">    </w:t>
      </w:r>
      <w:r>
        <w:rPr>
          <w:b/>
        </w:rPr>
        <w:t xml:space="preserve">DOI: </w:t>
      </w:r>
      <w:hyperlink r:id="rId346">
        <w:r>
          <w:rPr>
            <w:color w:val="1155CC"/>
            <w:u w:val="single"/>
          </w:rPr>
          <w:t>10.1021/acsenergylett.5c03764</w:t>
        </w:r>
      </w:hyperlink>
    </w:p>
    <w:p>
      <w:pPr>
        <w:spacing w:before="0" w:after="120"/>
      </w:pPr>
      <w:r>
        <w:rPr>
          <w:b/>
        </w:rPr>
        <w:t xml:space="preserve">Notes: </w:t>
      </w:r>
      <w:r>
        <w:t>abstract_source=openalex; must_have_abstract=True</w:t>
      </w:r>
    </w:p>
    <w:p>
      <w:pPr>
        <w:spacing w:before="0" w:after="80" w:lineRule="auto" w:line="276"/>
      </w:pPr>
      <w:r>
        <w:rPr>
          <w:b/>
        </w:rPr>
        <w:t xml:space="preserve">摘要（ZH）: </w:t>
      </w:r>
      <w:r>
        <w:t>石墨具有潜力,通过溶剂- Na+ 交点法,成为具有快速速度能力和较长周期周期寿命的钠离子电池的负电极材料。大多数研究都使用与纳加混合的土化(G2),该土化与纳加结合到一个将石墨膨胀到&gt;200的交点机制中。最近,我们的小组发现了二亚胺,如1,3-diaminopentane(13DAP),其排放能力较高。在这里,我们侧重于石墨在与G2, 13DAP及其混合物交点期间的更高能力和结构演变之间的关系。我们利用Agendo X射线的分点,我们显示13DAP和G2混合物可以对石墨结构进行独特的重新排列。具体地说,可逆扩张和压缩事件会发生与低电压高位相连。</w:t>
      </w:r>
    </w:p>
    <w:p>
      <w:pPr>
        <w:spacing w:before="0" w:after="200" w:lineRule="auto" w:line="276"/>
      </w:pPr>
      <w:r>
        <w:rPr>
          <w:b/>
        </w:rPr>
        <w:t xml:space="preserve">Abstract (EN): </w:t>
      </w:r>
      <w:r>
        <w:t>Graphite has potential as a negative electrode material for sodium-ion batteries with fast rate capabilities and long cycle lifetimes through solvent–Na+ cointercalation. Most studies use diglyme (G2) which coinserts with Na+ in a cointercalation mechanism that expands graphite by &gt;200%. Recently, our group identified diamines, such as 1,3-diaminopentane (13DAP), with higher discharge capacities. Herein, we focus on the relationship between higher capacities and structural evolution of graphite during cointercalation with G2, 13DAP, and their mixtures. Using operando X-ray diffraction, we show that 13DAP and mixtures with G2 can undergo unique rearrangement of the graphite structure. Specifically, reversible expansion and compression events occur which are tied to a low voltage plateau. In contrast, mixtures with higher concentrations of G2 indicate minimal 13DAP coinsertion likely due to the stronger binding between Na+ and G2 in solution. This study opens up different concepts in cointercalation chemistry beyond staging to approach higher energy densities.</w:t>
      </w:r>
    </w:p>
    <w:p>
      <w:pPr>
        <w:spacing w:before="120" w:after="120"/>
      </w:pPr>
      <w:r>
        <w:rPr>
          <w:sz w:val="18"/>
        </w:rPr>
        <w:t>——————————————————————————————————————————————————————————————————————</w:t>
      </w:r>
    </w:p>
    <w:p>
      <w:pPr>
        <w:spacing w:before="160" w:after="40" w:line="240" w:lineRule="auto"/>
      </w:pPr>
      <w:r>
        <w:rPr>
          <w:b/>
        </w:rPr>
        <w:t xml:space="preserve">[213] </w:t>
      </w:r>
      <w:hyperlink r:id="rId347">
        <w:r>
          <w:rPr>
            <w:color w:val="1155CC"/>
            <w:u w:val="single"/>
          </w:rPr>
          <w:t>[ASAP]两生人工智能框架加速可持续航空燃料构成部分综合</w:t>
        </w:r>
      </w:hyperlink>
    </w:p>
    <w:p>
      <w:pPr>
        <w:spacing w:before="0" w:after="80"/>
      </w:pPr>
      <w:r>
        <w:rPr>
          <w:i/>
          <w:sz w:val="20"/>
        </w:rPr>
        <w:t>EN: [ASAP] A Dual-Engine Artificial Intelligence Framework Accelerates Sustainable Aviation Fuel Component 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2026-02-23 20:17:40+00:00</w:t>
      </w:r>
      <w:r>
        <w:t xml:space="preserve">    </w:t>
      </w:r>
      <w:r>
        <w:rPr>
          <w:b/>
        </w:rPr>
        <w:t xml:space="preserve">DOI: </w:t>
      </w:r>
      <w:hyperlink r:id="rId348">
        <w:r>
          <w:rPr>
            <w:color w:val="1155CC"/>
            <w:u w:val="single"/>
          </w:rPr>
          <w:t>10.1021/jacs.5c22256</w:t>
        </w:r>
      </w:hyperlink>
    </w:p>
    <w:p>
      <w:pPr>
        <w:spacing w:before="0" w:after="120"/>
      </w:pPr>
      <w:r>
        <w:rPr>
          <w:b/>
        </w:rPr>
        <w:t xml:space="preserve">Notes: </w:t>
      </w:r>
      <w:r>
        <w:t>abstract_source=pubmed</w:t>
      </w:r>
    </w:p>
    <w:p>
      <w:pPr>
        <w:spacing w:before="0" w:after="80" w:lineRule="auto" w:line="276"/>
      </w:pPr>
      <w:r>
        <w:rPr>
          <w:b/>
        </w:rPr>
        <w:t xml:space="preserve">摘要（ZH）: </w:t>
      </w:r>
      <w:r>
        <w:t>利用可持续的空投燃料实现航空脱碳化对于可靠的净零排放途径至关重要。然而,从C1原料中收集能源消耗热量喷气燃料碳氢化合物需要多功能催化剂,其性能来自非线性、高维互动----超越单一描述型设计规则。这里我们提出了一个双引擎人工智能框架,通过可解释的机器学习,将封闭循环积极学习与可解释的机器学习相结合,证明可以将合成气体转换为可持续的航空燃料。该方法在提炼人类可解释原则的同时,自主探索广阔的催化剂空间。我们确定了先前未报告的成分和一般规则:稳定脊柱,在四甲板(A)站点和早期的环乙化物放置一块金属。</w:t>
      </w:r>
    </w:p>
    <w:p>
      <w:pPr>
        <w:spacing w:before="0" w:after="200" w:lineRule="auto" w:line="276"/>
      </w:pPr>
      <w:r>
        <w:rPr>
          <w:b/>
        </w:rPr>
        <w:t xml:space="preserve">Abstract (EN): </w:t>
      </w:r>
      <w:r>
        <w:t>Decarbonizing aviation with sustainable drop-in fuels is essential for credible net-zero pathways. However, assembling energy-dense jet fuel hydrocarbons from C1 feedstocks demands multifunctional catalysts whose performance arises from nonlinear, high-dimensional interactions─beyond single-descriptor design rules. Here we present a dual-engine artificial intelligence framework that couples closed-loop active learning with interpretable machine learning, demonstrated for syngas conversion to sustainable aviation fuel. The approach autonomously explores vast catalyst spaces while distilling human-interpretable principles. We identify previously unreported compositions and a general rule: on a stable spinel backbone, placing a d-block metal at the tetrahedral (A)-site and an early lanthanide at the octahedral (B)-site creates cooperative d-f interactions that enable π-back-donation into the π* orbitals of oxygenated intermediates, strengthening adsorption and lowering formation barriers to accelerate intermediate generation and C-C coupling to jet-range aromatics. Guided by this rule, active sites such as Zn-Ce/Sm, Fe-Pr/La, and Ni-Ce achieve &gt;75% selectivity to jet-fuel-range aromatic hydrocarbons with high space-time yields. Overall, the dual-engine approach not only accelerates discovery but also yields transparent, experimentally validated design rules─a generalizable blueprint for interpretable, AI-enabled catalyst design in complex sustainable chemistries.</w:t>
      </w:r>
    </w:p>
    <w:p>
      <w:pPr>
        <w:spacing w:before="120" w:after="120"/>
      </w:pPr>
      <w:r>
        <w:rPr>
          <w:sz w:val="18"/>
        </w:rPr>
        <w:t>——————————————————————————————————————————————————————————————————————</w:t>
      </w:r>
    </w:p>
    <w:p>
      <w:pPr>
        <w:spacing w:before="160" w:after="40" w:line="240" w:lineRule="auto"/>
      </w:pPr>
      <w:r>
        <w:rPr>
          <w:b/>
        </w:rPr>
        <w:t xml:space="preserve">[214] </w:t>
      </w:r>
      <w:hyperlink r:id="rId349">
        <w:r>
          <w:rPr>
            <w:color w:val="1155CC"/>
            <w:u w:val="single"/>
          </w:rPr>
          <w:t>[ASAP]通过无催化剂和无溶剂方法的化学可回收性</w:t>
        </w:r>
      </w:hyperlink>
    </w:p>
    <w:p>
      <w:pPr>
        <w:spacing w:before="0" w:after="80"/>
      </w:pPr>
      <w:r>
        <w:rPr>
          <w:i/>
          <w:sz w:val="20"/>
        </w:rPr>
        <w:t>EN: [ASAP] All-Hydrocarbon Polymers with Chemical Recyclability via a Catalyst-Free and Solvent-Free Method</w:t>
      </w:r>
    </w:p>
    <w:p>
      <w:pPr>
        <w:spacing w:before="0" w:after="120"/>
      </w:pPr>
      <w:r>
        <w:rPr>
          <w:b/>
        </w:rPr>
        <w:t xml:space="preserve">Source: </w:t>
      </w:r>
      <w:r>
        <w:t>Journal of the American Chemical Society: Latest Articles (ACS Publications)</w:t>
      </w:r>
      <w:r>
        <w:t xml:space="preserve">    </w:t>
      </w:r>
      <w:r>
        <w:rPr>
          <w:b/>
        </w:rPr>
        <w:t xml:space="preserve">Pub date: </w:t>
      </w:r>
      <w:r>
        <w:t>2026-02-23 20:43:53+00:00</w:t>
      </w:r>
      <w:r>
        <w:t xml:space="preserve">    </w:t>
      </w:r>
      <w:r>
        <w:rPr>
          <w:b/>
        </w:rPr>
        <w:t xml:space="preserve">DOI: </w:t>
      </w:r>
      <w:hyperlink r:id="rId350">
        <w:r>
          <w:rPr>
            <w:color w:val="1155CC"/>
            <w:u w:val="single"/>
          </w:rPr>
          <w:t>10.1021/jacs.5c21514</w:t>
        </w:r>
      </w:hyperlink>
    </w:p>
    <w:p>
      <w:pPr>
        <w:spacing w:before="0" w:after="120"/>
      </w:pPr>
      <w:r>
        <w:rPr>
          <w:b/>
        </w:rPr>
        <w:t xml:space="preserve">Notes: </w:t>
      </w:r>
      <w:r>
        <w:t>abstract_source=pubmed</w:t>
      </w:r>
    </w:p>
    <w:p>
      <w:pPr>
        <w:spacing w:before="0" w:after="80" w:lineRule="auto" w:line="276"/>
      </w:pPr>
      <w:r>
        <w:rPr>
          <w:b/>
        </w:rPr>
        <w:t xml:space="preserve">摘要（ZH）: </w:t>
      </w:r>
      <w:r>
        <w:t>可化学再循环聚合物处于合成化学和可持续化学的前沿,在这种化学中,通过安装一个可分解的C-X(X=乙氧原子)单元,使独特的再循环过程得以实现。开发可化学再循环的无异氧碳碳氢化合物聚合物仍然具有挑战性,因为设计和安装可逆的C-C单元有困难。在这项研究中,我们利用Diels-Alder环球开明基(Cp)单元的动态共价化学,报告可化学再循环的全碳碳氢聚合物,并提议“马克罗诺-全氢碳聚合物-马克罗诺离聚物”回收循环。通过设计带有理想烷基或丙烯空间仪的A2-型Cp2-催化单体、所有碳基聚合物、随机共聚物和块共聚物a。</w:t>
      </w:r>
    </w:p>
    <w:p>
      <w:pPr>
        <w:spacing w:before="0" w:after="200" w:lineRule="auto" w:line="276"/>
      </w:pPr>
      <w:r>
        <w:rPr>
          <w:b/>
        </w:rPr>
        <w:t xml:space="preserve">Abstract (EN): </w:t>
      </w:r>
      <w:r>
        <w:t>Chemically recyclable polymers are at the forefront of synthetic chemistry and sustainable chemistry, in which the unique recycling process is enabled by the installation of a cleavable C-X (X = heteroatom) unit. Developing chemically recyclable all-hydrocarbon polymers without heteroatoms remains challenging due to the difficulty in the design and installation of a reversible C-C unit. In this study, we utilize the dynamic covalent chemistry of the Diels-Alder cyclopentadienyl (Cp) unit, report the chemically recyclable all-hydrocarbon polymer, and propose the "macromonomer-all-hydrocarbon polymer-macromonomer" recycling loop. Through the design of A2-type Cp2-terminated monomers bearing desired alkyl or aryl spacers, all-hydrocarbon homopolymers, random copolymers, and block copolymers are synthesized at 100 °C respectively via an A2 + A2 Diels-Alder step-growth polycondensation. These all-hydrocarbon polymers have high molecular weights of up to 245.3 kDa and a wide glass transition temperature range from -20 to 133 °C, offering programmable thermomechanical properties, excellent optical properties, extremely low water absorption, and impressive shape memory function. Depolymerization of an all-hydrocarbon polymer via a retro-Diels-Alder mechanism occurs at 250 °C to generate a Cp2-terminated oligomer (A2-type macromonomer), which again repolymerizes at 100 °C to yield the parent all-hydrocarbon polymer with preserved properties. This recycling process is thermo-driven, catalyst-free, solvent-free, and quantitative, indicating a 100% atom economy. These merits enable all-hydrocarbon polymers to be a unique member of an all-carbon-backbone polymer, establishing a new circular polymer.</w:t>
      </w:r>
    </w:p>
    <w:p>
      <w:pPr>
        <w:spacing w:before="120" w:after="120"/>
      </w:pPr>
      <w:r>
        <w:rPr>
          <w:sz w:val="18"/>
        </w:rPr>
        <w:t>——————————————————————————————————————————————————————————————————————</w:t>
      </w:r>
    </w:p>
    <w:p>
      <w:pPr>
        <w:spacing w:before="160" w:after="40" w:line="240" w:lineRule="auto"/>
      </w:pPr>
      <w:r>
        <w:rPr>
          <w:b/>
        </w:rPr>
        <w:t xml:space="preserve">[215] </w:t>
      </w:r>
      <w:hyperlink r:id="rId351">
        <w:r>
          <w:rPr>
            <w:color w:val="1155CC"/>
            <w:u w:val="single"/>
          </w:rPr>
          <w:t>[ASAP]通过多尺度模拟器探测到的第二光系统二号中蒂罗辛-驱动脱质机制</w:t>
        </w:r>
      </w:hyperlink>
    </w:p>
    <w:p>
      <w:pPr>
        <w:spacing w:before="0" w:after="80"/>
      </w:pPr>
      <w:r>
        <w:rPr>
          <w:i/>
          <w:sz w:val="20"/>
        </w:rPr>
        <w:t>EN: [ASAP] Mechanism of Tyrosine-Driven Deprotonation in Photosystem II Revealed by Multiscale Simulations</w:t>
      </w:r>
    </w:p>
    <w:p>
      <w:pPr>
        <w:spacing w:before="0" w:after="120"/>
      </w:pPr>
      <w:r>
        <w:rPr>
          <w:b/>
        </w:rPr>
        <w:t xml:space="preserve">Source: </w:t>
      </w:r>
      <w:r>
        <w:t>Journal of the American Chemical Society: Latest Articles (ACS Publications)</w:t>
      </w:r>
      <w:r>
        <w:t xml:space="preserve">    </w:t>
      </w:r>
      <w:r>
        <w:rPr>
          <w:b/>
        </w:rPr>
        <w:t xml:space="preserve">Pub date: </w:t>
      </w:r>
      <w:r>
        <w:t>2026-02-23 20:44:53+00:00</w:t>
      </w:r>
      <w:r>
        <w:t xml:space="preserve">    </w:t>
      </w:r>
      <w:r>
        <w:rPr>
          <w:b/>
        </w:rPr>
        <w:t xml:space="preserve">DOI: </w:t>
      </w:r>
      <w:hyperlink r:id="rId352">
        <w:r>
          <w:rPr>
            <w:color w:val="1155CC"/>
            <w:u w:val="single"/>
          </w:rPr>
          <w:t>10.1021/jacs.5c13000</w:t>
        </w:r>
      </w:hyperlink>
    </w:p>
    <w:p>
      <w:pPr>
        <w:spacing w:before="0" w:after="120"/>
      </w:pPr>
      <w:r>
        <w:rPr>
          <w:b/>
        </w:rPr>
        <w:t xml:space="preserve">Notes: </w:t>
      </w:r>
      <w:r>
        <w:t>abstract_source=pubmed</w:t>
      </w:r>
    </w:p>
    <w:p>
      <w:pPr>
        <w:spacing w:before="0" w:after="80" w:lineRule="auto" w:line="276"/>
      </w:pPr>
      <w:r>
        <w:rPr>
          <w:b/>
        </w:rPr>
        <w:t xml:space="preserve">摘要（ZH）: </w:t>
      </w:r>
      <w:r>
        <w:t>光子系统II(PSII)通过氧分流综合体(OEC)的分流式红氧化转换推动轻水氧化。 Mn4Ca集群通过5个中间S状态(S0-S4)。 S2 &amp; S3过渡涉及一个红氧化事件,其中Mn离子将电子捐献到红氧化活性强聚苯乙烯YZ,同时将OEC进入的水分解为ILGand-yet,其基本结合机制仍未解决。时间溶解的系列纤维二次晶体晶体(TR-SFX)揭示了在红氧化活性强聚苯乙烯YZ附近的瞬时电子密度变化,被解释为连续氧化和减少,在引出后开始减少1微米,并大幅提高30微米。然而,这种解释与光热偏转的动动力相冲突(PBD),</w:t>
      </w:r>
    </w:p>
    <w:p>
      <w:pPr>
        <w:spacing w:before="0" w:after="200" w:lineRule="auto" w:line="276"/>
      </w:pPr>
      <w:r>
        <w:rPr>
          <w:b/>
        </w:rPr>
        <w:t xml:space="preserve">Abstract (EN): </w:t>
      </w:r>
      <w:r>
        <w:t>Photosystem II (PSII) drives light-induced water oxidation via stepwise redox transitions of its oxygen-evolving complex (OEC), a Mn4Ca cluster advancing through five intermediate S-states (S0-S4). The S2 → S3 transition involves a redox event in which a Mn ion donates an electron to the redox-active tyrosine YZ, coupled to deprotonation of an OEC-bound water ligand─yet the underlying coupling mechanism remains unresolved. Time-resolved serial femtosecond crystallography (TR-SFX) has revealed transient electron density shifts near the redox-active tyrosine YZ, interpreted as sequential oxidation and reduction, with reduction initiating ∼1 μs after excitation and substantially progressed by 30 μs. However, this interpretation conflicts with kinetics from photothermal beam deflection (PBD), time-resolved X-ray absorption spectroscopy (TR-XAS), and electron paramagnetic resonance (EPR), which place electron transfer at 190-400 μs and proton transfer around 30 μs. Here, we reconcile these discrepancies using quantum mechanics/molecular mechanics (QM/MM) and molecular dynamics (MD) simulations. We show that oxidation of P680 and YZ breaks the symmetry of the nearby hydrogen bonds involving water molecule W4, displacing YZ and replicating the TR-SFX features of YZ and Q165 observed at 1 μs. This local perturbation propagates through a hydrogen-bond network, transmitting the electrostatic signal from YZ to the E65-E312 dyad and triggering redox-coupled deprotonation via the Cl1 channel. By 30 μs, the hydrogen-bond symmetry is restored through deprotonation of W2 (or alternatively W1), reproducing the disappearance of TR-SFX density differences around YZ and Q165 without requiring YZ reduction. Our proposed mechanism also gives molecular insights into the O6* density, assigning it to water reorganization rather than a discrete Ca-bound hydroxide species. Our results reveal a detailed atomistic mechanism linking YZ oxidation to long-range proton release and suggest a functional role for the nearby Cl- ion in proton transfer. More broadly, this study underscores the importance of hydrogen-bond dynamics in mediating redox-driven proton transport and demonstrates how integrative simulations can resolve mechanistic ambiguities.</w:t>
      </w:r>
    </w:p>
    <w:p>
      <w:pPr>
        <w:spacing w:before="120" w:after="120"/>
      </w:pPr>
      <w:r>
        <w:rPr>
          <w:sz w:val="18"/>
        </w:rPr>
        <w:t>——————————————————————————————————————————————————————————————————————</w:t>
      </w:r>
    </w:p>
    <w:p>
      <w:pPr>
        <w:spacing w:before="160" w:after="40" w:line="240" w:lineRule="auto"/>
      </w:pPr>
      <w:r>
        <w:rPr>
          <w:b/>
        </w:rPr>
        <w:t xml:space="preserve">[216] </w:t>
      </w:r>
      <w:hyperlink r:id="rId353">
        <w:r>
          <w:rPr>
            <w:color w:val="1155CC"/>
            <w:u w:val="single"/>
          </w:rPr>
          <w:t>这种蚂蚁种只由皇后组成——没有工人或男性。</w:t>
        </w:r>
      </w:hyperlink>
    </w:p>
    <w:p>
      <w:pPr>
        <w:spacing w:before="0" w:after="80"/>
      </w:pPr>
      <w:r>
        <w:rPr>
          <w:i/>
          <w:sz w:val="20"/>
        </w:rPr>
        <w:t>EN: This ant species is composed of only queens — no workers or males</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[217] </w:t>
      </w:r>
      <w:hyperlink r:id="rId354">
        <w:r>
          <w:rPr>
            <w:color w:val="1155CC"/>
            <w:u w:val="single"/>
          </w:rPr>
          <w:t>污水系统秘密将污染渗入空气</w:t>
        </w:r>
      </w:hyperlink>
    </w:p>
    <w:p>
      <w:pPr>
        <w:spacing w:before="0" w:after="80"/>
      </w:pPr>
      <w:r>
        <w:rPr>
          <w:i/>
          <w:sz w:val="20"/>
        </w:rPr>
        <w:t>EN: Sewage systems secretly waft pollution into the air</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[218] </w:t>
      </w:r>
      <w:hyperlink r:id="rId355">
        <w:r>
          <w:rPr>
            <w:color w:val="1155CC"/>
            <w:u w:val="single"/>
          </w:rPr>
          <w:t>COVID的起源:我们做什么和不知道</w:t>
        </w:r>
      </w:hyperlink>
    </w:p>
    <w:p>
      <w:pPr>
        <w:spacing w:before="0" w:after="80"/>
      </w:pPr>
      <w:r>
        <w:rPr>
          <w:i/>
          <w:sz w:val="20"/>
        </w:rPr>
        <w:t>EN: COVID’s origins: what we do and don’t know</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[219] </w:t>
      </w:r>
      <w:hyperlink r:id="rId356">
        <w:r>
          <w:rPr>
            <w:color w:val="1155CC"/>
            <w:u w:val="single"/>
          </w:rPr>
          <w:t>科学历史的宝藏 可能隐藏在眼前</w:t>
        </w:r>
      </w:hyperlink>
    </w:p>
    <w:p>
      <w:pPr>
        <w:spacing w:before="0" w:after="80"/>
      </w:pPr>
      <w:r>
        <w:rPr>
          <w:i/>
          <w:sz w:val="20"/>
        </w:rPr>
        <w:t>EN: Treasures of scientific history could be hiding in plain sight</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[220] </w:t>
      </w:r>
      <w:hyperlink r:id="rId357">
        <w:r>
          <w:rPr>
            <w:color w:val="1155CC"/>
            <w:u w:val="single"/>
          </w:rPr>
          <w:t>通过生物模拟纳米氟化纳米膜通过常规酸基中和</w:t>
        </w:r>
      </w:hyperlink>
    </w:p>
    <w:p>
      <w:pPr>
        <w:spacing w:before="0" w:after="80"/>
      </w:pPr>
      <w:r>
        <w:rPr>
          <w:i/>
          <w:sz w:val="20"/>
        </w:rPr>
        <w:t>EN: Simultaneous water and energy harvesting from routine acid-base neutralization via biomimetic nanofluidic membranes</w:t>
      </w:r>
    </w:p>
    <w:p>
      <w:pPr>
        <w:spacing w:before="0" w:after="120"/>
      </w:pPr>
      <w:r>
        <w:rPr>
          <w:b/>
        </w:rPr>
        <w:t xml:space="preserve">Source: </w:t>
      </w:r>
      <w:r>
        <w:t>Matter</w:t>
      </w:r>
      <w:r>
        <w:t xml:space="preserve">    </w:t>
      </w:r>
      <w:r>
        <w:rPr>
          <w:b/>
        </w:rPr>
        <w:t xml:space="preserve">Pub date: </w:t>
      </w:r>
      <w:r>
        <w:t>2026-02-24 00:00:00+00:00</w:t>
      </w:r>
    </w:p>
    <w:p>
      <w:pPr>
        <w:spacing w:before="0" w:after="120"/>
      </w:pPr>
      <w:r>
        <w:rPr>
          <w:b/>
        </w:rPr>
        <w:t xml:space="preserve">Notes: </w:t>
      </w:r>
      <w:r>
        <w:t>abstract_source=rss_cell</w:t>
      </w:r>
    </w:p>
    <w:p>
      <w:pPr>
        <w:spacing w:before="0" w:after="80" w:lineRule="auto" w:line="276"/>
      </w:pPr>
      <w:r>
        <w:rPr>
          <w:b/>
        </w:rPr>
        <w:t xml:space="preserve">摘要（ZH）: </w:t>
      </w:r>
      <w:r>
        <w:t>从废水中回收水和能源对于解决水和能源危机十分重要,这里设计了一种竹生生物活性Ti3C2Tx膜,其结构高度调整和密度超强,展示出出色的质子选择性运输行为,从中得益的是,在常规废水处理过程中实现了水和能源的同步回收——酸基中和。</w:t>
      </w:r>
    </w:p>
    <w:p>
      <w:pPr>
        <w:spacing w:before="0" w:after="200" w:lineRule="auto" w:line="276"/>
      </w:pPr>
      <w:r>
        <w:rPr>
          <w:b/>
        </w:rPr>
        <w:t xml:space="preserve">Abstract (EN): </w:t>
      </w:r>
      <w:r>
        <w:t>Recovering both water and energy from wastewater is significant for addressing the water and energy crisis. Here, a bamboo-biomimetic Ti3C2Tx membrane with super-aligned and densified structure is designed, exhibiting excellent proton-selective transport behavior. Benefiting from this, simultaneous water and energy recovery is achieved during a routine wastewater treatment process—acid-base neutralization.</w:t>
      </w:r>
    </w:p>
    <w:p>
      <w:pPr>
        <w:spacing w:before="120" w:after="120"/>
      </w:pPr>
      <w:r>
        <w:rPr>
          <w:sz w:val="18"/>
        </w:rPr>
        <w:t>——————————————————————————————————————————————————————————————————————</w:t>
      </w:r>
    </w:p>
    <w:p>
      <w:pPr>
        <w:spacing w:before="160" w:after="40" w:line="240" w:lineRule="auto"/>
      </w:pPr>
      <w:r>
        <w:rPr>
          <w:b/>
        </w:rPr>
        <w:t xml:space="preserve">[221] </w:t>
      </w:r>
      <w:hyperlink r:id="rId358">
        <w:r>
          <w:rPr>
            <w:color w:val="1155CC"/>
            <w:u w:val="single"/>
          </w:rPr>
          <w:t>提高工业能效:在电力供应挑战背景下的战略、障碍和机会</w:t>
        </w:r>
      </w:hyperlink>
    </w:p>
    <w:p>
      <w:pPr>
        <w:spacing w:before="0" w:after="80"/>
      </w:pPr>
      <w:r>
        <w:rPr>
          <w:i/>
          <w:sz w:val="20"/>
        </w:rPr>
        <w:t>EN: Enhancing industrial energy efficiency: Strategies, barriers and opportunities in the context of electricity supply challenges</w:t>
      </w:r>
    </w:p>
    <w:p>
      <w:pPr>
        <w:spacing w:before="0" w:after="120"/>
      </w:pPr>
      <w:r>
        <w:rPr>
          <w:b/>
        </w:rPr>
        <w:t xml:space="preserve">Source: </w:t>
      </w:r>
      <w:r>
        <w:t>ScienceDirect Publication: Energy Policy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[222] </w:t>
      </w:r>
      <w:hyperlink r:id="rId359">
        <w:r>
          <w:rPr>
            <w:color w:val="1155CC"/>
            <w:u w:val="single"/>
          </w:rPr>
          <w:t>STAT6的DNA-PK中间代代代磷酸化建立了一种非卡门型2型免疫轴,以防止巨型苯性。</w:t>
        </w:r>
      </w:hyperlink>
    </w:p>
    <w:p>
      <w:pPr>
        <w:spacing w:before="0" w:after="80"/>
      </w:pPr>
      <w:r>
        <w:rPr>
          <w:i/>
          <w:sz w:val="20"/>
        </w:rPr>
        <w:t>EN: DNA-PK-mediated phosphorylation of STAT6 establishes a non-canonical type 2 immunity axis to prevent macrophage senescence</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大型神经性激素激素发炎,是一种与年龄有关的慢性发炎。迄今为止,防止发炎的保护机制没有明确界定。在这里,我们确定在Serin 807 (Ser807) 的血浆STAT6(Ser807) 的DNA-PK中间磷酸化为一种关键的翻译后修改,以防止大型神经性激素。Ser807 磷酸盐块 STAT6 挥发性降解,促进STAT6 与PU.1 合作以激活DNA修复基因。缺乏Ser807 磷酸盐的聚合物表现出DNA修复缺陷,表现出阳性,以及燃料发炎。硫磺、磷核酸 STAT6(S807A) 变异(STAT6(S807A) 加速大型内脏、组织纤维化和系统老化。</w:t>
      </w:r>
    </w:p>
    <w:p>
      <w:pPr>
        <w:spacing w:before="0" w:after="200" w:lineRule="auto" w:line="276"/>
      </w:pPr>
      <w:r>
        <w:rPr>
          <w:b/>
        </w:rPr>
        <w:t xml:space="preserve">Abstract (EN): </w:t>
      </w:r>
      <w:r>
        <w:t>Macrophage senescence drives inflammaging, a chronic, age-related inflammation. To date, the protective mechanisms against inflammaging are poorly defined. Here, we identify DNA-PK-mediated phosphorylation of murine STAT6 at serine 807 (Ser807) as a crucial post-translational modification for preventing macrophage senescence. Ser807 phosphorylation blocks STAT6 ubiquitination-mediated degradation and promotes STAT6 partnering with PU.1 to activate DNA repair genes. Macrophages lacking Ser807 phosphorylation exhibit DNA repair defects, undergo senescence, and fuel inflammaging. In vivo, the phosphor-null STAT6 mutant (STAT6(S807A)) accelerates macrophage senescence, tissue fibrosis, and systemic aging. Adoptive transfer of phosphomimetic STAT6(S807E)-expressing macrophages rescues accelerated aging. Importantly, phosphorylation of human STAT6 at the homologous residue (Ser817) is significantly reduced in the lungs of patients with chronic obstructive pulmonary disease (COPD), correlating with increased DNA damage and senescence. Thus, our findings reveal a DNA-PK-STAT6 axis enacting a non-canonical type 2 immunity via DNA repair to prevent macrophage senescence, presenting a therapeutic target for healthy aging.</w:t>
      </w:r>
    </w:p>
    <w:p>
      <w:pPr>
        <w:spacing w:before="120" w:after="120"/>
      </w:pPr>
      <w:r>
        <w:rPr>
          <w:sz w:val="18"/>
        </w:rPr>
        <w:t>——————————————————————————————————————————————————————————————————————</w:t>
      </w:r>
    </w:p>
    <w:p>
      <w:pPr>
        <w:spacing w:before="160" w:after="40" w:line="240" w:lineRule="auto"/>
      </w:pPr>
      <w:r>
        <w:rPr>
          <w:b/>
        </w:rPr>
        <w:t xml:space="preserve">[223] </w:t>
      </w:r>
      <w:hyperlink r:id="rId360">
        <w:r>
          <w:rPr>
            <w:color w:val="1155CC"/>
            <w:u w:val="single"/>
          </w:rPr>
          <w:t>科学家必须挺身而出 避免核爆裂</w:t>
        </w:r>
      </w:hyperlink>
    </w:p>
    <w:p>
      <w:pPr>
        <w:spacing w:before="0" w:after="80"/>
      </w:pPr>
      <w:r>
        <w:rPr>
          <w:i/>
          <w:sz w:val="20"/>
        </w:rPr>
        <w:t>EN: Scientists must step up to avert a nuclear breakout</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[224] </w:t>
      </w:r>
      <w:hyperlink r:id="rId361">
        <w:r>
          <w:rPr>
            <w:color w:val="1155CC"/>
            <w:u w:val="single"/>
          </w:rPr>
          <w:t>在小鼠中,像静态一样的耐内存-T维持并分划为组织所住的T细胞,耐慢性移植-反移植-宿主疾病。</w:t>
        </w:r>
      </w:hyperlink>
    </w:p>
    <w:p>
      <w:pPr>
        <w:spacing w:before="0" w:after="80"/>
      </w:pPr>
      <w:r>
        <w:rPr>
          <w:i/>
          <w:sz w:val="20"/>
        </w:rPr>
        <w:t>EN: Stem-like memory-T maintenance and differentiation into tissue-resident T cells sustain chronic graft-versus-host disease in mice</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致病的CD4+内存T细胞(Tm)维持慢性发炎,但机制仍未确定。在这里,我们确定了小鼠体内自成性免疫类慢性移植-负鼠宿病的目标组织中的四种捐赠型CD4+Tm子集:Ly108+CD69-干状内存T细胞(Tsm)、Ly108+CD69+常住记忆T细胞(Trmp)、Ly108-CD69+终极分化组织常住T细胞(Trm)和Ly108-CD69-中间T细胞(Tint)。Trm是终极分化的,但没有耗竭尽,并显示出高度偏向性的双叶型,具有高发炎细胞表态。Tsm细胞需要TCR-MHCII相互作用,以维持和扩展这些细胞,并在自我更新/发酵中显示比Trm细胞更大的能力,培养Trm,以及养细胞的致病性。</w:t>
      </w:r>
    </w:p>
    <w:p>
      <w:pPr>
        <w:spacing w:before="0" w:after="200" w:lineRule="auto" w:line="276"/>
      </w:pPr>
      <w:r>
        <w:rPr>
          <w:b/>
        </w:rPr>
        <w:t xml:space="preserve">Abstract (EN): </w:t>
      </w:r>
      <w:r>
        <w:t>Pathogenic CD4+ memory T cells (Tm) sustain chronic inflammation, but mechanisms remain undefined. Here, we identify four donor-type CD4+ Tm subsets in the target tissues of autoimmune-like chronic graft-versus-host disease in mice: Ly108+CD69− stem-like memory T cells (Tsm), Ly108+CD69+ resident memory progenitor T cells (Trmp), Ly108−CD69+ terminally differentiated tissue-resident T cells (Trm), and Ly108−CD69− intermediate T cells (Tint). Trm are terminally differentiated but not exhausted and show highly biased clonotypes with high proinflammatory cytokine expression. Tsm cells require TCR-MHCII interactions for their maintenance and expansion and show greater capacity than Trmp cells in self-renewal/expansion, generation of Trm, and pathogenicity in adoptive recipients. The transcription factors TCF1/BCL6 and BHLHE40 differentially regulate the stemness and differentiation of Tsm into Trm, respectively, and their selective targeting reduces the number of Trm in tissues and ameliorates inflammation. Thus, our findings indicate that targeting the Tsm subset, involved in the maintenance of the pathogenic Tm pool, offers an attractive approach to treat T cell-mediated chronic inflammation.</w:t>
      </w:r>
    </w:p>
    <w:p>
      <w:pPr>
        <w:spacing w:before="120" w:after="120"/>
      </w:pPr>
      <w:r>
        <w:rPr>
          <w:sz w:val="18"/>
        </w:rPr>
        <w:t>——————————————————————————————————————————————————————————————————————</w:t>
      </w:r>
    </w:p>
    <w:p>
      <w:pPr>
        <w:spacing w:before="160" w:after="40" w:line="240" w:lineRule="auto"/>
      </w:pPr>
      <w:r>
        <w:rPr>
          <w:b/>
        </w:rPr>
        <w:t xml:space="preserve">[225] </w:t>
      </w:r>
      <w:hyperlink r:id="rId362">
        <w:r>
          <w:rPr>
            <w:color w:val="1155CC"/>
            <w:u w:val="single"/>
          </w:rPr>
          <w:t>使用 {} 堆放 } 编程可编程的DNA结构的模糊力组合</w:t>
        </w:r>
      </w:hyperlink>
    </w:p>
    <w:p>
      <w:pPr>
        <w:spacing w:before="0" w:after="80"/>
      </w:pPr>
      <w:r>
        <w:rPr>
          <w:i/>
          <w:sz w:val="20"/>
        </w:rPr>
        <w:t>EN: Blunt-force assembly of programmable DNA architectures using π–π stacking</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固态凝固是DNA自我组装的动力,40多年来使DNA纳米技术的模型和设计成为了DNA纳米技术的模型和设计程序。自组晶体中的传统单元有合理设计的粘性目的,以避免不可预测的包装行为,但在此过程中,天然核酸可用接触口味的惊人多样性仍未开发。在这里,我们使用可合成的DNA瓦组成复杂的3D结构,使用单双面界面的钝式点,从而利用瓷砖和终端核核核基特性的几何测量来控制自组结果。这些晶体在10.0至1.86之间的分辨率上产生了X射线差异。我们建立了可编程性和金枪鱼包装,包括翻译。</w:t>
      </w:r>
    </w:p>
    <w:p>
      <w:pPr>
        <w:spacing w:before="0" w:after="200" w:lineRule="auto" w:line="276"/>
      </w:pPr>
      <w:r>
        <w:rPr>
          <w:b/>
        </w:rPr>
        <w:t xml:space="preserve">Abstract (EN): </w:t>
      </w:r>
      <w:r>
        <w:t>Sticky-ended cohesion has been the driving force for DNA self-assembly and has enabled model and design programmability in DNA nanotechnology for over 40 years. Traditional units within self-assembled crystals have rationally-designed sticky ends to avoid unpredictable packing behavior, but in doing so, the surprising variety of contact flavors available to natural nucleic acids remains unexploited. Here, we employ composable DNA tiles to form complex 3D architectures using blunt-ended motifs with single duplex interfaces, thereby leveraging the geometry of the tile and the terminal nucleobase identity to control self-assembly outcomes. These crystals yielded X-ray diffraction at resolutions between 10.0 and 1.86 Å. We establish programmability and tunable packing, including translational and inversion symmetries, 5’−3’ and 5’−5’ stacking, and both positive and negative helical twist values. Finally, we establish the ability of racemic mixtures of L- and D-DNA motifs to perform programmable co-assembly driven by terminal π–π interactions, demonstrating molecular recognition and coexistence between mirror molecular systems.</w:t>
      </w:r>
    </w:p>
    <w:p>
      <w:pPr>
        <w:spacing w:before="120" w:after="120"/>
      </w:pPr>
      <w:r>
        <w:rPr>
          <w:sz w:val="18"/>
        </w:rPr>
        <w:t>——————————————————————————————————————————————————————————————————————</w:t>
      </w:r>
    </w:p>
    <w:p>
      <w:pPr>
        <w:spacing w:before="160" w:after="40" w:line="240" w:lineRule="auto"/>
      </w:pPr>
      <w:r>
        <w:rPr>
          <w:b/>
        </w:rPr>
        <w:t xml:space="preserve">[226] </w:t>
      </w:r>
      <w:hyperlink r:id="rId363">
        <w:r>
          <w:rPr>
            <w:color w:val="1155CC"/>
            <w:u w:val="single"/>
          </w:rPr>
          <w:t>双侧电力改进使高效工业隧道氧化氧化消能消能能与硅太阳能电池接触</w:t>
        </w:r>
      </w:hyperlink>
    </w:p>
    <w:p>
      <w:pPr>
        <w:spacing w:before="0" w:after="80"/>
      </w:pPr>
      <w:r>
        <w:rPr>
          <w:i/>
          <w:sz w:val="20"/>
        </w:rPr>
        <w:t>EN: Dual-side electrical refinement enables efficient industrial tunnel oxide passivating contact silicon solar cells</w:t>
      </w:r>
    </w:p>
    <w:p>
      <w:pPr>
        <w:spacing w:before="0" w:after="120"/>
      </w:pPr>
      <w:r>
        <w:rPr>
          <w:b/>
        </w:rPr>
        <w:t xml:space="preserve">Source: </w:t>
      </w:r>
      <w:r>
        <w:t>Nature Energy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光伏产业仍然以晶晶硅太阳能电池为主,地下氧化物消能接触(TOPCon)技术成为主要候选技术。然而,工业规模的TOPCon太阳能电池的效率仍然受到低于最佳电力性能的制约,低于Auger极限。我们在此建议采取双面协同战略,使M10尺寸的长渡上工业规模的TOPCon电池的核证效率达到26.66%。 实施前方高表耐受性肉桂乳乳液反应技术提高了消能质量,优化电网设计可减少载体运输损失。后方双层氧化硅/微硅结构通过防止银从选中扩散而抑制银诱发的降解。</w:t>
      </w:r>
    </w:p>
    <w:p>
      <w:pPr>
        <w:spacing w:before="0" w:after="200" w:lineRule="auto" w:line="276"/>
      </w:pPr>
      <w:r>
        <w:rPr>
          <w:b/>
        </w:rPr>
        <w:t xml:space="preserve">Abstract (EN): </w:t>
      </w:r>
      <w:r>
        <w:t>Crystalline silicon solar cells continue to dominate the photovoltaic industry, with tunnel oxide passivating contact (TOPCon) technology emerging as a prominent candidate. However, the efficiency of industrial-scale TOPCon solar cells remains limited by their suboptimal electrical performance, falling short of the Auger limit. Here we propose a dual-sided synergistic strategy that achieves a certified efficiency of 26.66% for industrial-scale TOPCon cells on M10-size wafers. The implementation of a front-side high-sheet-resistance boron emitter improves the passivation quality, and an optimized grid design reduces carrier transport losses. A rear-side double-layer tunnel oxide silicon/polysilicon structure suppresses silver-induced degradation by preventing silver diffusion from the electrodes into the silicon substrate, thereby maintaining excellent interfacial passivation. Moreover, the high crystallinity of the inner polysilicon layer, along with a lower concentration of inactive phosphorus dopants in the silicon substrate, leads to superior passivation performance. Rear-side localized thinning of the polysilicon layer also improves the bifaciality to 88.3%.</w:t>
      </w:r>
    </w:p>
    <w:p>
      <w:pPr>
        <w:spacing w:before="120" w:after="120"/>
      </w:pPr>
      <w:r>
        <w:rPr>
          <w:sz w:val="18"/>
        </w:rPr>
        <w:t>——————————————————————————————————————————————————————————————————————</w:t>
      </w:r>
    </w:p>
    <w:p>
      <w:pPr>
        <w:spacing w:before="160" w:after="40" w:line="240" w:lineRule="auto"/>
      </w:pPr>
      <w:r>
        <w:rPr>
          <w:b/>
        </w:rPr>
        <w:t xml:space="preserve">[227] </w:t>
      </w:r>
      <w:hyperlink r:id="rId364">
        <w:r>
          <w:rPr>
            <w:color w:val="1155CC"/>
            <w:u w:val="single"/>
          </w:rPr>
          <w:t>电力驱动的VO2结构Mott-Peierls过渡中变速速度限值</w:t>
        </w:r>
      </w:hyperlink>
    </w:p>
    <w:p>
      <w:pPr>
        <w:spacing w:before="0" w:after="80"/>
      </w:pPr>
      <w:r>
        <w:rPr>
          <w:i/>
          <w:sz w:val="20"/>
        </w:rPr>
        <w:t>EN: Switching speed limits in electrically driven VO2 structural Mott–Peierls transition</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热量材料是作为下一代电子和光度平台积极探索的原始量子系统,其潜在应用范围包括非Von Neumann计算、机器人计算、能源储存和微波技术,其中,二氧化(VO2)因其锐利、近室温绝缘至金属阶段的过渡而成为研究最密集的化合物之一。 VO2还作为测试尖端理论和实验技术的基准系统。在这里,我们直接通过微波驱动、频率可调的脉冲传输电子显微镜,将纳米空间和二次时间分辨率结合起来,在高频(MHz-GHz)下,我们捕获了VO2电动转换动力。</w:t>
      </w:r>
    </w:p>
    <w:p>
      <w:pPr>
        <w:spacing w:before="0" w:after="200" w:lineRule="auto" w:line="276"/>
      </w:pPr>
      <w:r>
        <w:rPr>
          <w:b/>
        </w:rPr>
        <w:t xml:space="preserve">Abstract (EN): </w:t>
      </w:r>
      <w:r>
        <w:t>Mott materials are archetypal quantum systems actively explored as next-generation electronic and photonic platforms, with potential applications spanning non-Von Neumann computing, robotics, energy storage, and microwave technologies. Among these, vanadium dioxide (VO2) has emerged as one of the most intensively studied compounds, owing to its sharp, near-room-temperature insulator-to-metal phase transition. VO2 also serves as a benchmark system for testing cutting-edge theories and experimental techniques. Here, we directly visualize the electrically driven transition dynamics in VO2 using a microwave-driven, frequency-tunable pulsed transmission electron microscope that combines nanometer spatial and picosecond temporal resolution. Under high-frequency (MHz–GHz) excitation, we capture the ultrafast nucleation, propagation, and dissolution of metallic domains within an operating device over millions of reversible cycles. We observe the ultrafast formation of consistent metallic nuclei beneath the electrodes, followed by the propagation of a structural phase front at 4.54 nm/ns. Our experiments show that phonon-mediated structural recovery ultimately limits reversible switching of VO2 at GHz frequencies, and that a tunable regime for reversible operation spans from kHz to GHz through device engineering. Beyond VO2, our approach provides a powerful framework for probing non-equilibrium structural transformations in correlated and functional materials under realistic electrical stimuli.</w:t>
      </w:r>
    </w:p>
    <w:p>
      <w:pPr>
        <w:spacing w:before="120" w:after="120"/>
      </w:pPr>
      <w:r>
        <w:rPr>
          <w:sz w:val="18"/>
        </w:rPr>
        <w:t>——————————————————————————————————————————————————————————————————————</w:t>
      </w:r>
    </w:p>
    <w:p>
      <w:pPr>
        <w:spacing w:before="160" w:after="40" w:line="240" w:lineRule="auto"/>
      </w:pPr>
      <w:r>
        <w:rPr>
          <w:b/>
        </w:rPr>
        <w:t xml:space="preserve">[228] </w:t>
      </w:r>
      <w:hyperlink r:id="rId365">
        <w:r>
          <w:rPr>
            <w:color w:val="1155CC"/>
            <w:u w:val="single"/>
          </w:rPr>
          <w:t>全范德瓦多层堆叠式多发式多发式多发式地铁多发式隧道路口</w:t>
        </w:r>
      </w:hyperlink>
    </w:p>
    <w:p>
      <w:pPr>
        <w:spacing w:before="0" w:after="80"/>
      </w:pPr>
      <w:r>
        <w:rPr>
          <w:i/>
          <w:sz w:val="20"/>
        </w:rPr>
        <w:t>EN: Tailorable multiferroic tunnel junctions from all-van der Waals multilayer stacking</w:t>
      </w:r>
    </w:p>
    <w:p>
      <w:pPr>
        <w:spacing w:before="0" w:after="120"/>
      </w:pPr>
      <w:r>
        <w:rPr>
          <w:b/>
        </w:rPr>
        <w:t xml:space="preserve">Source: </w:t>
      </w:r>
      <w:r>
        <w:t>Nature Nanotechnology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多发隧道交界处(MFTJs)代表一种多状态、非挥发性脊椎装置,在这种装置中,电子隧道可以通过转换长程网状和旋转命令来操纵。与传统的以氧化为基的MFTJs相比,用二维范德瓦(VdW)晶体建造的MFTJs在成分和界面中的缺陷浓度最小化,这可能允许探测内在隧道物理学和开发高性能装置。在这里,我们通过组装铁磁铁的Fe3GeTe2电极多层片和一个铁电极CuInP2S6空间器,建造了Fe3GeTe2/CuInP2/Fe3GeTe2全VdW MFTJss。这些MFTJs展示了四个非挥发性抗力状态,其特征为102%的可探测式隧道磁性磁力和隧道电极。</w:t>
      </w:r>
    </w:p>
    <w:p>
      <w:pPr>
        <w:spacing w:before="0" w:after="200" w:lineRule="auto" w:line="276"/>
      </w:pPr>
      <w:r>
        <w:rPr>
          <w:b/>
        </w:rPr>
        <w:t xml:space="preserve">Abstract (EN): </w:t>
      </w:r>
      <w:r>
        <w:t>Multiferroic tunnel junctions (MFTJs) represent a class of multistate, non-volatile spintronic devices, in which electron tunnelling can be manipulated by switching long-range lattice and spin orders. In contrast to conventional oxide-based MFTJs, MFTJs constructed from two-dimensional van der Waals (vdW) crystals promise minimal defect concentration in the constituents and at interfaces, which may allow for probing intrinsic tunnelling physics and the development of high-performance devices. Here we construct Fe3GeTe2/CuInP2S6/Fe3GeTe2 all-vdW MFTJs by assembling multilayer flakes of ferromagnetic Fe3GeTe2 electrodes and a ferroelectric CuInP2S6 spacer. These MFTJs exhibit four non-volatile resistance states featuring sizable tunnelling magnetoresistance of ∼102% and tunnelling electroresistance of ∼104%. To tune the properties of the vdW MFTJ, we make use of the flexibility in material choice offered by vdW heterostructure devices; we use Fe3GeTe2/Fe5GeTe2 asymmetric electrodes to boost the tunnelling electroresistance by 103%, we integrate In2Se3 as a ferroelectric with a smaller bandgap to enhance the ON-state current density by 104% to 104 A cm−2 and we use Fe3GaTe2 electrodes to demonstrate room temperature operation. Furthermore, when we combine the asymmetric ferromagnetic electrodes with the small-bandgap ferroelectric spacer to construct Fe3GeTe2/In2Se3/Fe5GeTe2 MFTJs, we simultaneously realized tunnelling electroresistance of 106% and an ON-state current density of 104 A cm−2, both two orders of magnitude higher than the highest values achieved with conventional oxide-based MFTJs. In the future, our all-vdW MFTJs with the tailorability of all functional layers may make it possible to investigate fundamental aspects of interlayer tunnelling and enable the design of functional magnetoelectric nanodevices.</w:t>
      </w:r>
    </w:p>
    <w:p>
      <w:pPr>
        <w:spacing w:before="120" w:after="120"/>
      </w:pPr>
      <w:r>
        <w:rPr>
          <w:sz w:val="18"/>
        </w:rPr>
        <w:t>——————————————————————————————————————————————————————————————————————</w:t>
      </w:r>
    </w:p>
    <w:p>
      <w:pPr>
        <w:spacing w:before="160" w:after="40" w:line="240" w:lineRule="auto"/>
      </w:pPr>
      <w:r>
        <w:rPr>
          <w:b/>
        </w:rPr>
        <w:t xml:space="preserve">[229] </w:t>
      </w:r>
      <w:hyperlink r:id="rId366">
        <w:r>
          <w:rPr>
            <w:color w:val="1155CC"/>
            <w:u w:val="single"/>
          </w:rPr>
          <w:t>高载力密度高的有机导导体电载体的电流运输电流物理学</w:t>
        </w:r>
      </w:hyperlink>
    </w:p>
    <w:p>
      <w:pPr>
        <w:spacing w:before="0" w:after="80"/>
      </w:pPr>
      <w:r>
        <w:rPr>
          <w:i/>
          <w:sz w:val="20"/>
        </w:rPr>
        <w:t>EN: Charge transport physics of organic conductors at high carrier densities</w:t>
      </w:r>
    </w:p>
    <w:p>
      <w:pPr>
        <w:spacing w:before="0" w:after="120"/>
      </w:pPr>
      <w:r>
        <w:rPr>
          <w:b/>
        </w:rPr>
        <w:t xml:space="preserve">Source: </w:t>
      </w:r>
      <w:r>
        <w:t>Nature Reviews Materials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进行聚合物和其他有机导体的操作聚合物和其他有机导体使得生物电子、神经形态计算、能源储存和热电装置中的新兴应用得以产生。 当用于有机电化学晶体管或其他装置时,这些材料通常会大量沉积到1020-1021厘米的高度载体密度。 在这个系统中,它们显示了在这些应用中正在被利用的令人着迷的非线性、多体性和非平衡性运输现象,但其根本来源仍然不为人们所熟知。 在本次审查中,我们侧重于基本的充电运输物理学,研究如何复杂的微结构、电子-电子互动和电离子反导相互作用制约着运输行为,包括其密度的演变。</w:t>
      </w:r>
    </w:p>
    <w:p>
      <w:pPr>
        <w:spacing w:before="0" w:after="200" w:lineRule="auto" w:line="276"/>
      </w:pPr>
      <w:r>
        <w:rPr>
          <w:b/>
        </w:rPr>
        <w:t xml:space="preserve">Abstract (EN): </w:t>
      </w:r>
      <w:r>
        <w:t>Conducting polymers and other organic conductors enable emerging applications in bioelectronics, neuromorphic computing, energy storage and thermoelectric devices. When used in organic electrochemical transistors or other devices, these materials are typically doped in their bulk to very high carrier densities of the order of 1020–1021 cm−3. In this regime, they show fascinating nonlinear, many-body and non-equilibrium transport phenomena that are being exploited in these applications, but whose fundamental origins remain poorly understood. In this Review, we focus on the underlying charge transport physics, examining how complex microstructure, electron–electron interactions and electron–dopant counterion interactions govern transport behaviour, including the evolution of the density of states with carrier density. We also discuss reliable experimental methods for determining carrier concentrations and measuring transport coefficients. An in-depth understanding of the charge transport physics in this high-carrier-density regime is a prerequisite for harnessing these transport phenomena in device applications.</w:t>
      </w:r>
    </w:p>
    <w:p>
      <w:pPr>
        <w:spacing w:before="120" w:after="120"/>
      </w:pPr>
      <w:r>
        <w:rPr>
          <w:sz w:val="18"/>
        </w:rPr>
        <w:t>——————————————————————————————————————————————————————————————————————</w:t>
      </w:r>
    </w:p>
    <w:p>
      <w:pPr>
        <w:spacing w:before="160" w:after="40" w:line="240" w:lineRule="auto"/>
      </w:pPr>
      <w:r>
        <w:rPr>
          <w:b/>
        </w:rPr>
        <w:t xml:space="preserve">[230] </w:t>
      </w:r>
      <w:hyperlink r:id="rId367">
        <w:r>
          <w:rPr>
            <w:color w:val="1155CC"/>
            <w:u w:val="single"/>
          </w:rPr>
          <w:t>作者更正: 全球河流三角洲的沉积</w:t>
        </w:r>
      </w:hyperlink>
    </w:p>
    <w:p>
      <w:pPr>
        <w:spacing w:before="0" w:after="80"/>
      </w:pPr>
      <w:r>
        <w:rPr>
          <w:i/>
          <w:sz w:val="20"/>
        </w:rPr>
        <w:t>EN: Author Correction: Global subsidence of river deltas</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368">
        <w:r>
          <w:rPr>
            <w:color w:val="1155CC"/>
            <w:u w:val="single"/>
          </w:rPr>
          <w:t>艾滋病毒储油层克隆体中的动态抗原表现和细胞毒性T细胞抗药性</w:t>
        </w:r>
      </w:hyperlink>
    </w:p>
    <w:p>
      <w:pPr>
        <w:spacing w:before="0" w:after="80"/>
      </w:pPr>
      <w:r>
        <w:rPr>
          <w:i/>
          <w:sz w:val="20"/>
        </w:rPr>
        <w:t>EN: Dynamic antigen expression and cytotoxic T cell resistance in HIV reservoir clones</w:t>
      </w:r>
    </w:p>
    <w:p>
      <w:pPr>
        <w:spacing w:before="0" w:after="120"/>
      </w:pPr>
      <w:r>
        <w:rPr>
          <w:b/>
        </w:rPr>
        <w:t xml:space="preserve">Source: </w:t>
      </w:r>
      <w:r>
        <w:t>Nature</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在抗逆转录病毒1-5期间,耐久被认为是消除病毒的主要障碍,并抵制了药物逆转6,77%,但持续的免疫压力似乎侵蚀了储油层8-15。最近的进展发现,出现了罕见的储油层捕捉细胞的目光,其中隐含了耐存性能16-18。在这里,我们孤立并定性了在生产传染性病毒时强有力地扩散和积累的真正的储油层克隆(ARCs ), 而不明显地屈从于cytopathicity。 在任何时候,只有一小部分ARCs表示艾滋病毒蛋白质,这是与保存的东道主记录方案相关的一种状态,但极易发生强的T细胞刺激作用。 Neverthel</w:t>
      </w:r>
    </w:p>
    <w:p>
      <w:pPr>
        <w:spacing w:before="0" w:after="200" w:lineRule="auto" w:line="276"/>
      </w:pPr>
      <w:r>
        <w:rPr>
          <w:b/>
        </w:rPr>
        <w:t xml:space="preserve">Abstract (EN): </w:t>
      </w:r>
      <w:r>
        <w:t>Clonally expanded CD4+ T-cells harboring rebound-competent HIV persist lifelong during ART1-5. Latency is considered the principal barrier to viral eradication and has resisted pharmacological reversal6,7, yet sustained immune pressure appears to erode reservoirs8-15. Recent advances have yielded glimpses into exceptionally rare reservoir-harboring cells, implicating pro-survival properties in persistence16-18. Here, we isolate and characterize authentic reservoir clones (ARCs) that robustly proliferate and accumulate while producing infectious virus, without overtly succumbing to cytopathicity. At any moment, only small fractions of ARCs expressed HIV proteins, a state associated with conserved host transcriptional programs but remarkably refractory to potent T-cell stimulation. Nevertheless, sustained co-culture with a CD8+ cytotoxic T-lymphocyte clone substantially culled proliferating ARCs, revealing time-integrated vulnerability to immune pressure. The corresponding ex vivo CD8+ T-cell response was poorly cytotoxic and in vivo erosion of ARCs occurred only slowly. A regulatory T-cell ARC displayed pronounced cell-intrinsic resistance to CTL—a longstanding hypothesis now directly demonstrated—linked to low oxidative stress and reversed with deferoxamine19, a hypoxic stress inducer and FDA-approved therapeutic. Overall, we provide novel insights into the vulnerabilities of reservoir clones to potent, sustained CTL pressure and highlight intrinsic resistance pathways as actionable therapeutic targets, opening opportunities for advancing immune-based HIV cure strategies.</w:t>
      </w:r>
    </w:p>
    <w:p>
      <w:pPr>
        <w:spacing w:before="120" w:after="120"/>
      </w:pPr>
      <w:r>
        <w:rPr>
          <w:sz w:val="18"/>
        </w:rPr>
        <w:t>——————————————————————————————————————————————————————————————————————</w:t>
      </w:r>
    </w:p>
    <w:p>
      <w:pPr>
        <w:spacing w:before="160" w:after="40" w:line="240" w:lineRule="auto"/>
      </w:pPr>
      <w:r>
        <w:rPr>
          <w:b/>
        </w:rPr>
        <w:t xml:space="preserve">[232] </w:t>
      </w:r>
      <w:hyperlink r:id="rId369">
        <w:r>
          <w:rPr>
            <w:color w:val="1155CC"/>
            <w:u w:val="single"/>
          </w:rPr>
          <w:t>在室温下,有干扰的光采光集集体可在室内温度下安装功能性振动脉动结联</w:t>
        </w:r>
      </w:hyperlink>
    </w:p>
    <w:p>
      <w:pPr>
        <w:spacing w:before="0" w:after="80"/>
      </w:pPr>
      <w:r>
        <w:rPr>
          <w:i/>
          <w:sz w:val="20"/>
        </w:rPr>
        <w:t>EN: Disordered light-harvesting aggregates can host functional vibronic couplings at room temperature</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光合作用依赖于一个类似叶绿素的分子网络,这些分子可以共同导致高效的长程能源传输。低温证据表明,能量/电源传输的机械细节必须援引同时的振动电子(活力)状态。这些物质是否在大型光合综合体中的生理温度下生存是一个尚未解决的问题。关于人工模板的平行研究依赖于与叶绿素不同的氰化物。我们在这里报告了porphyrin纳米管的经时间解析的光谱,我们通过极化控制有选择地探测Qx-Qy状态。电子状态之间的早期交叉峰值、它们迅速扩张和量子跳动的存活率,与厌异性冲击的振动绝对性都证明了tha。</w:t>
      </w:r>
    </w:p>
    <w:p>
      <w:pPr>
        <w:spacing w:before="0" w:after="200" w:lineRule="auto" w:line="276"/>
      </w:pPr>
      <w:r>
        <w:rPr>
          <w:b/>
        </w:rPr>
        <w:t xml:space="preserve">Abstract (EN): </w:t>
      </w:r>
      <w:r>
        <w:t>Photosynthesis relies on a network of chlorophyll-like molecules which together lead to efficient long-range energy transfer. Evidence at cryogenic temperatures suggests that mechanistic details of energy/charge transfer must invoke coupled vibrational-electronic (vibronic) states. Whether these survive at physiological temperature in large photosynthetic aggregates is an open question. Parallel research on artificial templates has relied on cyanines which are unlike chlorophylls. Here we report time-resolved optical spectra of porphyrin nanotubes where we selectively probe coupled Qx − Qy states through polarization control. Early time cross peaks between electronic states, their rapid broadening and survival of quantum beats with anisotropic beating amplitude conclusively demonstrate that overlapping vibrational-electronic bands of photosynthetic aggregates indeed host functional vibronic couplings at room temperature. Calculations reveal that disorder is the vital ingredient that dramatically enhances intraband vibronic couplings across the entire Q band. The parameter regime where energetic disorder is of the order of dense Raman-active vibrations with weak reorganization energies may be the key design principle.</w:t>
      </w:r>
    </w:p>
    <w:p>
      <w:pPr>
        <w:spacing w:before="120" w:after="120"/>
      </w:pPr>
      <w:r>
        <w:rPr>
          <w:sz w:val="18"/>
        </w:rPr>
        <w:t>——————————————————————————————————————————————————————————————————————</w:t>
      </w:r>
    </w:p>
    <w:p>
      <w:pPr>
        <w:spacing w:before="160" w:after="40" w:line="240" w:lineRule="auto"/>
      </w:pPr>
      <w:r>
        <w:rPr>
          <w:b/>
        </w:rPr>
        <w:t xml:space="preserve">[233] </w:t>
      </w:r>
      <w:hyperlink r:id="rId370">
        <w:r>
          <w:rPr>
            <w:color w:val="1155CC"/>
            <w:u w:val="single"/>
          </w:rPr>
          <w:t>Foxl1通过激活PDGFFRα和BMPs驱动肠胃上皮的振动</w:t>
        </w:r>
      </w:hyperlink>
    </w:p>
    <w:p>
      <w:pPr>
        <w:spacing w:before="0" w:after="80"/>
      </w:pPr>
      <w:r>
        <w:rPr>
          <w:i/>
          <w:sz w:val="20"/>
        </w:rPr>
        <w:t>EN: Villification of the intestinal epithelium is driven by Foxl1 through activation of PDGFRα and BMPs</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哺乳动物的原始直肠管最初形成一个简单的气瓶,由内脏衍生的、伪化的上皮和介质衍生的介质组成。在中妊娠期,发生了一种急剧的转变,上皮被重组成最后的结骨形态,同时折叠和折叠,以产生肠胆和间歇性区域。这里,我们表明,由上皮刺绣猪诱发的中脊翼螺旋转录因Foxl1,通过启动BMP和PDGFFFα以及表皮细胞细胞极度因Fat4,直接或间接地通过启动BMP和PDGFFFα以及表细胞极性因来控制振动。在Foxl1依赖的中脊椎信号的缺失、形成和昆虫分离过程中,没有Foxl1依赖的中脊细胞信号,形成和骨膜分离。</w:t>
      </w:r>
    </w:p>
    <w:p>
      <w:pPr>
        <w:spacing w:before="0" w:after="200" w:lineRule="auto" w:line="276"/>
      </w:pPr>
      <w:r>
        <w:rPr>
          <w:b/>
        </w:rPr>
        <w:t xml:space="preserve">Abstract (EN): </w:t>
      </w:r>
      <w:r>
        <w:t>The primitive gut tube of mammals initially forms as a simple cylinder consisting of the endoderm-derived, pseudostratified epithelium and the mesoderm-derived surrounding mesenchyme. During mid-gestation, a dramatic transformation occurs in which the epithelium is both restructured into its final cuboidal form and simultaneously folded and refolded to create intestinal villi and intervillus regions. Here, we show that the mesenchymal winged helix transcription factor Foxl1, itself induced by epithelial hedgehog signaling, controls villification by activating BMP and PDGFRα and the planar cell polarity factor Fat4 in epithelial-adjacent telocyte progenitors either directly or indirectly. In the absence of Foxl1-dependent mesenchymal signaling, villus formation and the separation of epithelial cells into mitotic intervillus and postmitotic villus are delayed, and the differentiation of secretory progenitors temporarily blocked. Thus, Foxl1 orchestrates key events during the epithelial transition of the fetal mammalian gut.</w:t>
      </w:r>
    </w:p>
    <w:p>
      <w:pPr>
        <w:spacing w:before="120" w:after="120"/>
      </w:pPr>
      <w:r>
        <w:rPr>
          <w:sz w:val="18"/>
        </w:rPr>
        <w:t>——————————————————————————————————————————————————————————————————————</w:t>
      </w:r>
    </w:p>
    <w:p>
      <w:pPr>
        <w:spacing w:before="160" w:after="40" w:line="240" w:lineRule="auto"/>
      </w:pPr>
      <w:r>
        <w:rPr>
          <w:b/>
        </w:rPr>
        <w:t xml:space="preserve">[234] </w:t>
      </w:r>
      <w:hyperlink r:id="rId371">
        <w:r>
          <w:rPr>
            <w:color w:val="1155CC"/>
            <w:u w:val="single"/>
          </w:rPr>
          <w:t>多间皮瘤病人腹部脂肪活性细胞组织产生的光链纤维纤维纤维的冷冻-EM结构</w:t>
        </w:r>
      </w:hyperlink>
    </w:p>
    <w:p>
      <w:pPr>
        <w:spacing w:before="0" w:after="80"/>
      </w:pPr>
      <w:r>
        <w:rPr>
          <w:i/>
          <w:sz w:val="20"/>
        </w:rPr>
        <w:t>EN: Cryo-EM structures of light chain fibrils from abdominal fat biopsies of multiple myeloma patients</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多种间皮瘤(MM)是一种血液恶性肿瘤,其特征是骨髓等离子细胞异常扩散,与系统光链氨基质病(AL)密切相关,这是抗体光链(LC)氨基聚氨酯引发的疾病。MMM病人的氨基LC纤维纤维状的高分辨率结构基本上尚未开发。我们从两个活的MMM病人的腹部脂肪生物细胞中直接提取LC氨基纤维状。我们利用冷冻-电子显微镜(cryo-EM)进一步确定了三种不同的LC纤维形态结构,这三种结构与以前报告的来自ALmylromocios病人的纤维状结构大不相同。结构比较和计算分析表明,LC的纤维化机制不同。</w:t>
      </w:r>
    </w:p>
    <w:p>
      <w:pPr>
        <w:spacing w:before="0" w:after="200" w:lineRule="auto" w:line="276"/>
      </w:pPr>
      <w:r>
        <w:rPr>
          <w:b/>
        </w:rPr>
        <w:t xml:space="preserve">Abstract (EN): </w:t>
      </w:r>
      <w:r>
        <w:t>Multiple myeloma (MM) is a hematological malignancy characterized by the abnormal proliferation of plasma cells in the bone marrow and is closely associated with systemic light chain amyloidosis (AL), a disease triggered by the amyloid aggregation of antibody light chain (LC). High-resolution structures of amyloid LC fibrils from MM patients remain largely unexplored. Here, we extracted LC amyloid fibrils directly from abdominal fat biopsies of two living MM patients. Using cryo-electron microscopy (cryo-EM), we further determined the structures of three distinct LC fibril morphologies, which differ significantly from previously reported fibril structures derived from AL amyloidosis patients. Structural comparisons and computational analyses suggested distinct LC fibrillation mechanisms in MM compared to AL amyloidosis, highlighting a potential role of elevated protein concentration in driving LC aggregation in MM. These findings provide essential molecular insights into LC fibril formation in MM and offer a structural foundation for biological diagnosis of living MM patients based on accessible abdominal fat biopsy samples.</w:t>
      </w:r>
    </w:p>
    <w:p>
      <w:pPr>
        <w:spacing w:before="120" w:after="120"/>
      </w:pPr>
      <w:r>
        <w:rPr>
          <w:sz w:val="18"/>
        </w:rPr>
        <w:t>——————————————————————————————————————————————————————————————————————</w:t>
      </w:r>
    </w:p>
    <w:p>
      <w:pPr>
        <w:spacing w:before="160" w:after="40" w:line="240" w:lineRule="auto"/>
      </w:pPr>
      <w:r>
        <w:rPr>
          <w:b/>
        </w:rPr>
        <w:t xml:space="preserve">[235] </w:t>
      </w:r>
      <w:hyperlink r:id="rId372">
        <w:r>
          <w:rPr>
            <w:color w:val="1155CC"/>
            <w:u w:val="single"/>
          </w:rPr>
          <w:t>可再循环锂离子电池组的可水溶结合器</w:t>
        </w:r>
      </w:hyperlink>
    </w:p>
    <w:p>
      <w:pPr>
        <w:spacing w:before="0" w:after="80"/>
      </w:pPr>
      <w:r>
        <w:rPr>
          <w:i/>
          <w:sz w:val="20"/>
        </w:rPr>
        <w:t>EN: A water-soluble binder for recyclable lithium-ion batteries</w:t>
      </w:r>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锂离子电池市场的大幅增长给其报废管理带来了巨大的挑战,要求采取可持续的解决办法。直接回收是很有希望的选择,因为它能产生较高的能源效率和环境效益,特别是在保存目标材料原化学和结构方面的好处。然而,装束器将活电极材料和目前的收集器紧紧地放在一起,它们的分离通常涉及能源密集热处理和有害环境的化学品。我们在这里通过超分子相互作用将天然醋蛋白与硫酸交叉连接,呈现出一种可溶水的结合器。作为装束器的装束器展示了与超分子相互作用的类似电化学性能。</w:t>
      </w:r>
    </w:p>
    <w:p>
      <w:pPr>
        <w:spacing w:before="0" w:after="200" w:lineRule="auto" w:line="276"/>
      </w:pPr>
      <w:r>
        <w:rPr>
          <w:b/>
        </w:rPr>
        <w:t xml:space="preserve">Abstract (EN): </w:t>
      </w:r>
      <w:r>
        <w:t>The substantial growth in the market for lithium-ion batteries has created a huge challenge for their end-of-life management and demands sustainable solutions. Direct recycling is a promising choice due to its superior energy efficiency and environmental benefits, particularly the advantage in preserving the original chemistry and structure of the target materials. However, binders hold the active electrode materials and the current collectors tightly together, and their separation usually involves energy-intensive thermal treatment and environmentally hazardous chemicals. Here we present a water-soluble binder by crosslinking natural sericin protein with sulfuric acid through supramolecular interactions. The as-fabricated binder demonstrates comparable electrochemical performance with the most common polyvinylidene fluoride formulation, when applied to a typical LiNi1/3Co1/3Mn1/3O2 (NCM111) cathode. A 1.3-Ah pouch cell retained 85.0% of its initial capacity after 500 cycles. Equally importantly, after being soaked in water at 50 °C for less than 1 min, the NCM111 and graphite can be completely detached from the current collectors for recycling. By integrating the circular economy into the battery design, this work paves the way for the development of next-generation battery chemistries with enhanced sustainability.</w:t>
      </w:r>
    </w:p>
    <w:p>
      <w:pPr>
        <w:spacing w:before="120" w:after="120"/>
      </w:pPr>
      <w:r>
        <w:rPr>
          <w:sz w:val="18"/>
        </w:rPr>
        <w:t>——————————————————————————————————————————————————————————————————————</w:t>
      </w:r>
    </w:p>
    <w:p>
      <w:pPr>
        <w:spacing w:before="160" w:after="40" w:line="240" w:lineRule="auto"/>
      </w:pPr>
      <w:r>
        <w:rPr>
          <w:b/>
        </w:rPr>
        <w:t xml:space="preserve">[236] </w:t>
      </w:r>
      <w:hyperlink r:id="rId373">
        <w:r>
          <w:rPr>
            <w:color w:val="1155CC"/>
            <w:u w:val="single"/>
          </w:rPr>
          <w:t>用于协同太阳能和辐射热管理</w:t>
        </w:r>
      </w:hyperlink>
    </w:p>
    <w:p>
      <w:pPr>
        <w:spacing w:before="0" w:after="80"/>
      </w:pPr>
      <w:r>
        <w:rPr>
          <w:i/>
          <w:sz w:val="20"/>
        </w:rPr>
        <w:t>EN: Solution-processed electrochromics for synergistic solar and radiative heat management</w:t>
      </w:r>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保持热舒适的可持续性对于减少全球供暖和冷却能源的使用比例至关重要。 然而,目前个人热管理用散热材料通常提供独特的操作方向(供暖或冷却 ), 缺乏智能和可持续适应波动环境的智能和可持续适应性。 在这里,我们报告了一个将太阳能供暖和放射冷却纳入单一节能平台的全固自主色变化皮肤(ACCS ), 将太阳能供暖和辐射冷却纳入一个单一节能平台。 受色素皮肤适应性行为的影响,ACCS 能够持续调节太阳(0.3-2.5 微米)和红外中(8-13 微米)光谱的传球(8-13 微米 ) 。</w:t>
      </w:r>
    </w:p>
    <w:p>
      <w:pPr>
        <w:spacing w:before="0" w:after="200" w:lineRule="auto" w:line="276"/>
      </w:pPr>
      <w:r>
        <w:rPr>
          <w:b/>
        </w:rPr>
        <w:t xml:space="preserve">Abstract (EN): </w:t>
      </w:r>
      <w:r>
        <w:t>Maintaining thermal comfort sustainably is critical to reduce the share of global energy used for heating and cooling. However, current radiative materials for personal thermal management typically offer a singular direction of operation (either heating or cooling), lacking intelligent and sustainable adaptability to fluctuating environments. Here we report an all-solid-state autonomous colour-changing skin (ACCS) that integrates both solar heating and radiative cooling within a single energy-efficient platform. Inspired by the adaptive behaviour of chameleon skin, the ACCS enables continuous modulation of emissivity across the solar (0.3–2.5 µm) and mid-infrared (8–13 µm) spectra. The device tunes solar absorptivity by ~40% and infrared emissivity by over 50% under a voltage bias of only ±1.3 V, maintaining each state for more than 24 h without power consumption. Outdoor tests revealed reversible temperature differences of up to 15.5 °C between heating and cooling modes, while a single smartphone battery can power over 200 full-range switching cycles. The solution-processable functional layers permit scalable fabrication via drop-casting and roll-to-roll techniques, extending applications from wearable devices to large-area environmental control. This flexible, energy-neutral platform advances adaptive personal thermoregulation and illustrates how multispectral electrochromic design can decouple human comfort from fossil fuel-based climate control, contributing to global sustainability goals.</w:t>
      </w:r>
    </w:p>
    <w:p>
      <w:pPr>
        <w:spacing w:before="120" w:after="120"/>
      </w:pPr>
      <w:r>
        <w:rPr>
          <w:sz w:val="18"/>
        </w:rPr>
        <w:t>——————————————————————————————————————————————————————————————————————</w:t>
      </w:r>
    </w:p>
    <w:p>
      <w:pPr>
        <w:spacing w:before="160" w:after="40" w:line="240" w:lineRule="auto"/>
      </w:pPr>
      <w:r>
        <w:rPr>
          <w:b/>
        </w:rPr>
        <w:t xml:space="preserve">[237] </w:t>
      </w:r>
      <w:hyperlink r:id="rId374">
        <w:r>
          <w:rPr>
            <w:color w:val="1155CC"/>
            <w:u w:val="single"/>
          </w:rPr>
          <w:t>从废物中回收催化溴</w:t>
        </w:r>
      </w:hyperlink>
    </w:p>
    <w:p>
      <w:pPr>
        <w:spacing w:before="0" w:after="80"/>
      </w:pPr>
      <w:r>
        <w:rPr>
          <w:i/>
          <w:sz w:val="20"/>
        </w:rPr>
        <w:t>EN: Catalytic bromine recycling from waste</w:t>
      </w:r>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溴(Br)主要来自自然,在包括电子产品、车辆和家具在内的各种货物中的有机溴化物形式上发挥着不可或缺的作用,同时,溴在这些货物退役时以持久性溴化污染物的形式不断地释放到环境中,造成严重的环境后果和资源损失。我们在此提议了一项催化战略,使废物中的所有有机溴化物能够选择性地和轻质地转换成新的溴溴溴再循环用途。它利用了由廉价库(I)、简单的离心机和氢氧化物溶剂所促成的铀型反应。这一战略使复杂现实世界的溴-氧化物废物在温度120°C时的甲基溴产量达到&gt;95%。它可以生产溴化物。它可以生产溴化物。</w:t>
      </w:r>
    </w:p>
    <w:p>
      <w:pPr>
        <w:spacing w:before="0" w:after="200" w:lineRule="auto" w:line="276"/>
      </w:pPr>
      <w:r>
        <w:rPr>
          <w:b/>
        </w:rPr>
        <w:t xml:space="preserve">Abstract (EN): </w:t>
      </w:r>
      <w:r>
        <w:t>Bromine (Br), mostly extracted from nature, plays an essential role in the form of organobromides in various goods, including electronics, vehicles and furniture. At the same time, Br is continuously released into the environment in the form of persistent brominated pollutants upon the retirement of those goods, causing severe environmental consequences and loss of resources. Here we propose a catalytic strategy that enables the selective and mild-condition conversion of all organobromides present in wastes into renewed bromides for Br recycling. It employs Ullmann-type reactions enabled by inexpensive Cu(I), simple ligands and hydroxides in DMSO–H2O solvent. This strategy achieved &gt;95% bromide yields at a temperature ≤120 °C for complex real-world Br-laden wastes. It can produce bromide-rich solution amenable to Br2 production, as demonstrated by the inorganicization–evaporation–oxidation process, and recoverable debrominated solids with preserved chemical states. Mechanistic studies revealed a full debromination framework encompassing diverse activated pathways. This work provides a viable approach for Br recycling and potentially facilitates a circular and sustainable anthropogenic Br flow.</w:t>
      </w:r>
    </w:p>
    <w:p>
      <w:pPr>
        <w:spacing w:before="120" w:after="120"/>
      </w:pPr>
      <w:r>
        <w:rPr>
          <w:sz w:val="18"/>
        </w:rPr>
        <w:t>——————————————————————————————————————————————————————————————————————</w:t>
      </w:r>
    </w:p>
    <w:p>
      <w:pPr>
        <w:spacing w:before="160" w:after="40" w:line="240" w:lineRule="auto"/>
      </w:pPr>
      <w:r>
        <w:rPr>
          <w:b/>
        </w:rPr>
        <w:t xml:space="preserve">[238] </w:t>
      </w:r>
      <w:hyperlink r:id="rId375">
        <w:r>
          <w:rPr>
            <w:color w:val="1155CC"/>
            <w:u w:val="single"/>
          </w:rPr>
          <w:t>用于主流城市废水处理的多区厌氧铵氧化</w:t>
        </w:r>
      </w:hyperlink>
    </w:p>
    <w:p>
      <w:pPr>
        <w:spacing w:before="0" w:after="80"/>
      </w:pPr>
      <w:r>
        <w:rPr>
          <w:i/>
          <w:sz w:val="20"/>
        </w:rPr>
        <w:t>EN: Multi-zonal anaerobic ammonium oxidation for mainstream municipal wastewater treatment</w:t>
      </w:r>
    </w:p>
    <w:p>
      <w:pPr>
        <w:spacing w:before="0" w:after="120"/>
      </w:pPr>
      <w:r>
        <w:rPr>
          <w:b/>
        </w:rPr>
        <w:t xml:space="preserve">Source: </w:t>
      </w:r>
      <w:r>
        <w:t>Nature Sustainability</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城市废水处理厂(MWWTPs)的碳足迹主要归功于生物氮的清除。 厌氧铵氧化(Anammox)是MWWTPs脱碳的关键。然而,在采用 " 热点 " 概念后,安眠技术早已得到开发,在空间上将厌氧局限于MWTPs的特定区域,将其潜在开发不足的情况留在主流处理中。 我们在这里提出了一个 " 多区厌毒 " 概念,以在整个MWWTP主流中扩大厌毒过程。它允许在现有MWWTPs中以最低限度的重建要求来实施安眠毒。 我们在厌氧-氮-氧化(A2O)生物系统中评估了这一概念的可行性,这是MWTPs中最广泛使用的过程之一。 在长达两年的剧团中,我们评估了这一概念的可行性。</w:t>
      </w:r>
    </w:p>
    <w:p>
      <w:pPr>
        <w:spacing w:before="0" w:after="200" w:lineRule="auto" w:line="276"/>
      </w:pPr>
      <w:r>
        <w:rPr>
          <w:b/>
        </w:rPr>
        <w:t xml:space="preserve">Abstract (EN): </w:t>
      </w:r>
      <w:r>
        <w:t>Biological nitrogen removal is a main contributor to the carbon footprint of municipal wastewater treatment plants (MWWTPs). Anaerobic ammonium oxidation (anammox) is key to decarbonizing MWWTPs. However, anammox technology has long been developed following the ‘hotspot’ concept, which spatially confines anammox to specific zones in MWWTPs, leaving its potential underexploited in mainstream treatment. Here we propose a ‘multi-zonal anammox’ concept to expand the anammox process throughout the whole MWWTP mainstream. It allows the implementation of anammox in existing MWWTPs with minimal reconstruction requirements. We evaluated the feasibility of this concept in an anaerobic–anoxic–oxic (A2O) biosystem, which is one of the most widely used processes in MWWTPs. During a 2-year-long operation, anammox bacteria highly self-enriched and contributed to nitrogen removal throughout the mainstream, with relative abundances reaching 4.8%, 5.7–10.0% and 0.2–1.0% in anaerobic, anoxic and oxic zones, respectively. The multi-zonal anammox enhanced nitrogen removal efficiency by 20%, reduced aerating electricity input by 20%, mitigated nitrous oxide emissions by 66% and eliminated the need for supplemental organic carbon. Overall, this work opens a promising avenue for implementing the anammox process, paving the way towards sustainable wastewater management.</w:t>
      </w:r>
    </w:p>
    <w:p>
      <w:pPr>
        <w:spacing w:before="120" w:after="120"/>
      </w:pPr>
      <w:r>
        <w:rPr>
          <w:sz w:val="18"/>
        </w:rPr>
        <w:t>——————————————————————————————————————————————————————————————————————</w:t>
      </w:r>
    </w:p>
    <w:p>
      <w:pPr>
        <w:spacing w:before="160" w:after="40" w:line="240" w:lineRule="auto"/>
      </w:pPr>
      <w:r>
        <w:rPr>
          <w:b/>
        </w:rPr>
        <w:t xml:space="preserve">[239] </w:t>
      </w:r>
      <w:hyperlink r:id="rId376">
        <w:r>
          <w:rPr>
            <w:color w:val="1155CC"/>
            <w:u w:val="single"/>
          </w:rPr>
          <w:t>电池具有深层可持续性</w:t>
        </w:r>
      </w:hyperlink>
    </w:p>
    <w:p>
      <w:pPr>
        <w:spacing w:before="0" w:after="80"/>
      </w:pPr>
      <w:r>
        <w:rPr>
          <w:i/>
          <w:sz w:val="20"/>
        </w:rPr>
        <w:t>EN: Sustainability going deep for batteries</w:t>
      </w:r>
    </w:p>
    <w:p>
      <w:pPr>
        <w:spacing w:before="0" w:after="120"/>
      </w:pPr>
      <w:r>
        <w:rPr>
          <w:b/>
        </w:rPr>
        <w:t xml:space="preserve">Source: </w:t>
      </w:r>
      <w:r>
        <w:t>Nature Sustainability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377">
        <w:r>
          <w:rPr>
            <w:color w:val="1155CC"/>
            <w:u w:val="single"/>
          </w:rPr>
          <w:t>中间温度质子交换膜燃料电池:系统审查最近经过电化学评估的材料</w:t>
        </w:r>
      </w:hyperlink>
    </w:p>
    <w:p>
      <w:pPr>
        <w:spacing w:before="0" w:after="80"/>
      </w:pPr>
      <w:r>
        <w:rPr>
          <w:i/>
          <w:sz w:val="20"/>
        </w:rPr>
        <w:t>EN: Intermediate temperature proton exchange membrane fuel cells: a systematic review of recently electrochemically evaluated materials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[241] </w:t>
      </w:r>
      <w:hyperlink r:id="rId378">
        <w:r>
          <w:rPr>
            <w:color w:val="1155CC"/>
            <w:u w:val="single"/>
          </w:rPr>
          <w:t>切断高通量电化学的电源</w:t>
        </w:r>
      </w:hyperlink>
    </w:p>
    <w:p>
      <w:pPr>
        <w:spacing w:before="0" w:after="80"/>
      </w:pPr>
      <w:r>
        <w:rPr>
          <w:i/>
          <w:sz w:val="20"/>
        </w:rPr>
        <w:t>EN: Cutting the cord for high-throughput electrochemistry</w:t>
      </w:r>
    </w:p>
    <w:p>
      <w:pPr>
        <w:spacing w:before="0" w:after="120"/>
      </w:pPr>
      <w:r>
        <w:rPr>
          <w:b/>
        </w:rPr>
        <w:t xml:space="preserve">Source: </w:t>
      </w:r>
      <w:r>
        <w:t>Nature Chemical Engineering</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[242] </w:t>
      </w:r>
      <w:hyperlink r:id="rId379">
        <w:r>
          <w:rPr>
            <w:color w:val="1155CC"/>
            <w:u w:val="single"/>
          </w:rPr>
          <w:t>碳捕获、利用和储存技术的未来</w:t>
        </w:r>
      </w:hyperlink>
    </w:p>
    <w:p>
      <w:pPr>
        <w:spacing w:before="0" w:after="80"/>
      </w:pPr>
      <w:r>
        <w:rPr>
          <w:i/>
          <w:sz w:val="20"/>
        </w:rPr>
        <w:t>EN: The future of carbon capture, utilization and storage technologies</w:t>
      </w:r>
    </w:p>
    <w:p>
      <w:pPr>
        <w:spacing w:before="0" w:after="120"/>
      </w:pPr>
      <w:r>
        <w:rPr>
          <w:b/>
        </w:rPr>
        <w:t xml:space="preserve">Source: </w:t>
      </w:r>
      <w:r>
        <w:t>Nature Chemical Engineering</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[243] </w:t>
      </w:r>
      <w:hyperlink r:id="rId380">
        <w:r>
          <w:rPr>
            <w:color w:val="1155CC"/>
            <w:u w:val="single"/>
          </w:rPr>
          <w:t>从脱聚合挑战到离离离的宏观应用</w:t>
        </w:r>
      </w:hyperlink>
    </w:p>
    <w:p>
      <w:pPr>
        <w:spacing w:before="0" w:after="80"/>
      </w:pPr>
      <w:r>
        <w:rPr>
          <w:i/>
          <w:sz w:val="20"/>
        </w:rPr>
        <w:t>EN: From depolymerization challenges to macro-scale applications of lignin</w:t>
      </w:r>
    </w:p>
    <w:p>
      <w:pPr>
        <w:spacing w:before="0" w:after="120"/>
      </w:pPr>
      <w:r>
        <w:rPr>
          <w:b/>
        </w:rPr>
        <w:t xml:space="preserve">Source: </w:t>
      </w:r>
      <w:r>
        <w:t>Nature Reviews Clean Technology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381">
        <w:r>
          <w:rPr>
            <w:color w:val="1155CC"/>
            <w:u w:val="single"/>
          </w:rPr>
          <w:t>与LLLM共同建立强有力的MCDM框架,用于离岸风风能-海水-海水氢氢生产-海洋牧场综合系统投资决定</w:t>
        </w:r>
      </w:hyperlink>
    </w:p>
    <w:p>
      <w:pPr>
        <w:spacing w:before="0" w:after="80"/>
      </w:pPr>
      <w:r>
        <w:rPr>
          <w:i/>
          <w:sz w:val="20"/>
        </w:rPr>
        <w:t>EN: A robust MCDM framework with LLM for offshore wind power-seawater hydrogen production-marine ranch integrated system investment decision</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[245] </w:t>
      </w:r>
      <w:hyperlink r:id="rId382">
        <w:r>
          <w:rPr>
            <w:color w:val="1155CC"/>
            <w:u w:val="single"/>
          </w:rPr>
          <w:t>光凭证据并不能拯救生物多样性:金苹果螺暴露出执行差距</w:t>
        </w:r>
      </w:hyperlink>
    </w:p>
    <w:p>
      <w:pPr>
        <w:spacing w:before="0" w:after="80"/>
      </w:pPr>
      <w:r>
        <w:rPr>
          <w:i/>
          <w:sz w:val="20"/>
        </w:rPr>
        <w:t>EN: Evidence alone won’t save biodiversity: the golden apple snail reveals an implementation gap</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[246] </w:t>
      </w:r>
      <w:hyperlink r:id="rId383">
        <w:r>
          <w:rPr>
            <w:color w:val="1155CC"/>
            <w:u w:val="single"/>
          </w:rPr>
          <w:t>智利气候研究资金的减少将破坏科学和区域</w:t>
        </w:r>
      </w:hyperlink>
    </w:p>
    <w:p>
      <w:pPr>
        <w:spacing w:before="0" w:after="80"/>
      </w:pPr>
      <w:r>
        <w:rPr>
          <w:i/>
          <w:sz w:val="20"/>
        </w:rPr>
        <w:t>EN: Defunding Chile’s climate research will undermine science and the region</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[247] </w:t>
      </w:r>
      <w:hyperlink r:id="rId384">
        <w:r>
          <w:rPr>
            <w:color w:val="1155CC"/>
            <w:u w:val="single"/>
          </w:rPr>
          <w:t>贡献者角色分类工具必须用于创纪录的作者人数</w:t>
        </w:r>
      </w:hyperlink>
    </w:p>
    <w:p>
      <w:pPr>
        <w:spacing w:before="0" w:after="80"/>
      </w:pPr>
      <w:r>
        <w:rPr>
          <w:i/>
          <w:sz w:val="20"/>
        </w:rPr>
        <w:t>EN: The Contributor Role Taxonomy tool must serve to record extent of authorship</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[248] </w:t>
      </w:r>
      <w:hyperlink r:id="rId385">
        <w:r>
          <w:rPr>
            <w:color w:val="1155CC"/>
            <w:u w:val="single"/>
          </w:rPr>
          <w:t>在科学出版的环境足迹中核算AI</w:t>
        </w:r>
      </w:hyperlink>
    </w:p>
    <w:p>
      <w:pPr>
        <w:spacing w:before="0" w:after="80"/>
      </w:pPr>
      <w:r>
        <w:rPr>
          <w:i/>
          <w:sz w:val="20"/>
        </w:rPr>
        <w:t>EN: Account for AI in the environmental footprint of scientific publishing</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[249] </w:t>
      </w:r>
      <w:hyperlink r:id="rId386">
        <w:r>
          <w:rPr>
            <w:color w:val="1155CC"/>
            <w:u w:val="single"/>
          </w:rPr>
          <w:t>通过改进建筑能源建模的计算机愿景,从街对图像进行窗口对墙比率的城市规模估计</w:t>
        </w:r>
      </w:hyperlink>
    </w:p>
    <w:p>
      <w:pPr>
        <w:spacing w:before="0" w:after="80"/>
      </w:pPr>
      <w:r>
        <w:rPr>
          <w:i/>
          <w:sz w:val="20"/>
        </w:rPr>
        <w:t>EN: Urban-scale estimation of window-to-wall ratio from street view imagery via computer vision for improved building energy modeling</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[250] </w:t>
      </w:r>
      <w:hyperlink r:id="rId387">
        <w:r>
          <w:rPr>
            <w:color w:val="1155CC"/>
            <w:u w:val="single"/>
          </w:rPr>
          <w:t>中国正在对阿尔茨海默氏病发动战争。 中国有什么方法可以教给世界其他国家?</w:t>
        </w:r>
      </w:hyperlink>
    </w:p>
    <w:p>
      <w:pPr>
        <w:spacing w:before="0" w:after="80"/>
      </w:pPr>
      <w:r>
        <w:rPr>
          <w:i/>
          <w:sz w:val="20"/>
        </w:rPr>
        <w:t>EN: China is waging war on Alzheimer’s. What can its approach teach the rest of the world?</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[251] </w:t>
      </w:r>
      <w:hyperlink r:id="rId388">
        <w:r>
          <w:rPr>
            <w:color w:val="1155CC"/>
            <w:u w:val="single"/>
          </w:rPr>
          <w:t>核武器试验是有害的,</w:t>
        </w:r>
      </w:hyperlink>
    </w:p>
    <w:p>
      <w:pPr>
        <w:spacing w:before="0" w:after="80"/>
      </w:pPr>
      <w:r>
        <w:rPr>
          <w:i/>
          <w:sz w:val="20"/>
        </w:rPr>
        <w:t>EN: Nuclear weapons testing is harmful — there’s no case for a restart</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[252] </w:t>
      </w:r>
      <w:hyperlink r:id="rId389">
        <w:r>
          <w:rPr>
            <w:color w:val="1155CC"/>
            <w:u w:val="single"/>
          </w:rPr>
          <w:t>E3无处不在的螺旋藻综合体由精子产生和男性生育能力决定。</w:t>
        </w:r>
      </w:hyperlink>
    </w:p>
    <w:p>
      <w:pPr>
        <w:spacing w:before="0" w:after="80"/>
      </w:pPr>
      <w:r>
        <w:rPr>
          <w:i/>
          <w:sz w:val="20"/>
        </w:rPr>
        <w:t>EN: A testis-specific E3 ubiquitin ligase complex governs spermiogenesis and male fertility</w:t>
      </w:r>
    </w:p>
    <w:p>
      <w:pPr>
        <w:spacing w:before="0" w:after="120"/>
      </w:pPr>
      <w:r>
        <w:rPr>
          <w:b/>
        </w:rPr>
        <w:t xml:space="preserve">Source: </w:t>
      </w:r>
      <w:r>
        <w:t>Nature Communications</w:t>
      </w:r>
      <w:r>
        <w:t xml:space="preserve">    </w:t>
      </w:r>
      <w:r>
        <w:rPr>
          <w:b/>
        </w:rPr>
        <w:t xml:space="preserve">Pub date: </w:t>
      </w:r>
      <w:r>
        <w:t>2026-02-24 00:00:00+00:00</w:t>
      </w:r>
    </w:p>
    <w:p>
      <w:pPr>
        <w:spacing w:before="0" w:after="120"/>
      </w:pPr>
      <w:r>
        <w:rPr>
          <w:b/>
        </w:rPr>
        <w:t xml:space="preserve">Notes: </w:t>
      </w:r>
      <w:r>
        <w:t>abstract_source=nature_html</w:t>
      </w:r>
    </w:p>
    <w:p>
      <w:pPr>
        <w:spacing w:before="0" w:after="80" w:lineRule="auto" w:line="276"/>
      </w:pPr>
      <w:r>
        <w:rPr>
          <w:b/>
        </w:rPr>
        <w:t xml:space="preserve">摘要（ZH）: </w:t>
      </w:r>
      <w:r>
        <w:t>无处不在的蛋白质系统(UPS)代表着一种通过对蛋白质降解的间歇调节调节调节蛋白保持蛋白质的渐进式节能机制。精子产生涉及多层次的监管机制,将转化到动态的翻译后变异(PTMs),但与UPS有联系的E3里加素的特性仍然难以确定,这种E3里加素串联着细胞特定蛋白的蛋白变换。在这里,我们确定了一个测试专用的E3无处不在的离子系统复合体,由elongin B/C、Cullin-2(CulL2)、Ring-box蛋白-1(RBX1)和SOCS箱蛋白ASB9(SASB9)组成。 ECSASBB9通过无处不在的Asb9击杀(KO)或精子长长B/C有条件的KO干扰精子产生并损害生育力。机械学研究表明,ECS ECS ECS ECS ECS</w:t>
      </w:r>
    </w:p>
    <w:p>
      <w:pPr>
        <w:spacing w:before="0" w:after="200" w:lineRule="auto" w:line="276"/>
      </w:pPr>
      <w:r>
        <w:rPr>
          <w:b/>
        </w:rPr>
        <w:t xml:space="preserve">Abstract (EN): </w:t>
      </w:r>
      <w:r>
        <w:t>The ubiquitin-proteasome system (UPS) represents an evolutionarily conserved machinery governing proteostasis through spatiotemporal regulation of protein degradation. While spermatogenesis involves multilayered regulatory mechanisms spanning translation to dynamic post-translational modifications (PTMs), the identity of UPS-associated E3 ligases orchestrating germ cell-specific protein turnover remains elusive. Here, we identify a testis-specific E3 ubiquitin ligase complex comprising elongin B/C, Cullin-2 (CUL2), RING-box protein-1 (RBX1), and SOCS box protein ASB9, designated ECSASB9. Genetic ablation of ECSASB9 in mice via ubiquitous Asb9 knockout (KO) or spermatid-specific elongin B/C conditional KO disrupts spermiogenesis and compromises fertility. Mechanistic studies reveal that ECSASB9 engages tubulin beta 4 A (TUBB4A) through substrate recognition, catalyzing K48-linked polyubiquitination at lysine 379 (K379) to promote proteasomal degradation. Notably, Tubb4aK379R knock-in (KI) mice phenocopy the spermiogenesis defects observed upon ECSASB9 deficiency. Clinically, we identify three hemizygous missense variants in X-linked ASB9 among Chinese males with idiopathic infertility. Male mice bearing orthologous ASB9 variant exhibit oligoasthenoteratozoospermia (OAT) and subfertility, mirroring human phenotypes. Taken together, our findings establish ECSASB9 as an important regulator of spermatogenic proteostasis and provide mechanistic insights into UPS-mediated tissue-specific degradation, while implicating ASB9 variants in male infertility pathogenesis.</w:t>
      </w:r>
    </w:p>
    <w:p>
      <w:pPr>
        <w:spacing w:before="120" w:after="120"/>
      </w:pPr>
      <w:r>
        <w:rPr>
          <w:sz w:val="18"/>
        </w:rPr>
        <w:t>——————————————————————————————————————————————————————————————————————</w:t>
      </w:r>
    </w:p>
    <w:p>
      <w:pPr>
        <w:spacing w:before="160" w:after="40" w:line="240" w:lineRule="auto"/>
      </w:pPr>
      <w:r>
        <w:rPr>
          <w:b/>
        </w:rPr>
        <w:t xml:space="preserve">[253] </w:t>
      </w:r>
      <w:hyperlink r:id="rId390">
        <w:r>
          <w:rPr>
            <w:color w:val="1155CC"/>
            <w:u w:val="single"/>
          </w:rPr>
          <w:t>每日简报:COVID的起源——我们做什么和不知道什么</w:t>
        </w:r>
      </w:hyperlink>
    </w:p>
    <w:p>
      <w:pPr>
        <w:spacing w:before="0" w:after="80"/>
      </w:pPr>
      <w:r>
        <w:rPr>
          <w:i/>
          <w:sz w:val="20"/>
        </w:rPr>
        <w:t>EN: Daily briefing: COVID’s origins — what we do and don’t know</w:t>
      </w:r>
    </w:p>
    <w:p>
      <w:pPr>
        <w:spacing w:before="0" w:after="120"/>
      </w:pPr>
      <w:r>
        <w:rPr>
          <w:b/>
        </w:rPr>
        <w:t xml:space="preserve">Source: </w:t>
      </w:r>
      <w:r>
        <w:t>Nature</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[254] </w:t>
      </w:r>
      <w:hyperlink r:id="rId391">
        <w:r>
          <w:rPr>
            <w:color w:val="1155CC"/>
            <w:u w:val="single"/>
          </w:rPr>
          <w:t>以低边际成本从燃烧废物的CHHP厂获取CO2</w:t>
        </w:r>
      </w:hyperlink>
    </w:p>
    <w:p>
      <w:pPr>
        <w:spacing w:before="0" w:after="80"/>
      </w:pPr>
      <w:r>
        <w:rPr>
          <w:i/>
          <w:sz w:val="20"/>
        </w:rPr>
        <w:t>EN: Capturing CO2 from waste-fired CHP plants at low marginal cost</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392">
        <w:r>
          <w:rPr>
            <w:color w:val="1155CC"/>
            <w:u w:val="single"/>
          </w:rPr>
          <w:t>以五氯乙烯为基础的共价有机框架的电化CO2吸收量</w:t>
        </w:r>
      </w:hyperlink>
    </w:p>
    <w:p>
      <w:pPr>
        <w:spacing w:before="0" w:after="80"/>
      </w:pPr>
      <w:r>
        <w:rPr>
          <w:i/>
          <w:sz w:val="20"/>
        </w:rPr>
        <w:t>EN: Electrified CO2 uptake in quinone-based covalent organic frameworks</w:t>
      </w:r>
    </w:p>
    <w:p>
      <w:pPr>
        <w:spacing w:before="0" w:after="120"/>
      </w:pPr>
      <w:r>
        <w:rPr>
          <w:b/>
        </w:rPr>
        <w:t xml:space="preserve">Source: </w:t>
      </w:r>
      <w:r>
        <w:t>Chem</w:t>
      </w:r>
      <w:r>
        <w:t xml:space="preserve">    </w:t>
      </w:r>
      <w:r>
        <w:rPr>
          <w:b/>
        </w:rPr>
        <w:t xml:space="preserve">Pub date: </w:t>
      </w:r>
      <w:r>
        <w:t>2026-02-24 00:00:00+00:00</w:t>
      </w:r>
    </w:p>
    <w:p>
      <w:pPr>
        <w:spacing w:before="0" w:after="120"/>
      </w:pPr>
      <w:r>
        <w:rPr>
          <w:b/>
        </w:rPr>
        <w:t xml:space="preserve">Notes: </w:t>
      </w:r>
      <w:r>
        <w:t>abstract_source=rss_cell</w:t>
      </w:r>
    </w:p>
    <w:p>
      <w:pPr>
        <w:spacing w:before="0" w:after="80" w:lineRule="auto" w:line="276"/>
      </w:pPr>
      <w:r>
        <w:rPr>
          <w:b/>
        </w:rPr>
        <w:t xml:space="preserve">摘要（ZH）: </w:t>
      </w:r>
      <w:r>
        <w:t>利用分子奎恩的电化学CO2捕获往往受到溶解性和液态系统中氧敏感度的限制。 将奎恩嵌入多孔共价有机框架(COFs)可以增强稳定性,将活性转化为氧耐受系统,并将红氧化活动本地化为固体吸附剂。 我们开发了可扩缩的基于五氯氟化碳的合成,并在模拟烟气下运行的装置中验证了其性能,有效捕捉二氧化碳80小时。 这一方法为电化学碳捕获技术提供了一条充满希望的固态路径。</w:t>
      </w:r>
    </w:p>
    <w:p>
      <w:pPr>
        <w:spacing w:before="0" w:after="200" w:lineRule="auto" w:line="276"/>
      </w:pPr>
      <w:r>
        <w:rPr>
          <w:b/>
        </w:rPr>
        <w:t xml:space="preserve">Abstract (EN): </w:t>
      </w:r>
      <w:r>
        <w:t>Electrochemical CO2 capture using molecular quinones is often limited by solubility and oxygen sensitivity in liquid systems. Embedding quinones into porous covalent organic frameworks (COFs) enhances stability, shifts reactivity into an oxygen-tolerant regime, and localizes redox activity to the solid sorbent. We developed a scalable synthesis of quinone-based COFs and validated their performance in a device operating under simulated flue gas, capturing CO2 efficiently for 80 h. This approach offers a promising, solid-state pathway toward electrochemical carbon-capture technologies.</w:t>
      </w:r>
    </w:p>
    <w:p>
      <w:pPr>
        <w:spacing w:before="120" w:after="120"/>
      </w:pPr>
      <w:r>
        <w:rPr>
          <w:sz w:val="18"/>
        </w:rPr>
        <w:t>——————————————————————————————————————————————————————————————————————</w:t>
      </w:r>
    </w:p>
    <w:p>
      <w:pPr>
        <w:spacing w:before="160" w:after="40" w:line="240" w:lineRule="auto"/>
      </w:pPr>
      <w:r>
        <w:rPr>
          <w:b/>
        </w:rPr>
        <w:t xml:space="preserve">[256] </w:t>
      </w:r>
      <w:hyperlink r:id="rId393">
        <w:r>
          <w:rPr>
            <w:color w:val="1155CC"/>
            <w:u w:val="single"/>
          </w:rPr>
          <w:t>两极化双极荧光DNA框架纳米材料</w:t>
        </w:r>
      </w:hyperlink>
    </w:p>
    <w:p>
      <w:pPr>
        <w:spacing w:before="0" w:after="80"/>
      </w:pPr>
      <w:r>
        <w:rPr>
          <w:i/>
          <w:sz w:val="20"/>
        </w:rPr>
        <w:t>EN: Dual-polarization fluorescent DNA framework nanomaterials</w:t>
      </w:r>
    </w:p>
    <w:p>
      <w:pPr>
        <w:spacing w:before="0" w:after="120"/>
      </w:pPr>
      <w:r>
        <w:rPr>
          <w:b/>
        </w:rPr>
        <w:t xml:space="preserve">Source: </w:t>
      </w:r>
      <w:r>
        <w:t>Chem</w:t>
      </w:r>
      <w:r>
        <w:t xml:space="preserve">    </w:t>
      </w:r>
      <w:r>
        <w:rPr>
          <w:b/>
        </w:rPr>
        <w:t xml:space="preserve">Pub date: </w:t>
      </w:r>
      <w:r>
        <w:t>2026-02-24 00:00:00+00:00</w:t>
      </w:r>
    </w:p>
    <w:p>
      <w:pPr>
        <w:spacing w:before="0" w:after="120"/>
      </w:pPr>
      <w:r>
        <w:rPr>
          <w:b/>
        </w:rPr>
        <w:t xml:space="preserve">Notes: </w:t>
      </w:r>
      <w:r>
        <w:t>abstract_source=rss_cell</w:t>
      </w:r>
    </w:p>
    <w:p>
      <w:pPr>
        <w:spacing w:before="0" w:after="80" w:lineRule="auto" w:line="276"/>
      </w:pPr>
      <w:r>
        <w:rPr>
          <w:b/>
        </w:rPr>
        <w:t xml:space="preserve">摘要（ZH）: </w:t>
      </w:r>
      <w:r>
        <w:t>脱氧核糖核酸为将荧光分子安排成具有定制光学行为的建筑提供了一种可编程的方式。通过对染色定向和DNA框架内的相互作用进行编码,我们创建了两种不同的极化信号结构,这些信号的平衡可以精确控制。这种内置光学信号使得DNA结构的3D方向能够在没有复杂仪器的情况下被读出。我们的方法为设计具有可定制、结构编码特性的荧光材料以用于成像和光学应用提供了一个总体战略。</w:t>
      </w:r>
    </w:p>
    <w:p>
      <w:pPr>
        <w:spacing w:before="0" w:after="200" w:lineRule="auto" w:line="276"/>
      </w:pPr>
      <w:r>
        <w:rPr>
          <w:b/>
        </w:rPr>
        <w:t xml:space="preserve">Abstract (EN): </w:t>
      </w:r>
      <w:r>
        <w:t>DNA origami offers a programmable way to arrange fluorescent molecules into architectures with tailored optical behaviors. By encoding dye orientation and interactions within the DNA framework, we create structures that emit two distinct polarization signals whose balance can be precisely controlled. This built-in optical signature allows the 3D orientation of the DNA structures to be read out without complex instrumentation. Our approach provides a general strategy for designing fluorescent materials with customizable, structure-encoded properties for imaging and photonic applications.</w:t>
      </w:r>
    </w:p>
    <w:p>
      <w:pPr>
        <w:spacing w:before="120" w:after="120"/>
      </w:pPr>
      <w:r>
        <w:rPr>
          <w:sz w:val="18"/>
        </w:rPr>
        <w:t>——————————————————————————————————————————————————————————————————————</w:t>
      </w:r>
    </w:p>
    <w:p>
      <w:pPr>
        <w:spacing w:before="160" w:after="40" w:line="240" w:lineRule="auto"/>
      </w:pPr>
      <w:r>
        <w:rPr>
          <w:b/>
        </w:rPr>
        <w:t xml:space="preserve">[257] </w:t>
      </w:r>
      <w:hyperlink r:id="rId394">
        <w:r>
          <w:rPr>
            <w:color w:val="1155CC"/>
            <w:u w:val="single"/>
          </w:rPr>
          <w:t>以物理和稳定意识为基础的风力涡轮起醒分析模型分析模型</w:t>
        </w:r>
      </w:hyperlink>
    </w:p>
    <w:p>
      <w:pPr>
        <w:spacing w:before="0" w:after="80"/>
      </w:pPr>
      <w:r>
        <w:rPr>
          <w:i/>
          <w:sz w:val="20"/>
        </w:rPr>
        <w:t>EN: Physics-based and stability-aware analytical modeling of wind turbine wakes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395">
        <w:r>
          <w:rPr>
            <w:color w:val="1155CC"/>
            <w:u w:val="single"/>
          </w:rPr>
          <w:t>SAGE: 选择可持续和绿色能源意识客户在IoT中进行联合学习</w:t>
        </w:r>
      </w:hyperlink>
    </w:p>
    <w:p>
      <w:pPr>
        <w:spacing w:before="0" w:after="80"/>
      </w:pPr>
      <w:r>
        <w:rPr>
          <w:i/>
          <w:sz w:val="20"/>
        </w:rPr>
        <w:t>EN: SAGE: Sustainable and green energy-aware client selection for federated learning in IoT</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[259] </w:t>
      </w:r>
      <w:hyperlink r:id="rId396">
        <w:r>
          <w:rPr>
            <w:color w:val="1155CC"/>
            <w:u w:val="single"/>
          </w:rPr>
          <w:t>C(sp3)-N(sp3)-债券形成反应</w:t>
        </w:r>
      </w:hyperlink>
    </w:p>
    <w:p>
      <w:pPr>
        <w:spacing w:before="0" w:after="80"/>
      </w:pPr>
      <w:r>
        <w:rPr>
          <w:i/>
          <w:sz w:val="20"/>
        </w:rPr>
        <w:t>EN: Recent progress in transition-metal-catalysed intermolecular saturated C(sp3)–N(sp3) bond formation reactions</w:t>
      </w:r>
    </w:p>
    <w:p>
      <w:pPr>
        <w:spacing w:before="0" w:after="120"/>
      </w:pPr>
      <w:r>
        <w:rPr>
          <w:b/>
        </w:rPr>
        <w:t xml:space="preserve">Source: </w:t>
      </w:r>
      <w:r>
        <w:t>RSC - Chem. Soc. Rev.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饱和C(sp3)-N(sp3)债券在有机分子中普遍存在,是天然产品、药品、农用化学品和有机材料中的关键次单位。 由金属催化的C-N交叉组合反应已经演变为C-N债券形成的一个扶持平台,为快速集合有价值的分子骨骼提供了不可或缺的合成工具。 近年来,C(sp3)-N(sp3)债券形成吸引了合成界的极大关注,从现成和具有成本效益的起始材料中直接获取含有结构的SP3丰富C-N债券。 本审查突出介绍了由过渡-金属催化的分子C(sp3)-N(sp3)债券形成的最新进展。 转型-金属催化C(Sp3)-N(sp3)债券形成的关键战略。</w:t>
      </w:r>
    </w:p>
    <w:p>
      <w:pPr>
        <w:spacing w:before="0" w:after="200" w:lineRule="auto" w:line="276"/>
      </w:pPr>
      <w:r>
        <w:rPr>
          <w:b/>
        </w:rPr>
        <w:t xml:space="preserve">Abstract (EN): </w:t>
      </w:r>
      <w:r>
        <w:t>Saturated C(sp3)–N(sp3) bonds are ubiquitous in organic molecules and serve as key subunits in natural products, pharmaceuticals, agrochemicals, and organic materials. Transition-metal-catalysed C–N cross-coupling reactions have evolved as an enabling platform for C–N bond formation, providing an indispensable synthetic tool for the rapid assembly of valuable molecular skeletons. Over recent years, C(sp3)–N(sp3) bond formation has attracted significant attention from the synthetic community, providing straightforward access to sp3-rich C–N bond containing architectures from readily available and cost-effective starting materials. This review highlights recent advances in transition-metal-catalysed intermolecular C(sp3)–N(sp3) bond formation. Key strategies for transition-metal-catalysed C(sp3)–N(sp3) bond formation and mechanistic insights are summarized and discussed. Moreover, ongoing challenges and directions for future opportunities are discussed to inspire further efforts for developing C(sp3)–N(sp3) bond-forming processes.</w:t>
      </w:r>
    </w:p>
    <w:p>
      <w:pPr>
        <w:spacing w:before="120" w:after="120"/>
      </w:pPr>
      <w:r>
        <w:rPr>
          <w:sz w:val="18"/>
        </w:rPr>
        <w:t>——————————————————————————————————————————————————————————————————————</w:t>
      </w:r>
    </w:p>
    <w:p>
      <w:pPr>
        <w:spacing w:before="160" w:after="40" w:line="240" w:lineRule="auto"/>
      </w:pPr>
      <w:r>
        <w:rPr>
          <w:b/>
        </w:rPr>
        <w:t xml:space="preserve">[260] </w:t>
      </w:r>
      <w:hyperlink r:id="rId397">
        <w:r>
          <w:rPr>
            <w:color w:val="1155CC"/>
            <w:u w:val="single"/>
          </w:rPr>
          <w:t>考虑到季节气象因素和交通道路堵塞交通因素,对太阳能路面综合电力系统的可靠性评价</w:t>
        </w:r>
      </w:hyperlink>
    </w:p>
    <w:p>
      <w:pPr>
        <w:spacing w:before="0" w:after="80"/>
      </w:pPr>
      <w:r>
        <w:rPr>
          <w:i/>
          <w:sz w:val="20"/>
        </w:rPr>
        <w:t>EN: Reliability evaluation of solar pavements-integrated power system considering seasonal meteorological factors and traffic road congestion</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[261] </w:t>
      </w:r>
      <w:hyperlink r:id="rId398">
        <w:r>
          <w:rPr>
            <w:color w:val="1155CC"/>
            <w:u w:val="single"/>
          </w:rPr>
          <w:t>分子设计共价共价高酸性强酸强化CO2电湿度强化电湿度结合界面</w:t>
        </w:r>
      </w:hyperlink>
    </w:p>
    <w:p>
      <w:pPr>
        <w:spacing w:before="0" w:after="80"/>
      </w:pPr>
      <w:r>
        <w:rPr>
          <w:i/>
          <w:sz w:val="20"/>
        </w:rPr>
        <w:t>EN: Molecularly engineered covalent hydrophobic interface for enhanced CO2 electromethanation in strong acid</w:t>
      </w:r>
    </w:p>
    <w:p>
      <w:pPr>
        <w:spacing w:before="0" w:after="120"/>
      </w:pPr>
      <w:r>
        <w:rPr>
          <w:b/>
        </w:rPr>
        <w:t xml:space="preserve">Source: </w:t>
      </w:r>
      <w:r>
        <w:t>National Science Review Advance Access</w:t>
      </w:r>
      <w:r>
        <w:t xml:space="preserve">    </w:t>
      </w:r>
      <w:r>
        <w:rPr>
          <w:b/>
        </w:rPr>
        <w:t xml:space="preserve">Pub date: </w:t>
      </w:r>
      <w:r>
        <w:t>2026-02-24 00:00:00+00:00</w:t>
      </w:r>
      <w:r>
        <w:t xml:space="preserve">    </w:t>
      </w:r>
      <w:r>
        <w:rPr>
          <w:b/>
        </w:rPr>
        <w:t xml:space="preserve">DOI: </w:t>
      </w:r>
      <w:hyperlink r:id="rId399">
        <w:r>
          <w:rPr>
            <w:color w:val="1155CC"/>
            <w:u w:val="single"/>
          </w:rPr>
          <w:t>10.1093/nsr/nwag116/8496058</w:t>
        </w:r>
      </w:hyperlink>
    </w:p>
    <w:p>
      <w:pPr>
        <w:spacing w:before="0" w:after="120"/>
      </w:pPr>
      <w:r>
        <w:rPr>
          <w:b/>
        </w:rPr>
        <w:t xml:space="preserve">Notes: </w:t>
      </w:r>
      <w:r>
        <w:t>abstract_source=rss_oup</w:t>
      </w:r>
    </w:p>
    <w:p>
      <w:pPr>
        <w:spacing w:before="0" w:after="80" w:lineRule="auto" w:line="276"/>
      </w:pPr>
      <w:r>
        <w:rPr>
          <w:b/>
        </w:rPr>
        <w:t xml:space="preserve">摘要（ZH）: </w:t>
      </w:r>
      <w:r>
        <w:t>二氧化碳的电化学转换为甲烷提供了燃料合成的可持续途径,然而,它本身就难以平衡碳利用效率与产品选择性。基于物理疏水涂层的常规地表工程往往导致干扰性不稳定和降低电源转移效率。为了解决这些问题,我们开发了一种以共价保压含氟烷基硅烷(FAS)改造的以碳环化铜协调合成复合催化剂,允许对地表湿性进行精确控制。高酸电解液的突破得到了证明,甲烷法拉达效率达到66.2%,为400 mA cm-2 (pH 1.8),而单向碳转换效率为31.1%,超过了常规碱系统基准。</w:t>
      </w:r>
    </w:p>
    <w:p>
      <w:pPr>
        <w:spacing w:before="0" w:after="200" w:lineRule="auto" w:line="276"/>
      </w:pPr>
      <w:r>
        <w:rPr>
          <w:b/>
        </w:rPr>
        <w:t xml:space="preserve">Abstract (EN): </w:t>
      </w:r>
      <w:r>
        <w:t>Electrochemical conversion of CO2 to methane provides a sustainable pathway for fuel synthesis, yet it inherently struggles to balance carbon utilization efficiency with product selectivity. Conventional surface engineering based on physical hydrophobic coatings often leads to interfacial instability and diminished charge transfer efficiency. To address these issues, we develop a cysteine-coated copper coordination complex catalyst modified with covalently bonded fluoroalkyl silane (FAS), allowing precise control over surface wettability. A breakthrough in highly acidic electrolytes is demonstrated, achieving a methane Faradaic efficiency of up to 66.2% at 400 mA cm−2 (pH 1.8), alongside a single-pass carbon conversion efficiency of 31.1%, surpassing conventional alkaline-system benchmarks. Surface-enhanced Raman spectroscopy reveals key *COOH intermediate for CO2 activation, while in situ</w:t>
      </w:r>
    </w:p>
    <w:p>
      <w:pPr>
        <w:spacing w:before="120" w:after="120"/>
      </w:pPr>
      <w:r>
        <w:rPr>
          <w:sz w:val="18"/>
        </w:rPr>
        <w:t>——————————————————————————————————————————————————————————————————————</w:t>
      </w:r>
    </w:p>
    <w:p>
      <w:pPr>
        <w:spacing w:before="160" w:after="40" w:line="240" w:lineRule="auto"/>
      </w:pPr>
      <w:r>
        <w:rPr>
          <w:b/>
        </w:rPr>
        <w:t xml:space="preserve">[262] </w:t>
      </w:r>
      <w:hyperlink r:id="rId400">
        <w:r>
          <w:rPr>
            <w:color w:val="1155CC"/>
            <w:u w:val="single"/>
          </w:rPr>
          <w:t>以电力驱动的CO2和生物量转换成丙酸/气态:微环境调节、氢储存潜力和可持续性评估</w:t>
        </w:r>
      </w:hyperlink>
    </w:p>
    <w:p>
      <w:pPr>
        <w:spacing w:before="0" w:after="80"/>
      </w:pPr>
      <w:r>
        <w:rPr>
          <w:i/>
          <w:sz w:val="20"/>
        </w:rPr>
        <w:t>EN: Electricity-driven CO2 and biomass conversion toward formic acid/formate: microenvironment regulation, hydrogen storage potential, and sustainability assessment</w:t>
      </w:r>
    </w:p>
    <w:p>
      <w:pPr>
        <w:spacing w:before="0" w:after="120"/>
      </w:pPr>
      <w:r>
        <w:rPr>
          <w:b/>
        </w:rPr>
        <w:t xml:space="preserve">Source: </w:t>
      </w:r>
      <w:r>
        <w:t>RSC - Energy Environ. Sci.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通过电催化,二氧化碳和生物量等大量碳源可以转换成FA或FM, 从而通过有利于生态和可持续发展的有希望的方法,将原料稳定化为高价值化学品。本审查报告阐述了FA/FM生产中通过二氧化碳电解和生物量电氧化,特别是微型环境监管,最近取得的里程碑和新出现的趋势。本审查报告还阐述了关键因素对活动、选择性和能源效率的影响背后的内在机制。此外,环境影响、氢储存能力、技术经济分析以及生命周期评估都不存在。</w:t>
      </w:r>
    </w:p>
    <w:p>
      <w:pPr>
        <w:spacing w:before="0" w:after="200" w:lineRule="auto" w:line="276"/>
      </w:pPr>
      <w:r>
        <w:rPr>
          <w:b/>
        </w:rPr>
        <w:t xml:space="preserve">Abstract (EN): </w:t>
      </w:r>
      <w:r>
        <w:t>Formic acid (FA)/formate (FM) is widely recognized as an important energy carrier and high-value chemical. Through electrocatalysis, abundant carbon sources such as CO2 and biomass can be converted into FA or FM, enabling the valorization of feedstocks into high-value chemicals via a promising approach toward eco-friendly and sustainable development. This review elucidates recent milestones and emerging trends in FA/FM production via CO2 electroreduction and biomass electrooxidation, with a particular emphasis on microenvironment regulation. The intrinsic mechanisms underlying the effects of key factors on activity, selectivity, and energy efficiency are elucidated. In addition, environmental impact, hydrogen-storage capabilities, techno-economic analysis, and life cycle assessment are discussed in detail. Finally, future research directions and optimization strategies are proposed, focusing on feedstock pretreatment, catalyst engineering, and membrane–electrode integration. More importantly, this review also discusses CO2–organic paired electrolysis, proposing several solutions to fundamental constraints. Overall, this review aims to provide systematic guidance for three electrocatalytic pathways toward FA/FM—CO2 reduction, biomass oxidation, and their paired electrolysis—highlighting the pivotal role of microenvironment engineering in electrocatalyst design and reaction optimization, thereby delivering scientific insights to support green energy utilization and sustainable chemical manufacturing.</w:t>
      </w:r>
    </w:p>
    <w:p>
      <w:pPr>
        <w:spacing w:before="120" w:after="120"/>
      </w:pPr>
      <w:r>
        <w:rPr>
          <w:sz w:val="18"/>
        </w:rPr>
        <w:t>——————————————————————————————————————————————————————————————————————</w:t>
      </w:r>
    </w:p>
    <w:p>
      <w:pPr>
        <w:spacing w:before="160" w:after="40" w:line="240" w:lineRule="auto"/>
      </w:pPr>
      <w:r>
        <w:rPr>
          <w:b/>
        </w:rPr>
        <w:t xml:space="preserve">[263] </w:t>
      </w:r>
      <w:hyperlink r:id="rId401">
        <w:r>
          <w:rPr>
            <w:color w:val="1155CC"/>
            <w:u w:val="single"/>
          </w:rPr>
          <w:t>受热浪照射的电网的气候意识能力扩大规划规划</w:t>
        </w:r>
      </w:hyperlink>
    </w:p>
    <w:p>
      <w:pPr>
        <w:spacing w:before="0" w:after="80"/>
      </w:pPr>
      <w:r>
        <w:rPr>
          <w:i/>
          <w:sz w:val="20"/>
        </w:rPr>
        <w:t>EN: Climate-aware capacity expansion planning for power grids exposed to heat waves</w:t>
      </w:r>
    </w:p>
    <w:p>
      <w:pPr>
        <w:spacing w:before="0" w:after="120"/>
      </w:pPr>
      <w:r>
        <w:rPr>
          <w:b/>
        </w:rPr>
        <w:t xml:space="preserve">Source: </w:t>
      </w:r>
      <w:r>
        <w:t>ScienceDirect Publication: Applied Energy</w:t>
      </w:r>
      <w:r>
        <w:t xml:space="preserve">    </w:t>
      </w:r>
      <w:r>
        <w:rPr>
          <w:b/>
        </w:rPr>
        <w:t xml:space="preserve">Pub date: </w:t>
      </w:r>
      <w:r>
        <w:t>2026-02-24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[264] </w:t>
      </w:r>
      <w:hyperlink r:id="rId402">
        <w:r>
          <w:rPr>
            <w:color w:val="1155CC"/>
            <w:u w:val="single"/>
          </w:rPr>
          <w:t>由金属协调交叉连接网络促成的灵活电磁薄膜中高高温高温电子静电能源储存</w:t>
        </w:r>
      </w:hyperlink>
    </w:p>
    <w:p>
      <w:pPr>
        <w:spacing w:before="0" w:after="80"/>
      </w:pPr>
      <w:r>
        <w:rPr>
          <w:i/>
          <w:sz w:val="20"/>
        </w:rPr>
        <w:t>EN: Superior high-temperature electrostatic energy storage in flexible dielectric film enabled by metal-coordination crosslinked network</w:t>
      </w:r>
    </w:p>
    <w:p>
      <w:pPr>
        <w:spacing w:before="0" w:after="120"/>
      </w:pPr>
      <w:r>
        <w:rPr>
          <w:b/>
        </w:rPr>
        <w:t xml:space="preserve">Source: </w:t>
      </w:r>
      <w:r>
        <w:t>RSC - Energy Environ. Sci.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在高温和高电场和高电场,热稳定性差、隔热强度低、放电性能低、高温和高电场放电性能差,高温和高电场热能储存高温电能储存的灵活电离异电变软电变软电变软电变软电变软,已证明是增强热和绝缘特性的有效战略。然而,传统交叉连接网络的交叉连结中心在电学上是中性的,在化学或物理上与热能电变弱。充电载器和主机载二电机之间缺乏强有力的互动,将导致导电损严重,并在高温下降低断电强度,最终导致电衰弱。</w:t>
      </w:r>
    </w:p>
    <w:p>
      <w:pPr>
        <w:spacing w:before="0" w:after="200" w:lineRule="auto" w:line="276"/>
      </w:pPr>
      <w:r>
        <w:rPr>
          <w:b/>
        </w:rPr>
        <w:t xml:space="preserve">Abstract (EN): </w:t>
      </w:r>
      <w:r>
        <w:t>Flexible dielectrics for high-temperature electrostatic energy storage suffer from poor thermal stability, low insulation strength and inferior charge-discharge performances at elevated temperatures and high electric fields. Constructing a crosslinked structure in flexible dielectrics has been proven to be an effective strategy to enhance the thermal and insulation properties. Nevertheless, the crosslinking centers in traditional crosslinked networks are electrically neutral, and they are chemically or physically inert to the thermally excited electrons. The lack of a strong interaction between charge carriers and host dielectrics would lead to the formation of a severe conduction loss and reduction in breakdown strength at elevated temperatures, ultimately leading to an inferior electrostatic charge-discharge performance. Moreover, the traditional crosslinked polymer dielectrics are based on an irreversible covalent bond rather than a reversible interaction, and their waste becomes a significant environmental burden. Herein, we constructed a metal-coordination crosslinked network in polymer dielectrics via using metal ions as crosslinking points. The metal ions exhibit strong affinity to the electrons and accordingly can act as deep traps to capture the energetic electrons. Moreover, the dense crosslinked network can reduce the free volume and increase the mechanical strength, consequently contributing to the improvement of thermal stability and electrical insulation performances. The resultant film exhibits a superior electrostatic energy storage performance with a discharged energy density of 4.68 J/cm3 above 90% charge-discharge efficiency at 200 °C, which increases by more than 5 times compared to that of pristine film. Additionally, this type of network can be dynamically dissociated and reformed in an acidic condition, thereby contributing to the recycling of dielectrics. The recycled sample also displays a good electrostatic energy storage performance. This strategy not only strengthens the interaction between charge carriers and host dielectrics but also solves the unrecyclability of traditional crosslinked flexible dielectrics. These findings offer an effective approach to designing high-performance and environmentally-friendly flexible dielectrics.</w:t>
      </w:r>
    </w:p>
    <w:p>
      <w:pPr>
        <w:spacing w:before="120" w:after="120"/>
      </w:pPr>
      <w:r>
        <w:rPr>
          <w:sz w:val="18"/>
        </w:rPr>
        <w:t>——————————————————————————————————————————————————————————————————————</w:t>
      </w:r>
    </w:p>
    <w:p>
      <w:pPr>
        <w:spacing w:before="160" w:after="40" w:line="240" w:lineRule="auto"/>
      </w:pPr>
      <w:r>
        <w:rPr>
          <w:b/>
        </w:rPr>
        <w:t xml:space="preserve">[265] </w:t>
      </w:r>
      <w:hyperlink r:id="rId403">
        <w:r>
          <w:rPr>
            <w:color w:val="1155CC"/>
            <w:u w:val="single"/>
          </w:rPr>
          <w:t>大型中上环超分子系统中的光度</w:t>
        </w:r>
      </w:hyperlink>
    </w:p>
    <w:p>
      <w:pPr>
        <w:spacing w:before="0" w:after="80"/>
      </w:pPr>
      <w:r>
        <w:rPr>
          <w:i/>
          <w:sz w:val="20"/>
        </w:rPr>
        <w:t>EN: Luminescence in macrocyclic supramolecular systems</w:t>
      </w:r>
    </w:p>
    <w:p>
      <w:pPr>
        <w:spacing w:before="0" w:after="120"/>
      </w:pPr>
      <w:r>
        <w:rPr>
          <w:b/>
        </w:rPr>
        <w:t xml:space="preserve">Source: </w:t>
      </w:r>
      <w:r>
        <w:t>RSC - Chem. Soc. Rev. latest articles</w:t>
      </w:r>
      <w:r>
        <w:t xml:space="preserve">    </w:t>
      </w:r>
      <w:r>
        <w:rPr>
          <w:b/>
        </w:rPr>
        <w:t xml:space="preserve">Pub date: </w:t>
      </w:r>
      <w:r>
        <w:t>2026-02-24 00:00:00+00:00</w:t>
      </w:r>
    </w:p>
    <w:p>
      <w:pPr>
        <w:spacing w:before="0" w:after="120"/>
      </w:pPr>
      <w:r>
        <w:rPr>
          <w:b/>
        </w:rPr>
        <w:t xml:space="preserve">Notes: </w:t>
      </w:r>
      <w:r>
        <w:t>abstract_source=rsc_html</w:t>
      </w:r>
    </w:p>
    <w:p>
      <w:pPr>
        <w:spacing w:before="0" w:after="80" w:lineRule="auto" w:line="276"/>
      </w:pPr>
      <w:r>
        <w:rPr>
          <w:b/>
        </w:rPr>
        <w:t xml:space="preserve">摘要（ZH）: </w:t>
      </w:r>
      <w:r>
        <w:t>超环超分子月光系统在发展超分子化学和材料科学方面发挥着重要作用,为传统发光系统提供了强有力的替代方法,通过非共价互动对排放特性进行精确控制,为超分子月光系统的发展提供了一个理想的平台。因此,在本次审查中,我们介绍了新超分子月光系统的开发与应用的最新进展。</w:t>
      </w:r>
    </w:p>
    <w:p>
      <w:pPr>
        <w:spacing w:before="0" w:after="200" w:lineRule="auto" w:line="276"/>
      </w:pPr>
      <w:r>
        <w:rPr>
          <w:b/>
        </w:rPr>
        <w:t xml:space="preserve">Abstract (EN): </w:t>
      </w:r>
      <w:r>
        <w:t>Macrocyclic supramolecular luminescent systems play an important role in the development of supramolecular chemistry and materials science, offering a powerful alternative to conventional luminescent systems by enabling precise control over emission properties through non-covalent interactions. Macrocyclic hosts provide an ideal platform for construction of advanced supramolecular luminescent systems by using the host–guest interactions to enhance luminescence efficiency, generate new luminescence properties, and facilitate stimulus-responsive behavior. Consequently, the development of new supramolecular luminescent systems is becoming a frontier and hot topic in supramolecular and macrocyclic chemistry. Therefore, in this review, we present the recent advances in the construction and applications of the new supramolecular luminescent systems emerged in recent years. We will systematically summarize the design and construction strategies of new macrocyclic supramolecular luminescent systems according to different luminescence mechanisms and highlight their applications in chemical sensing, bioimaging, information anti-counterfeiting, photocatalysis, etc. Moreover, we will discuss the prevailing challenges and future research directions, aiming to guide the development of novel smart luminescent materials with enhanced functionality and practical utility.</w:t>
      </w:r>
    </w:p>
    <w:p>
      <w:pPr>
        <w:spacing w:before="120" w:after="120"/>
      </w:pPr>
      <w:r>
        <w:rPr>
          <w:sz w:val="18"/>
        </w:rPr>
        <w:t>——————————————————————————————————————————————————————————————————————</w:t>
      </w:r>
    </w:p>
    <w:p>
      <w:pPr>
        <w:spacing w:before="160" w:after="40" w:line="240" w:lineRule="auto"/>
      </w:pPr>
      <w:r>
        <w:rPr>
          <w:b/>
        </w:rPr>
        <w:t xml:space="preserve">[266] </w:t>
      </w:r>
      <w:hyperlink r:id="rId404">
        <w:r>
          <w:rPr>
            <w:color w:val="1155CC"/>
            <w:u w:val="single"/>
          </w:rPr>
          <w:t>激活NEK2,促进染色体不稳定和肿瘤产生</w:t>
        </w:r>
      </w:hyperlink>
    </w:p>
    <w:p>
      <w:pPr>
        <w:spacing w:before="0" w:after="80"/>
      </w:pPr>
      <w:r>
        <w:rPr>
          <w:i/>
          <w:sz w:val="20"/>
        </w:rPr>
        <w:t>EN: Human oncogenic herpesvirus latency proteins activate NEK2 to promote chromosomal instability and tumorigenesis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05">
        <w:r>
          <w:rPr>
            <w:color w:val="1155CC"/>
            <w:u w:val="single"/>
          </w:rPr>
          <w:t>10.1073/pnas.2535073123</w:t>
        </w:r>
      </w:hyperlink>
    </w:p>
    <w:p>
      <w:pPr>
        <w:spacing w:before="0" w:after="120"/>
      </w:pPr>
      <w:r>
        <w:rPr>
          <w:b/>
        </w:rPr>
        <w:t xml:space="preserve">Notes: </w:t>
      </w:r>
      <w:r>
        <w:t>abstract_source=crossref</w:t>
      </w:r>
    </w:p>
    <w:p>
      <w:pPr>
        <w:spacing w:before="0" w:after="80" w:lineRule="auto" w:line="276"/>
      </w:pPr>
      <w:r>
        <w:rPr>
          <w:b/>
        </w:rPr>
        <w:t xml:space="preserve">摘要（ZH）: </w:t>
      </w:r>
      <w:r>
        <w:t>在与甲型(NIMA)相关的“绝绝症”A(NIMA)相关连体体素2 (NEK2)中,它是一种在细胞循环调节中起着关键作用的精液/激素类素2 (NEK2),它经常在多种癌症类型中诱发,其高水平与预测力差有关。 Epstein-Barr病毒(EBV)和Kaposi的萨尔科马 - 相关除疹病毒(KSHV)已知会引发各种恶性病,在初级感染和潜在感染阶段都观察到诱发NEK2表达方式。 NEK2表达方式的增加通过促进非分流、导致肺炎细胞人口增加和助长不受控制的细胞扩散,助长了染色体不稳定。 从机械学上看,EBV 潜伏蛋白 EBNA2 和KSHV 潜在抗原病毒 LANA被确定为NEK2调控的主要监管者,采取第三种行动。</w:t>
      </w:r>
    </w:p>
    <w:p>
      <w:pPr>
        <w:spacing w:before="0" w:after="200" w:lineRule="auto" w:line="276"/>
      </w:pPr>
      <w:r>
        <w:rPr>
          <w:b/>
        </w:rPr>
        <w:t xml:space="preserve">Abstract (EN): </w:t>
      </w:r>
      <w:r>
        <w:t>Never in mitosis A (NIMA)-related kinase 2 (NEK2) is a serine/threonine kinase that plays a crucial role in cell cycle regulation and is frequently induced across multiple cancer types, where its elevated levels are associated with poor prognosis. Epstein–Barr virus (EBV) and Kaposi’s sarcoma–associated herpesvirus (KSHV), both known to drive various malignancies, were observed to induce NEK2 expression during both primary infection and latent phases of infection. Increased NEK2 expression contributes to chromosomal instability by promoting nondisjunction, leading to a rise in aneuploid cell populations and fostering uncontrolled cell proliferation. Mechanistically, EBV latent protein EBNA2 and KSHV latent antigen LANA were identified as principal regulators of NEK2 upregulation, acting through modulation of RBP-Jκ activities at the NEK2 promoter region. Additionally, we demonstrated that targeting NEK2 impaired EBV- and KSHV-mediated tumor progression, highlighting its potential as a critical driver of virus-induced oncogenesis and a promising therapeutic target.</w:t>
      </w:r>
    </w:p>
    <w:p>
      <w:pPr>
        <w:spacing w:before="120" w:after="120"/>
      </w:pPr>
      <w:r>
        <w:rPr>
          <w:sz w:val="18"/>
        </w:rPr>
        <w:t>——————————————————————————————————————————————————————————————————————</w:t>
      </w:r>
    </w:p>
    <w:p>
      <w:pPr>
        <w:spacing w:before="160" w:after="40" w:line="240" w:lineRule="auto"/>
      </w:pPr>
      <w:r>
        <w:rPr>
          <w:b/>
        </w:rPr>
        <w:t xml:space="preserve">[267] </w:t>
      </w:r>
      <w:hyperlink r:id="rId406">
        <w:r>
          <w:rPr>
            <w:color w:val="1155CC"/>
            <w:u w:val="single"/>
          </w:rPr>
          <w:t>本问题</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07">
        <w:r>
          <w:rPr>
            <w:color w:val="1155CC"/>
            <w:u w:val="single"/>
          </w:rPr>
          <w:t>10.1073/iti0826123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[268] </w:t>
      </w:r>
      <w:hyperlink r:id="rId408">
        <w:r>
          <w:rPr>
            <w:color w:val="1155CC"/>
            <w:u w:val="single"/>
          </w:rPr>
          <w:t>双语语文的处理依赖由每种语文调制的共用语义表示法。</w:t>
        </w:r>
      </w:hyperlink>
    </w:p>
    <w:p>
      <w:pPr>
        <w:spacing w:before="0" w:after="80"/>
      </w:pPr>
      <w:r>
        <w:rPr>
          <w:i/>
          <w:sz w:val="20"/>
        </w:rPr>
        <w:t>EN: Bilingual language processing relies on shared semantic representations that are modulated by each language</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09">
        <w:r>
          <w:rPr>
            <w:color w:val="1155CC"/>
            <w:u w:val="single"/>
          </w:rPr>
          <w:t>10.1073/pnas.2503721123</w:t>
        </w:r>
      </w:hyperlink>
    </w:p>
    <w:p>
      <w:pPr>
        <w:spacing w:before="0" w:after="120"/>
      </w:pPr>
      <w:r>
        <w:rPr>
          <w:b/>
        </w:rPr>
        <w:t xml:space="preserve">Notes: </w:t>
      </w:r>
      <w:r>
        <w:t>abstract_source=crossref</w:t>
      </w:r>
    </w:p>
    <w:p>
      <w:pPr>
        <w:spacing w:before="0" w:after="80" w:lineRule="auto" w:line="276"/>
      </w:pPr>
      <w:r>
        <w:rPr>
          <w:b/>
        </w:rPr>
        <w:t xml:space="preserve">摘要（ZH）: </w:t>
      </w:r>
      <w:r>
        <w:t>虽然一些证据表明,人类大脑中有一个共同的系统,用于处理本族和非本族语言的语义信息,但其他证据表明,语义处理是语言专用的。我们进行了一项研究,以确定不同语言的语义信息如何在双语大脑中体现。功能磁共振成像(fMRI)用于记录大脑反应,而参与者则用本族语言(中文)和非本族语言(英文)阅读数小时的自然叙事。这些数据随后被用来比较两种语言之间的语义表达。我们发现,语义表述在很大程度上是语义表达。</w:t>
      </w:r>
    </w:p>
    <w:p>
      <w:pPr>
        <w:spacing w:before="0" w:after="200" w:lineRule="auto" w:line="276"/>
      </w:pPr>
      <w:r>
        <w:rPr>
          <w:b/>
        </w:rPr>
        <w:t xml:space="preserve">Abstract (EN): </w:t>
      </w:r>
      <w:r>
        <w:t>Billions of people throughout the world are bilingual, and they can extract meaning from multiple languages. While some evidence suggests that there is a shared system in the human brain for processing semantic information from native and non-native languages, other evidence suggests that semantic processing is language specific. We conducted a study to determine how semantic information for different languages is represented in the brains of bilinguals. Functional magnetic resonance imaging (fMRI) was used to record brain responses while participants read several hours of natural narratives in their native (Chinese) and non-native (English) languages. These data were then used to compare semantic representations between the two languages. We find that semantic representations are largely shared between languages, while there are fine-grained differences in the representation of some semantic categories across languages. These results reconcile current competing theories of bilingual language processing.</w:t>
      </w:r>
    </w:p>
    <w:p>
      <w:pPr>
        <w:spacing w:before="120" w:after="120"/>
      </w:pPr>
      <w:r>
        <w:rPr>
          <w:sz w:val="18"/>
        </w:rPr>
        <w:t>——————————————————————————————————————————————————————————————————————</w:t>
      </w:r>
    </w:p>
    <w:p>
      <w:pPr>
        <w:spacing w:before="160" w:after="40" w:line="240" w:lineRule="auto"/>
      </w:pPr>
      <w:r>
        <w:rPr>
          <w:b/>
        </w:rPr>
        <w:t xml:space="preserve">[269] </w:t>
      </w:r>
      <w:hyperlink r:id="rId410">
        <w:r>
          <w:rPr>
            <w:color w:val="1155CC"/>
            <w:u w:val="single"/>
          </w:rPr>
          <w:t>传输传输降低美国发电成本,但发电机奖励措施不统一</w:t>
        </w:r>
      </w:hyperlink>
    </w:p>
    <w:p>
      <w:pPr>
        <w:spacing w:before="0" w:after="80"/>
      </w:pPr>
      <w:r>
        <w:rPr>
          <w:i/>
          <w:sz w:val="20"/>
        </w:rPr>
        <w:t>EN: Transmission lowers US generation costs, but generator incentives are not aligned</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11">
        <w:r>
          <w:rPr>
            <w:color w:val="1155CC"/>
            <w:u w:val="single"/>
          </w:rPr>
          <w:t>10.1073/pnas.2524463123</w:t>
        </w:r>
      </w:hyperlink>
    </w:p>
    <w:p>
      <w:pPr>
        <w:spacing w:before="0" w:after="120"/>
      </w:pPr>
      <w:r>
        <w:rPr>
          <w:b/>
        </w:rPr>
        <w:t xml:space="preserve">Notes: </w:t>
      </w:r>
      <w:r>
        <w:t>abstract_source=crossref</w:t>
      </w:r>
    </w:p>
    <w:p>
      <w:pPr>
        <w:spacing w:before="0" w:after="80" w:lineRule="auto" w:line="276"/>
      </w:pPr>
      <w:r>
        <w:rPr>
          <w:b/>
        </w:rPr>
        <w:t xml:space="preserve">摘要（ZH）: </w:t>
      </w:r>
      <w:r>
        <w:t>随着低成本可再生能源电力的进入,美国电网正在迅速发展。 结果,新供应在空间上无法与需求相匹配,传输网络也变得更加紧张。 更好的市场一体化可以降低美国发电成本。 我们记录表明,消除区域间限制可以降低低48个州的发电成本,2022年将降低58亿至71亿,2023年将降低34亿至50亿。 但市场一体化在发电公司中造成了赢家和输家,而且我们表明,尽管整个系统都有好处,但一些地区的生产商还是有动力推迟或阻止电网一体化。</w:t>
      </w:r>
    </w:p>
    <w:p>
      <w:pPr>
        <w:spacing w:before="0" w:after="200" w:lineRule="auto" w:line="276"/>
      </w:pPr>
      <w:r>
        <w:rPr>
          <w:b/>
        </w:rPr>
        <w:t xml:space="preserve">Abstract (EN): </w:t>
      </w:r>
      <w:r>
        <w:t>The US electricity grid is rapidly evolving with the entry of low-cost renewable electricity. As a result, new supply is not spatially matched to demand, and the transmission network has become more strained. Better market integration could thus lower US generation costs. We document that eliminating interregional constraints would have reduced electricity generation costs across the lower US 48 states by $5.8 to 7.1 billion in 2022 and $3.4 to 5.0 billion in 2023. But market integration creates winners and losers among generation companies, and we show that producers in some regions have incentives to delay or block grid integration despite the overall system benefits.</w:t>
      </w:r>
    </w:p>
    <w:p>
      <w:pPr>
        <w:spacing w:before="120" w:after="120"/>
      </w:pPr>
      <w:r>
        <w:rPr>
          <w:sz w:val="18"/>
        </w:rPr>
        <w:t>——————————————————————————————————————————————————————————————————————</w:t>
      </w:r>
    </w:p>
    <w:p>
      <w:pPr>
        <w:spacing w:before="160" w:after="40" w:line="240" w:lineRule="auto"/>
      </w:pPr>
      <w:r>
        <w:rPr>
          <w:b/>
        </w:rPr>
        <w:t xml:space="preserve">[270] </w:t>
      </w:r>
      <w:hyperlink r:id="rId412">
        <w:r>
          <w:rPr>
            <w:color w:val="1155CC"/>
            <w:u w:val="single"/>
          </w:rPr>
          <w:t>类I-I类素对在人类诱导多能干细胞中用氯氟菊酯介介介的内分泌硬化过程中膜紧张状态的变化作出反应。</w:t>
        </w:r>
      </w:hyperlink>
    </w:p>
    <w:p>
      <w:pPr>
        <w:spacing w:before="0" w:after="80"/>
      </w:pPr>
      <w:r>
        <w:rPr>
          <w:i/>
          <w:sz w:val="20"/>
        </w:rPr>
        <w:t>EN: Class-I myosin responds to changes in membrane tension during clathrin-mediated endocytosis in human induced pluripotent stem cells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13">
        <w:r>
          <w:rPr>
            <w:color w:val="1155CC"/>
            <w:u w:val="single"/>
          </w:rPr>
          <w:t>10.1073/pnas.2532817123</w:t>
        </w:r>
      </w:hyperlink>
    </w:p>
    <w:p>
      <w:pPr>
        <w:spacing w:before="0" w:after="120"/>
      </w:pPr>
      <w:r>
        <w:rPr>
          <w:b/>
        </w:rPr>
        <w:t xml:space="preserve">Notes: </w:t>
      </w:r>
      <w:r>
        <w:t>abstract_source=crossref</w:t>
      </w:r>
    </w:p>
    <w:p>
      <w:pPr>
        <w:spacing w:before="0" w:after="80" w:lineRule="auto" w:line="276"/>
      </w:pPr>
      <w:r>
        <w:rPr>
          <w:b/>
        </w:rPr>
        <w:t xml:space="preserve">摘要（ZH）: </w:t>
      </w:r>
      <w:r>
        <w:t>Clathrin 介介介内分泌硬化(CME)是一种基本细胞过程,需要在多种条件下有效运行。内分泌点的内化涉及由膜蛋白和Arp2/3介介介的分枝丝状结构组形成的力量,将血浆膜从平板弯曲到美茄形。在哺乳动物中,对分泌丝丝丝网络的要求因细胞类型和膜张力的不同而不同。然而,对内分泌网络如何适应负荷的变化以确保该过程在一系列膜紧张情况下的稳健性,并不明白。在这里,我们将活细胞成像和经基因组编辑的人类诱导多功能干细胞的超分辨率微镜结合在一起,以调查哺乳动物类I的作用。</w:t>
      </w:r>
    </w:p>
    <w:p>
      <w:pPr>
        <w:spacing w:before="0" w:after="200" w:lineRule="auto" w:line="276"/>
      </w:pPr>
      <w:r>
        <w:rPr>
          <w:b/>
        </w:rPr>
        <w:t xml:space="preserve">Abstract (EN): </w:t>
      </w:r>
      <w:r>
        <w:t>Clathrin-mediated endocytosis (CME) is an essential cellular process that needs to operate efficiently across a wide range of conditions. Internalization of the endocytic site involves forces generated by membrane-bound proteins and Arp2/3-mediated branched actin filament assembly to bend the plasma membrane from flat to omega-shaped. In mammalian CME, the requirement for a branched actin filament network varies depending on cell type and differences in membrane tension. However, how the actin network adapts to changes in load in order to ensure robustness of this process over a range of membrane tensions is not understood. Here, we combine live-cell imaging and superresolution microscopy of genome-edited human induced pluripotent stem cells to investigate the role of the mammalian class-I myosin, Myosin1E (Myo1E), in load adaptation. Under normal conditions, sites that recruit Myo1E are rare and exhibit slow CME dynamics. However, as membrane tension increases and CME dynamics are slowed globally, Myo1E is recruited to more sites, likely to increase actin assembly and motor activity, resulting in increased force generation to rescue stalled sites and promote internalization. Loss of Myo1E results in increased Arp2/3 complex lifetime at CME sites under normal conditions, and at high membrane tension, these sites fail to recruit as many Arp2/3 molecules. We propose that Myo1E is recruited to CME sites that have stalled due to increased membrane tension, where it helps build a more effective branched actin network by generating force through motor activity and recruiting additional Arp2/3 complexes to rescue stalled sites.</w:t>
      </w:r>
    </w:p>
    <w:p>
      <w:pPr>
        <w:spacing w:before="120" w:after="120"/>
      </w:pPr>
      <w:r>
        <w:rPr>
          <w:sz w:val="18"/>
        </w:rPr>
        <w:t>——————————————————————————————————————————————————————————————————————</w:t>
      </w:r>
    </w:p>
    <w:p>
      <w:pPr>
        <w:spacing w:before="160" w:after="40" w:line="240" w:lineRule="auto"/>
      </w:pPr>
      <w:r>
        <w:rPr>
          <w:b/>
        </w:rPr>
        <w:t xml:space="preserve">[271] </w:t>
      </w:r>
      <w:hyperlink r:id="rId414">
        <w:r>
          <w:rPr>
            <w:color w:val="1155CC"/>
            <w:u w:val="single"/>
          </w:rPr>
          <w:t>利用深神经网络了解人类元元控制及其病理</w:t>
        </w:r>
      </w:hyperlink>
    </w:p>
    <w:p>
      <w:pPr>
        <w:spacing w:before="0" w:after="80"/>
      </w:pPr>
      <w:r>
        <w:rPr>
          <w:i/>
          <w:sz w:val="20"/>
        </w:rPr>
        <w:t>EN: Understanding human metacontrol and its pathologies using deep neural networks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15">
        <w:r>
          <w:rPr>
            <w:color w:val="1155CC"/>
            <w:u w:val="single"/>
          </w:rPr>
          <w:t>10.1073/pnas.2510334123</w:t>
        </w:r>
      </w:hyperlink>
    </w:p>
    <w:p>
      <w:pPr>
        <w:spacing w:before="0" w:after="120"/>
      </w:pPr>
      <w:r>
        <w:rPr>
          <w:b/>
        </w:rPr>
        <w:t xml:space="preserve">Notes: </w:t>
      </w:r>
      <w:r>
        <w:t>abstract_source=crossref</w:t>
      </w:r>
    </w:p>
    <w:p>
      <w:pPr>
        <w:spacing w:before="0" w:after="80" w:lineRule="auto" w:line="276"/>
      </w:pPr>
      <w:r>
        <w:rPr>
          <w:b/>
        </w:rPr>
        <w:t xml:space="preserve">摘要（ZH）: </w:t>
      </w:r>
      <w:r>
        <w:t>错误监测对于推断环境的可控制性至关重要,因此对于估计控制过程(元控制)的价值也至关重要。在本研究中,我们使用深神经网络的计算模拟来调查其行为和神经相关关系。我们培训人和深强化学习(RL)代理进行奖励性指导学习任务,需要适应行动可控制性的变化。深RL代理商只有在设计明确预测介质前皮层火灾的行动预测错误时才能解决任务。在进行这种培训时,他们展示了与人类观察到的非常相似的元控制信号。此外,当深RL代理商接受过量或低估控制性的培训时,它们会变幻。</w:t>
      </w:r>
    </w:p>
    <w:p>
      <w:pPr>
        <w:spacing w:before="0" w:after="200" w:lineRule="auto" w:line="276"/>
      </w:pPr>
      <w:r>
        <w:rPr>
          <w:b/>
        </w:rPr>
        <w:t xml:space="preserve">Abstract (EN): </w:t>
      </w:r>
      <w:r>
        <w:t>Error monitoring is crucial for inferring how controllable an environment is, and thus for estimating the value of control processes (metacontrol). In this study, we use computational simulations with deep neural networks to investigate its behavioral and neural correlates. We trained both humans and deep reinforcement learning (RL) agents to perform a reward-guided learning task that required adaptation to changes in action controllability. Deep RL agents could only solve the task when designed to explicitly predict action prediction errors that fire in the medial prefrontal cortex. When trained this way, they displayed signatures of metacontrol that closely resembled those observed in humans. Moreover, when deep RL agents were trained to over- or underestimate controllability, they developed behavioral pathologies partially matching those of humans who reported depressive, anxious, or compulsive traits on transdiagnostic questionnaires. These findings open up avenues for studying metacontrol using deep neural networks.</w:t>
      </w:r>
    </w:p>
    <w:p>
      <w:pPr>
        <w:spacing w:before="120" w:after="120"/>
      </w:pPr>
      <w:r>
        <w:rPr>
          <w:sz w:val="18"/>
        </w:rPr>
        <w:t>——————————————————————————————————————————————————————————————————————</w:t>
      </w:r>
    </w:p>
    <w:p>
      <w:pPr>
        <w:spacing w:before="160" w:after="40" w:line="240" w:lineRule="auto"/>
      </w:pPr>
      <w:r>
        <w:rPr>
          <w:b/>
        </w:rPr>
        <w:t xml:space="preserve">[272] </w:t>
      </w:r>
      <w:hyperlink r:id="rId416">
        <w:r>
          <w:rPr>
            <w:color w:val="1155CC"/>
            <w:u w:val="single"/>
          </w:rPr>
          <w:t>制作关于粘土矿物多金属竞争性吸附模型的准确而有效的框架</w:t>
        </w:r>
      </w:hyperlink>
    </w:p>
    <w:p>
      <w:pPr>
        <w:spacing w:before="0" w:after="80"/>
      </w:pPr>
      <w:r>
        <w:rPr>
          <w:i/>
          <w:sz w:val="20"/>
        </w:rPr>
        <w:t>EN: An accurate and efficient framework for modeling multimetal competitive adsorption on clay minerals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17">
        <w:r>
          <w:rPr>
            <w:color w:val="1155CC"/>
            <w:u w:val="single"/>
          </w:rPr>
          <w:t>10.1073/pnas.2527567123</w:t>
        </w:r>
      </w:hyperlink>
    </w:p>
    <w:p>
      <w:pPr>
        <w:spacing w:before="0" w:after="120"/>
      </w:pPr>
      <w:r>
        <w:rPr>
          <w:b/>
        </w:rPr>
        <w:t xml:space="preserve">Notes: </w:t>
      </w:r>
      <w:r>
        <w:t>abstract_source=crossref</w:t>
      </w:r>
    </w:p>
    <w:p>
      <w:pPr>
        <w:spacing w:before="0" w:after="80" w:lineRule="auto" w:line="276"/>
      </w:pPr>
      <w:r>
        <w:rPr>
          <w:b/>
        </w:rPr>
        <w:t xml:space="preserve">摘要（ZH）: </w:t>
      </w:r>
      <w:r>
        <w:t>多种有毒金属元素通常同时并存,因此其竞争性吸附总是在天然的和经过改造的陶土富含土壤的系统中发生,然而,目前关于粘土矿物表面的多成分金属系统的竞争性吸附机制尚不清楚,这妨碍了对土壤水环境中有毒金属分布的准确预测,在这项研究中,我们发现,在混合粘土矿物表面,利用第一原则计算方法,对多金属进行竞争性吸附的微型机制,这表明金属离子体大小在很大程度上支配着其在粘土矿物表面的复杂情况,而竞争性金属吸附则在粘土矿物吸附过程中发挥着关键的调节作用。</w:t>
      </w:r>
    </w:p>
    <w:p>
      <w:pPr>
        <w:spacing w:before="0" w:after="200" w:lineRule="auto" w:line="276"/>
      </w:pPr>
      <w:r>
        <w:rPr>
          <w:b/>
        </w:rPr>
        <w:t xml:space="preserve">Abstract (EN): </w:t>
      </w:r>
      <w:r>
        <w:t>Multiple toxic metal elements usually coexist and thus their competitive adsorption always occurs in natural and engineered clay-rich systems. Currently, however, the competitive adsorption mechanisms of multicomponent metal systems on clay mineral surfaces are still unclear, hindering the accurate prediction of toxic metal distribution in soil-water environments. In this study, we uncovered the microscopic mechanism of competitive adsorption of multimetals on heterogeneous clay mineral surfaces using first principles calculation, which indicates that metal ion size largely dominates their complexation on clay mineral surfaces, and competitive adsorption of metals plays a key modulatory role in the adsorption process on clay minerals. By integrating theoretically and experimentally derived multiscale information, a state-of-the-art surface complexation model (SCM) framework has been developed for modeling competitive adsorption. Extensive tests showed that the SCM framework accurately and efficiently reproduces the toxic metal distribution, which enables the quantitative prediction and understanding in realistic environmental conditions. Our results have wide applications in future fundamental studies and the design of environmental materials for toxic metal removal from aquatic systems.</w:t>
      </w:r>
    </w:p>
    <w:p>
      <w:pPr>
        <w:spacing w:before="120" w:after="120"/>
      </w:pPr>
      <w:r>
        <w:rPr>
          <w:sz w:val="18"/>
        </w:rPr>
        <w:t>——————————————————————————————————————————————————————————————————————</w:t>
      </w:r>
    </w:p>
    <w:p>
      <w:pPr>
        <w:spacing w:before="160" w:after="40" w:line="240" w:lineRule="auto"/>
      </w:pPr>
      <w:r>
        <w:rPr>
          <w:b/>
        </w:rPr>
        <w:t xml:space="preserve">[273] </w:t>
      </w:r>
      <w:hyperlink r:id="rId418">
        <w:r>
          <w:rPr>
            <w:color w:val="1155CC"/>
            <w:u w:val="single"/>
          </w:rPr>
          <w:t>学术期刊的AI政策未能遏制AI协助学术著作的激增</w:t>
        </w:r>
      </w:hyperlink>
    </w:p>
    <w:p>
      <w:pPr>
        <w:spacing w:before="0" w:after="80"/>
      </w:pPr>
      <w:r>
        <w:rPr>
          <w:i/>
          <w:sz w:val="20"/>
        </w:rPr>
        <w:t>EN: Academic journals’ AI policies fail to curb the surge in AI-assisted academic writing</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19">
        <w:r>
          <w:rPr>
            <w:color w:val="1155CC"/>
            <w:u w:val="single"/>
          </w:rPr>
          <w:t>10.1073/pnas.2526734123</w:t>
        </w:r>
      </w:hyperlink>
    </w:p>
    <w:p>
      <w:pPr>
        <w:spacing w:before="0" w:after="120"/>
      </w:pPr>
      <w:r>
        <w:rPr>
          <w:b/>
        </w:rPr>
        <w:t xml:space="preserve">Notes: </w:t>
      </w:r>
      <w:r>
        <w:t>abstract_source=crossref</w:t>
      </w:r>
    </w:p>
    <w:p>
      <w:pPr>
        <w:spacing w:before="0" w:after="80" w:lineRule="auto" w:line="276"/>
      </w:pPr>
      <w:r>
        <w:rPr>
          <w:b/>
        </w:rPr>
        <w:t xml:space="preserve">摘要（ZH）: </w:t>
      </w:r>
      <w:r>
        <w:t>将创新的大赦国际迅速纳入学术著作中,促使杂志和出版商广泛采取政策反应,然而,这些政策的有效性仍然不明确。 我们分析了5,114份期刊和520多万篇论文,以评估AI使用指南对现实世界的影响。 我们表明,尽管70%的期刊采用了AI政策(主要要求披露),但研究人员对AI书写工具的使用在各学科之间急剧增加,无论是否有政策,这些期刊之间没有重大差异。 非英语国家、物理科学和OA高水平期刊的增长率最高。 至关重要的是,对164 k 科学出版物的全文分析显示,在75 k 篇发表的论文中,有明显的透明度差距:在75 k 篇论文中,有犯罪。</w:t>
      </w:r>
    </w:p>
    <w:p>
      <w:pPr>
        <w:spacing w:before="0" w:after="200" w:lineRule="auto" w:line="276"/>
      </w:pPr>
      <w:r>
        <w:rPr>
          <w:b/>
        </w:rPr>
        <w:t xml:space="preserve">Abstract (EN): </w:t>
      </w:r>
      <w:r>
        <w:t>The rapid integration of generative AI into academic writing has prompted widespread policy responses from journals and publishers. However, the effectiveness of these policies remains unclear. Here, we analyze 5,114 journals and over 5.2 million papers to evaluate the real-world impact of AI usage guidelines. We show that despite 70% of journals adopting AI policies (primarily requiring disclosure), researchers’ use of AI writing tools has increased dramatically across disciplines, with no significant difference between journals with or without policies. Non-English-speaking countries, physical sciences, and high-OA journals exhibit the highest growth rates. Crucially, full-text analysis on 164 k scientific publications reveals a striking transparency gap: Of the 75 k papers published since 2023, only 76 (~0.1%) explicitly disclosed AI use. Our findings suggest that current policies have largely failed to promote transparency or restrain AI adoption. We urge a reevaluation of ethical frameworks to foster responsible AI integration in science.</w:t>
      </w:r>
    </w:p>
    <w:p>
      <w:pPr>
        <w:spacing w:before="120" w:after="120"/>
      </w:pPr>
      <w:r>
        <w:rPr>
          <w:sz w:val="18"/>
        </w:rPr>
        <w:t>——————————————————————————————————————————————————————————————————————</w:t>
      </w:r>
    </w:p>
    <w:p>
      <w:pPr>
        <w:spacing w:before="160" w:after="40" w:line="240" w:lineRule="auto"/>
      </w:pPr>
      <w:r>
        <w:rPr>
          <w:b/>
        </w:rPr>
        <w:t xml:space="preserve">[274] </w:t>
      </w:r>
      <w:hyperlink r:id="rId420">
        <w:r>
          <w:rPr>
            <w:color w:val="1155CC"/>
            <w:u w:val="single"/>
          </w:rPr>
          <w:t>学校枪击事件和枪支政策对美国众议院选举的战略贡献</w:t>
        </w:r>
      </w:hyperlink>
    </w:p>
    <w:p>
      <w:pPr>
        <w:spacing w:before="0" w:after="80"/>
      </w:pPr>
      <w:r>
        <w:rPr>
          <w:i/>
          <w:sz w:val="20"/>
        </w:rPr>
        <w:t>EN: School shootings and the strategic contributions of gun policy PACs in US House elections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21">
        <w:r>
          <w:rPr>
            <w:color w:val="1155CC"/>
            <w:u w:val="single"/>
          </w:rPr>
          <w:t>10.1073/pnas.2514343123</w:t>
        </w:r>
      </w:hyperlink>
    </w:p>
    <w:p>
      <w:pPr>
        <w:spacing w:before="0" w:after="120"/>
      </w:pPr>
      <w:r>
        <w:rPr>
          <w:b/>
        </w:rPr>
        <w:t xml:space="preserve">Notes: </w:t>
      </w:r>
      <w:r>
        <w:t>abstract_source=crossref</w:t>
      </w:r>
    </w:p>
    <w:p>
      <w:pPr>
        <w:spacing w:before="0" w:after="80" w:lineRule="auto" w:line="276"/>
      </w:pPr>
      <w:r>
        <w:rPr>
          <w:b/>
        </w:rPr>
        <w:t xml:space="preserve">摘要（ZH）: </w:t>
      </w:r>
      <w:r>
        <w:t>美国公众一贯支持更严格的枪支法。 我们显示,枪支游说团最担心的是,当致命的学校枪击事件发生时,这种支持将转化为联邦立法行动。 利用政治行动委员会(PAC)捐款和学校枪击事件的数据集,我们实施一个交错的差别差异设计,以估计致命的学校枪击事件对众议院候选人捐款的因果关系。 我们发现支持政治行动委员会增加了31%对学校枪击事件致命地区候选人的捐款,20%对枪支安全PAC事件的捐款。 也没有显示对非致命的学校枪击事件或大规模枪击事件的任何重大反应。 时间规律也揭示了战略行为:对于支持枪支和枪支安全事件,贡献也显示了战略行为。</w:t>
      </w:r>
    </w:p>
    <w:p>
      <w:pPr>
        <w:spacing w:before="0" w:after="200" w:lineRule="auto" w:line="276"/>
      </w:pPr>
      <w:r>
        <w:rPr>
          <w:b/>
        </w:rPr>
        <w:t xml:space="preserve">Abstract (EN): </w:t>
      </w:r>
      <w:r>
        <w:t>The American public consistently supports stricter gun laws. We show that the gun lobby is most concerned that this support will translate into federal legislative action when fatal school shootings occur. Leveraging a dataset of political action committee (PAC) contributions and school shootings, we implement a staggered difference-in-differences design to estimate the causal effect of fatal school shootings on contributions to House candidates. We find progun Political Action Committees increase contributions by 31% to candidates in districts with fatal school shootings, and 20% for gun safety PACs. Neither show any significant response to nonfatal school shootings or mass shootings. The temporal pattern also reveals strategic behavior: For both progun and gun safety PACs, contribution spikes emerge in the wake of fatal school shootings, with effects dramatically amplified as Election Day approaches; when a shooting occurs within two months of Election Day, contributions from progun PACs increase by 2,820% while gun safety PAC contributions increase by 917%. These effects are concentrated in competitive districts (</w:t>
      </w:r>
      <w:r>
        <w:t xml:space="preserve"> </w:t>
      </w:r>
      <w:r>
        <w:t>≤</w:t>
      </w:r>
      <w:r>
        <w:t xml:space="preserve"> </w:t>
      </w:r>
      <w:r>
        <w:t>5% margins) where the two-sided surge in contributions offsets any measurable electoral impact. These results provide robust evidence that PACs strategically deploy contributions after school shootings, with the magnitude and timing suggesting a deliberate mobilization to advance its agenda. Our findings underscore a gap in democratic accountability: While public opinion should drive policy change, campaign contributions are wielded to blunt electoral responsiveness, providing insight into the inability of Congress to adopt broadly supported gun safety measures.</w:t>
      </w:r>
    </w:p>
    <w:p>
      <w:pPr>
        <w:spacing w:before="120" w:after="120"/>
      </w:pPr>
      <w:r>
        <w:rPr>
          <w:sz w:val="18"/>
        </w:rPr>
        <w:t>——————————————————————————————————————————————————————————————————————</w:t>
      </w:r>
    </w:p>
    <w:p>
      <w:pPr>
        <w:spacing w:before="160" w:after="40" w:line="240" w:lineRule="auto"/>
      </w:pPr>
      <w:r>
        <w:rPr>
          <w:b/>
        </w:rPr>
        <w:t xml:space="preserve">[275] </w:t>
      </w:r>
      <w:hyperlink r:id="rId422">
        <w:r>
          <w:rPr>
            <w:color w:val="1155CC"/>
            <w:u w:val="single"/>
          </w:rPr>
          <w:t>mtDNA渗漏会促进神经-克利雅交叉交谈,以诱发由CGAS-STing驱动的神经刺激和静脉代谢重新编程的癫痫。</w:t>
        </w:r>
      </w:hyperlink>
    </w:p>
    <w:p>
      <w:pPr>
        <w:spacing w:before="0" w:after="80"/>
      </w:pPr>
      <w:r>
        <w:rPr>
          <w:i/>
          <w:sz w:val="20"/>
        </w:rPr>
        <w:t>EN: mtDNA leakage promotes neuron–glia crosstalk to induce epilepsy by cGAS–STING-driven neuroinflammation and serine metabolic reprogramming</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23">
        <w:r>
          <w:rPr>
            <w:color w:val="1155CC"/>
            <w:u w:val="single"/>
          </w:rPr>
          <w:t>10.1073/pnas.2522313123</w:t>
        </w:r>
      </w:hyperlink>
    </w:p>
    <w:p>
      <w:pPr>
        <w:spacing w:before="0" w:after="120"/>
      </w:pPr>
      <w:r>
        <w:rPr>
          <w:b/>
        </w:rPr>
        <w:t xml:space="preserve">Notes: </w:t>
      </w:r>
      <w:r>
        <w:t>abstract_source=crossref</w:t>
      </w:r>
    </w:p>
    <w:p>
      <w:pPr>
        <w:spacing w:before="0" w:after="80" w:lineRule="auto" w:line="276"/>
      </w:pPr>
      <w:r>
        <w:rPr>
          <w:b/>
        </w:rPr>
        <w:t xml:space="preserve">摘要（ZH）: </w:t>
      </w:r>
      <w:r>
        <w:t>神经超能性外的代谢性衰竭症日益被公认为一种疾病,它涉及神经超度外的代谢性调控,但基本代谢机制仍然定义不清。 在这里,我们确定了一个自发慢性癫痫发性。 脑部切除Mic19会损害神经神经中的线粒体红心结构和线粒体完整性,导致Z-线粒体DNA(mtDNA)1-RIPK3-3-混合直系细胞细胞体域状蛋白(MLKL)轴和p-MLKL-中间孔状孔状细胞形成。这一过程导致细胞外和外细胞渗出MtDNA,随后由微晶和触发周期性 GMP-AMP合成酶(cGAS)-依赖的发炎信号。</w:t>
      </w:r>
    </w:p>
    <w:p>
      <w:pPr>
        <w:spacing w:before="0" w:after="200" w:lineRule="auto" w:line="276"/>
      </w:pPr>
      <w:r>
        <w:rPr>
          <w:b/>
        </w:rPr>
        <w:t xml:space="preserve">Abstract (EN): </w:t>
      </w:r>
      <w:r>
        <w:t>Epilepsy is increasingly recognized as a disorder involving metabolic dysregulation beyond neural hyperexcitability, yet the underlying metabolic mechanisms remain poorly defined. Here, we identify a mitochondrion–immunity–metabolism axis that drives spontaneous chronic epilepsy. Brain-specific deletion of Mic19 impairs mitochondrial cristae structure and mitochondrial integrity in neurons, leading to activation of the Z-mitochondrial DNA (mtDNA)–ZBP1–RIPK3–mixed lineage kinase domain-like protein (MLKL) axis and p-MLKL-mediated pore formation on the mitochondrial membrane. This process results in cytosolic and extracellular leakage of mtDNA, which is subsequently taken up by microglia and triggers cyclic GMP-AMP synthase (cGAS)–STING-dependent inflammatory signaling. The resulting neuroinflammation promotes sustained activation of astrocytes. Critically, reactive astrocytes undergo profound metabolic reprogramming, marked by upregulated glycolysis and enhanced L-serine biosynthesis. Astrocyte-derived L-serine is subsequently transferred to neurons and converted into D-serine, a key NMDA receptor coagonist that enhances neuronal excitability. This metabolic shift in astrocytes exacerbates excitotoxicity and sustains epileptic activity. Importantly, pharmacologic inhibition of STING with H-151 treatment markedly suppresses seizures, reinforcing the therapeutic potential of targeting immunometabolic crosstalk in epilepsy. Our findings reveal that mtDNA-mediated cGAS–STING activation and D-serine act as important drivers of epilepsy initiation, offering mechanistic insights into neuron–microglia–astrocyte crosstalk and highlighting immunometabolic modulation as a promising therapeutic strategy for epilepsy.</w:t>
      </w:r>
    </w:p>
    <w:p>
      <w:pPr>
        <w:spacing w:before="120" w:after="120"/>
      </w:pPr>
      <w:r>
        <w:rPr>
          <w:sz w:val="18"/>
        </w:rPr>
        <w:t>——————————————————————————————————————————————————————————————————————</w:t>
      </w:r>
    </w:p>
    <w:p>
      <w:pPr>
        <w:spacing w:before="160" w:after="40" w:line="240" w:lineRule="auto"/>
      </w:pPr>
      <w:r>
        <w:rPr>
          <w:b/>
        </w:rPr>
        <w:t xml:space="preserve">[276] </w:t>
      </w:r>
      <w:hyperlink r:id="rId424">
        <w:r>
          <w:rPr>
            <w:color w:val="1155CC"/>
            <w:u w:val="single"/>
          </w:rPr>
          <w:t>区别性疾病容忍度在败血症中通过性别偏见性疾病严重性介质</w:t>
        </w:r>
      </w:hyperlink>
    </w:p>
    <w:p>
      <w:pPr>
        <w:spacing w:before="0" w:after="80"/>
      </w:pPr>
      <w:r>
        <w:rPr>
          <w:i/>
          <w:sz w:val="20"/>
        </w:rPr>
        <w:t>EN: Differential disease tolerance mediates sex-biased illness severity in sepsis</w:t>
      </w:r>
    </w:p>
    <w:p>
      <w:pPr>
        <w:spacing w:before="0" w:after="120"/>
      </w:pPr>
      <w:r>
        <w:rPr>
          <w:b/>
        </w:rPr>
        <w:t xml:space="preserve">Source: </w:t>
      </w:r>
      <w:r>
        <w:t>Proceedings of the National Academy of Sciences: Keyword search for query</w:t>
      </w:r>
      <w:r>
        <w:t xml:space="preserve">    </w:t>
      </w:r>
      <w:r>
        <w:rPr>
          <w:b/>
        </w:rPr>
        <w:t xml:space="preserve">Pub date: </w:t>
      </w:r>
      <w:r>
        <w:t>2026-02-24 08:00:00+00:00</w:t>
      </w:r>
      <w:r>
        <w:t xml:space="preserve">    </w:t>
      </w:r>
      <w:r>
        <w:rPr>
          <w:b/>
        </w:rPr>
        <w:t xml:space="preserve">DOI: </w:t>
      </w:r>
      <w:hyperlink r:id="rId425">
        <w:r>
          <w:rPr>
            <w:color w:val="1155CC"/>
            <w:u w:val="single"/>
          </w:rPr>
          <w:t>10.1073/pnas.2522764123</w:t>
        </w:r>
      </w:hyperlink>
    </w:p>
    <w:p>
      <w:pPr>
        <w:spacing w:before="0" w:after="120"/>
      </w:pPr>
      <w:r>
        <w:rPr>
          <w:b/>
        </w:rPr>
        <w:t xml:space="preserve">Notes: </w:t>
      </w:r>
      <w:r>
        <w:t>abstract_source=crossref</w:t>
      </w:r>
    </w:p>
    <w:p>
      <w:pPr>
        <w:spacing w:before="0" w:after="80" w:lineRule="auto" w:line="276"/>
      </w:pPr>
      <w:r>
        <w:rPr>
          <w:b/>
        </w:rPr>
        <w:t xml:space="preserve">摘要（ZH）: </w:t>
      </w:r>
      <w:r>
        <w:t>人类的阴塞,以及老鼠的感染模型,都显示出性别偏见的结果,其中男性的发病率、严重程度和死亡率往往高于女性。尽管在败血性病结果中存在这一重要的性别偏见,但其机械驱动力或治疗影响却鲜为人知。关于败血病原发病的基本数据大多来自只包括男性的动物研究,这有可能导致败血性治疗的成功老鼠对人的翻译少得可怜。在这项研究中,我们证明男性的偏向性疾病严重程度和鼠鼠鼠的细菌败血病模型器官功能功能失调是由男性的疾病免疫力受损造成的,其中涉及脑氧化性甲状腺畸变。</w:t>
      </w:r>
    </w:p>
    <w:p>
      <w:pPr>
        <w:spacing w:before="0" w:after="200" w:lineRule="auto" w:line="276"/>
      </w:pPr>
      <w:r>
        <w:rPr>
          <w:b/>
        </w:rPr>
        <w:t xml:space="preserve">Abstract (EN): </w:t>
      </w:r>
      <w:r>
        <w:t>Sepsis in humans, as well as mouse models of infection, demonstrates sex-biased outcomes in which males tend to have a higher incidence, higher severity, and higher mortality compared to females. Despite this important sex-bias in sepsis outcomes, little is known about its mechanistic drivers nor therapeutic implications. Much of the foundational data on sepsis pathogenesis is derived from animal studies that included only male subjects, potentially contributing to the notable paucity of successful mouse-to-human translation of sepsis therapeutics. In this study, we demonstrate that male-biased illness severity and organ dysfunction in mouse models of bacterial sepsis are mediated by impaired disease tolerance in males, involving impaired tolerogenic shifts in mitochondrial oxidative metabolism compared to females. Microbiological and immunological analyses of sepsis between males and females revealed that sex-biased disease tolerance was independent of infection resistance mechanisms, as well as canonical immune/inflammatory dysregulation. Therapeutic potentiation of mitochondrial tolerance with doxycycline neutralized sexual dimorphism of illness severity and organ dysfunction through a male-predominant treatment effect. These data reveal that biological sex is a fundamental determinant of illness severity and treatment responsiveness in sepsis through modulation of disease tolerance, which may be harnessed therapeutically to address sex-biased outcomes in sepsis.</w:t>
      </w:r>
    </w:p>
    <w:p>
      <w:pPr>
        <w:spacing w:before="120" w:after="120"/>
      </w:pPr>
      <w:r>
        <w:rPr>
          <w:sz w:val="18"/>
        </w:rPr>
        <w:t>——————————————————————————————————————————————————————————————————————</w:t>
      </w:r>
    </w:p>
    <w:p>
      <w:pPr>
        <w:spacing w:before="160" w:after="40" w:line="240" w:lineRule="auto"/>
      </w:pPr>
      <w:r>
        <w:rPr>
          <w:b/>
        </w:rPr>
        <w:t xml:space="preserve">[277] </w:t>
      </w:r>
      <w:hyperlink r:id="rId426">
        <w:r>
          <w:rPr>
            <w:color w:val="1155CC"/>
            <w:u w:val="single"/>
          </w:rPr>
          <w:t>[ASAP]通过以二型二二二二二二二二二二二二二二二二二维维氏体的超长洞转移而实现的相联电电回旋分解</w:t>
        </w:r>
      </w:hyperlink>
    </w:p>
    <w:p>
      <w:pPr>
        <w:spacing w:before="0" w:after="80"/>
      </w:pPr>
      <w:r>
        <w:rPr>
          <w:i/>
          <w:sz w:val="20"/>
        </w:rPr>
        <w:t>EN: [ASAP] Coherent Electron Spin Precession Enabled by Ultrafast Hole Transfer in Type-II Two-Dimensional Perovskites</w:t>
      </w:r>
    </w:p>
    <w:p>
      <w:pPr>
        <w:spacing w:before="0" w:after="120"/>
      </w:pPr>
      <w:r>
        <w:rPr>
          <w:b/>
        </w:rPr>
        <w:t xml:space="preserve">Source: </w:t>
      </w:r>
      <w:r>
        <w:t>Journal of the American Chemical Society: Latest Articles (ACS Publications)</w:t>
      </w:r>
      <w:r>
        <w:t xml:space="preserve">    </w:t>
      </w:r>
      <w:r>
        <w:rPr>
          <w:b/>
        </w:rPr>
        <w:t xml:space="preserve">Pub date: </w:t>
      </w:r>
      <w:r>
        <w:t>2026-02-24 09:34:41+00:00</w:t>
      </w:r>
      <w:r>
        <w:t xml:space="preserve">    </w:t>
      </w:r>
      <w:r>
        <w:rPr>
          <w:b/>
        </w:rPr>
        <w:t xml:space="preserve">DOI: </w:t>
      </w:r>
      <w:hyperlink r:id="rId427">
        <w:r>
          <w:rPr>
            <w:color w:val="1155CC"/>
            <w:u w:val="single"/>
          </w:rPr>
          <w:t>10.1021/jacs.6c00769</w:t>
        </w:r>
      </w:hyperlink>
    </w:p>
    <w:p>
      <w:pPr>
        <w:spacing w:before="0" w:after="120"/>
      </w:pPr>
      <w:r>
        <w:rPr>
          <w:b/>
        </w:rPr>
        <w:t xml:space="preserve">Notes: </w:t>
      </w:r>
      <w:r>
        <w:t>abstract_source=pubmed</w:t>
      </w:r>
    </w:p>
    <w:p>
      <w:pPr>
        <w:spacing w:before="0" w:after="80" w:lineRule="auto" w:line="276"/>
      </w:pPr>
      <w:r>
        <w:rPr>
          <w:b/>
        </w:rPr>
        <w:t xml:space="preserve">摘要（ZH）: </w:t>
      </w:r>
      <w:r>
        <w:t>双维(2D)铅卤化百草枯构成一个多用途平台,用于探索电子旋转、光热和结构手性之间的令人感兴趣的相互作用,以用于新的量子和脊柱应用。然而,强大的电子孔交换互动限制了典型的2D单层全氟氧酸酯的旋转寿命,使其短于子粒子。虽然最近的研究采用有机航天仪工程,将房间温度的旋转寿命延长到10微秒以上,但作为利用光学注入的旋转的真正量子性质的起点,这些系统尚未实现。在这里,我们研究与碳酸盐基有机航天员的2D型有机挥发型二维氏剂的松动和衰退动态。</w:t>
      </w:r>
    </w:p>
    <w:p>
      <w:pPr>
        <w:spacing w:before="0" w:after="200" w:lineRule="auto" w:line="276"/>
      </w:pPr>
      <w:r>
        <w:rPr>
          <w:b/>
        </w:rPr>
        <w:t xml:space="preserve">Abstract (EN): </w:t>
      </w:r>
      <w:r>
        <w:t>Two-dimensional (2D) lead halide perovskites constitute a versatile platform to explore the intriguing interplay between electron spin, light helicity, and structural chirality for novel quantum and spintronic applications. However, strong electron-hole exchange interaction limits the spin lifetime in typical 2D monolayer perovskites to be as short as subps. While recent studies employed organic spacer engineering to extend the spin lifetime to above 10 ps at room temperature, coherent spin precession, which is a starting point to exploit the genuine quantum nature of the optically injected spins, has not been realized in these systems. Here, we study spin relaxation and precession dynamics in a type-II 2D perovskite with carbazole-based organic spacers. Ultrafast hole transfer (ca. 60 fs) from the inorganic layer to the organic layer decouples electron-hole interaction, giving rise to a room-temperature electron spin lifetime of 40 ps that is 200-fold longer than typical 2D perovskites. The spin lifetime is further prolonged to 260 ps at 60 K, with the temperature dependence well described by scattering with phonon modes of ca. 22 meV. Most importantly, coherent electron spin precession under a transverse magnetic field is directly observed. Dephasing time is also limited by phonon scattering, but the phonon modes of ca. 11 meV are distinct from those responsible for spin depolarization. This work not only provides key mechanistic insights into spin relaxation and precession dynamics in 2D perovskites but also establishes the viability of these materials as a novel platform for spin quantum manipulation.</w:t>
      </w:r>
    </w:p>
    <w:p>
      <w:pPr>
        <w:spacing w:before="120" w:after="120"/>
      </w:pPr>
      <w:r>
        <w:rPr>
          <w:sz w:val="18"/>
        </w:rPr>
        <w:t>——————————————————————————————————————————————————————————————————————</w:t>
      </w:r>
    </w:p>
    <w:p>
      <w:pPr>
        <w:spacing w:before="160" w:after="40" w:line="240" w:lineRule="auto"/>
      </w:pPr>
      <w:r>
        <w:rPr>
          <w:b/>
        </w:rPr>
        <w:t xml:space="preserve">[278] </w:t>
      </w:r>
      <w:hyperlink r:id="rId428">
        <w:r>
          <w:rPr>
            <w:color w:val="1155CC"/>
            <w:u w:val="single"/>
          </w:rPr>
          <w:t>Perovskite 反转太阳能电池多功能级改变盐类</w:t>
        </w:r>
      </w:hyperlink>
    </w:p>
    <w:p>
      <w:pPr>
        <w:spacing w:before="0" w:after="80"/>
      </w:pPr>
      <w:r>
        <w:rPr>
          <w:i/>
          <w:sz w:val="20"/>
        </w:rPr>
        <w:t>EN: Multi‐functional Phase‐Changeable Salt for Inverted Perovskite Solar Cells</w:t>
      </w:r>
    </w:p>
    <w:p>
      <w:pPr>
        <w:spacing w:before="0" w:after="120"/>
      </w:pPr>
      <w:r>
        <w:rPr>
          <w:b/>
        </w:rPr>
        <w:t xml:space="preserve">Source: </w:t>
      </w:r>
      <w:r>
        <w:t>Wiley: Advanced Materials: Table of Contents</w:t>
      </w:r>
      <w:r>
        <w:t xml:space="preserve">    </w:t>
      </w:r>
      <w:r>
        <w:rPr>
          <w:b/>
        </w:rPr>
        <w:t xml:space="preserve">Pub date: </w:t>
      </w:r>
      <w:r>
        <w:t>2026-02-24 09:58:05+00:00</w:t>
      </w:r>
      <w:r>
        <w:t xml:space="preserve">    </w:t>
      </w:r>
      <w:r>
        <w:rPr>
          <w:b/>
        </w:rPr>
        <w:t xml:space="preserve">DOI: </w:t>
      </w:r>
      <w:hyperlink r:id="rId429">
        <w:r>
          <w:rPr>
            <w:color w:val="1155CC"/>
            <w:u w:val="single"/>
          </w:rPr>
          <w:t>10.1002/adma.202520030</w:t>
        </w:r>
      </w:hyperlink>
    </w:p>
    <w:p>
      <w:pPr>
        <w:spacing w:before="0" w:after="120"/>
      </w:pPr>
      <w:r>
        <w:rPr>
          <w:b/>
        </w:rPr>
        <w:t xml:space="preserve">Notes: </w:t>
      </w:r>
      <w:r>
        <w:t>abstract_source=pubmed</w:t>
      </w:r>
    </w:p>
    <w:p>
      <w:pPr>
        <w:spacing w:before="0" w:after="80" w:lineRule="auto" w:line="276"/>
      </w:pPr>
      <w:r>
        <w:rPr>
          <w:b/>
        </w:rPr>
        <w:t xml:space="preserve">摘要（ZH）: </w:t>
      </w:r>
      <w:r>
        <w:t>在被掩埋的千草枯交界处,非放射性再结合和无控制的结晶化仍然是实现高效和稳定的百草枯太阳能电池的关键障碍。在这里,我们引入了多功能分期换盐,2-(二苯磷)乙胺四氟乙酸(DPPEABF4),作为一种功能的跨面调制器。DPPEA+通过协调和氢联结,抑制过度的核分离和减少核聚变密度,与百草枯前体(FAI和PbI2)互动。在麻醉期间,DPPEABF4经历了可逆的固体-液体阶段过渡,缓冲热转移,确保整个基质的供暖更加统一,更慢、更受控制的结晶化。这些效应通过协调与氢联结,抑制过度的核分离并降低核聚密度。</w:t>
      </w:r>
    </w:p>
    <w:p>
      <w:pPr>
        <w:spacing w:before="0" w:after="200" w:lineRule="auto" w:line="276"/>
      </w:pPr>
      <w:r>
        <w:rPr>
          <w:b/>
        </w:rPr>
        <w:t xml:space="preserve">Abstract (EN): </w:t>
      </w:r>
      <w:r>
        <w:t>Non-radiative recombination and uncontrolled crystallization at the buried perovskite interface remain key barriers to achieving highly efficient and stable perovskite solar cells (PSCs). Herein, we introduce a multi-functional phase-changeable salt, 2-(diphenylphosphino)ethanaminium tetrafluoroborate (DPPEABF4), as a functional interfacial modulator. DPPEA+ interacts with perovskite precursors (FAI and PbI2) through coordination and hydrogen bonding, suppressing excessive nucleation and reducing nucleation density. During annealing, DPPEABF4 undergoes a reversible solid-to-liquid phase transition that buffers heat transfer, ensuring more uniform heating and slower, more controlled crystallization across the substrate. These effects collectively yield perovskite films with enlarged grains, reduced defect densities, and improved crystallinity. Concurrently, π-π stacking between DPPEA+ and Me-4PACz establishes an interfacial dipole that increases the work function and tunes the energy-level alignment at the buried interface, facilitating efficient hole transport. As a result, the optimized devices achieve a champion power conversion efficiency of 26.52% (certified 26.46%) and retain over 90% of their initial efficiency after more than 2000 h of storage under 30-40% relative humidity. This work provides a new paradigm for designing dynamic interfacial materials for high-performance optoelectronic devices.</w:t>
      </w:r>
    </w:p>
    <w:p>
      <w:pPr>
        <w:spacing w:before="120" w:after="120"/>
      </w:pPr>
      <w:r>
        <w:rPr>
          <w:sz w:val="18"/>
        </w:rPr>
        <w:t>——————————————————————————————————————————————————————————————————————</w:t>
      </w:r>
    </w:p>
    <w:p>
      <w:pPr>
        <w:spacing w:before="160" w:after="40" w:line="240" w:lineRule="auto"/>
      </w:pPr>
      <w:r>
        <w:rPr>
          <w:b/>
        </w:rPr>
        <w:t xml:space="preserve">[279] </w:t>
      </w:r>
      <w:hyperlink r:id="rId430">
        <w:r>
          <w:rPr>
            <w:color w:val="1155CC"/>
            <w:u w:val="single"/>
          </w:rPr>
          <w:t>碳基量数点中依附的光照明</w:t>
        </w:r>
      </w:hyperlink>
    </w:p>
    <w:p>
      <w:pPr>
        <w:spacing w:before="0" w:after="80"/>
      </w:pPr>
      <w:r>
        <w:rPr>
          <w:i/>
          <w:sz w:val="20"/>
        </w:rPr>
        <w:t>EN: Spin‐Dependent Photoluminescence in Carbon‐Based Quantum Dots</w:t>
      </w:r>
    </w:p>
    <w:p>
      <w:pPr>
        <w:spacing w:before="0" w:after="120"/>
      </w:pPr>
      <w:r>
        <w:rPr>
          <w:b/>
        </w:rPr>
        <w:t xml:space="preserve">Source: </w:t>
      </w:r>
      <w:r>
        <w:t>Wiley: Advanced Materials: Table of Contents</w:t>
      </w:r>
      <w:r>
        <w:t xml:space="preserve">    </w:t>
      </w:r>
      <w:r>
        <w:rPr>
          <w:b/>
        </w:rPr>
        <w:t xml:space="preserve">Pub date: </w:t>
      </w:r>
      <w:r>
        <w:t>2026-02-24 10:09:27+00:00</w:t>
      </w:r>
      <w:r>
        <w:t xml:space="preserve">    </w:t>
      </w:r>
      <w:r>
        <w:rPr>
          <w:b/>
        </w:rPr>
        <w:t xml:space="preserve">DOI: </w:t>
      </w:r>
      <w:hyperlink r:id="rId431">
        <w:r>
          <w:rPr>
            <w:color w:val="1155CC"/>
            <w:u w:val="single"/>
          </w:rPr>
          <w:t>10.1002/adma.202518572</w:t>
        </w:r>
      </w:hyperlink>
    </w:p>
    <w:p>
      <w:pPr>
        <w:spacing w:before="0" w:after="120"/>
      </w:pPr>
      <w:r>
        <w:rPr>
          <w:b/>
        </w:rPr>
        <w:t xml:space="preserve">Notes: </w:t>
      </w:r>
      <w:r>
        <w:t>abstract_source=semanticscholar</w:t>
      </w:r>
    </w:p>
    <w:p>
      <w:pPr>
        <w:spacing w:before="0" w:after="80" w:lineRule="auto" w:line="276"/>
      </w:pPr>
      <w:r>
        <w:rPr>
          <w:b/>
        </w:rPr>
        <w:t xml:space="preserve">摘要（ZH）: </w:t>
      </w:r>
      <w:r>
        <w:t>通过附带效应调节纳米纳米材料光光光度(PL)的能力对于许多新兴量子技术至关重要,纳米量子感测和成像是特别的重点领域。碳基量点(CQDs)是最常见的发光纳米材料形式之一,由于合成方便、通过有机化学的金枪鱼可采性、高亮度和自然生物兼容性而吸引人。然而,对室温、依赖脊椎的PL的观测仍然难以捉摸。这里,我们报告在环境条件下通过磁场观测CQD(10 $/sim 10 mT)的外推式调整。我们利用热解,用19种不同的氨基酸合成了一系列CQDs作为起始材料。这些样本提供了一系列PLE的样本。</w:t>
      </w:r>
    </w:p>
    <w:p>
      <w:pPr>
        <w:spacing w:before="0" w:after="200" w:lineRule="auto" w:line="276"/>
      </w:pPr>
      <w:r>
        <w:rPr>
          <w:b/>
        </w:rPr>
        <w:t xml:space="preserve">Abstract (EN): </w:t>
      </w:r>
      <w:r>
        <w:t>The ability to modulate the photoluminescence (PL) of nanomaterials via spin-related effects is vital for many emerging quantum technologies, with nanoscale quantum sensing and imaging being particular areas of focus. Carbon-based quantum dots (CQDs) are among the most common forms of luminescent nanomaterials, appealing due to their ease of synthesis, tunability through organic chemistry, high brightness, and natural biocompatibility. However, the observation of room-temperature, spin-dependent PL has remained elusive. Here, we report on the observation of PL modulation of CQDs by magnetic fields ( ∼ 10 $\sim 10$  mT) under ambient conditions. Using pyrolysis, we synthesize a series of CQDs using 19 different amino acids as the starting material. These provide samples with a range of PL emission spectra. Surprisingly, the vast majority of them exhibit a clear magneto-PL effect (up to ∼ 1 % $\sim 1\%$ change) in dry form, which generally persists in solution. Furthermore, an electron spin resonance is detected in the PL with a g $g$ -factor of g ≈ 2 $g\approx 2$ , suggesting a process similar to the radical pair mechanism is responsible for the spin-dependent PL. Finally, we show that the magneto-PL contrast decreases in the presence of paramagnetic species, which we attribute to an increase in magnetic noise-induced spin relaxation in the CQDs. Our work brings new functionalities to these commonly used and biocompatible luminescent nanoparticles, opening new opportunities for in situ quantum sensing and imaging of biological samples.</w:t>
      </w:r>
    </w:p>
    <w:p>
      <w:pPr>
        <w:spacing w:before="120" w:after="120"/>
      </w:pPr>
      <w:r>
        <w:rPr>
          <w:sz w:val="18"/>
        </w:rPr>
        <w:t>——————————————————————————————————————————————————————————————————————</w:t>
      </w:r>
    </w:p>
    <w:p>
      <w:pPr>
        <w:spacing w:before="160" w:after="40" w:line="240" w:lineRule="auto"/>
      </w:pPr>
      <w:r>
        <w:rPr>
          <w:b/>
        </w:rPr>
        <w:t xml:space="preserve">[280] </w:t>
      </w:r>
      <w:hyperlink r:id="rId432">
        <w:r>
          <w:rPr>
            <w:color w:val="1155CC"/>
            <w:u w:val="single"/>
          </w:rPr>
          <w:t>在质子交换膜膜水解过程中,通过等离子体经检测的红解阻缓冲来稳定钴-氧化催化催化物</w:t>
        </w:r>
      </w:hyperlink>
    </w:p>
    <w:p>
      <w:pPr>
        <w:spacing w:before="0" w:after="80"/>
      </w:pPr>
      <w:r>
        <w:rPr>
          <w:i/>
          <w:sz w:val="20"/>
        </w:rPr>
        <w:t>EN: Corrosion‐Inspired Stabilization of Cobalt Oxide Catalysts via Platinum‐Mediated Redox Buffering for Proton Exchange Membrane Water Electrolysis</w:t>
      </w:r>
    </w:p>
    <w:p>
      <w:pPr>
        <w:spacing w:before="0" w:after="120"/>
      </w:pPr>
      <w:r>
        <w:rPr>
          <w:b/>
        </w:rPr>
        <w:t xml:space="preserve">Source: </w:t>
      </w:r>
      <w:r>
        <w:t>Wiley: Advanced Materials: Table of Contents</w:t>
      </w:r>
      <w:r>
        <w:t xml:space="preserve">    </w:t>
      </w:r>
      <w:r>
        <w:rPr>
          <w:b/>
        </w:rPr>
        <w:t xml:space="preserve">Pub date: </w:t>
      </w:r>
      <w:r>
        <w:t>2026-02-24 10:23:12+00:00</w:t>
      </w:r>
      <w:r>
        <w:t xml:space="preserve">    </w:t>
      </w:r>
      <w:r>
        <w:rPr>
          <w:b/>
        </w:rPr>
        <w:t xml:space="preserve">DOI: </w:t>
      </w:r>
      <w:hyperlink r:id="rId433">
        <w:r>
          <w:rPr>
            <w:color w:val="1155CC"/>
            <w:u w:val="single"/>
          </w:rPr>
          <w:t>10.1002/adma.202522703</w:t>
        </w:r>
      </w:hyperlink>
    </w:p>
    <w:p>
      <w:pPr>
        <w:spacing w:before="0" w:after="120"/>
      </w:pPr>
      <w:r>
        <w:rPr>
          <w:b/>
        </w:rPr>
        <w:t xml:space="preserve">Notes: </w:t>
      </w:r>
      <w:r>
        <w:t>abstract_source=pubmed</w:t>
      </w:r>
    </w:p>
    <w:p>
      <w:pPr>
        <w:spacing w:before="0" w:after="80" w:lineRule="auto" w:line="276"/>
      </w:pPr>
      <w:r>
        <w:rPr>
          <w:b/>
        </w:rPr>
        <w:t xml:space="preserve">摘要（ZH）: </w:t>
      </w:r>
      <w:r>
        <w:t>蛋白质交换膜水电解(PEMWE)被认为是规模上可持续氢生产的一个大有希望的平台,然而,在酸性和氧化性条件下阳极催化剂的耐久性仍然是一个严峻的挑战,基于钴的氧化物因其丰度和成本效益而为基于的催化剂提供了一种有吸引力的替代物,但在酸氧进化反应期间却遭受严重的化学和结构降解。在本研究中,我们报告了一种基于白金(Pt)介介介的红氧化缓冲的受腐蚀启发的稳定战略。</w:t>
      </w:r>
    </w:p>
    <w:p>
      <w:pPr>
        <w:spacing w:before="0" w:after="200" w:lineRule="auto" w:line="276"/>
      </w:pPr>
      <w:r>
        <w:rPr>
          <w:b/>
        </w:rPr>
        <w:t xml:space="preserve">Abstract (EN): </w:t>
      </w:r>
      <w:r>
        <w:t>Proton exchange membrane water electrolysis (PEMWE) is considered a promising platform for sustainable hydrogen production at scale. However, the durability of anode catalysts under acidic and oxidative conditions remains a critical challenge. Cobalt-based oxides offer an attractive alternative to iridium-based catalysts due to their abundance and cost-effectiveness, yet suffer from severe chemical and structural degradation during the acidic oxygen evolution reaction (OER). In this study, we report a corrosion-inspired stabilization strategy based on platinum (Pt)-mediated redox buffering. Platinum, incorporated within the Co3O4 spinel lattice, functions as a redox-active buffer, preferentially undergoing oxidation during OER to divert oxidative stress away from the cobalt matrix. In situ X-ray absorption spectroscopy, inductively coupled plasma-mass spectrometry analyses, and isotope-labeled differential electrochemical mass spectrometry collectively demonstrate that Pt incorporation suppresses cobalt dissolution and minimizes lattice oxygen participation, preserving the spinel framework under acidic OER conditions. The resulting Pt-incorporated Co3O4 catalyst demonstrates outstanding PEMWE performance, achieving a current density exceeding 2500 mA cm-2 at 2.0 V with a turnover frequency of 0.376 s-1, and maintains stable operation for over 1000 h at 250 mA cm-2.</w:t>
      </w:r>
    </w:p>
    <w:p>
      <w:pPr>
        <w:spacing w:before="120" w:after="120"/>
      </w:pPr>
      <w:r>
        <w:rPr>
          <w:sz w:val="18"/>
        </w:rPr>
        <w:t>——————————————————————————————————————————————————————————————————————</w:t>
      </w:r>
    </w:p>
    <w:p>
      <w:pPr>
        <w:spacing w:before="160" w:after="40" w:line="240" w:lineRule="auto"/>
      </w:pPr>
      <w:r>
        <w:rPr>
          <w:b/>
        </w:rPr>
        <w:t xml:space="preserve">[281] </w:t>
      </w:r>
      <w:hyperlink r:id="rId434">
        <w:r>
          <w:rPr>
            <w:color w:val="1155CC"/>
            <w:u w:val="single"/>
          </w:rPr>
          <w:t>[ASAP]用于高效益抗亚米诺酸的强力高效抗亚米诺酸气管网膜</w:t>
        </w:r>
      </w:hyperlink>
    </w:p>
    <w:p>
      <w:pPr>
        <w:spacing w:before="0" w:after="80"/>
      </w:pPr>
      <w:r>
        <w:rPr>
          <w:i/>
          <w:sz w:val="20"/>
        </w:rPr>
        <w:t>EN: [ASAP] Robust Homochiral Hydrogen-Bonded Biohybrid Nanochannel Membranes for High-Efficiency Enantioseparation of Amino Acids</w:t>
      </w:r>
    </w:p>
    <w:p>
      <w:pPr>
        <w:spacing w:before="0" w:after="120"/>
      </w:pPr>
      <w:r>
        <w:rPr>
          <w:b/>
        </w:rPr>
        <w:t xml:space="preserve">Source: </w:t>
      </w:r>
      <w:r>
        <w:t>Journal of the American Chemical Society: Latest Articles (ACS Publications)</w:t>
      </w:r>
      <w:r>
        <w:t xml:space="preserve">    </w:t>
      </w:r>
      <w:r>
        <w:rPr>
          <w:b/>
        </w:rPr>
        <w:t xml:space="preserve">Pub date: </w:t>
      </w:r>
      <w:r>
        <w:t>2026-02-24 10:29:06+00:00</w:t>
      </w:r>
      <w:r>
        <w:t xml:space="preserve">    </w:t>
      </w:r>
      <w:r>
        <w:rPr>
          <w:b/>
        </w:rPr>
        <w:t xml:space="preserve">DOI: </w:t>
      </w:r>
      <w:hyperlink r:id="rId435">
        <w:r>
          <w:rPr>
            <w:color w:val="1155CC"/>
            <w:u w:val="single"/>
          </w:rPr>
          <w:t>10.1021/jacs.5c22150</w:t>
        </w:r>
      </w:hyperlink>
    </w:p>
    <w:p>
      <w:pPr>
        <w:spacing w:before="0" w:after="120"/>
      </w:pPr>
      <w:r>
        <w:rPr>
          <w:b/>
        </w:rPr>
        <w:t xml:space="preserve">Notes: </w:t>
      </w:r>
      <w:r>
        <w:t>abstract_source=pubmed</w:t>
      </w:r>
    </w:p>
    <w:p>
      <w:pPr>
        <w:spacing w:before="0" w:after="80" w:lineRule="auto" w:line="276"/>
      </w:pPr>
      <w:r>
        <w:rPr>
          <w:b/>
        </w:rPr>
        <w:t xml:space="preserve">摘要（ZH）: </w:t>
      </w:r>
      <w:r>
        <w:t>智空纳米气道膜膜有希望进行可伸缩的对应对映体分离,然而,由于结构不稳定和多种活性场地的多变性,实现高度的对应选择性和强劲的通量仍然具有挑战性。在这里,我们首次报告了一个由电压驱动的原位组装战略,以便在聚(乙烯对硫二甲酸(PET)纳米通道(HBF@PET)内构建一个同质氢瓶状生物杂交框架(HBF)(HBF@PET)纳米通道(HBF@PET)内构建一个同质氢瓶(HBFF@PET)内生物合金质框架(HBF@PET)内。在牛排血清单质和1,3,6,8-Tetra(乙酸)(H4TAPy)(H4TAPy)之间循环方向氢联结(HBBSA),并同时实现特殊的结构稳定性。HFF@PET mebrane能够近完全解决其甲胺(ee&gt;99%),DHis在创下以创纪录的通量运输。</w:t>
      </w:r>
    </w:p>
    <w:p>
      <w:pPr>
        <w:spacing w:before="0" w:after="200" w:lineRule="auto" w:line="276"/>
      </w:pPr>
      <w:r>
        <w:rPr>
          <w:b/>
        </w:rPr>
        <w:t xml:space="preserve">Abstract (EN): </w:t>
      </w:r>
      <w:r>
        <w:t>Homochiral nanochannel membranes hold promise for scalable enantiomer separation, yet achieving high enantioselectivity with robust flux remains challenging due to structural instability and heterogeneous active sites. Here, we report for the first time a voltage-driven in situ assembly strategy to construct a homochiral hydrogen-bonded biohybrid framework (HBF) within poly(ethylene terephthalate) (PET) nanochannels (HBF@PET). Leveraging directional hydrogen bonding between bovine serum albumin and 1,3,6,8-tetra (terephthalic acid) pyrene (H4TBAPy), the membrane inherits BSA's chiral microenvironment while achieving exceptional structural stability. The HBF@PET membrane enables near-complete resolution of racemic histidine (ee &gt;99%) with d-His preferentially transported at a record flux of 4.52 ± 0.04 mmol m-2 h-1, surpassing state-of-the-art nanochannel systems. Mechanistic studies reveal stronger binding affinity of HBF for l-His, hindering its diffusion while facilitating d-His permeation. The membrane further demonstrates broad applicability to tryptophan and arginine enantiomers. This work pioneers the development of protein-guided hydrogen-bonded frameworks within nanochannels, offering a scalable platform for high-efficiency chiral separations in pharmaceuticals.</w:t>
      </w:r>
    </w:p>
    <w:p>
      <w:pPr>
        <w:spacing w:before="120" w:after="120"/>
      </w:pPr>
      <w:r>
        <w:rPr>
          <w:sz w:val="18"/>
        </w:rPr>
        <w:t>——————————————————————————————————————————————————————————————————————</w:t>
      </w:r>
    </w:p>
    <w:p>
      <w:pPr>
        <w:spacing w:before="160" w:after="40" w:line="240" w:lineRule="auto"/>
      </w:pPr>
      <w:r>
        <w:rPr>
          <w:b/>
        </w:rPr>
        <w:t xml:space="preserve">[282] </w:t>
      </w:r>
      <w:hyperlink r:id="rId436">
        <w:r>
          <w:rPr>
            <w:color w:val="1155CC"/>
            <w:u w:val="single"/>
          </w:rPr>
          <w:t>[ASAP] 以不饱和 Cu-N2 不饱和碳-N2 化学抗菌素免疫治疗场所通过内生免疫检查屏障露出的单一单一小型纳米元体</w:t>
        </w:r>
      </w:hyperlink>
    </w:p>
    <w:p>
      <w:pPr>
        <w:spacing w:before="0" w:after="80"/>
      </w:pPr>
      <w:r>
        <w:rPr>
          <w:i/>
          <w:sz w:val="20"/>
        </w:rPr>
        <w:t>EN: [ASAP] Defective Single-Site Nanozymes with Exposed Unsaturated Cu–N2 Sites for Antitumor Immunotherapy via Innate Immune-Checkpoint Blockade</w:t>
      </w:r>
    </w:p>
    <w:p>
      <w:pPr>
        <w:spacing w:before="0" w:after="120"/>
      </w:pPr>
      <w:r>
        <w:rPr>
          <w:b/>
        </w:rPr>
        <w:t xml:space="preserve">Source: </w:t>
      </w:r>
      <w:r>
        <w:t>Journal of the American Chemical Society: Latest Articles (ACS Publications)</w:t>
      </w:r>
      <w:r>
        <w:t xml:space="preserve">    </w:t>
      </w:r>
      <w:r>
        <w:rPr>
          <w:b/>
        </w:rPr>
        <w:t xml:space="preserve">Pub date: </w:t>
      </w:r>
      <w:r>
        <w:t>2026-02-24 10:51:05+00:00</w:t>
      </w:r>
      <w:r>
        <w:t xml:space="preserve">    </w:t>
      </w:r>
      <w:r>
        <w:rPr>
          <w:b/>
        </w:rPr>
        <w:t xml:space="preserve">DOI: </w:t>
      </w:r>
      <w:hyperlink r:id="rId437">
        <w:r>
          <w:rPr>
            <w:color w:val="1155CC"/>
            <w:u w:val="single"/>
          </w:rPr>
          <w:t>10.1021/jacs.5c13802</w:t>
        </w:r>
      </w:hyperlink>
    </w:p>
    <w:p>
      <w:pPr>
        <w:spacing w:before="0" w:after="120"/>
      </w:pPr>
      <w:r>
        <w:rPr>
          <w:b/>
        </w:rPr>
        <w:t xml:space="preserve">Notes: </w:t>
      </w:r>
      <w:r>
        <w:t>abstract_source=pubmed</w:t>
      </w:r>
    </w:p>
    <w:p>
      <w:pPr>
        <w:spacing w:before="0" w:after="80" w:lineRule="auto" w:line="276"/>
      </w:pPr>
      <w:r>
        <w:rPr>
          <w:b/>
        </w:rPr>
        <w:t xml:space="preserve">摘要（ZH）: </w:t>
      </w:r>
      <w:r>
        <w:t>我们开发了MRX-2843(MerTK抑制器)和Mn2+共同交付的有缺陷的金属-有机框架(Copper-2、3、6、7、7、10、11-六乙基苯基(Cu-HITP))以单点纳米酶(Ir@D-Cu-HiTP-MMP)为基点,通过内生免疫检查点封锁进行抗肿瘤免疫治疗。高度暴露的不饱和Cu-N2站点以非对称电子分布为特征,引起局部电极分化,并展示反应性氧物种(ROS)生成的极好的酶-类似催化性性性功能。</w:t>
      </w:r>
    </w:p>
    <w:p>
      <w:pPr>
        <w:spacing w:before="0" w:after="200" w:lineRule="auto" w:line="276"/>
      </w:pPr>
      <w:r>
        <w:rPr>
          <w:b/>
        </w:rPr>
        <w:t xml:space="preserve">Abstract (EN): </w:t>
      </w:r>
      <w:r>
        <w:t>Disrupting the redox balance of tumor cells while blocking MER proto-oncogene tyrosine kinase (MerTK)-mediated macrophage efferocytosis can simultaneously awaken and enhance innate and adaptive antitumor immunity. Herein, we develop an MRX-2843 (MerTK inhibitor) and Mn2+ codelivered defective metal-organic framework (copper-2,3,6,7,10,11-hexaiminotriphenylene (Cu-HITP))-based single-site nanozyme (Ir@D-Cu-HITP-MMP) for antitumor immunotherapy via innate immune-checkpoint blockade. Highly exposed unsaturated Cu-N2 sites feature asymmetric electron distribution, inducing localized electron polarization and exhibiting excellent enzyme-like catalytic performance for reactive oxygen species (ROS) generation. The ROS surge disrupts redox homeostasis, impairing mitochondrial function and adenosine triphosphate production, while affecting copper transport for cuproptosis and suppressing heat shock protein expression to facilitate mild photothermal therapy. Furthermore, the tumor microenvironment-triggered release of MRX-2843 inhibits macrophage efferocytosis, increasing tumor immunogenicity and promoting prolonged cyclic GMP-AMP (cGAMP) transport. This synergizes with Mn2+ to enhance the stimulator of interferon genes (STING) activation, triggering robust immune responses. Overall, Ir@D-Cu-HITP-MMP demonstrates potent antitumor effects by activating powerful innate and adaptive immune responses.</w:t>
      </w:r>
    </w:p>
    <w:p>
      <w:pPr>
        <w:spacing w:before="120" w:after="120"/>
      </w:pPr>
      <w:r>
        <w:rPr>
          <w:sz w:val="18"/>
        </w:rPr>
        <w:t>——————————————————————————————————————————————————————————————————————</w:t>
      </w:r>
    </w:p>
    <w:p>
      <w:pPr>
        <w:spacing w:before="160" w:after="40" w:line="240" w:lineRule="auto"/>
      </w:pPr>
      <w:r>
        <w:rPr>
          <w:b/>
        </w:rPr>
        <w:t xml:space="preserve">[283] </w:t>
      </w:r>
      <w:hyperlink r:id="rId438">
        <w:r>
          <w:rPr>
            <w:color w:val="1155CC"/>
            <w:u w:val="single"/>
          </w:rPr>
          <w:t>环流伊米诺(西里尔)</w:t>
        </w:r>
      </w:hyperlink>
    </w:p>
    <w:p>
      <w:pPr>
        <w:spacing w:before="0" w:after="80"/>
      </w:pPr>
      <w:r>
        <w:rPr>
          <w:i/>
          <w:sz w:val="20"/>
        </w:rPr>
        <w:t>EN: Sequential Homo‐ and Hetero‐Coupling of Isocyanide and Carbon Monoxide Mediated by Acyclic Imino(silyl)Silylene</w:t>
      </w:r>
    </w:p>
    <w:p>
      <w:pPr>
        <w:spacing w:before="0" w:after="120"/>
      </w:pPr>
      <w:r>
        <w:rPr>
          <w:b/>
        </w:rPr>
        <w:t xml:space="preserve">Source: </w:t>
      </w:r>
      <w:r>
        <w:t>Wiley: Angewandte Chemie International Edition: Table of Contents</w:t>
      </w:r>
      <w:r>
        <w:t xml:space="preserve">    </w:t>
      </w:r>
      <w:r>
        <w:rPr>
          <w:b/>
        </w:rPr>
        <w:t xml:space="preserve">Pub date: </w:t>
      </w:r>
      <w:r>
        <w:t>2026-02-24 11:25:11+00:00</w:t>
      </w:r>
      <w:r>
        <w:t xml:space="preserve">    </w:t>
      </w:r>
      <w:r>
        <w:rPr>
          <w:b/>
        </w:rPr>
        <w:t xml:space="preserve">DOI: </w:t>
      </w:r>
      <w:hyperlink r:id="rId439">
        <w:r>
          <w:rPr>
            <w:color w:val="1155CC"/>
            <w:u w:val="single"/>
          </w:rPr>
          <w:t>10.1002/anie.9929509</w:t>
        </w:r>
      </w:hyperlink>
    </w:p>
    <w:p>
      <w:pPr>
        <w:spacing w:before="0" w:after="120"/>
      </w:pPr>
      <w:r>
        <w:rPr>
          <w:b/>
        </w:rPr>
        <w:t xml:space="preserve">Notes: </w:t>
      </w:r>
      <w:r>
        <w:t>abstract_source=pubmed</w:t>
      </w:r>
    </w:p>
    <w:p>
      <w:pPr>
        <w:spacing w:before="0" w:after="80" w:lineRule="auto" w:line="276"/>
      </w:pPr>
      <w:r>
        <w:rPr>
          <w:b/>
        </w:rPr>
        <w:t xml:space="preserve">摘要（ZH）: </w:t>
      </w:r>
      <w:r>
        <w:t>根据这一概念,我们通过与CO和Isocyanides的相继反应,展示了碳链增长,通过环球非环球(Hyperilil)硅酸盐的媒介,最终提供了由4个异丙氰化物和2个CO单位组成的明确界定的C6框架。</w:t>
      </w:r>
    </w:p>
    <w:p>
      <w:pPr>
        <w:spacing w:before="0" w:after="200" w:lineRule="auto" w:line="276"/>
      </w:pPr>
      <w:r>
        <w:rPr>
          <w:b/>
        </w:rPr>
        <w:t xml:space="preserve">Abstract (EN): </w:t>
      </w:r>
      <w:r>
        <w:t>Carbon monoxide (CO) and its isoelectronic analogues, isocyanides (RNC), have been extensively employed as model substrates to elucidate elementary steps of the Fischer-Tropsch (F-T) process, particularly those governing C-C bond construction. Building on this concept, we demonstrate carbon chain growth mediated by an acyclic imino(hypersilyl)silylene through sequential reactions with CO and isocyanides, ultimately affording well-defined C6 frameworks composed of four isocyanide and two CO units. A proposed mechanism for the homo- and hetero-coupling processes, derived from experimental observations and corroborated by quantum chemical calculations, reveals that the silylene functions as an initiator, inducing the stepwise homocoupling of RNC through consecutive formation of electrophilic sites, as well as promoting heterocoupling reactions with CO.</w:t>
      </w:r>
    </w:p>
    <w:p>
      <w:pPr>
        <w:spacing w:before="120" w:after="120"/>
      </w:pPr>
      <w:r>
        <w:rPr>
          <w:sz w:val="18"/>
        </w:rPr>
        <w:t>——————————————————————————————————————————————————————————————————————</w:t>
      </w:r>
    </w:p>
    <w:p>
      <w:pPr>
        <w:spacing w:before="160" w:after="40" w:line="240" w:lineRule="auto"/>
      </w:pPr>
      <w:r>
        <w:rPr>
          <w:b/>
        </w:rPr>
        <w:t xml:space="preserve">[284] </w:t>
      </w:r>
      <w:hyperlink r:id="rId440">
        <w:r>
          <w:rPr>
            <w:color w:val="1155CC"/>
            <w:u w:val="single"/>
          </w:rPr>
          <w:t>富含氟共价有机框架能够稳定、高性能和 Perovskite太阳能电池</w:t>
        </w:r>
      </w:hyperlink>
    </w:p>
    <w:p>
      <w:pPr>
        <w:spacing w:before="0" w:after="80"/>
      </w:pPr>
      <w:r>
        <w:rPr>
          <w:i/>
          <w:sz w:val="20"/>
        </w:rPr>
        <w:t>EN: Interface‐Enriched Fluorinated Covalent Organic Framework Enables Stable, High‐Performance n‐i‐p Perovskite Solar Cells</w:t>
      </w:r>
    </w:p>
    <w:p>
      <w:pPr>
        <w:spacing w:before="0" w:after="120"/>
      </w:pPr>
      <w:r>
        <w:rPr>
          <w:b/>
        </w:rPr>
        <w:t xml:space="preserve">Source: </w:t>
      </w:r>
      <w:r>
        <w:t>Wiley: Advanced Materials: Table of Contents</w:t>
      </w:r>
      <w:r>
        <w:t xml:space="preserve">    </w:t>
      </w:r>
      <w:r>
        <w:rPr>
          <w:b/>
        </w:rPr>
        <w:t xml:space="preserve">Pub date: </w:t>
      </w:r>
      <w:r>
        <w:t>2026-02-24 11:37:59+00:00</w:t>
      </w:r>
      <w:r>
        <w:t xml:space="preserve">    </w:t>
      </w:r>
      <w:r>
        <w:rPr>
          <w:b/>
        </w:rPr>
        <w:t xml:space="preserve">DOI: </w:t>
      </w:r>
      <w:hyperlink r:id="rId441">
        <w:r>
          <w:rPr>
            <w:color w:val="1155CC"/>
            <w:u w:val="single"/>
          </w:rPr>
          <w:t>10.1002/adma.202522994</w:t>
        </w:r>
      </w:hyperlink>
    </w:p>
    <w:p>
      <w:pPr>
        <w:spacing w:before="0" w:after="120"/>
      </w:pPr>
      <w:r>
        <w:rPr>
          <w:b/>
        </w:rPr>
        <w:t xml:space="preserve">Notes: </w:t>
      </w:r>
      <w:r>
        <w:t>abstract_source=pubmed</w:t>
      </w:r>
    </w:p>
    <w:p>
      <w:pPr>
        <w:spacing w:before="0" w:after="80" w:lineRule="auto" w:line="276"/>
      </w:pPr>
      <w:r>
        <w:rPr>
          <w:b/>
        </w:rPr>
        <w:t xml:space="preserve">摘要（ZH）: </w:t>
      </w:r>
      <w:r>
        <w:t>现有地表调整战略往往引入更多的互不相干现象,从而加剧而不是减轻被掩埋的面部脆弱性。这里,我们报告了一项就地掩埋的隔膜改造战略,该战略利用完全兼容的共价有机框架强化了SnO2/perovskite接口,这种框架与多氟化烃侧链相连。在渗透式结晶化过程中,多氟化烃链和SnO2之间强大的双极相互作用将COF推向被掩埋的SnO2/perovskite界面。SnO2/perovskite界面的COF锚点形成一个强大和功能活跃的界面。</w:t>
      </w:r>
    </w:p>
    <w:p>
      <w:pPr>
        <w:spacing w:before="0" w:after="200" w:lineRule="auto" w:line="276"/>
      </w:pPr>
      <w:r>
        <w:rPr>
          <w:b/>
        </w:rPr>
        <w:t xml:space="preserve">Abstract (EN): </w:t>
      </w:r>
      <w:r>
        <w:t>Buried interfacial integrity remains a major bottleneck limiting both the efficiency and long-term stability of perovskite solar cells (PSCs). Existing surface-modification strategies often introduce additional interfacial discontinuities, thereby exacerbating rather than alleviating buried-interface vulnerabilities. Here, we report an in situ buried-interface modification strategy that reinforces the SnO2/perovskite interface using a fully conjugated covalent organic framework (COF) grafted with polyfluoroalkyl side chains. During perovskite crystallization, strong dipolar interactions between the polyfluoroalkyl chains and the SnO2 drive the COF toward the buried SnO2/perovskite interface. The COF anchors at the SnO2/perovskite interface and forms a robust and functionally active interlayer. This dynamic interfacial assembly simultaneously 1) establishes a continuous, graded energy landscape that enhances electronic coupling and accelerates charge extraction; 2) induces facet-selective SnO2-COF-perovskite interactions that guide the oriented growth of perovskite grains; and 3) suppresses interfacial defects and halide migration, thereby stabilizing carrier transport. Consequently, n-i-p PSCs achieve a power conversion efficiency of 26.24% with a fill factor of 85.4%, and retain 86% of their initial efficiency after 2000 h of continuous operation. By transforming spontaneous molecular self-assembly into a processing advantage, this work establishes a new materials paradigm for achieving high-efficiency, stable, and scalable perovskite photovoltaics.</w:t>
      </w:r>
    </w:p>
    <w:p>
      <w:pPr>
        <w:spacing w:before="120" w:after="120"/>
      </w:pPr>
      <w:r>
        <w:rPr>
          <w:sz w:val="18"/>
        </w:rPr>
        <w:t>——————————————————————————————————————————————————————————————————————</w:t>
      </w:r>
    </w:p>
    <w:p>
      <w:pPr>
        <w:spacing w:before="160" w:after="40" w:line="240" w:lineRule="auto"/>
      </w:pPr>
      <w:r>
        <w:rPr>
          <w:b/>
        </w:rPr>
        <w:t xml:space="preserve">[285] </w:t>
      </w:r>
      <w:hyperlink r:id="rId442">
        <w:r>
          <w:rPr>
            <w:color w:val="1155CC"/>
            <w:u w:val="single"/>
          </w:rPr>
          <w:t>纤维化五氯苯煤凝胶中多阶段方案拟定</w:t>
        </w:r>
      </w:hyperlink>
    </w:p>
    <w:p>
      <w:pPr>
        <w:spacing w:before="0" w:after="80"/>
      </w:pPr>
      <w:r>
        <w:rPr>
          <w:i/>
          <w:sz w:val="20"/>
        </w:rPr>
        <w:t>EN: Multistage Phase Programming in Fibrillated Peptide Coacervates</w:t>
      </w:r>
    </w:p>
    <w:p>
      <w:pPr>
        <w:spacing w:before="0" w:after="120"/>
      </w:pPr>
      <w:r>
        <w:rPr>
          <w:b/>
        </w:rPr>
        <w:t xml:space="preserve">Source: </w:t>
      </w:r>
      <w:r>
        <w:t>Wiley: Advanced Materials: Table of Contents</w:t>
      </w:r>
      <w:r>
        <w:t xml:space="preserve">    </w:t>
      </w:r>
      <w:r>
        <w:rPr>
          <w:b/>
        </w:rPr>
        <w:t xml:space="preserve">Pub date: </w:t>
      </w:r>
      <w:r>
        <w:t>2026-02-24 12:02:57+00:00</w:t>
      </w:r>
      <w:r>
        <w:t xml:space="preserve">    </w:t>
      </w:r>
      <w:r>
        <w:rPr>
          <w:b/>
        </w:rPr>
        <w:t xml:space="preserve">DOI: </w:t>
      </w:r>
      <w:hyperlink r:id="rId443">
        <w:r>
          <w:rPr>
            <w:color w:val="1155CC"/>
            <w:u w:val="single"/>
          </w:rPr>
          <w:t>10.1002/adma.202517594</w:t>
        </w:r>
      </w:hyperlink>
    </w:p>
    <w:p>
      <w:pPr>
        <w:spacing w:before="0" w:after="120"/>
      </w:pPr>
      <w:r>
        <w:rPr>
          <w:b/>
        </w:rPr>
        <w:t xml:space="preserve">Notes: </w:t>
      </w:r>
      <w:r>
        <w:t>abstract_source=pubmed</w:t>
      </w:r>
    </w:p>
    <w:p>
      <w:pPr>
        <w:spacing w:before="0" w:after="80" w:lineRule="auto" w:line="276"/>
      </w:pPr>
      <w:r>
        <w:rPr>
          <w:b/>
        </w:rPr>
        <w:t xml:space="preserve">摘要（ZH）: </w:t>
      </w:r>
      <w:r>
        <w:t>天然蛋白凝聚物自然蛋白质凝聚物通过刺激刺激触发多阶段过渡来应对外部压力。合成系统中的这种转变的重新编程对于合理设计自适应材料及其精确调节的刺激反应反应性至关重要。然而,内在无序蛋白的序列复杂性及其相互竞争的组装路径往往妨碍在生理条件下对多阶段过渡进行有效的编程。这里,通过整合来自境内流离失所者低兼容性领域的内在无序和临时定购的软体,合成了一类短小的peptide合成物(Mw1500 Dalton ) 。很显然,这些peptide合成物展示了单体、自coervates、利基的热可逆四级转换。</w:t>
      </w:r>
    </w:p>
    <w:p>
      <w:pPr>
        <w:spacing w:before="0" w:after="200" w:lineRule="auto" w:line="276"/>
      </w:pPr>
      <w:r>
        <w:rPr>
          <w:b/>
        </w:rPr>
        <w:t xml:space="preserve">Abstract (EN): </w:t>
      </w:r>
      <w:r>
        <w:t>Natural protein condensates respond to external stresses through stimuli-triggered multistage phase transitions. Reprogramming such transitions in synthetic systems is critical for rational design of self-adaptive materials with precisely regulated stimuli-responsiveness. Nevertheless, the sequence complexity of intrinsically disordered proteins (IDPs) and their competing assembly pathways often impede effective programing of multistage transitions in physiological conditions. Here, a class of short peptide synthons (Mw≈1500 Dalton) is synthesized by integrating intrinsically disordered and transiently ordered motifs derived from the low-complexity domain of IDPs. Remarkably, these peptide synthons exhibit thermoreversible quadruple phase transitions among monomers, self-coacervates, liquid crystals, and semi-crystallized solid gels. Mechanistic study reveals that the phase transitions are governed by two distinct assembly pathways, namely coacervation and fibrillization, which interact in both collaborative and competitive manners. Modifying the peptide sequence or molecular decorations allows for precise control over the phase transition temperatures, enabling sequential, multi-stage transitions to be activated by dose-dependent pathological cues (e.g., lactic acid) at the body temperature (37°C). These findings establish a highly versatile and programmable material platform to sequentially encode multistage phase behaviors into synthetic peptide assemblies, inspiring the development of next-generation disease biosensors, drug-delivery vehicles, and self-adaptive microrobots.</w:t>
      </w:r>
    </w:p>
    <w:p>
      <w:pPr>
        <w:spacing w:before="120" w:after="120"/>
      </w:pPr>
      <w:r>
        <w:rPr>
          <w:sz w:val="18"/>
        </w:rPr>
        <w:t>——————————————————————————————————————————————————————————————————————</w:t>
      </w:r>
    </w:p>
    <w:p>
      <w:pPr>
        <w:spacing w:before="160" w:after="40" w:line="240" w:lineRule="auto"/>
      </w:pPr>
      <w:r>
        <w:rPr>
          <w:b/>
        </w:rPr>
        <w:t xml:space="preserve">[286] </w:t>
      </w:r>
      <w:hyperlink r:id="rId444">
        <w:r>
          <w:rPr>
            <w:color w:val="1155CC"/>
            <w:u w:val="single"/>
          </w:rPr>
          <w:t>从排层到全循环设计:关于锌阴极条形的关键性作用的观点</w:t>
        </w:r>
      </w:hyperlink>
    </w:p>
    <w:p>
      <w:pPr>
        <w:spacing w:before="0" w:after="80"/>
      </w:pPr>
      <w:r>
        <w:rPr>
          <w:i/>
          <w:sz w:val="20"/>
        </w:rPr>
        <w:t>EN: From Plating‐Centric to Full‐Cycle Design: A Perspective on the Critical Role of Zinc Anode Stripping</w:t>
      </w:r>
    </w:p>
    <w:p>
      <w:pPr>
        <w:spacing w:before="0" w:after="120"/>
      </w:pPr>
      <w:r>
        <w:rPr>
          <w:b/>
        </w:rPr>
        <w:t xml:space="preserve">Source: </w:t>
      </w:r>
      <w:r>
        <w:t>Wiley: Advanced Materials: Table of Contents</w:t>
      </w:r>
      <w:r>
        <w:t xml:space="preserve">    </w:t>
      </w:r>
      <w:r>
        <w:rPr>
          <w:b/>
        </w:rPr>
        <w:t xml:space="preserve">Pub date: </w:t>
      </w:r>
      <w:r>
        <w:t>2026-02-24 12:12:34+00:00</w:t>
      </w:r>
      <w:r>
        <w:t xml:space="preserve">    </w:t>
      </w:r>
      <w:r>
        <w:rPr>
          <w:b/>
        </w:rPr>
        <w:t xml:space="preserve">DOI: </w:t>
      </w:r>
      <w:hyperlink r:id="rId445">
        <w:r>
          <w:rPr>
            <w:color w:val="1155CC"/>
            <w:u w:val="single"/>
          </w:rPr>
          <w:t>10.1002/adma.202522939</w:t>
        </w:r>
      </w:hyperlink>
    </w:p>
    <w:p>
      <w:pPr>
        <w:spacing w:before="0" w:after="120"/>
      </w:pPr>
      <w:r>
        <w:rPr>
          <w:b/>
        </w:rPr>
        <w:t xml:space="preserve">Notes: </w:t>
      </w:r>
      <w:r>
        <w:t>abstract_source=pubmed</w:t>
      </w:r>
    </w:p>
    <w:p>
      <w:pPr>
        <w:spacing w:before="0" w:after="80" w:lineRule="auto" w:line="276"/>
      </w:pPr>
      <w:r>
        <w:rPr>
          <w:b/>
        </w:rPr>
        <w:t xml:space="preserve">摘要（ZH）: </w:t>
      </w:r>
      <w:r>
        <w:t>对稳定的水锌金属电池的探索正确地侧重于抑制锌沉积的不透明性质。先锋研究产生了大量实现统一锌镀层的战略。虽然这些方法大大提高了实验室半细胞的性能,但在转向实用的全细胞时,顽固的性能差距依然存在。这块裂痕表明了一种根本的监督:阳极最初以无锌的阴极完全细胞结构剥离的临界影响。从这个角度看,我们强调最初的锌剥离过程的关键作用,但作用不足。我们首先破译了无锌阴极系统的操作规程,以说明最初的剥离是如何以动态的方式重新塑造阳极和界面的。我们从一个角度讲,我们强调最初的锌剥离过程具有关键作用,但却不够受重视的作用。我们首先破译了无锌阴极系统的操作规程,以说明最初的剥离是如何以动态的方式重新塑造阳极和界面的。</w:t>
      </w:r>
    </w:p>
    <w:p>
      <w:pPr>
        <w:spacing w:before="0" w:after="200" w:lineRule="auto" w:line="276"/>
      </w:pPr>
      <w:r>
        <w:rPr>
          <w:b/>
        </w:rPr>
        <w:t xml:space="preserve">Abstract (EN): </w:t>
      </w:r>
      <w:r>
        <w:t>The quest for stable aqueous zinc metal batteries has rightly focused on taming the unruly nature of zinc deposition. Pioneering research has produced a wealth of strategies to achieve uniform zinc plating. While these methods have significantly improved performance in laboratory half-cells, a stubborn performance gap persists when moving to practical full-cells. This chasm points to a fundamental oversight: the critical impact of the anode's initial stripping in a full-cell configuration with zinc-free cathodes. In this perspective, we highlight the pivotal yet underappreciated role of the initial zinc stripping process. We first decipher the operational protocols of zinc-free cathode systems to illustrate how the initial stripping dynamically reshapes the anode and interface. By analyzing the multi-step complexity of stripping, we contrast its mechanistic disparities with plating and assess the limitations of deposition-centric strategies. We then evaluate current approaches that enhance full-cell performance through optimized dissolution. Finally, looking toward future multi-scenario applications, we argue that research must address the intricate coupling among stripping dynamics, chemo-mechano-thermal responses, and the crystallographic properties of zinc anodes. This paradigm shift from a plating-centric view to a full-cycle-oriented is paramount to unlocking the full potential of the zinc metal anode for grid-scale energy storage and beyond.</w:t>
      </w:r>
    </w:p>
    <w:p>
      <w:pPr>
        <w:spacing w:before="120" w:after="120"/>
      </w:pPr>
      <w:r>
        <w:rPr>
          <w:sz w:val="18"/>
        </w:rPr>
        <w:t>——————————————————————————————————————————————————————————————————————</w:t>
      </w:r>
    </w:p>
    <w:p>
      <w:pPr>
        <w:spacing w:before="160" w:after="40" w:line="240" w:lineRule="auto"/>
      </w:pPr>
      <w:r>
        <w:rPr>
          <w:b/>
        </w:rPr>
        <w:t xml:space="preserve">[287] </w:t>
      </w:r>
      <w:hyperlink r:id="rId446">
        <w:r>
          <w:rPr>
            <w:color w:val="1155CC"/>
            <w:u w:val="single"/>
          </w:rPr>
          <w:t>固态国家NMR公司水晶结构化学转移的快速分配</w:t>
        </w:r>
      </w:hyperlink>
    </w:p>
    <w:p>
      <w:pPr>
        <w:spacing w:before="0" w:after="80"/>
      </w:pPr>
      <w:r>
        <w:rPr>
          <w:i/>
          <w:sz w:val="20"/>
        </w:rPr>
        <w:t>EN: Rapid Assignment of Chemical Shifts From Crystal Structures in Solid‐State NMR</w:t>
      </w:r>
    </w:p>
    <w:p>
      <w:pPr>
        <w:spacing w:before="0" w:after="120"/>
      </w:pPr>
      <w:r>
        <w:rPr>
          <w:b/>
        </w:rPr>
        <w:t xml:space="preserve">Source: </w:t>
      </w:r>
      <w:r>
        <w:t>Wiley: Angewandte Chemie International Edition: Table of Contents</w:t>
      </w:r>
      <w:r>
        <w:t xml:space="preserve">    </w:t>
      </w:r>
      <w:r>
        <w:rPr>
          <w:b/>
        </w:rPr>
        <w:t xml:space="preserve">Pub date: </w:t>
      </w:r>
      <w:r>
        <w:t>2026-02-24 12:33:49+00:00</w:t>
      </w:r>
      <w:r>
        <w:t xml:space="preserve">    </w:t>
      </w:r>
      <w:r>
        <w:rPr>
          <w:b/>
        </w:rPr>
        <w:t xml:space="preserve">DOI: </w:t>
      </w:r>
      <w:hyperlink r:id="rId447">
        <w:r>
          <w:rPr>
            <w:color w:val="1155CC"/>
            <w:u w:val="single"/>
          </w:rPr>
          <w:t>10.1002/anie.202525558</w:t>
        </w:r>
      </w:hyperlink>
    </w:p>
    <w:p>
      <w:pPr>
        <w:spacing w:before="0" w:after="120"/>
      </w:pPr>
      <w:r>
        <w:rPr>
          <w:b/>
        </w:rPr>
        <w:t xml:space="preserve">Notes: </w:t>
      </w:r>
      <w:r>
        <w:t>abstract_source=pubmed</w:t>
      </w:r>
    </w:p>
    <w:p>
      <w:pPr>
        <w:spacing w:before="0" w:after="80" w:lineRule="auto" w:line="276"/>
      </w:pPr>
      <w:r>
        <w:rPr>
          <w:b/>
        </w:rPr>
        <w:t xml:space="preserve">摘要（ZH）: </w:t>
      </w:r>
      <w:r>
        <w:t>固态核磁共振化学转移分配是一个具有挑战性的过程,通常依靠一套1D和2D试验来确定分配,办法是沿共价骨干建立连接性。最近采用了一种贝叶斯概率分配方法,其依据是利用化学转移数据库进行的碎片分析。在这里,我们建议采用一种快速的3D结构验证方法,利用从晶体结构作出的预测作为贝叶斯概率化学转移的起点。我们展示了这一方法,增强了对可卡因和阿图利夫拉彭结构的1H和13C分配以及最后是Z=2的Lorlatinib的信心。我们展示了这一方法。</w:t>
      </w:r>
    </w:p>
    <w:p>
      <w:pPr>
        <w:spacing w:before="0" w:after="200" w:lineRule="auto" w:line="276"/>
      </w:pPr>
      <w:r>
        <w:rPr>
          <w:b/>
        </w:rPr>
        <w:t xml:space="preserve">Abstract (EN): </w:t>
      </w:r>
      <w:r>
        <w:t>Chemical shift assignment in solid-state nuclear magnetic resonance (NMR) is a challenging process that usually relies on a set of 1D and 2D experiments to determine the assignment by establishing connectivities along the covalent backbone. A Bayesian probabilistic assignment method was recently introduced based on a fragment analysis using a database of chemical shifts. Here, we propose a fast 3D structure validation method that utilizes predictions from a crystal structure as a starting point for Bayesian probabilistic chemical shift assignment. We demonstrate the approach with improved confidence in the 1H and 13C assignments for the structures of cocaine and Atuliflapon, and finally Lorlatinib which has Z' = 2.</w:t>
      </w:r>
    </w:p>
    <w:p>
      <w:pPr>
        <w:spacing w:before="120" w:after="120"/>
      </w:pPr>
      <w:r>
        <w:rPr>
          <w:sz w:val="18"/>
        </w:rPr>
        <w:t>——————————————————————————————————————————————————————————————————————</w:t>
      </w:r>
    </w:p>
    <w:p>
      <w:pPr>
        <w:spacing w:before="160" w:after="40" w:line="240" w:lineRule="auto"/>
      </w:pPr>
      <w:r>
        <w:rPr>
          <w:b/>
        </w:rPr>
        <w:t xml:space="preserve">[288] </w:t>
      </w:r>
      <w:hyperlink r:id="rId448">
        <w:r>
          <w:rPr>
            <w:color w:val="1155CC"/>
            <w:u w:val="single"/>
          </w:rPr>
          <w:t>用于长期无释放的3D喷出的壳牌骨架,用于在糖尿病骨衰减修复过程中将长期无释放释放给管弦管室的无名化和血管生成</w:t>
        </w:r>
      </w:hyperlink>
    </w:p>
    <w:p>
      <w:pPr>
        <w:spacing w:before="0" w:after="80"/>
      </w:pPr>
      <w:r>
        <w:rPr>
          <w:i/>
          <w:sz w:val="20"/>
        </w:rPr>
        <w:t>EN: Micropore‐Confined ROS‐Responsive 3D‐Printed Shell‐Core Scaffolds for Long‐Term NO Release to Orchestrate Immunomodulation and Angiogenesis in Diabetic Bone Defect Repair</w:t>
      </w:r>
    </w:p>
    <w:p>
      <w:pPr>
        <w:spacing w:before="0" w:after="120"/>
      </w:pPr>
      <w:r>
        <w:rPr>
          <w:b/>
        </w:rPr>
        <w:t xml:space="preserve">Source: </w:t>
      </w:r>
      <w:r>
        <w:t>Wiley: Advanced Materials: Table of Contents</w:t>
      </w:r>
      <w:r>
        <w:t xml:space="preserve">    </w:t>
      </w:r>
      <w:r>
        <w:rPr>
          <w:b/>
        </w:rPr>
        <w:t xml:space="preserve">Pub date: </w:t>
      </w:r>
      <w:r>
        <w:t>2026-02-24 12:36:20+00:00</w:t>
      </w:r>
      <w:r>
        <w:t xml:space="preserve">    </w:t>
      </w:r>
      <w:r>
        <w:rPr>
          <w:b/>
        </w:rPr>
        <w:t xml:space="preserve">DOI: </w:t>
      </w:r>
      <w:hyperlink r:id="rId449">
        <w:r>
          <w:rPr>
            <w:color w:val="1155CC"/>
            <w:u w:val="single"/>
          </w:rPr>
          <w:t>10.1002/adma.202521475</w:t>
        </w:r>
      </w:hyperlink>
    </w:p>
    <w:p>
      <w:pPr>
        <w:spacing w:before="0" w:after="120"/>
      </w:pPr>
      <w:r>
        <w:rPr>
          <w:b/>
        </w:rPr>
        <w:t xml:space="preserve">Notes: </w:t>
      </w:r>
      <w:r>
        <w:t>abstract_source=pubmed</w:t>
      </w:r>
    </w:p>
    <w:p>
      <w:pPr>
        <w:spacing w:before="0" w:after="80" w:lineRule="auto" w:line="276"/>
      </w:pPr>
      <w:r>
        <w:rPr>
          <w:b/>
        </w:rPr>
        <w:t xml:space="preserve">摘要（ZH）: </w:t>
      </w:r>
      <w:r>
        <w:t>糖尿病骨缺陷的愈合受到多方面病理因素的严重影响,其中包括免疫性调律、持久性炎、过活性氧(ROS)和血管动脉-骨质混合。 虽然一氧化氮(NO)具有抗炎和再生特性的希望,但其临床翻译受到短期半衰期和无控制的释放的限制,无法与慢性糖尿病骨骼修补相匹配。在这里,我们根据微粒组合战略提出了一个MP-LAS脚手架,将释放动动能从“超热”模式转变为持续、需要的输出。三维打印和相分离形成三维打印和相分离,其核心是装有L-arginine(L-Arg)和S-S的可降解性凝胶。</w:t>
      </w:r>
    </w:p>
    <w:p>
      <w:pPr>
        <w:spacing w:before="0" w:after="200" w:lineRule="auto" w:line="276"/>
      </w:pPr>
      <w:r>
        <w:rPr>
          <w:b/>
        </w:rPr>
        <w:t xml:space="preserve">Abstract (EN): </w:t>
      </w:r>
      <w:r>
        <w:t>The healing of diabetic bone defects is critically impaired by multifaceted pathological factors, including immune dysregulation, persistent inflammation, excessive reactive oxygen species (ROS), and impaired vascular-osteogenic coupling. Although nitric oxide (NO) holds promise for its anti-inflammatory and regenerative properties, its clinical translation is limited by a short half-life and uncontrolled release, failing to match chronic diabetic bone repair. Herein, we present an MP-LAS scaffold based on a micropore-confinement strategy, which transforms release kinetics from a "burst-exhaustion" mode to a sustained, on-demand output. The scaffold is fabricated by 3D printing coupled with phase separation, featuring a core of ROS-degradable hydrogel loaded with L-arginine (L-Arg) and a shell of nano-hydroxyapatite/polycaprolactone (nHA/PCL) with interconnected microporosity. The well-designed micropores precisely confine the ROS/L-Arg reaction, triggering localized degradation of the core and controllable L-Arg release for subsequent in situ NO generation. This system maintains a stable NO supply for 3 months, avoiding burst-release toxicity while continuously neutralizing pathological ROS. Both in vitro and in vivo evaluations demonstrate that this dual action synergistically modulates macrophage M2 polarization, angiogenesis, and osteogenic differentiation, ultimately facilitating diabetic bone regeneration via NO-mediated vascular-osteogenic coupling. This work offers a novel, versatile micropore-confined platform for precise molecule delivery in complex pathological microenvironments.</w:t>
      </w:r>
    </w:p>
    <w:p>
      <w:pPr>
        <w:spacing w:before="120" w:after="120"/>
      </w:pPr>
      <w:r>
        <w:rPr>
          <w:sz w:val="18"/>
        </w:rPr>
        <w:t>——————————————————————————————————————————————————————————————————————</w:t>
      </w:r>
    </w:p>
    <w:p>
      <w:pPr>
        <w:spacing w:before="160" w:after="40" w:line="240" w:lineRule="auto"/>
      </w:pPr>
      <w:r>
        <w:rPr>
          <w:b/>
        </w:rPr>
        <w:t xml:space="preserve">[289] </w:t>
      </w:r>
      <w:hyperlink r:id="rId450">
        <w:r>
          <w:rPr>
            <w:color w:val="1155CC"/>
            <w:u w:val="single"/>
          </w:rPr>
          <w:t>1 Tesla Tesla.</w:t>
        </w:r>
      </w:hyperlink>
    </w:p>
    <w:p>
      <w:pPr>
        <w:spacing w:before="0" w:after="80"/>
      </w:pPr>
      <w:r>
        <w:rPr>
          <w:i/>
          <w:sz w:val="20"/>
        </w:rPr>
        <w:t>EN: Speciation, Structural Refinement, and Distribution of Ti Sites in Titanium Silicalite‐1 From 47/49Ti NMR Crystallography at 28.2 Tesla</w:t>
      </w:r>
    </w:p>
    <w:p>
      <w:pPr>
        <w:spacing w:before="0" w:after="120"/>
      </w:pPr>
      <w:r>
        <w:rPr>
          <w:b/>
        </w:rPr>
        <w:t xml:space="preserve">Source: </w:t>
      </w:r>
      <w:r>
        <w:t>Wiley: Angewandte Chemie International Edition: Table of Contents</w:t>
      </w:r>
      <w:r>
        <w:t xml:space="preserve">    </w:t>
      </w:r>
      <w:r>
        <w:rPr>
          <w:b/>
        </w:rPr>
        <w:t xml:space="preserve">Pub date: </w:t>
      </w:r>
      <w:r>
        <w:t>2026-02-24 12:43:06+00:00</w:t>
      </w:r>
      <w:r>
        <w:t xml:space="preserve">    </w:t>
      </w:r>
      <w:r>
        <w:rPr>
          <w:b/>
        </w:rPr>
        <w:t xml:space="preserve">DOI: </w:t>
      </w:r>
      <w:hyperlink r:id="rId451">
        <w:r>
          <w:rPr>
            <w:color w:val="1155CC"/>
            <w:u w:val="single"/>
          </w:rPr>
          <w:t>10.1002/anie.202524232</w:t>
        </w:r>
      </w:hyperlink>
    </w:p>
    <w:p>
      <w:pPr>
        <w:spacing w:before="0" w:after="120"/>
      </w:pPr>
      <w:r>
        <w:rPr>
          <w:b/>
        </w:rPr>
        <w:t xml:space="preserve">Notes: </w:t>
      </w:r>
      <w:r>
        <w:t>abstract_source=pubmed</w:t>
      </w:r>
    </w:p>
    <w:p>
      <w:pPr>
        <w:spacing w:before="0" w:after="80" w:lineRule="auto" w:line="276"/>
      </w:pPr>
      <w:r>
        <w:rPr>
          <w:b/>
        </w:rPr>
        <w:t xml:space="preserve">摘要（ZH）: </w:t>
      </w:r>
      <w:r>
        <w:t>TS-1尽管在40多年前被发现,但化学工业中的使用却在增加。催化结构,特别是硫化框架中的Ti光谱和当地环境,以及清新锌质材料中的Ti点的核作用,仍在辩论之中。在这里,我们通过对一系列TS-1催化剂应用高空(28.2T)47/49TNMR和17O NMR光谱镜来解决这一问题。对于不设框架的TS-1催化剂,Ti站点与独特的NMR签字-(49Ti)=-900ppm;CQ,0(49TI)=7.2MHz-根据扩展的Czjzek模型,可以转化为结构参数和主导的第一个协调环境。</w:t>
      </w:r>
    </w:p>
    <w:p>
      <w:pPr>
        <w:spacing w:before="0" w:after="200" w:lineRule="auto" w:line="276"/>
      </w:pPr>
      <w:r>
        <w:rPr>
          <w:b/>
        </w:rPr>
        <w:t xml:space="preserve">Abstract (EN): </w:t>
      </w:r>
      <w:r>
        <w:t>Titanium silicalite-1 (TS-1) is industrially used for selective oxidation processes. Despite being discovered over 40 years ago, TS-1 is seeing an increase in use in the chemical industry. The catalyst structure, especially the Ti speciation and local environment in the zeolitic framework, as well as the nuclearity of the Ti sites in the pristine zeolite material, are still debated. Here, we address this issue by applying high field (28.2 T) 47/49Ti NMR and 17O NMR spectroscopy for an array of TS-1 catalysts. For extra-framework-free TS-1 catalysts, the Ti sites are associated with a distinct NMR signature-δiso (49Ti) = -900 ppm; CQ,0(49Ti) = 7.2 MHz-which can be translated into structural parameters and a dominant first coordination environment according to an extended Czjzek model. With the implementation of a 47/49Ti NMR crystallography protocol, benchmarked on molecular models, this signature was assigned to the presence of mononuclear Ti framework sites in pristine TS-1 structures. The observed distribution of the NMR parameters presumably originates from variations of mononuclear Ti framework sites in the first and second coordination sphere, likely due to the occupancy of several T-sites.</w:t>
      </w:r>
    </w:p>
    <w:p>
      <w:pPr>
        <w:spacing w:before="120" w:after="120"/>
      </w:pPr>
      <w:r>
        <w:rPr>
          <w:sz w:val="18"/>
        </w:rPr>
        <w:t>——————————————————————————————————————————————————————————————————————</w:t>
      </w:r>
    </w:p>
    <w:p>
      <w:pPr>
        <w:spacing w:before="160" w:after="40" w:line="240" w:lineRule="auto"/>
      </w:pPr>
      <w:r>
        <w:rPr>
          <w:b/>
        </w:rPr>
        <w:t xml:space="preserve">[290] </w:t>
      </w:r>
      <w:hyperlink r:id="rId452">
        <w:r>
          <w:rPr>
            <w:color w:val="1155CC"/>
            <w:u w:val="single"/>
          </w:rPr>
          <w:t>早期过渡金属获得(混合金属)的有机氧化物集束体的氢解</w:t>
        </w:r>
      </w:hyperlink>
    </w:p>
    <w:p>
      <w:pPr>
        <w:spacing w:before="0" w:after="80"/>
      </w:pPr>
      <w:r>
        <w:rPr>
          <w:i/>
          <w:sz w:val="20"/>
        </w:rPr>
        <w:t>EN: Mechanism‐Guided Precision Hydrolysis of Early Transition Metals to Access (Mixed‐Metal) Oxo Clusters</w:t>
      </w:r>
    </w:p>
    <w:p>
      <w:pPr>
        <w:spacing w:before="0" w:after="120"/>
      </w:pPr>
      <w:r>
        <w:rPr>
          <w:b/>
        </w:rPr>
        <w:t xml:space="preserve">Source: </w:t>
      </w:r>
      <w:r>
        <w:t>Wiley: Angewandte Chemie International Edition: Table of Contents</w:t>
      </w:r>
      <w:r>
        <w:t xml:space="preserve">    </w:t>
      </w:r>
      <w:r>
        <w:rPr>
          <w:b/>
        </w:rPr>
        <w:t xml:space="preserve">Pub date: </w:t>
      </w:r>
      <w:r>
        <w:t>2026-02-24 12:43:19+00:00</w:t>
      </w:r>
      <w:r>
        <w:t xml:space="preserve">    </w:t>
      </w:r>
      <w:r>
        <w:rPr>
          <w:b/>
        </w:rPr>
        <w:t xml:space="preserve">DOI: </w:t>
      </w:r>
      <w:hyperlink r:id="rId453">
        <w:r>
          <w:rPr>
            <w:color w:val="1155CC"/>
            <w:u w:val="single"/>
          </w:rPr>
          <w:t>10.1002/anie.202525769</w:t>
        </w:r>
      </w:hyperlink>
    </w:p>
    <w:p>
      <w:pPr>
        <w:spacing w:before="0" w:after="120"/>
      </w:pPr>
      <w:r>
        <w:rPr>
          <w:b/>
        </w:rPr>
        <w:t xml:space="preserve">Notes: </w:t>
      </w:r>
      <w:r>
        <w:t>abstract_source=pubmed</w:t>
      </w:r>
    </w:p>
    <w:p>
      <w:pPr>
        <w:spacing w:before="0" w:after="80" w:lineRule="auto" w:line="276"/>
      </w:pPr>
      <w:r>
        <w:rPr>
          <w:b/>
        </w:rPr>
        <w:t xml:space="preserve">摘要（ZH）: </w:t>
      </w:r>
      <w:r>
        <w:t>和氧化氧团团团是催化剂,是MOF、3D印刷和聚合复合材料的构件。然而,它们的合成往往是一个试验和错误问题,新的结构很难进行回转合成。在这里,我们利用我们最近对Zr 6 O 4 $ Zr6 rm O4 (OH) 4 $ 4 $ 4 (OOCR) 12 $ 12 $ 12 美元 氧团团团团,以重新设计其合成,以采用更高反应率、更经济的先质、更可持续的溶剂和更高的原子经济,均在室温下进行。我们为Zr6-carboxylate 或Hf6-carboxylate oxo 团团团(carboxlate = cetate, oleate, 和 2-methbutanate)的精密水解法增加了1.33等量的水,用于金属的精密水解。此外,我们用精密水解用于S6-s。</w:t>
      </w:r>
    </w:p>
    <w:p>
      <w:pPr>
        <w:spacing w:before="0" w:after="200" w:lineRule="auto" w:line="276"/>
      </w:pPr>
      <w:r>
        <w:rPr>
          <w:b/>
        </w:rPr>
        <w:t xml:space="preserve">Abstract (EN): </w:t>
      </w:r>
      <w:r>
        <w:t>Zirconium and hafnium oxo clusters are catalysts, and building blocks for MOFs, 3D-printing and polymer composites. However, their synthesis is often a matter of trial and error, and new structures are hard to design retrosynthetically. Here, we use our recent insight in the formation mechanism of   Zr 6 O 4  ${\rm Zr}_6{\rm O}_4$  (OH)   4 $_4$  (OOCR)   12 $_{12}$  oxo clusters to redesign their synthesis with higher reaction rates, more economical precursors, more sustainable solvents, and higher atom economy, all at room temperature at gram scale. We add exactly 1.33 equivalents of water for the precision hydrolysis of the metals toward Zr6-carboxylate or Hf6-carboxylate oxo clusters (carboxylate  =  acetate, oleate, and 2-methylbutanoate). Furthermore, we use precision hydrolysis to synthesize the elusive bimetallic Zr/Hf oxo clusters and to expand rational oxo cluster synthesis to the group 5, accessing the new   Nb 8 O 12  ${\rm Nb}_8{\rm O}_{12}$  (OEt)   8 $_8$  (OBz)   8 $_8$  and   Ta 8 O 12  ${\rm Ta}_8{\rm O}_{12}$  (OEt)   8 $_8$  (OBz)   8 $_8$  clusters (OBz = benzoate). Precision hydrolysis allows for a rational design and an economic production of oxo clusters on a multigram scale, with potential to become the workhorse for cluster synthesis.</w:t>
      </w:r>
    </w:p>
    <w:p>
      <w:pPr>
        <w:spacing w:before="120" w:after="120"/>
      </w:pPr>
      <w:r>
        <w:rPr>
          <w:sz w:val="18"/>
        </w:rPr>
        <w:t>——————————————————————————————————————————————————————————————————————</w:t>
      </w:r>
    </w:p>
    <w:p>
      <w:pPr>
        <w:spacing w:before="160" w:after="40" w:line="240" w:lineRule="auto"/>
      </w:pPr>
      <w:r>
        <w:rPr>
          <w:b/>
        </w:rPr>
        <w:t xml:space="preserve">[291] </w:t>
      </w:r>
      <w:hyperlink r:id="rId454">
        <w:r>
          <w:rPr>
            <w:color w:val="1155CC"/>
            <w:u w:val="single"/>
          </w:rPr>
          <w:t>结构变形修理和接口建造用完的LiFFePOP4阴道的高效直接再循环战略</w:t>
        </w:r>
      </w:hyperlink>
    </w:p>
    <w:p>
      <w:pPr>
        <w:spacing w:before="0" w:after="80"/>
      </w:pPr>
      <w:r>
        <w:rPr>
          <w:i/>
          <w:sz w:val="20"/>
        </w:rPr>
        <w:t>EN: Efficient Direct Recycling Strategy of Spent LiFePO4 Cathodes by Structural Defect Repair and Interface Construction</w:t>
      </w:r>
    </w:p>
    <w:p>
      <w:pPr>
        <w:spacing w:before="0" w:after="120"/>
      </w:pPr>
      <w:r>
        <w:rPr>
          <w:b/>
        </w:rPr>
        <w:t xml:space="preserve">Source: </w:t>
      </w:r>
      <w:r>
        <w:t>Wiley: Advanced Materials: Table of Contents</w:t>
      </w:r>
      <w:r>
        <w:t xml:space="preserve">    </w:t>
      </w:r>
      <w:r>
        <w:rPr>
          <w:b/>
        </w:rPr>
        <w:t xml:space="preserve">Pub date: </w:t>
      </w:r>
      <w:r>
        <w:t>2026-02-24 12:45:48+00:00</w:t>
      </w:r>
      <w:r>
        <w:t xml:space="preserve">    </w:t>
      </w:r>
      <w:r>
        <w:rPr>
          <w:b/>
        </w:rPr>
        <w:t xml:space="preserve">DOI: </w:t>
      </w:r>
      <w:hyperlink r:id="rId455">
        <w:r>
          <w:rPr>
            <w:color w:val="1155CC"/>
            <w:u w:val="single"/>
          </w:rPr>
          <w:t>10.1002/adma.202521012</w:t>
        </w:r>
      </w:hyperlink>
    </w:p>
    <w:p>
      <w:pPr>
        <w:spacing w:before="0" w:after="120"/>
      </w:pPr>
      <w:r>
        <w:rPr>
          <w:b/>
        </w:rPr>
        <w:t xml:space="preserve">Notes: </w:t>
      </w:r>
      <w:r>
        <w:t>abstract_source=pubmed</w:t>
      </w:r>
    </w:p>
    <w:p>
      <w:pPr>
        <w:spacing w:before="0" w:after="80" w:lineRule="auto" w:line="276"/>
      </w:pPr>
      <w:r>
        <w:rPr>
          <w:b/>
        </w:rPr>
        <w:t xml:space="preserve">摘要（ZH）: </w:t>
      </w:r>
      <w:r>
        <w:t>由于退役的LiFePO4电池数量不断增加,迫切需要采用高效和无害环境的回收方法。LiFePo4电池失灵的主要原因是锂流失和Fe(III)阶段的形成。因此,绿色试剂柠檬酸(CA)和尿素(UR)之间的协同增效互动可以实现低温自发缺陷自发修复和建造N倾弃的碳层。具体地说,Ca创造了将Fe(III)降低至Fe(II)阶段的再处理气氛,从而消除Li-Fe反场地缺陷。与此同时,UR的氨基(NH2)组作为氮源发挥作用,使得LiFePO4粒子表面的碳层的N运动改变成为N。形成N-dope碳层有效地改善了电子共同层。</w:t>
      </w:r>
    </w:p>
    <w:p>
      <w:pPr>
        <w:spacing w:before="0" w:after="200" w:lineRule="auto" w:line="276"/>
      </w:pPr>
      <w:r>
        <w:rPr>
          <w:b/>
        </w:rPr>
        <w:t xml:space="preserve">Abstract (EN): </w:t>
      </w:r>
      <w:r>
        <w:t>The increasing number of retired LiFePO4 batteries urgently requires efficient and environmentally friendly recycling methods. The primary causes of LiFePO4 battery failure can be attributed to lithium loss and the formation of Fe(III) phases. Therefore, the synergistic interaction between the green reagent citric acid (CA) and urea (UR) achieves low-temperature spontaneous defect repair and the construction of an N-doped carbon layer. Specifically, CA creates a reductive atmosphere that reduces Fe(III) to the Fe(II) phase, thereby eliminating Li-Fe anti-site defects. Meanwhile, the amino group (─NH2) in UR acts as a nitrogen source, enabling N-doping modification of the carbon layer on the surface of LiFePO4 particles. The formed N-doped carbon layer effectively improves the electronic conductivity and lithium-ion migration dynamics of regenerated LiFePO4 (R-LFP). Moreover, the strengthening of Fe-O and P─O bonds further increases the overall structural stability of R-LFP, resulting in its remarkable electrochemical performance. The R-LFP electrode material delivers 163 mAh/g specific capacity during the first discharge cycle at 0.1C and retains 93.5% of its initial capacity after 500 cycles at 1C. This economical and environmentally friendly recycling strategy provides a greatly promising solution for the sustainable recovery of lithium-ion batteries (LIBs).</w:t>
      </w:r>
    </w:p>
    <w:p>
      <w:pPr>
        <w:spacing w:before="120" w:after="120"/>
      </w:pPr>
      <w:r>
        <w:rPr>
          <w:sz w:val="18"/>
        </w:rPr>
        <w:t>——————————————————————————————————————————————————————————————————————</w:t>
      </w:r>
    </w:p>
    <w:p>
      <w:pPr>
        <w:spacing w:before="160" w:after="40" w:line="240" w:lineRule="auto"/>
      </w:pPr>
      <w:r>
        <w:rPr>
          <w:b/>
        </w:rPr>
        <w:t xml:space="preserve">[292] </w:t>
      </w:r>
      <w:hyperlink r:id="rId456">
        <w:r>
          <w:rPr>
            <w:color w:val="1155CC"/>
            <w:u w:val="single"/>
          </w:rPr>
          <w:t>[ASAP] Ni-P催化器的探测地摄测地Incognita:氢进化反应期间的外在探索</w:t>
        </w:r>
      </w:hyperlink>
    </w:p>
    <w:p>
      <w:pPr>
        <w:spacing w:before="0" w:after="80"/>
      </w:pPr>
      <w:r>
        <w:rPr>
          <w:i/>
          <w:sz w:val="20"/>
        </w:rPr>
        <w:t>EN: [ASAP] Probing Terra Incognita of Ni–P Catalysts: Operando Explorations during Hydrogen Evolution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2026-02-24 12:54:47+00:00</w:t>
      </w:r>
      <w:r>
        <w:t xml:space="preserve">    </w:t>
      </w:r>
      <w:r>
        <w:rPr>
          <w:b/>
        </w:rPr>
        <w:t xml:space="preserve">DOI: </w:t>
      </w:r>
      <w:hyperlink r:id="rId457">
        <w:r>
          <w:rPr>
            <w:color w:val="1155CC"/>
            <w:u w:val="single"/>
          </w:rPr>
          <w:t>10.1021/jacs.6c01756</w:t>
        </w:r>
      </w:hyperlink>
    </w:p>
    <w:p>
      <w:pPr>
        <w:spacing w:before="0" w:after="120"/>
      </w:pPr>
      <w:r>
        <w:rPr>
          <w:b/>
        </w:rPr>
        <w:t xml:space="preserve">Notes: </w:t>
      </w:r>
      <w:r>
        <w:t>abstract_source=openalex</w:t>
      </w:r>
    </w:p>
    <w:p>
      <w:pPr>
        <w:spacing w:before="0" w:after="80" w:lineRule="auto" w:line="276"/>
      </w:pPr>
      <w:r>
        <w:rPr>
          <w:b/>
        </w:rPr>
        <w:t xml:space="preserve">摘要（ZH）: </w:t>
      </w:r>
      <w:r>
        <w:t>我们开发了两种氮磷化物制备方法,允许对定义明确的散装系统进行Afforendo XXAS表面敏感研究。对于Ni K-edge XAS,一硝2P级纯度粉末被浸化成高密度的颗粒,并磨成用于放牧的粉尘。XAS. 硝化物在HER前受到酸电解酸作用的轻微影响,而应用的阴极潜力导致氮表面状态的减少,超出编成的Ni2P状态。计算完全H覆盖的Ni2P[0001]模型描述了Afferndo NiK-edge GIXAS频谱的差别。在关闭应用偏差后,硝化物点立即被氧化,在表面形成NiO。因此,在HER期间的活性阶段是共价N0,接近于外金属磷中的状态,而氧化物形成一氧化物的氧化物则形成ft。</w:t>
      </w:r>
    </w:p>
    <w:p>
      <w:pPr>
        <w:spacing w:before="0" w:after="200" w:lineRule="auto" w:line="276"/>
      </w:pPr>
      <w:r>
        <w:rPr>
          <w:b/>
        </w:rPr>
        <w:t xml:space="preserve">Abstract (EN): </w:t>
      </w:r>
      <w:r>
        <w:t>We have developed two Ni phosphide preparation methods allowing operando XAS surface-sensitive studies of well-defined bulk systems. For Ni K-edge XAS, a Ni2P phase-pure powder was sintered into a high-density pellet and polished for grazing incidence XAS. Ni sites were mildly affected by the acidic electrolyte prior to the HER, while the applied cathodic potential caused the reduction of Ni surface states beyond the states of as-prepared Ni2P. The computed fully H-covered Ni2P [0001] model describes the difference in the operando Ni K-edge GIXAS spectrum well. Upon turning the applied bias off, the Ni sites became immediately oxidized, forming NiO on the surface. Thus, the active phase during the HER is covalent Ni0 close to that in the intermetallic phosphides, and Ni2+ oxides formed after, and not during, the HER. For P K-edge XAS, Ni foam was phosphorized to form a thin Ni3P layer while preserving its high surface area. Upon immersion in the acidic electrolyte, the P sites underwent removal of P5+ phosphates and formed new P coordination, possibly due to the adsorption of protons from the electrolyte. These new P surface states were not affected by turning the cathodic current on and off as soon as the sample was immersed in the acidic electrolyte. However, the removal of the sample from the electrochemical cell and drying in air resulted in substantial depletion and oxidation of surface P. Echoing the observed Ni site chemistry during HER, XAS and XPS suggest that the in situ active P sites are different from the oxidized P states observed under ex situ conditions.</w:t>
      </w:r>
    </w:p>
    <w:p>
      <w:pPr>
        <w:spacing w:before="120" w:after="120"/>
      </w:pPr>
      <w:r>
        <w:rPr>
          <w:sz w:val="18"/>
        </w:rPr>
        <w:t>——————————————————————————————————————————————————————————————————————</w:t>
      </w:r>
    </w:p>
    <w:p>
      <w:pPr>
        <w:spacing w:before="160" w:after="40" w:line="240" w:lineRule="auto"/>
      </w:pPr>
      <w:r>
        <w:rPr>
          <w:b/>
        </w:rPr>
        <w:t xml:space="preserve">[293] </w:t>
      </w:r>
      <w:hyperlink r:id="rId458">
        <w:r>
          <w:rPr>
            <w:color w:val="1155CC"/>
            <w:u w:val="single"/>
          </w:rPr>
          <w:t>[ASAP]更正为“使用全碳四氯四氯四氯三烯中心:中继加速解析与斯特拉因释放功能化合并”</w:t>
        </w:r>
      </w:hyperlink>
    </w:p>
    <w:p>
      <w:pPr>
        <w:spacing w:before="0" w:after="80"/>
      </w:pPr>
      <w:r>
        <w:rPr>
          <w:i/>
          <w:sz w:val="20"/>
        </w:rPr>
        <w:t>EN: [ASAP] Correction to “Azetidines with All-Carbon Quaternary Centers: Merging Relay Catalysis with Strain Release Functionalization”</w:t>
      </w:r>
    </w:p>
    <w:p>
      <w:pPr>
        <w:spacing w:before="0" w:after="120"/>
      </w:pPr>
      <w:r>
        <w:rPr>
          <w:b/>
        </w:rPr>
        <w:t xml:space="preserve">Source: </w:t>
      </w:r>
      <w:r>
        <w:t>Journal of the American Chemical Society: Latest Articles (ACS Publications)</w:t>
      </w:r>
      <w:r>
        <w:t xml:space="preserve">    </w:t>
      </w:r>
      <w:r>
        <w:rPr>
          <w:b/>
        </w:rPr>
        <w:t xml:space="preserve">Pub date: </w:t>
      </w:r>
      <w:r>
        <w:t>2026-02-24 12:58:35+00:00</w:t>
      </w:r>
      <w:r>
        <w:t xml:space="preserve">    </w:t>
      </w:r>
      <w:r>
        <w:rPr>
          <w:b/>
        </w:rPr>
        <w:t xml:space="preserve">DOI: </w:t>
      </w:r>
      <w:hyperlink r:id="rId459">
        <w:r>
          <w:rPr>
            <w:color w:val="1155CC"/>
            <w:u w:val="single"/>
          </w:rPr>
          <w:t>10.1021/jacs.6c02114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460">
        <w:r>
          <w:rPr>
            <w:color w:val="1155CC"/>
            <w:u w:val="single"/>
          </w:rPr>
          <w:t>[ASAP]氧化物和碳酸碳加速加速二氧化碳电解中的铜不稳定</w:t>
        </w:r>
      </w:hyperlink>
    </w:p>
    <w:p>
      <w:pPr>
        <w:spacing w:before="0" w:after="80"/>
      </w:pPr>
      <w:r>
        <w:rPr>
          <w:i/>
          <w:sz w:val="20"/>
        </w:rPr>
        <w:t>EN: [ASAP] Oxides and Carbonates Accelerate Copper Instability in CO2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2026-02-24 13:38:12+00:00</w:t>
      </w:r>
      <w:r>
        <w:t xml:space="preserve">    </w:t>
      </w:r>
      <w:r>
        <w:rPr>
          <w:b/>
        </w:rPr>
        <w:t xml:space="preserve">DOI: </w:t>
      </w:r>
      <w:hyperlink r:id="rId461">
        <w:r>
          <w:rPr>
            <w:color w:val="1155CC"/>
            <w:u w:val="single"/>
          </w:rPr>
          <w:t>10.1021/jacs.5c21287</w:t>
        </w:r>
      </w:hyperlink>
    </w:p>
    <w:p>
      <w:pPr>
        <w:spacing w:before="0" w:after="120"/>
      </w:pPr>
      <w:r>
        <w:rPr>
          <w:b/>
        </w:rPr>
        <w:t xml:space="preserve">Notes: </w:t>
      </w:r>
      <w:r>
        <w:t>abstract_source=pubmed</w:t>
      </w:r>
    </w:p>
    <w:p>
      <w:pPr>
        <w:spacing w:before="0" w:after="80" w:lineRule="auto" w:line="276"/>
      </w:pPr>
      <w:r>
        <w:rPr>
          <w:b/>
        </w:rPr>
        <w:t xml:space="preserve">摘要（ZH）: </w:t>
      </w:r>
      <w:r>
        <w:t>电化学CO2减少反应(CO2RR)是促进从化石燃料能源系统向可再生系统过渡的关键化学变异因素之一。基于铜(Cu)的材料通过CO2, 独家催化多碳(C2+)产品的生产。然而,铜的操作不稳定性限制了长期性能。在这里,我们调查最初的Cu表面化学性质的影响,特别是氧化状态和碳酸盐形成,对Cu催化剂的结构和操作稳定性的影响,以及催化剂的重建动力学。我们把最先进的、定义明确的催化剂与准操作化学电化学液相传输电子显微镜(ec-LPTEM)以及电化学特征学ABO(e-C-LPTEM)结合起来。</w:t>
      </w:r>
    </w:p>
    <w:p>
      <w:pPr>
        <w:spacing w:before="0" w:after="200" w:lineRule="auto" w:line="276"/>
      </w:pPr>
      <w:r>
        <w:rPr>
          <w:b/>
        </w:rPr>
        <w:t xml:space="preserve">Abstract (EN): </w:t>
      </w:r>
      <w:r>
        <w:t>The electrochemical CO2 reduction reaction (CO2RR) is one of the key chemical transformations promoting the transition from fossil fuel-based energy systems to renewable systems. Copper (Cu)-based materials uniquely catalyze the production of multicarbon (C2+) products from CO2. Yet, copper operational instability limits long-term performance. Herein, we investigate the impact of the chemical nature of the initial Cu surface, particularly oxidation state and carbonate formation, on the structural and operational stability of Cu catalysts along with the reconstruction kinetics of the catalyst. We combine state-of-the-art well-defined catalysts with quasi-operando electrochemical liquid-phase transmission electron microscopy (ec-LPTEM) along with electrochemical characterization to learn about underlying differences. We demonstrate that catalysts with higher initial oxide content undergo faster structural reconstruction and suffer from faster operational deactivation. Interestingly, we find that Cu carbonates further exacerbate structural instability while also suppressing the CO2RR activity. Our results highlight the critical role of oxides and carbonates in dictating the reconstruction pathways and durability of Cu under CO2RR conditions, offering insights into tuning the Cu-based catalyst design for enhanced CO2RR stability and efficiency.</w:t>
      </w:r>
    </w:p>
    <w:p>
      <w:pPr>
        <w:spacing w:before="120" w:after="120"/>
      </w:pPr>
      <w:r>
        <w:rPr>
          <w:sz w:val="18"/>
        </w:rPr>
        <w:t>——————————————————————————————————————————————————————————————————————</w:t>
      </w:r>
    </w:p>
    <w:p>
      <w:pPr>
        <w:spacing w:before="160" w:after="40" w:line="240" w:lineRule="auto"/>
      </w:pPr>
      <w:r>
        <w:rPr>
          <w:b/>
        </w:rPr>
        <w:t xml:space="preserve">[295] </w:t>
      </w:r>
      <w:hyperlink r:id="rId462">
        <w:r>
          <w:rPr>
            <w:color w:val="1155CC"/>
            <w:u w:val="single"/>
          </w:rPr>
          <w:t>[ASAP] 一个通过精准测距宏形定位进行天花硬质硬化的神经神经修养的有空间固固、有先后顺序激活的DNA纳米抗体DNANanodevics</w:t>
        </w:r>
      </w:hyperlink>
    </w:p>
    <w:p>
      <w:pPr>
        <w:spacing w:before="0" w:after="80"/>
      </w:pPr>
      <w:r>
        <w:rPr>
          <w:i/>
          <w:sz w:val="20"/>
        </w:rPr>
        <w:t>EN: [ASAP] A Spatially Cued, Sequentially Activated DNA Nanodevice for Atherosclerosis Theranostics via Precise Targeting of Lesional Macrophages</w:t>
      </w:r>
    </w:p>
    <w:p>
      <w:pPr>
        <w:spacing w:before="0" w:after="120"/>
      </w:pPr>
      <w:r>
        <w:rPr>
          <w:b/>
        </w:rPr>
        <w:t xml:space="preserve">Source: </w:t>
      </w:r>
      <w:r>
        <w:t>Journal of the American Chemical Society: Latest Articles (ACS Publications)</w:t>
      </w:r>
      <w:r>
        <w:t xml:space="preserve">    </w:t>
      </w:r>
      <w:r>
        <w:rPr>
          <w:b/>
        </w:rPr>
        <w:t xml:space="preserve">Pub date: </w:t>
      </w:r>
      <w:r>
        <w:t>2026-02-24 13:54:10+00:00</w:t>
      </w:r>
      <w:r>
        <w:t xml:space="preserve">    </w:t>
      </w:r>
      <w:r>
        <w:rPr>
          <w:b/>
        </w:rPr>
        <w:t xml:space="preserve">DOI: </w:t>
      </w:r>
      <w:hyperlink r:id="rId463">
        <w:r>
          <w:rPr>
            <w:color w:val="1155CC"/>
            <w:u w:val="single"/>
          </w:rPr>
          <w:t>10.1021/jacs.5c19539</w:t>
        </w:r>
      </w:hyperlink>
    </w:p>
    <w:p>
      <w:pPr>
        <w:spacing w:before="0" w:after="120"/>
      </w:pPr>
      <w:r>
        <w:rPr>
          <w:b/>
        </w:rPr>
        <w:t xml:space="preserve">Notes: </w:t>
      </w:r>
      <w:r>
        <w:t>abstract_source=pubmed</w:t>
      </w:r>
    </w:p>
    <w:p>
      <w:pPr>
        <w:spacing w:before="0" w:after="80" w:lineRule="auto" w:line="276"/>
      </w:pPr>
      <w:r>
        <w:rPr>
          <w:b/>
        </w:rPr>
        <w:t xml:space="preserve">摘要（ZH）: </w:t>
      </w:r>
      <w:r>
        <w:t>心血管疾病的主要致病因素 -- -- 血管硬化(AS)是心血管疾病的主要致病因素,它涉及巨型植物,是其病理产生的关键驱动因素。发展宏观定向疗法,有效减轻ASAS,同时尽量减少系统效应,这仍然是一个挑战。在这里,我们展示了一种智能的AS神经学方法,它使用精确的超时反应适应的DNA纳米结构(ASfindaCure )来进行精确的超时反应。为了精确地针对有色源的巨型动物,我们利用一种空间独特的表达模式,包括一种膜蛋白(SIRPα)、一种微环境提示(thrombin)和两个细胞内生物标志(APE1和微RNA-155)。</w:t>
      </w:r>
    </w:p>
    <w:p>
      <w:pPr>
        <w:spacing w:before="0" w:after="200" w:lineRule="auto" w:line="276"/>
      </w:pPr>
      <w:r>
        <w:rPr>
          <w:b/>
        </w:rPr>
        <w:t xml:space="preserve">Abstract (EN): </w:t>
      </w:r>
      <w:r>
        <w:t>Atherosclerosis (AS), a major contributor to cardiovascular diseases, involves macrophages as a pivotal driver of its pathogenesis. Developing macrophage-targeted therapies that effectively mitigate AS while minimizing systemic effects remains a challenge. Here, we present an intelligent theranostic method for AS using an accurate spatiotemporal-specifically responsive DNA nanostructure (ASfindaCure). To precisely target atherogenic macrophages, we leverage a spatially distinctive expression pattern comprising a membrane protein (SIRPα), a microenvironmental cue (thrombin), and two intracellular biomarkers (APE1 and microRNA-155). By harnessing structural and dynamic DNA nanotechnologies, ASfindaCure temporally orchestrates recognition events for these spatially distributed biomarkers via programmable reactive ion cascades. Utilizing fluorescence and photoacoustic dual-modality imaging, we demonstrate that ASfindaCure accurately targets AS-causing macrophages, providing a noninvasive imaging method to assess AS progression. In both cellular and mouse models, ASfindaCure demonstrated effective delivery of microRNA-33 antisense oligonucleotides to targeted cells, significantly mitigating plaque progression and inflammation. This intelligent theranostic nanoplatform holds great promise for the development of next-generation treatments for AS and has potential applications in other disease conditions.</w:t>
      </w:r>
    </w:p>
    <w:p>
      <w:pPr>
        <w:spacing w:before="120" w:after="120"/>
      </w:pPr>
      <w:r>
        <w:rPr>
          <w:sz w:val="18"/>
        </w:rPr>
        <w:t>——————————————————————————————————————————————————————————————————————</w:t>
      </w:r>
    </w:p>
    <w:p>
      <w:pPr>
        <w:spacing w:before="160" w:after="40" w:line="240" w:lineRule="auto"/>
      </w:pPr>
      <w:r>
        <w:rPr>
          <w:b/>
        </w:rPr>
        <w:t xml:space="preserve">[296] </w:t>
      </w:r>
      <w:hyperlink r:id="rId464">
        <w:r>
          <w:rPr>
            <w:color w:val="1155CC"/>
            <w:u w:val="single"/>
          </w:rPr>
          <w:t>[ASAP] 利用元素硫化而实现的聚苯乙烯的太阳能循环利用</w:t>
        </w:r>
      </w:hyperlink>
    </w:p>
    <w:p>
      <w:pPr>
        <w:spacing w:before="0" w:after="80"/>
      </w:pPr>
      <w:r>
        <w:rPr>
          <w:i/>
          <w:sz w:val="20"/>
        </w:rPr>
        <w:t>EN: [ASAP] Solar-Driven Upcycling of Polystyrene Enabled by Elemental Sulfur</w:t>
      </w:r>
    </w:p>
    <w:p>
      <w:pPr>
        <w:spacing w:before="0" w:after="120"/>
      </w:pPr>
      <w:r>
        <w:rPr>
          <w:b/>
        </w:rPr>
        <w:t xml:space="preserve">Source: </w:t>
      </w:r>
      <w:r>
        <w:t>Journal of the American Chemical Society: Latest Articles (ACS Publications)</w:t>
      </w:r>
      <w:r>
        <w:t xml:space="preserve">    </w:t>
      </w:r>
      <w:r>
        <w:rPr>
          <w:b/>
        </w:rPr>
        <w:t xml:space="preserve">Pub date: </w:t>
      </w:r>
      <w:r>
        <w:t>2026-02-24 14:07:51+00:00</w:t>
      </w:r>
      <w:r>
        <w:t xml:space="preserve">    </w:t>
      </w:r>
      <w:r>
        <w:rPr>
          <w:b/>
        </w:rPr>
        <w:t xml:space="preserve">DOI: </w:t>
      </w:r>
      <w:hyperlink r:id="rId465">
        <w:r>
          <w:rPr>
            <w:color w:val="1155CC"/>
            <w:u w:val="single"/>
          </w:rPr>
          <w:t>10.1021/jacs.6c01318</w:t>
        </w:r>
      </w:hyperlink>
    </w:p>
    <w:p>
      <w:pPr>
        <w:spacing w:before="0" w:after="120"/>
      </w:pPr>
      <w:r>
        <w:rPr>
          <w:b/>
        </w:rPr>
        <w:t xml:space="preserve">Notes: </w:t>
      </w:r>
      <w:r>
        <w:t>abstract_source=openalex</w:t>
      </w:r>
    </w:p>
    <w:p>
      <w:pPr>
        <w:spacing w:before="0" w:after="80" w:lineRule="auto" w:line="276"/>
      </w:pPr>
      <w:r>
        <w:rPr>
          <w:b/>
        </w:rPr>
        <w:t xml:space="preserve">摘要（ZH）: </w:t>
      </w:r>
      <w:r>
        <w:t>聚苯乙烯(PS)是使用最为广泛的塑料之一,其显著的低回收率促使人们考虑废物的化学循环 PS。 已经对氧化方法进行了广泛的调查,利用分子氧将聚苯乙烯循环到氧化产品中。硫(一种氧的组同质物)很少在PS循环中被利用。此外,元素硫目前面临着一个年度生产过剩的问题。我们在这里报告了利用太阳能作为动力将聚苯乙烯和元素硫转成2,4-二苯芬和1,3,5-三苯苯苯苯苯并用的情况。这一战略的实用性表现是,在无溶剂、环境空气条件下迅速而有效地转换各种消费后PS塑料。</w:t>
      </w:r>
    </w:p>
    <w:p>
      <w:pPr>
        <w:spacing w:before="0" w:after="200" w:lineRule="auto" w:line="276"/>
      </w:pPr>
      <w:r>
        <w:rPr>
          <w:b/>
        </w:rPr>
        <w:t xml:space="preserve">Abstract (EN): </w:t>
      </w:r>
      <w:r>
        <w:t>Polystyrene (PS) is one of the most widely used plastics, and its notably low recycling rate has prompted the consideration of chemical upcycling of waste PS. Oxidative methodologies have been extensively investigated, employing molecular oxygen to upcycle PS into oxygenated products. Sulfur, a group congener of oxygen, has rarely been exploited in PS upcycling. Furthermore, elemental sulfur currently confronts an issue of an annual production surplus. Here, we report the coupcycling of PS and elemental sulfur into 2,4-diphenylthiophene and 1,3,5-triphenylbenzene by leveraging solar energy as the driving force. The practicality of this strategy is demonstrated by the rapid and efficient conversion of various postconsumer waste PS plastics under solvent-free, ambient air conditions. The photothermal effect of elemental sulfur and the generation of sulfur radicals at elevated temperatures are critical to enable this transformation. Experimental and computational studies of dimeric and tetrameric PS model compounds show that sulfur-radical-mediated hydrogen atom abstraction is the key to sustaining the reaction. These findings provide valuable insights into the photothermal behavior and reaction characteristics of elemental sulfur and hold significant implications for polymer conversion.</w:t>
      </w:r>
    </w:p>
    <w:p>
      <w:pPr>
        <w:spacing w:before="120" w:after="120"/>
      </w:pPr>
      <w:r>
        <w:rPr>
          <w:sz w:val="18"/>
        </w:rPr>
        <w:t>——————————————————————————————————————————————————————————————————————</w:t>
      </w:r>
    </w:p>
    <w:p>
      <w:pPr>
        <w:spacing w:before="160" w:after="40" w:line="240" w:lineRule="auto"/>
      </w:pPr>
      <w:r>
        <w:rPr>
          <w:b/>
        </w:rPr>
        <w:t xml:space="preserve">[297] </w:t>
      </w:r>
      <w:hyperlink r:id="rId466">
        <w:r>
          <w:rPr>
            <w:color w:val="1155CC"/>
            <w:u w:val="single"/>
          </w:rPr>
          <w:t>[ASAP] 原子散散 -- -- 铝 -- -- 南极醇的甲烷的低温非氧化性非氧化叠加</w:t>
        </w:r>
      </w:hyperlink>
    </w:p>
    <w:p>
      <w:pPr>
        <w:spacing w:before="0" w:after="80"/>
      </w:pPr>
      <w:r>
        <w:rPr>
          <w:i/>
          <w:sz w:val="20"/>
        </w:rPr>
        <w:t>EN: [ASAP] Low-Temperature Non-Oxidative Coupling of Methane on Atomically Dispersed Titanium–Aluminum–Boron Nanopowder</w:t>
      </w:r>
    </w:p>
    <w:p>
      <w:pPr>
        <w:spacing w:before="0" w:after="120"/>
      </w:pPr>
      <w:r>
        <w:rPr>
          <w:b/>
        </w:rPr>
        <w:t xml:space="preserve">Source: </w:t>
      </w:r>
      <w:r>
        <w:t>Journal of the American Chemical Society: Latest Articles (ACS Publications)</w:t>
      </w:r>
      <w:r>
        <w:t xml:space="preserve">    </w:t>
      </w:r>
      <w:r>
        <w:rPr>
          <w:b/>
        </w:rPr>
        <w:t xml:space="preserve">Pub date: </w:t>
      </w:r>
      <w:r>
        <w:t>2026-02-24 14:23:58+00:00</w:t>
      </w:r>
      <w:r>
        <w:t xml:space="preserve">    </w:t>
      </w:r>
      <w:r>
        <w:rPr>
          <w:b/>
        </w:rPr>
        <w:t xml:space="preserve">DOI: </w:t>
      </w:r>
      <w:hyperlink r:id="rId467">
        <w:r>
          <w:rPr>
            <w:color w:val="1155CC"/>
            <w:u w:val="single"/>
          </w:rPr>
          <w:t>10.1021/jacs.6c01503</w:t>
        </w:r>
      </w:hyperlink>
    </w:p>
    <w:p>
      <w:pPr>
        <w:spacing w:before="0" w:after="120"/>
      </w:pPr>
      <w:r>
        <w:rPr>
          <w:b/>
        </w:rPr>
        <w:t xml:space="preserve">Notes: </w:t>
      </w:r>
      <w:r>
        <w:t>abstract_source=openalex</w:t>
      </w:r>
    </w:p>
    <w:p>
      <w:pPr>
        <w:spacing w:before="0" w:after="80" w:lineRule="auto" w:line="276"/>
      </w:pPr>
      <w:r>
        <w:rPr>
          <w:b/>
        </w:rPr>
        <w:t xml:space="preserve">摘要（ZH）: </w:t>
      </w:r>
      <w:r>
        <w:t>甲烷的非氧化性结合是多元催化过程中的长期挑战,因为它需要激活碳-氢(C-H)联结、控制碳-碳(C-C)联结和有效氢管理而不依赖氧化剂。 在这里,我们报告甲烷的低温C-H活化和非氧化性C-C结合与原子分散的钛-铝-boron纳米粉末(Ti-Al-BNP)使用催化微反应器结合同步器单光化单光化反射时的飞行质光谱测量。 软离子化、原地实验方法检测出在单体条件下的新生反应产品和激进中间体,包括甲基基、C2碳氢化合物和分子氢。 甲烷活化已经开始。</w:t>
      </w:r>
    </w:p>
    <w:p>
      <w:pPr>
        <w:spacing w:before="0" w:after="200" w:lineRule="auto" w:line="276"/>
      </w:pPr>
      <w:r>
        <w:rPr>
          <w:b/>
        </w:rPr>
        <w:t xml:space="preserve">Abstract (EN): </w:t>
      </w:r>
      <w:r>
        <w:t>Nonoxidative coupling of methane represents a long-standing challenge in heterogeneous catalysis, as it requires activation of the carbon–hydrogen (C–H) bond, controlled carbon–carbon (C–C) bond formation, and effective hydrogen management without relying on oxidants. Here, we report a low-temperature C–H activation and nonoxidative C–C coupling of methane over atomically dispersed titanium–aluminum–boron nanopowder (Ti–Al–B NP) utilizing a catalytic microreactor coupled to synchrotron single-photon photoionization reflectron time-of-flight mass spectrometry. The soft-ionization, in situ probing method detects the nascent reaction products and radical intermediates under operando conditions, including methyl radical, C2 hydrocarbons, and molecular hydrogen. Methane activation is initiated at 800 K, approximately 700 K below the gas-phase decomposition threshold, leading predominantly to ethylene formation with selectivity reaching up to 78% among the C–C coupled products. Electronic structure calculations on model Ti–Al–B clusters elucidate a cooperative catalytic mechanism in which titanium enables methane adsorption and C–H activation, boron acts as a reversible hydrogen reservoir, and aluminum stabilizes methylene intermediates, thereby facilitating selective C–C coupling and dehydrogenation. These findings establish a distinct catalyst architecture for nonoxidative methane coupling based on earth abundant elements alternative to expensive platinum and other noble metal-containing conventional catalysts and provide molecular-level design principles for controlling dehydrogenation and subsequent C–C bond formation in challenging light alkane conversions.</w:t>
      </w:r>
    </w:p>
    <w:p>
      <w:pPr>
        <w:spacing w:before="120" w:after="120"/>
      </w:pPr>
      <w:r>
        <w:rPr>
          <w:sz w:val="18"/>
        </w:rPr>
        <w:t>——————————————————————————————————————————————————————————————————————</w:t>
      </w:r>
    </w:p>
    <w:p>
      <w:pPr>
        <w:spacing w:before="160" w:after="40" w:line="240" w:lineRule="auto"/>
      </w:pPr>
      <w:r>
        <w:rPr>
          <w:b/>
        </w:rPr>
        <w:t xml:space="preserve">[298] </w:t>
      </w:r>
      <w:hyperlink r:id="rId468">
        <w:r>
          <w:rPr>
            <w:color w:val="1155CC"/>
            <w:u w:val="single"/>
          </w:rPr>
          <w:t>[ASAP] 空间选择性锂在锂金属阳极中的抛射和划线</w:t>
        </w:r>
      </w:hyperlink>
    </w:p>
    <w:p>
      <w:pPr>
        <w:spacing w:before="0" w:after="80"/>
      </w:pPr>
      <w:r>
        <w:rPr>
          <w:i/>
          <w:sz w:val="20"/>
        </w:rPr>
        <w:t>EN: [ASAP] Spatially Selective Lithium Plating and Stripping in Lithium Metal Anodes</w:t>
      </w:r>
    </w:p>
    <w:p>
      <w:pPr>
        <w:spacing w:before="0" w:after="120"/>
      </w:pPr>
      <w:r>
        <w:rPr>
          <w:b/>
        </w:rPr>
        <w:t xml:space="preserve">Source: </w:t>
      </w:r>
      <w:r>
        <w:t>ACS Energy Letters: Latest Articles (ACS Publications)</w:t>
      </w:r>
      <w:r>
        <w:t xml:space="preserve">    </w:t>
      </w:r>
      <w:r>
        <w:rPr>
          <w:b/>
        </w:rPr>
        <w:t xml:space="preserve">Pub date: </w:t>
      </w:r>
      <w:r>
        <w:t>2026-02-24 14:37:46+00:00</w:t>
      </w:r>
      <w:r>
        <w:t xml:space="preserve">    </w:t>
      </w:r>
      <w:r>
        <w:rPr>
          <w:b/>
        </w:rPr>
        <w:t xml:space="preserve">DOI: </w:t>
      </w:r>
      <w:hyperlink r:id="rId469">
        <w:r>
          <w:rPr>
            <w:color w:val="1155CC"/>
            <w:u w:val="single"/>
          </w:rPr>
          <w:t>10.1021/acsenergylett.6c00122</w:t>
        </w:r>
      </w:hyperlink>
    </w:p>
    <w:p>
      <w:pPr>
        <w:spacing w:before="0" w:after="120"/>
      </w:pPr>
      <w:r>
        <w:rPr>
          <w:b/>
        </w:rPr>
        <w:t xml:space="preserve">Notes: </w:t>
      </w:r>
      <w:r>
        <w:t>abstract_source=openalex</w:t>
      </w:r>
    </w:p>
    <w:p>
      <w:pPr>
        <w:spacing w:before="0" w:after="80" w:lineRule="auto" w:line="276"/>
      </w:pPr>
      <w:r>
        <w:rPr>
          <w:b/>
        </w:rPr>
        <w:t xml:space="preserve">摘要（ZH）: </w:t>
      </w:r>
      <w:r>
        <w:t>对锂(Li)电镀和剥离的机械性理解对于实际部署李金属电池(LMBs)至关重要,但大多数现场研究都依赖于有限的观察领域或平均空间空间,掩盖了当地的异质性。在这里,在原电化学AFM(EC-AFFM)现场,用电化学AFM(EC-AFM)跟踪同一区域,在本地电解技术的三个电镀/剥离周期中跟踪同一区域,解决几微米尺度的异质性。对斜坡、高度变化(h)和当地孔隙度进行空间对齐的测量,揭示了明显的关联性:与高斜坡、多孔区域相连接的面积很小的域。这些观测建立了一个现场选择性的去除机制,在多孔、高斜坡域进行剥除,产生地表下的空隙和“死李”的空隙,而“死李”在一段时间内只能部分重新填充。</w:t>
      </w:r>
    </w:p>
    <w:p>
      <w:pPr>
        <w:spacing w:before="0" w:after="200" w:lineRule="auto" w:line="276"/>
      </w:pPr>
      <w:r>
        <w:rPr>
          <w:b/>
        </w:rPr>
        <w:t xml:space="preserve">Abstract (EN): </w:t>
      </w:r>
      <w:r>
        <w:t>A mechanistic understanding of lithium (Li) plating and stripping is essential for the practical deployment of Li metal batteries (LMBs), yet most in situ studies rely on limited fields of view or spatial averaging, obscuring local heterogeneity. Here, in situ electrochemical AFM (EC-AFM) is used to track the same region over three plating/stripping cycles in the native electrolyte, resolving few-micrometer-scale heterogeneity. Spatially aligned measurements of slope, height change (Δh), and local porosity reveal clear correlations: domains with small |Δh| colocalize with high-slope, porous regions. These observations establish a site-selective voiding mechanism in which stripping at porous, high-slope domains generates subsurface voids and “dead” Li that are only partially refilled during subsequent plating, whereas dense, low-slope domains undergo larger |Δh|. This correlative framework demonstrates that the initial plating morphology critically governs the spatial heterogeneity of void formation during stripping, providing a mechanistic basis for the rational design of Li metal anodes.</w:t>
      </w:r>
    </w:p>
    <w:p>
      <w:pPr>
        <w:spacing w:before="120" w:after="120"/>
      </w:pPr>
      <w:r>
        <w:rPr>
          <w:sz w:val="18"/>
        </w:rPr>
        <w:t>——————————————————————————————————————————————————————————————————————</w:t>
      </w:r>
    </w:p>
    <w:p>
      <w:pPr>
        <w:spacing w:before="160" w:after="40" w:line="240" w:lineRule="auto"/>
      </w:pPr>
      <w:r>
        <w:rPr>
          <w:b/>
        </w:rPr>
        <w:t xml:space="preserve">[299] </w:t>
      </w:r>
      <w:hyperlink r:id="rId470">
        <w:r>
          <w:rPr>
            <w:color w:val="1155CC"/>
            <w:u w:val="single"/>
          </w:rPr>
          <w:t>[ASAP] 安全高效的液态液态-半六甲基甲胺酮纳米粒子,用于mRNA的交付和基础编辑</w:t>
        </w:r>
      </w:hyperlink>
    </w:p>
    <w:p>
      <w:pPr>
        <w:spacing w:before="0" w:after="80"/>
      </w:pPr>
      <w:r>
        <w:rPr>
          <w:i/>
          <w:sz w:val="20"/>
        </w:rPr>
        <w:t>EN: [ASAP] Safe and Highly Efficient Lipid-Pro-Dexamethasone Nanoparticles for mRNA Delivery and Base Editing</w:t>
      </w:r>
    </w:p>
    <w:p>
      <w:pPr>
        <w:spacing w:before="0" w:after="120"/>
      </w:pPr>
      <w:r>
        <w:rPr>
          <w:b/>
        </w:rPr>
        <w:t xml:space="preserve">Source: </w:t>
      </w:r>
      <w:r>
        <w:t>Journal of the American Chemical Society: Latest Articles (ACS Publications)</w:t>
      </w:r>
      <w:r>
        <w:t xml:space="preserve">    </w:t>
      </w:r>
      <w:r>
        <w:rPr>
          <w:b/>
        </w:rPr>
        <w:t xml:space="preserve">Pub date: </w:t>
      </w:r>
      <w:r>
        <w:t>2026-02-24 15:19:39+00:00</w:t>
      </w:r>
      <w:r>
        <w:t xml:space="preserve">    </w:t>
      </w:r>
      <w:r>
        <w:rPr>
          <w:b/>
        </w:rPr>
        <w:t xml:space="preserve">DOI: </w:t>
      </w:r>
      <w:hyperlink r:id="rId471">
        <w:r>
          <w:rPr>
            <w:color w:val="1155CC"/>
            <w:u w:val="single"/>
          </w:rPr>
          <w:t>10.1021/jacs.6c01708</w:t>
        </w:r>
      </w:hyperlink>
    </w:p>
    <w:p>
      <w:pPr>
        <w:spacing w:before="0" w:after="120"/>
      </w:pPr>
      <w:r>
        <w:rPr>
          <w:b/>
        </w:rPr>
        <w:t xml:space="preserve">Notes: </w:t>
      </w:r>
      <w:r>
        <w:t>abstract_source=openalex</w:t>
      </w:r>
    </w:p>
    <w:p>
      <w:pPr>
        <w:spacing w:before="0" w:after="80" w:lineRule="auto" w:line="276"/>
      </w:pPr>
      <w:r>
        <w:rPr>
          <w:b/>
        </w:rPr>
        <w:t xml:space="preserve">摘要（ZH）: </w:t>
      </w:r>
      <w:r>
        <w:t>MRNA脂纳米粒子(LNPs)的内在免疫力对其在疾病治疗中的应用构成重大挑战,在这项研究中,我们开发了一系列创新的抗毒素(DEX)促进可溶药物脂(DPILs),以满足安全有效地交付MRNA的需要,从而建立了安全和高效的利皮-pro-dexamethasone(SHIELD)LNP平台。铅配方DEX-SPM-CP10 SHIELD LNP不仅显著降低了多种活性细胞素的水平,而且实现了与林业发展局批准的SMM-102 LNP相似的MRNA交付效率。此外,SHIELD平台展示了普遍性,将DPLs的具体比率纳入针对不同器官(如肝脏、肺、脾脏、肺脏、肺脏等)的各种LNPPSPs。</w:t>
      </w:r>
    </w:p>
    <w:p>
      <w:pPr>
        <w:spacing w:before="0" w:after="200" w:lineRule="auto" w:line="276"/>
      </w:pPr>
      <w:r>
        <w:rPr>
          <w:b/>
        </w:rPr>
        <w:t xml:space="preserve">Abstract (EN): </w:t>
      </w:r>
      <w:r>
        <w:t>The inherent immunogenicity of mRNA lipid nanoparticles (LNPs) poses a major challenge to their application in disease treatment. In this study, we developed a series of innovative dexamethasone (DEX) prodrug ionizable lipids (DPILs) to address the need for safe and effective mRNA delivery, leading to the establishment of the Safe and Highly Efficient Lipid-pro-dexamethasone (SHIELD) LNP platform. The lead formulation, DEX-SPM-CP10 SHIELD LNP, not only markedly decreased the levels of multiple proinflammatory cytokines but also achieved mRNA delivery efficiency comparable to that of the FDA-approved SM-102 LNP. Furthermore, the SHIELD platform demonstrated universality, as incorporating specific ratios of DPILs into various LNPs targeting different organs (such as the liver, lungs, spleen, and pancreas) led to notable reductions in inflammatory responses and enhancements in mRNA expression, highlighting its superiority over strategies that incorporate free DEX. Subsequently, we investigated its application in gene editing therapy by codelivering ABEmax mRNA and sgRNA to edit the EGFP reporter gene and endogenous PCSK9 gene, as well as in protein replacement therapy through multiple injections of mRNA-SHIELD LNPs. All of these results demonstrated excellent delivery efficacy with minimal immunogenicity, fully illustrating the therapeutic potential of this platform. Taken together, the SHIELD platform offers safe and efficient mRNA delivery and has the potential to expand the therapeutic applications of mRNA-based therapies.</w:t>
      </w:r>
    </w:p>
    <w:p>
      <w:pPr>
        <w:spacing w:before="120" w:after="120"/>
      </w:pPr>
      <w:r>
        <w:rPr>
          <w:sz w:val="18"/>
        </w:rPr>
        <w:t>——————————————————————————————————————————————————————————————————————</w:t>
      </w:r>
    </w:p>
    <w:p>
      <w:pPr>
        <w:spacing w:before="160" w:after="40" w:line="240" w:lineRule="auto"/>
      </w:pPr>
      <w:r>
        <w:rPr>
          <w:b/>
        </w:rPr>
        <w:t xml:space="preserve">[300] </w:t>
      </w:r>
      <w:hyperlink r:id="rId472">
        <w:r>
          <w:rPr>
            <w:color w:val="1155CC"/>
            <w:u w:val="single"/>
          </w:rPr>
          <w:t>[ASAP]更正为“古典计算机和量子计算机的多重嵌入和碎片化方法:从模型系统到现实应用”</w:t>
        </w:r>
      </w:hyperlink>
    </w:p>
    <w:p>
      <w:pPr>
        <w:spacing w:before="0" w:after="80"/>
      </w:pPr>
      <w:r>
        <w:rPr>
          <w:i/>
          <w:sz w:val="20"/>
        </w:rPr>
        <w:t>EN: [ASAP] Correction to “Multireference Embedding and Fragmentation Methods for Classical and Quantum Computers: From Model Systems to Realistic Applications”</w:t>
      </w:r>
    </w:p>
    <w:p>
      <w:pPr>
        <w:spacing w:before="0" w:after="120"/>
      </w:pPr>
      <w:r>
        <w:rPr>
          <w:b/>
        </w:rPr>
        <w:t xml:space="preserve">Source: </w:t>
      </w:r>
      <w:r>
        <w:t>Chemical Reviews: Latest Articles (ACS Publications)</w:t>
      </w:r>
      <w:r>
        <w:t xml:space="preserve">    </w:t>
      </w:r>
      <w:r>
        <w:rPr>
          <w:b/>
        </w:rPr>
        <w:t xml:space="preserve">Pub date: </w:t>
      </w:r>
      <w:r>
        <w:t>2026-02-24 16:01:55+00:00</w:t>
      </w:r>
      <w:r>
        <w:t xml:space="preserve">    </w:t>
      </w:r>
      <w:r>
        <w:rPr>
          <w:b/>
        </w:rPr>
        <w:t xml:space="preserve">DOI: </w:t>
      </w:r>
      <w:hyperlink r:id="rId473">
        <w:r>
          <w:rPr>
            <w:color w:val="1155CC"/>
            <w:u w:val="single"/>
          </w:rPr>
          <w:t>10.1021/acs.chemrev.6c00071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[301] </w:t>
      </w:r>
      <w:hyperlink r:id="rId474">
        <w:r>
          <w:rPr>
            <w:color w:val="1155CC"/>
            <w:u w:val="single"/>
          </w:rPr>
          <w:t>[ASAP] 在快速热电流下,在宽苯并加普 Quasi-2D Perovskites</w:t>
        </w:r>
      </w:hyperlink>
    </w:p>
    <w:p>
      <w:pPr>
        <w:spacing w:before="0" w:after="80"/>
      </w:pPr>
      <w:r>
        <w:rPr>
          <w:i/>
          <w:sz w:val="20"/>
        </w:rPr>
        <w:t>EN: [ASAP] Halide Segregation in Wide-Bandgap Quasi-2D Perovskites under Rapid Thermal Cycling</w:t>
      </w:r>
    </w:p>
    <w:p>
      <w:pPr>
        <w:spacing w:before="0" w:after="120"/>
      </w:pPr>
      <w:r>
        <w:rPr>
          <w:b/>
        </w:rPr>
        <w:t xml:space="preserve">Source: </w:t>
      </w:r>
      <w:r>
        <w:t>ACS Energy Letters: Latest Articles (ACS Publications)</w:t>
      </w:r>
      <w:r>
        <w:t xml:space="preserve">    </w:t>
      </w:r>
      <w:r>
        <w:rPr>
          <w:b/>
        </w:rPr>
        <w:t xml:space="preserve">Pub date: </w:t>
      </w:r>
      <w:r>
        <w:t>2026-02-24 16:05:08+00:00</w:t>
      </w:r>
      <w:r>
        <w:t xml:space="preserve">    </w:t>
      </w:r>
      <w:r>
        <w:rPr>
          <w:b/>
        </w:rPr>
        <w:t xml:space="preserve">DOI: </w:t>
      </w:r>
      <w:hyperlink r:id="rId475">
        <w:r>
          <w:rPr>
            <w:color w:val="1155CC"/>
            <w:u w:val="single"/>
          </w:rPr>
          <w:t>10.1021/acsenergylett.6c00094</w:t>
        </w:r>
      </w:hyperlink>
    </w:p>
    <w:p>
      <w:pPr>
        <w:spacing w:before="0" w:after="120"/>
      </w:pPr>
      <w:r>
        <w:rPr>
          <w:b/>
        </w:rPr>
        <w:t xml:space="preserve">Notes: </w:t>
      </w:r>
      <w:r>
        <w:t>abstract_source=openalex</w:t>
      </w:r>
    </w:p>
    <w:p>
      <w:pPr>
        <w:spacing w:before="0" w:after="80" w:lineRule="auto" w:line="276"/>
      </w:pPr>
      <w:r>
        <w:rPr>
          <w:b/>
        </w:rPr>
        <w:t xml:space="preserve">摘要（ZH）: </w:t>
      </w:r>
      <w:r>
        <w:t>低度活性活性活性活性活性活性活性活性活性活性活性活性活性活性活性活性活性活性活性活性活性活性活性活性活性活性活性强的热周期稳定性的影响仍然不为人所知。在这里,我们调查了两个具有代表性的有机空间机体( butylammonium(BA)和1,4-苯二苯二甲基胺(PDMA))对WBG光性活性活性活性活性活性活性活性活性活性活性活性活性活性活性活性活性活性活性活性活性(n = 4, 1.75 eV)的稳定性的影响,这些活性活性活性活性活性活性活性活性活性活性活性活性活性活性活性活性活性活性活性活性活性活性活性活性活性活性活性活性活性活性活性活性活性活性活性活性活性活性活性</w:t>
      </w:r>
    </w:p>
    <w:p>
      <w:pPr>
        <w:spacing w:before="0" w:after="200" w:lineRule="auto" w:line="276"/>
      </w:pPr>
      <w:r>
        <w:rPr>
          <w:b/>
        </w:rPr>
        <w:t xml:space="preserve">Abstract (EN): </w:t>
      </w:r>
      <w:r>
        <w:t>Wide-bandgap (WBG) perovskites are susceptible to ion migration and phase separation under external stressors. Reduced-dimensional perovskites (RDPs) have emerged as alternatives to 3D perovskites for improving stability. However, the influence of spacer cations on the thermal cycling stability of WBG RDPs remains poorly understood. Here, we investigate the effect of two representative organic spacers, butylammonium (BA) and 1,4-phenylenedimethylammonium (PDMA), on the stability of WBG RDPs (n = 4, ∼1.75 eV) under light illumination and thermal cycling using in situ grazing-incidence X-ray wide-angle scattering (GIWAXS) and photoluminescence (PL). In situ GIWAXS and PL reveal that RDPs with BA+ undergo phase separation and pronounced structural degradation under combined stress, particularly along the in-plane direction, whereas RDPs with PDMA2+ demonstrate better stability. These results indicate that bulky organic cations influence the thermal and structural stabilities of WBG RDPs, providing design guidelines for stable perovskite absorbers in tandem solar cells.</w:t>
      </w:r>
    </w:p>
    <w:p>
      <w:pPr>
        <w:spacing w:before="120" w:after="120"/>
      </w:pPr>
      <w:r>
        <w:rPr>
          <w:sz w:val="18"/>
        </w:rPr>
        <w:t>——————————————————————————————————————————————————————————————————————</w:t>
      </w:r>
    </w:p>
    <w:p>
      <w:pPr>
        <w:spacing w:before="160" w:after="40" w:line="240" w:lineRule="auto"/>
      </w:pPr>
      <w:r>
        <w:rPr>
          <w:b/>
        </w:rPr>
        <w:t xml:space="preserve">[302] </w:t>
      </w:r>
      <w:hyperlink r:id="rId476">
        <w:r>
          <w:rPr>
            <w:color w:val="1155CC"/>
            <w:u w:val="single"/>
          </w:rPr>
          <w:t>[ASAP] 固态电池的热稳定景观</w:t>
        </w:r>
      </w:hyperlink>
    </w:p>
    <w:p>
      <w:pPr>
        <w:spacing w:before="0" w:after="80"/>
      </w:pPr>
      <w:r>
        <w:rPr>
          <w:i/>
          <w:sz w:val="20"/>
        </w:rPr>
        <w:t>EN: [ASAP] Thermal Stability Landscape of Solid-State Batteries</w:t>
      </w:r>
    </w:p>
    <w:p>
      <w:pPr>
        <w:spacing w:before="0" w:after="120"/>
      </w:pPr>
      <w:r>
        <w:rPr>
          <w:b/>
        </w:rPr>
        <w:t xml:space="preserve">Source: </w:t>
      </w:r>
      <w:r>
        <w:t>ACS Energy Letters: Latest Articles (ACS Publications)</w:t>
      </w:r>
      <w:r>
        <w:t xml:space="preserve">    </w:t>
      </w:r>
      <w:r>
        <w:rPr>
          <w:b/>
        </w:rPr>
        <w:t xml:space="preserve">Pub date: </w:t>
      </w:r>
      <w:r>
        <w:t>2026-02-24 16:21:22+00:00</w:t>
      </w:r>
      <w:r>
        <w:t xml:space="preserve">    </w:t>
      </w:r>
      <w:r>
        <w:rPr>
          <w:b/>
        </w:rPr>
        <w:t xml:space="preserve">DOI: </w:t>
      </w:r>
      <w:hyperlink r:id="rId477">
        <w:r>
          <w:rPr>
            <w:color w:val="1155CC"/>
            <w:u w:val="single"/>
          </w:rPr>
          <w:t>10.1021/acsenergylett.5c03154</w:t>
        </w:r>
      </w:hyperlink>
    </w:p>
    <w:p>
      <w:pPr>
        <w:spacing w:before="0" w:after="120"/>
      </w:pPr>
      <w:r>
        <w:rPr>
          <w:b/>
        </w:rPr>
        <w:t xml:space="preserve">Notes: </w:t>
      </w:r>
      <w:r>
        <w:t>abstract_source=openalex</w:t>
      </w:r>
    </w:p>
    <w:p>
      <w:pPr>
        <w:spacing w:before="0" w:after="80" w:lineRule="auto" w:line="276"/>
      </w:pPr>
      <w:r>
        <w:rPr>
          <w:b/>
        </w:rPr>
        <w:t xml:space="preserve">摘要（ZH）: </w:t>
      </w:r>
      <w:r>
        <w:t>具有锂金属阳极的固态电池(SSBs)与锂金属阳极的固态电池(SSBs)有望提供高能量密度,使远程电动汽车和电动航空等应用成为可能。 虽然对运输、化学机械学和跨面形态学等诸多挑战进行了广泛调查,但基础固体/固体界面的热稳定性仍然需要全面评估。 从这个角度讲,我们提出了电极-电极相互作用、异质性、气体进动动态在控制无机的SSSBs中独特的热不稳定路径方面的综合影响。 阳极/固体电解界面和阴极驱动现象中的相位化学和锂形态学在热失控中的关键性作用。</w:t>
      </w:r>
    </w:p>
    <w:p>
      <w:pPr>
        <w:spacing w:before="0" w:after="200" w:lineRule="auto" w:line="276"/>
      </w:pPr>
      <w:r>
        <w:rPr>
          <w:b/>
        </w:rPr>
        <w:t xml:space="preserve">Abstract (EN): </w:t>
      </w:r>
      <w:r>
        <w:t>Solid-state batteries (SSBs) with lithium metal anodes promise to offer high energy densities, enabling applications such as long-range electric vehicles and electric aviation. While various challenges related to transport, chemomechanics, and interfacial morphology have been extensively investigated, the thermal stability of the underlying solid/solid interfaces still requires comprehensive assessment. In this Perspective, we present mechanistic insights into the coupled influence of electrode–electrolyte interactions, heterogeneities, and gas-evolution dynamics in governing distinct thermal instability pathways in inorganic SSBs. The critical role of interphase chemistry and lithium morphology in thermal runaway at the anode/solid electrolyte interface and cathode-driven phenomena such as oxygen release, state-of-charge effects, pressure buildup, and crosstalk reactions are discussed. We further examine how operating conditions including pressure, current density, temperature, and moisture exposure modulate thermo-kinetic pathways and the exothermic behavior of SSBs. Key scientific gaps are identified, providing a foundation for future research toward the development of thermally stable and safe SSBs.</w:t>
      </w:r>
    </w:p>
    <w:p>
      <w:pPr>
        <w:spacing w:before="120" w:after="120"/>
      </w:pPr>
      <w:r>
        <w:rPr>
          <w:sz w:val="18"/>
        </w:rPr>
        <w:t>——————————————————————————————————————————————————————————————————————</w:t>
      </w:r>
    </w:p>
    <w:p>
      <w:pPr>
        <w:spacing w:before="160" w:after="40" w:line="240" w:lineRule="auto"/>
      </w:pPr>
      <w:r>
        <w:rPr>
          <w:b/>
        </w:rPr>
        <w:t xml:space="preserve">[303] </w:t>
      </w:r>
      <w:hyperlink r:id="rId478">
        <w:r>
          <w:rPr>
            <w:color w:val="1155CC"/>
            <w:u w:val="single"/>
          </w:rPr>
          <w:t>[ASAP] 3D混合 Perovskites 与 3-Hydroxyazetium 的局部对称折断</w:t>
        </w:r>
      </w:hyperlink>
    </w:p>
    <w:p>
      <w:pPr>
        <w:spacing w:before="0" w:after="80"/>
      </w:pPr>
      <w:r>
        <w:rPr>
          <w:i/>
          <w:sz w:val="20"/>
        </w:rPr>
        <w:t>EN: [ASAP] Local Symmetry Breaking in 3D Hybrid Perovskites with 3-Hydroxyazetidinium</w:t>
      </w:r>
    </w:p>
    <w:p>
      <w:pPr>
        <w:spacing w:before="0" w:after="120"/>
      </w:pPr>
      <w:r>
        <w:rPr>
          <w:b/>
        </w:rPr>
        <w:t xml:space="preserve">Source: </w:t>
      </w:r>
      <w:r>
        <w:t>Journal of the American Chemical Society: Latest Articles (ACS Publications)</w:t>
      </w:r>
      <w:r>
        <w:t xml:space="preserve">    </w:t>
      </w:r>
      <w:r>
        <w:rPr>
          <w:b/>
        </w:rPr>
        <w:t xml:space="preserve">Pub date: </w:t>
      </w:r>
      <w:r>
        <w:t>2026-02-24 16:44:49+00:00</w:t>
      </w:r>
      <w:r>
        <w:t xml:space="preserve">    </w:t>
      </w:r>
      <w:r>
        <w:rPr>
          <w:b/>
        </w:rPr>
        <w:t xml:space="preserve">DOI: </w:t>
      </w:r>
      <w:hyperlink r:id="rId479">
        <w:r>
          <w:rPr>
            <w:color w:val="1155CC"/>
            <w:u w:val="single"/>
          </w:rPr>
          <w:t>10.1021/jacs.5c21300</w:t>
        </w:r>
      </w:hyperlink>
    </w:p>
    <w:p>
      <w:pPr>
        <w:spacing w:before="0" w:after="120"/>
      </w:pPr>
      <w:r>
        <w:rPr>
          <w:b/>
        </w:rPr>
        <w:t xml:space="preserve">Notes: </w:t>
      </w:r>
      <w:r>
        <w:t>abstract_source=openalex</w:t>
      </w:r>
    </w:p>
    <w:p>
      <w:pPr>
        <w:spacing w:before="0" w:after="80" w:lineRule="auto" w:line="276"/>
      </w:pPr>
      <w:r>
        <w:rPr>
          <w:b/>
        </w:rPr>
        <w:t xml:space="preserve">摘要（ZH）: </w:t>
      </w:r>
      <w:r>
        <w:t>由于晶体结构的对称分解扭曲,最近对旋光电子产生了兴趣;然而,在三维(3D)类中实施这一设计战略在很大程度上仍未探索,这主要是由于对电离体尺寸的限制更加严格。这里,我们引入了一个3D混合多氯(3DDHPs)的组合,AsnX3,其中A=3-氢氧二氮基(AzOH;+NH2(CH2)2CHOH)和X=Cl、Br和I。</w:t>
      </w:r>
    </w:p>
    <w:p>
      <w:pPr>
        <w:spacing w:before="0" w:after="200" w:lineRule="auto" w:line="276"/>
      </w:pPr>
      <w:r>
        <w:rPr>
          <w:b/>
        </w:rPr>
        <w:t xml:space="preserve">Abstract (EN): </w:t>
      </w:r>
      <w:r>
        <w:t>Two-dimensional (2D) hybrid perovskite semiconductors with nonprimary ammonium cations (NPACs) have recently attracted interest for spin-optoelectronics owing to the symmetry-breaking distortions in their crystal structures. However, implementing this design strategy in three-dimensional (3D) analogs remains largely unexplored, primarily due to stricter restrictions on cation size. Here, we introduce a family of 3D hybrid perovskites (3DHPs), ASnX3, where A = 3-hydroxyazetidinium (AzOH; +NH2(CH2)2CHOH) and X = Cl, Br, and I. The choice of a bulky NPAC, coupled with the incorporation of a polar group (−OH), targets broken symmetry within the 3D frameworks. While single-crystal X-ray diffraction analysis reveals spatially averaged centrosymmetric cubic (i.e., Pm-3m space group) unit cells, with the largest lattice parameters among existing ASnX3 analogs, first-principles molecular dynamics and electronic structure calculations indicate that the relatively fixed dipoles of AzOH within the SnX6-derived framework introduce local inversion asymmetry and spin polarization. By incorporating a polar cation with limited mobility into the 3D perovskite framework, (AzOH)SnX3 unlocks potential for spin-optoelectronics, photovoltaics, ferroelectrics, and nonlinear optics.</w:t>
      </w:r>
    </w:p>
    <w:p>
      <w:pPr>
        <w:spacing w:before="120" w:after="120"/>
      </w:pPr>
      <w:r>
        <w:rPr>
          <w:sz w:val="18"/>
        </w:rPr>
        <w:t>——————————————————————————————————————————————————————————————————————</w:t>
      </w:r>
    </w:p>
    <w:p>
      <w:pPr>
        <w:spacing w:before="160" w:after="40" w:line="240" w:lineRule="auto"/>
      </w:pPr>
      <w:r>
        <w:rPr>
          <w:b/>
        </w:rPr>
        <w:t xml:space="preserve">[304] </w:t>
      </w:r>
      <w:hyperlink r:id="rId480">
        <w:r>
          <w:rPr>
            <w:color w:val="1155CC"/>
            <w:u w:val="single"/>
          </w:rPr>
          <w:t>[ASAP]链式材料:定义、理解和应用</w:t>
        </w:r>
      </w:hyperlink>
    </w:p>
    <w:p>
      <w:pPr>
        <w:spacing w:before="0" w:after="80"/>
      </w:pPr>
      <w:r>
        <w:rPr>
          <w:i/>
          <w:sz w:val="20"/>
        </w:rPr>
        <w:t>EN: [ASAP] Chained Materials: Definition, Understandings, and Applications</w:t>
      </w:r>
    </w:p>
    <w:p>
      <w:pPr>
        <w:spacing w:before="0" w:after="120"/>
      </w:pPr>
      <w:r>
        <w:rPr>
          <w:b/>
        </w:rPr>
        <w:t xml:space="preserve">Source: </w:t>
      </w:r>
      <w:r>
        <w:t>Chemical Reviews: Latest Articles (ACS Publications)</w:t>
      </w:r>
      <w:r>
        <w:t xml:space="preserve">    </w:t>
      </w:r>
      <w:r>
        <w:rPr>
          <w:b/>
        </w:rPr>
        <w:t xml:space="preserve">Pub date: </w:t>
      </w:r>
      <w:r>
        <w:t>2026-02-24 16:46:13+00:00</w:t>
      </w:r>
      <w:r>
        <w:t xml:space="preserve">    </w:t>
      </w:r>
      <w:r>
        <w:rPr>
          <w:b/>
        </w:rPr>
        <w:t xml:space="preserve">DOI: </w:t>
      </w:r>
      <w:hyperlink r:id="rId481">
        <w:r>
          <w:rPr>
            <w:color w:val="1155CC"/>
            <w:u w:val="single"/>
          </w:rPr>
          <w:t>10.1021/acs.chemrev.5c00527</w:t>
        </w:r>
      </w:hyperlink>
    </w:p>
    <w:p>
      <w:pPr>
        <w:spacing w:before="0" w:after="120"/>
      </w:pPr>
      <w:r>
        <w:rPr>
          <w:b/>
        </w:rPr>
        <w:t xml:space="preserve">Notes: </w:t>
      </w:r>
      <w:r>
        <w:t>abstract_source=openalex</w:t>
      </w:r>
    </w:p>
    <w:p>
      <w:pPr>
        <w:spacing w:before="0" w:after="80" w:lineRule="auto" w:line="276"/>
      </w:pPr>
      <w:r>
        <w:rPr>
          <w:b/>
        </w:rPr>
        <w:t xml:space="preserve">摘要（ZH）: </w:t>
      </w:r>
      <w:r>
        <w:t>材料的晶体结构直接决定了材料的特性,从而决定了其应用。链条材料,即由一维(1D)原子链组成的晶体材料,由于其独特的特性和有希望的设备性能,在过去十年中引起了许多注意。现在,传统的三维(3D)和二维(2D)晶体结构材料已经得到系统调查;对1D链材料的勘探和了解要少得多。本审查的目的是全面了解1D的晶体结构和链条材料特性,并期望揭示更特殊的特性和创新机会。我们在这次审查中介绍了沙伊的现状。</w:t>
      </w:r>
    </w:p>
    <w:p>
      <w:pPr>
        <w:spacing w:before="0" w:after="200" w:lineRule="auto" w:line="276"/>
      </w:pPr>
      <w:r>
        <w:rPr>
          <w:b/>
        </w:rPr>
        <w:t xml:space="preserve">Abstract (EN): </w:t>
      </w:r>
      <w:r>
        <w:t>The crystal structures of materials directly determine their properties and thus their applications. Chained materials, namely crystalline materials composed of one-dimensional (1D) atomic chains, have attracted a lot of attentions in the last ten years due to their unique properties and promising device performance. By now, traditional three-dimensional (3D) and two-dimensional (2D) crystal structural materials have been systematically investigated; exploration and understanding of 1D chained materials are much less. This review aims to provide a comprehensive understanding on the uniqueness of 1D crystal structure and characteristics of chained materials, and expect to unveil more extraordinary properties and innovative opportunities. In this review, we present the current status of chained materials, focusing especially on the theoretical and experimental studies reported to date. The structure features, optoelectronic properties, and growth mechanisms are discussed carefully, in comparison with 3D and 2D crystal structural materials. Main applications and key advances of chained semiconductor materials are then summarized in several different categories. Finally, a brief perspective on the future applications of chained semiconductors ends this review.</w:t>
      </w:r>
    </w:p>
    <w:p>
      <w:pPr>
        <w:spacing w:before="120" w:after="120"/>
      </w:pPr>
      <w:r>
        <w:rPr>
          <w:sz w:val="18"/>
        </w:rPr>
        <w:t>——————————————————————————————————————————————————————————————————————</w:t>
      </w:r>
    </w:p>
    <w:p>
      <w:pPr>
        <w:spacing w:before="160" w:after="40" w:line="240" w:lineRule="auto"/>
      </w:pPr>
      <w:r>
        <w:rPr>
          <w:b/>
        </w:rPr>
        <w:t xml:space="preserve">[305] </w:t>
      </w:r>
      <w:hyperlink r:id="rId482">
        <w:r>
          <w:rPr>
            <w:color w:val="1155CC"/>
            <w:u w:val="single"/>
          </w:rPr>
          <w:t>[ASAP] 用于能源应用的半导体凝聚纳米器的电极处理</w:t>
        </w:r>
      </w:hyperlink>
    </w:p>
    <w:p>
      <w:pPr>
        <w:spacing w:before="0" w:after="80"/>
      </w:pPr>
      <w:r>
        <w:rPr>
          <w:i/>
          <w:sz w:val="20"/>
        </w:rPr>
        <w:t>EN: [ASAP] Eutectic Processing of Semiconductor Colloidal Nanocrystals for Energy Applications</w:t>
      </w:r>
    </w:p>
    <w:p>
      <w:pPr>
        <w:spacing w:before="0" w:after="120"/>
      </w:pPr>
      <w:r>
        <w:rPr>
          <w:b/>
        </w:rPr>
        <w:t xml:space="preserve">Source: </w:t>
      </w:r>
      <w:r>
        <w:t>ACS Energy Letters: Latest Articles (ACS Publications)</w:t>
      </w:r>
      <w:r>
        <w:t xml:space="preserve">    </w:t>
      </w:r>
      <w:r>
        <w:rPr>
          <w:b/>
        </w:rPr>
        <w:t xml:space="preserve">Pub date: </w:t>
      </w:r>
      <w:r>
        <w:t>2026-02-24 16:52:17+00:00</w:t>
      </w:r>
      <w:r>
        <w:t xml:space="preserve">    </w:t>
      </w:r>
      <w:r>
        <w:rPr>
          <w:b/>
        </w:rPr>
        <w:t xml:space="preserve">DOI: </w:t>
      </w:r>
      <w:hyperlink r:id="rId483">
        <w:r>
          <w:rPr>
            <w:color w:val="1155CC"/>
            <w:u w:val="single"/>
          </w:rPr>
          <w:t>10.1021/acsenergylett.6c00100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[306] </w:t>
      </w:r>
      <w:hyperlink r:id="rId484">
        <w:r>
          <w:rPr>
            <w:color w:val="1155CC"/>
            <w:u w:val="single"/>
          </w:rPr>
          <w:t>[ASAP] 将机械透视纳入Alkynes的光离ox/Nickel双电解二裂功能化:非非非非非自然的P-诱导和选择的起源的振荡作用</w:t>
        </w:r>
      </w:hyperlink>
    </w:p>
    <w:p>
      <w:pPr>
        <w:spacing w:before="0" w:after="80"/>
      </w:pPr>
      <w:r>
        <w:rPr>
          <w:i/>
          <w:sz w:val="20"/>
        </w:rPr>
        <w:t>EN: [ASAP] Mechanistic Insights into Photoredox/Nickel Dual-Catalyzed Difunctionalization of Alkynes: Revealing Roles of Noninnocent P-Ligand and Origins of Selectivities</w:t>
      </w:r>
    </w:p>
    <w:p>
      <w:pPr>
        <w:spacing w:before="0" w:after="120"/>
      </w:pPr>
      <w:r>
        <w:rPr>
          <w:b/>
        </w:rPr>
        <w:t xml:space="preserve">Source: </w:t>
      </w:r>
      <w:r>
        <w:t>Journal of the American Chemical Society: Latest Articles (ACS Publications)</w:t>
      </w:r>
      <w:r>
        <w:t xml:space="preserve">    </w:t>
      </w:r>
      <w:r>
        <w:rPr>
          <w:b/>
        </w:rPr>
        <w:t xml:space="preserve">Pub date: </w:t>
      </w:r>
      <w:r>
        <w:t>2026-02-24 16:52:29+00:00</w:t>
      </w:r>
      <w:r>
        <w:t xml:space="preserve">    </w:t>
      </w:r>
      <w:r>
        <w:rPr>
          <w:b/>
        </w:rPr>
        <w:t xml:space="preserve">DOI: </w:t>
      </w:r>
      <w:hyperlink r:id="rId485">
        <w:r>
          <w:rPr>
            <w:color w:val="1155CC"/>
            <w:u w:val="single"/>
          </w:rPr>
          <w:t>10.1021/jacs.5c20533</w:t>
        </w:r>
      </w:hyperlink>
    </w:p>
    <w:p>
      <w:pPr>
        <w:spacing w:before="0" w:after="120"/>
      </w:pPr>
      <w:r>
        <w:rPr>
          <w:b/>
        </w:rPr>
        <w:t xml:space="preserve">Notes: </w:t>
      </w:r>
      <w:r>
        <w:t>abstract_source=openalex</w:t>
      </w:r>
    </w:p>
    <w:p>
      <w:pPr>
        <w:spacing w:before="0" w:after="80" w:lineRule="auto" w:line="276"/>
      </w:pPr>
      <w:r>
        <w:rPr>
          <w:b/>
        </w:rPr>
        <w:t xml:space="preserve">摘要（ZH）: </w:t>
      </w:r>
      <w:r>
        <w:t>光redox/镍合作催化工作已经取得很大进展,可以实现许多具有挑战性的交叉反应,然而,光redox/镍的双重催化工作的详细机械化途径可能因尼复合氧化状态的转化以及产品化学和再生选择的产物的化学和再生性变化而变得复杂,这一点值得进一步澄清。在此,我们进行了一项综合计算和实验研究,以获得对光redox/Ni双催化的 alkynes两功能化的机械化洞察。首先,提出了在光redox条件下将Nicl2(PCy3)2 预先催化成Ni(0) 物种的新途径。非非无常的PCy3 ligand 可以在通过单电子转盘解压兴奋的Ir(III) 光电解剖中发挥重要作用。</w:t>
      </w:r>
    </w:p>
    <w:p>
      <w:pPr>
        <w:spacing w:before="0" w:after="200" w:lineRule="auto" w:line="276"/>
      </w:pPr>
      <w:r>
        <w:rPr>
          <w:b/>
        </w:rPr>
        <w:t xml:space="preserve">Abstract (EN): </w:t>
      </w:r>
      <w:r>
        <w:t>Photoredox/nickel cooperative catalysis has advanced greatly to accomplish many challenging cross-coupling reactions. Nevertheless, the detailed mechanistic pathways of photoredox/nickel dual catalysis could be complicated in terms of conversions of oxidation states of the Ni complex and origins of chemo- and regioselectivities of products, which deserve further clarification. Herein, we conduct a combined computational and experimental study to gain mechanistic insights into the photoredox/Ni dual-catalyzed difunctionalization of alkynes. First, a novel route to transform the NiCl2(PCy3)2 precatalyst to a Ni(0) species is proposed under photoredox conditions. The noninnocent PCy3 ligand could play an important role in quenching the excited Ir(III) photocatalyst via a single-electron transfer (SET) step to yield a PCy3•+ species + Ir(II). Then, the reduced Ir(II) species could undergo a second SET with Ni(II) to afford a Ni(I) species. Meanwhile, the formed PCy3•+ species could combine with the hydroxide anion to yield a Cy3P(OH)• radical, which subsequently undergoes an H atom transfer step with the formed Ni(I) to furnish a Ni(0) species. In addition, the single-electron oxidation of Ni(II)ArCl by the excited photocatalyst to form a Ni(III)ArCl+ intermediate and the coordination of the alkynyl moiety of the substrate with the Ni(III) species are important factors to account for the chemoselective generation of Cl•, instead of Ar•, in the photoinduced ligand-to-metal charge transfer (LMCT) process. The generated Cl• could then undergo radical attack to the alkynyl moiety of the substrate, and a radical sorting mechanism is proposed to rationalize the origin of regioselectivity of the product.</w:t>
      </w:r>
    </w:p>
    <w:p>
      <w:pPr>
        <w:spacing w:before="120" w:after="120"/>
      </w:pPr>
      <w:r>
        <w:rPr>
          <w:sz w:val="18"/>
        </w:rPr>
        <w:t>——————————————————————————————————————————————————————————————————————</w:t>
      </w:r>
    </w:p>
    <w:p>
      <w:pPr>
        <w:spacing w:before="160" w:after="40" w:line="240" w:lineRule="auto"/>
      </w:pPr>
      <w:r>
        <w:rPr>
          <w:b/>
        </w:rPr>
        <w:t xml:space="preserve">[307] </w:t>
      </w:r>
      <w:hyperlink r:id="rId486">
        <w:r>
          <w:rPr>
            <w:color w:val="1155CC"/>
            <w:u w:val="single"/>
          </w:rPr>
          <w:t>[ASAP]通过原子重新布局使用克莱多里夫兹立特的可缩放二氧化碳捕获</w:t>
        </w:r>
      </w:hyperlink>
    </w:p>
    <w:p>
      <w:pPr>
        <w:spacing w:before="0" w:after="80"/>
      </w:pPr>
      <w:r>
        <w:rPr>
          <w:i/>
          <w:sz w:val="20"/>
        </w:rPr>
        <w:t>EN: [ASAP] Scalable Carbon Dioxide Capture Using Clay-Derived Zeolites via Atomic Rearrangement</w:t>
      </w:r>
    </w:p>
    <w:p>
      <w:pPr>
        <w:spacing w:before="0" w:after="120"/>
      </w:pPr>
      <w:r>
        <w:rPr>
          <w:b/>
        </w:rPr>
        <w:t xml:space="preserve">Source: </w:t>
      </w:r>
      <w:r>
        <w:t>Journal of the American Chemical Society: Latest Articles (ACS Publications)</w:t>
      </w:r>
      <w:r>
        <w:t xml:space="preserve">    </w:t>
      </w:r>
      <w:r>
        <w:rPr>
          <w:b/>
        </w:rPr>
        <w:t xml:space="preserve">Pub date: </w:t>
      </w:r>
      <w:r>
        <w:t>2026-02-24 16:53:07+00:00</w:t>
      </w:r>
      <w:r>
        <w:t xml:space="preserve">    </w:t>
      </w:r>
      <w:r>
        <w:rPr>
          <w:b/>
        </w:rPr>
        <w:t xml:space="preserve">DOI: </w:t>
      </w:r>
      <w:hyperlink r:id="rId487">
        <w:r>
          <w:rPr>
            <w:color w:val="1155CC"/>
            <w:u w:val="single"/>
          </w:rPr>
          <w:t>10.1021/jacs.5c20976</w:t>
        </w:r>
      </w:hyperlink>
    </w:p>
    <w:p>
      <w:pPr>
        <w:spacing w:before="0" w:after="120"/>
      </w:pPr>
      <w:r>
        <w:rPr>
          <w:b/>
        </w:rPr>
        <w:t xml:space="preserve">Notes: </w:t>
      </w:r>
      <w:r>
        <w:t>abstract_source=openalex</w:t>
      </w:r>
    </w:p>
    <w:p>
      <w:pPr>
        <w:spacing w:before="0" w:after="80" w:lineRule="auto" w:line="276"/>
      </w:pPr>
      <w:r>
        <w:rPr>
          <w:b/>
        </w:rPr>
        <w:t xml:space="preserve">摘要（ZH）: </w:t>
      </w:r>
      <w:r>
        <w:t>有效的碳捕获材料对于减缓气候变化和支持可持续工业进程至关重要。 但是,开发可扩展、成本效益高且二氧化碳容量高、选择性高和长期稳定性高且具有成本效益的吸附剂仍是一项重大挑战。 在这里,我们报告利用成熟的工业工艺,通过利用激光粘土的原子再组装,将Linde type A zeolite通过激光合金粘土的原子重新组装进行可扩展合成,从而实现具有良好循环稳定性的5.0mmol g-1的高二氧化碳吸附能力。 从一个层状框架转换成一个空隙扩大的立方框架,大大增强了二氧化碳的容纳能力。 此外,经过准备的热液展示了杰出的二氧化碳/硝基苯选择性(5 % 二氧化碳为178 ) 和坚固的 t。</w:t>
      </w:r>
    </w:p>
    <w:p>
      <w:pPr>
        <w:spacing w:before="0" w:after="200" w:lineRule="auto" w:line="276"/>
      </w:pPr>
      <w:r>
        <w:rPr>
          <w:b/>
        </w:rPr>
        <w:t xml:space="preserve">Abstract (EN): </w:t>
      </w:r>
      <w:r>
        <w:t>Effective carbon capture materials are crucial for mitigating climate change and supporting sustainable industrial processes. However, developing scalable, cost-effective adsorbents with high carbon dioxide capacity, superior selectivity, and long-term stability remains a major challenge. Here, we report the scalable synthesis of Linde Type A zeolite via atomic reassembly of halloysite clay using mature industrial processes, achieving a high carbon dioxide adsorption capacity of 5.0 mmol g–1 with good cyclic stability. The transformation from a layered to a cubic framework with enlarged vacant spaces significantly enhances carbon dioxide accommodation. Additionally, the as-prepared zeolite demonstrates outstanding carbon dioxide/nitrogen selectivity (178 for 5% carbon dioxide) and robust thermal stability over multiple adsorption–desorption cycles. In situ tests reveal that adsorption is primarily governed by weakly bound interactions, allowing for the easy regeneration. This study presents a promising and scalable strategy for developing high-performance adsorbents toward gigaton-scale carbon dioxide capture applications.</w:t>
      </w:r>
    </w:p>
    <w:p>
      <w:pPr>
        <w:spacing w:before="120" w:after="120"/>
      </w:pPr>
      <w:r>
        <w:rPr>
          <w:sz w:val="18"/>
        </w:rPr>
        <w:t>——————————————————————————————————————————————————————————————————————</w:t>
      </w:r>
    </w:p>
    <w:p>
      <w:pPr>
        <w:spacing w:before="160" w:after="40" w:line="240" w:lineRule="auto"/>
      </w:pPr>
      <w:r>
        <w:rPr>
          <w:b/>
        </w:rPr>
        <w:t xml:space="preserve">[308] </w:t>
      </w:r>
      <w:hyperlink r:id="rId488">
        <w:r>
          <w:rPr>
            <w:color w:val="1155CC"/>
            <w:u w:val="single"/>
          </w:rPr>
          <w:t>[ASAP] 装合和交付氟化氢的催化催化解</w:t>
        </w:r>
      </w:hyperlink>
    </w:p>
    <w:p>
      <w:pPr>
        <w:spacing w:before="0" w:after="80"/>
      </w:pPr>
      <w:r>
        <w:rPr>
          <w:i/>
          <w:sz w:val="20"/>
        </w:rPr>
        <w:t>EN: [ASAP] Peptidic Catalysts Conformationally Tuned for Fluoride Binding and Delivery</w:t>
      </w:r>
    </w:p>
    <w:p>
      <w:pPr>
        <w:spacing w:before="0" w:after="120"/>
      </w:pPr>
      <w:r>
        <w:rPr>
          <w:b/>
        </w:rPr>
        <w:t xml:space="preserve">Source: </w:t>
      </w:r>
      <w:r>
        <w:t>Journal of the American Chemical Society: Latest Articles (ACS Publications)</w:t>
      </w:r>
      <w:r>
        <w:t xml:space="preserve">    </w:t>
      </w:r>
      <w:r>
        <w:rPr>
          <w:b/>
        </w:rPr>
        <w:t xml:space="preserve">Pub date: </w:t>
      </w:r>
      <w:r>
        <w:t>2026-02-24 18:12:38+00:00</w:t>
      </w:r>
      <w:r>
        <w:t xml:space="preserve">    </w:t>
      </w:r>
      <w:r>
        <w:rPr>
          <w:b/>
        </w:rPr>
        <w:t xml:space="preserve">DOI: </w:t>
      </w:r>
      <w:hyperlink r:id="rId489">
        <w:r>
          <w:rPr>
            <w:color w:val="1155CC"/>
            <w:u w:val="single"/>
          </w:rPr>
          <w:t>10.1021/jacs.6c01667</w:t>
        </w:r>
      </w:hyperlink>
    </w:p>
    <w:p>
      <w:pPr>
        <w:spacing w:before="0" w:after="120"/>
      </w:pPr>
      <w:r>
        <w:rPr>
          <w:b/>
        </w:rPr>
        <w:t xml:space="preserve">Notes: </w:t>
      </w:r>
      <w:r>
        <w:t>abstract_source=openalex</w:t>
      </w:r>
    </w:p>
    <w:p>
      <w:pPr>
        <w:spacing w:before="0" w:after="80" w:lineRule="auto" w:line="276"/>
      </w:pPr>
      <w:r>
        <w:rPr>
          <w:b/>
        </w:rPr>
        <w:t xml:space="preserve">摘要（ZH）: </w:t>
      </w:r>
      <w:r>
        <w:t>有关氟化物如何与化物相互作用的知识目前仅限于硅研究。在这里,我们报告了一项关于使用TBAF 3H2O或CSF对peptidic saffolds进行氟化物结合的能力的实验性调查。对于CsF来说,深入的NMR和GOAT-DFT研究揭示了peptides作为氟化物和离子的铬化物的作用。这一发现导致了第一种peptide催化氟化物反应的开发。这些进展为调查氟化物化学开辟了一条新途径,其中含有基于peptide的催化剂,这些催化剂被认为是酶的可能祖先。</w:t>
      </w:r>
    </w:p>
    <w:p>
      <w:pPr>
        <w:spacing w:before="0" w:after="200" w:lineRule="auto" w:line="276"/>
      </w:pPr>
      <w:r>
        <w:rPr>
          <w:b/>
        </w:rPr>
        <w:t xml:space="preserve">Abstract (EN): </w:t>
      </w:r>
      <w:r>
        <w:t>Knowledge on how fluoride interacts with peptides is currently limited to in silico studies. Here, we report an experimental investigation on the ability of peptidic scaffolds to bind fluoride using TBAF·3H2O or CsF. For CsF, in-depth NMR and GOAT-DFT studies shed light on peptides acting as chelators to both fluoride and cesium ions. This finding led to the development of the first peptide-catalyzed fluorination reactions. These advances open a new avenue to investigate fluorination chemistry with peptide-based catalysts that are considered as the possible ancestors to enzymes.</w:t>
      </w:r>
    </w:p>
    <w:p>
      <w:pPr>
        <w:spacing w:before="120" w:after="120"/>
      </w:pPr>
      <w:r>
        <w:rPr>
          <w:sz w:val="18"/>
        </w:rPr>
        <w:t>——————————————————————————————————————————————————————————————————————</w:t>
      </w:r>
    </w:p>
    <w:p>
      <w:pPr>
        <w:spacing w:before="160" w:after="40" w:line="240" w:lineRule="auto"/>
      </w:pPr>
      <w:r>
        <w:rPr>
          <w:b/>
        </w:rPr>
        <w:t xml:space="preserve">[309] </w:t>
      </w:r>
      <w:hyperlink r:id="rId490">
        <w:r>
          <w:rPr>
            <w:color w:val="1155CC"/>
            <w:u w:val="single"/>
          </w:rPr>
          <w:t>[ASAP]通过增强的 " OH " 生成和定向流压器,将乙烯甘醇电氧化为中电解液解液中的甘醇酸</w:t>
        </w:r>
      </w:hyperlink>
    </w:p>
    <w:p>
      <w:pPr>
        <w:spacing w:before="0" w:after="80"/>
      </w:pPr>
      <w:r>
        <w:rPr>
          <w:i/>
          <w:sz w:val="20"/>
        </w:rPr>
        <w:t>EN: [ASAP] Electrooxidation of Ethylene Glycol to Glycolic Acid in a Neutral Electrolyte via Enhanced *OH Generation and Directional Spillover</w:t>
      </w:r>
    </w:p>
    <w:p>
      <w:pPr>
        <w:spacing w:before="0" w:after="120"/>
      </w:pPr>
      <w:r>
        <w:rPr>
          <w:b/>
        </w:rPr>
        <w:t xml:space="preserve">Source: </w:t>
      </w:r>
      <w:r>
        <w:t>Journal of the American Chemical Society: Latest Articles (ACS Publications)</w:t>
      </w:r>
      <w:r>
        <w:t xml:space="preserve">    </w:t>
      </w:r>
      <w:r>
        <w:rPr>
          <w:b/>
        </w:rPr>
        <w:t xml:space="preserve">Pub date: </w:t>
      </w:r>
      <w:r>
        <w:t>2026-02-24 18:49:56+00:00</w:t>
      </w:r>
      <w:r>
        <w:t xml:space="preserve">    </w:t>
      </w:r>
      <w:r>
        <w:rPr>
          <w:b/>
        </w:rPr>
        <w:t xml:space="preserve">DOI: </w:t>
      </w:r>
      <w:hyperlink r:id="rId491">
        <w:r>
          <w:rPr>
            <w:color w:val="1155CC"/>
            <w:u w:val="single"/>
          </w:rPr>
          <w:t>10.1021/jacs.6c01709</w:t>
        </w:r>
      </w:hyperlink>
    </w:p>
    <w:p>
      <w:pPr>
        <w:spacing w:before="0" w:after="120"/>
      </w:pPr>
      <w:r>
        <w:rPr>
          <w:b/>
        </w:rPr>
        <w:t xml:space="preserve">Notes: </w:t>
      </w:r>
      <w:r>
        <w:t>abstract_source=openalex</w:t>
      </w:r>
    </w:p>
    <w:p>
      <w:pPr>
        <w:spacing w:before="0" w:after="80" w:lineRule="auto" w:line="276"/>
      </w:pPr>
      <w:r>
        <w:rPr>
          <w:b/>
        </w:rPr>
        <w:t xml:space="preserve">摘要（ZH）: </w:t>
      </w:r>
      <w:r>
        <w:t>将聚乙烯的乙二烯乙二醇(PET)衍生的乙二醇(EG)的电化学循环循环循环转化为甘蓝酸(GA)是通向循环塑料经济的可持续途径,虽然最近的进展改善了碱性介质的EG氧化反应(EGOR)性能,但GA的下游分离仍然繁琐,不可避免地会产生杂交的废物盐。中立介质提供了一种有希望的替代方法,但受到关键乙二烯二醇(EGOR)中间体*OH的生产和使用困难的限制。尽管据报告Ir将H2O分离成活跃的OHO物种,但一项主要的挑战在于确保生成的*OHD有效地参加EGOR,而不是进行自脱氢化(*OH**O)。为了解决这个问题,我们设计了一种原子隔离的Ir Decoratat。</w:t>
      </w:r>
    </w:p>
    <w:p>
      <w:pPr>
        <w:spacing w:before="0" w:after="200" w:lineRule="auto" w:line="276"/>
      </w:pPr>
      <w:r>
        <w:rPr>
          <w:b/>
        </w:rPr>
        <w:t xml:space="preserve">Abstract (EN): </w:t>
      </w:r>
      <w:r>
        <w:t>Electrochemical upcycling of polyethylene terephthalate (PET)-derived ethylene glycol (EG) into glycolic acid (GA) presents a sustainable route toward circular plastic economy. While recent advances have improved EG oxidation reaction (EGOR) performance in alkaline media, the downstream separation of GA remains cumbersome and inevitably coproduces waste salts. Neutral media offer a promising alternative but are constrained by the difficulty in generating and utilizing *OH, a pivotal EGOR intermediate. Although Ir has been reported to promote H2O dissociation into active *OH species, a major challenge lies in ensuring that the generated *OH effectively participates in EGOR, rather than undergoing self-dehydrogenation (*OH → *O). To address this, we designed an atomically isolated Ir decorated Pd alloy with high-density Ir–Pd interfaces, which establishes an *OH transfer network that promotes *OH-mediated EGOR while suppressing *OH self-dehydrogenation. In situ spectroscopic characterizations reveal that Ir1Pd-SAA facilitates the efficient dissociation of H2O into *OH at Ir single-atom sites, followed by *OH spillover to adjacent Pd sites within an atomic scale, thus triggering EGOR. Ir1Pd-SAA delivers a peak current of 56.2 mA cm–2 at 0.89 V vs RHE, outperforming pure Pd (10.7 mA cm–2 at 0.95 V vs RHE) and IrNPPd (7.3 mA cm–2 0.92 V vs RHE), along with high GA selectivity (80.1%), FE (76.3%), and stability over 330 h. Theoretical calculations confirm the Ir–Pd synergistic effect, where Ir promotes *OH generation and optimizes the electronic structure of Pd to initiate EGOR. This work provides fundamental insights for rational catalyst design for alcohol-to-organic acid conversion in neutral media.</w:t>
      </w:r>
    </w:p>
    <w:p>
      <w:pPr>
        <w:spacing w:before="120" w:after="120"/>
      </w:pPr>
      <w:r>
        <w:rPr>
          <w:sz w:val="18"/>
        </w:rPr>
        <w:t>——————————————————————————————————————————————————————————————————————</w:t>
      </w:r>
    </w:p>
    <w:p>
      <w:pPr>
        <w:spacing w:before="160" w:after="40" w:line="240" w:lineRule="auto"/>
      </w:pPr>
      <w:r>
        <w:rPr>
          <w:b/>
        </w:rPr>
        <w:t xml:space="preserve">[310] </w:t>
      </w:r>
      <w:hyperlink r:id="rId492">
        <w:r>
          <w:rPr>
            <w:color w:val="1155CC"/>
            <w:u w:val="single"/>
          </w:rPr>
          <w:t>[ASAP]作为ZnCl2化学与运输的动力器而重新氧化控制下的卤素联结</w:t>
        </w:r>
      </w:hyperlink>
    </w:p>
    <w:p>
      <w:pPr>
        <w:spacing w:before="0" w:after="80"/>
      </w:pPr>
      <w:r>
        <w:rPr>
          <w:i/>
          <w:sz w:val="20"/>
        </w:rPr>
        <w:t>EN: [ASAP] Redox-Controlled Chalcogen Bonding as a Modulator of ZnCl2 Chelation and Transport</w:t>
      </w:r>
    </w:p>
    <w:p>
      <w:pPr>
        <w:spacing w:before="0" w:after="120"/>
      </w:pPr>
      <w:r>
        <w:rPr>
          <w:b/>
        </w:rPr>
        <w:t xml:space="preserve">Source: </w:t>
      </w:r>
      <w:r>
        <w:t>Journal of the American Chemical Society: Latest Articles (ACS Publications)</w:t>
      </w:r>
      <w:r>
        <w:t xml:space="preserve">    </w:t>
      </w:r>
      <w:r>
        <w:rPr>
          <w:b/>
        </w:rPr>
        <w:t xml:space="preserve">Pub date: </w:t>
      </w:r>
      <w:r>
        <w:t>2026-02-24 20:15:01+00:00</w:t>
      </w:r>
      <w:r>
        <w:t xml:space="preserve">    </w:t>
      </w:r>
      <w:r>
        <w:rPr>
          <w:b/>
        </w:rPr>
        <w:t xml:space="preserve">DOI: </w:t>
      </w:r>
      <w:hyperlink r:id="rId493">
        <w:r>
          <w:rPr>
            <w:color w:val="1155CC"/>
            <w:u w:val="single"/>
          </w:rPr>
          <w:t>10.1021/jacs.5c19650</w:t>
        </w:r>
      </w:hyperlink>
    </w:p>
    <w:p>
      <w:pPr>
        <w:spacing w:before="0" w:after="120"/>
      </w:pPr>
      <w:r>
        <w:rPr>
          <w:b/>
        </w:rPr>
        <w:t xml:space="preserve">Notes: </w:t>
      </w:r>
      <w:r>
        <w:t>abstract_source=openalex</w:t>
      </w:r>
    </w:p>
    <w:p>
      <w:pPr>
        <w:spacing w:before="0" w:after="80" w:lineRule="auto" w:line="276"/>
      </w:pPr>
      <w:r>
        <w:rPr>
          <w:b/>
        </w:rPr>
        <w:t xml:space="preserve">摘要（ZH）: </w:t>
      </w:r>
      <w:r>
        <w:t>Zinc是生物系统中无处不在的金属,在生物系统中,一组精密的锌运输器参与维护其家居水平。由于这些水平的整合可能确定新的治疗方法,因此有选择地运输Zn2+离子的策略越来越令人羡慕。这里,我们描述一个独特的刺激反应Zn2+运输器,其活动可以通过位于建筑核心的红氧化控制内分子分子同化结合质元素来调整。这个系统有一个二二二甲里拉明(DPA)锌相带器,通过其氨基组与邻近的日冕协会结成N-Te 铬联系。我们的工作表明,将中心氧化到四价状态会降低《和平协议》单元的Zn2+亲和性。</w:t>
      </w:r>
    </w:p>
    <w:p>
      <w:pPr>
        <w:spacing w:before="0" w:after="200" w:lineRule="auto" w:line="276"/>
      </w:pPr>
      <w:r>
        <w:rPr>
          <w:b/>
        </w:rPr>
        <w:t xml:space="preserve">Abstract (EN): </w:t>
      </w:r>
      <w:r>
        <w:t>Zinc is a ubiquitous metal in biological systems where an elaborate array of zinc transporters is involved in maintaining its homeostatic levels. Because toggling these levels may define new therapeutic approaches, strategies for the selective transport of Zn2+ ions are becoming increasingly coveted. Here, we describe a unique stimulus-responsive Zn2+ transporter, the activity of which can be adjusted by a redox-controlled intramolecular chalcogen bonding motif positioned at the heart of the construct. This system features a dipicolylamine (DPA) zinc chelator engaged, through its amino group, in a N–Te chalcogen bond with an adjacent diaryl tellurium moiety. Our work shows that oxidation of the tellurium center to the tetravalent state decreases the Zn2+ affinity of the DPA unit because of strengthened N–Te chalcogen bonding. We exploited this property for the differentiated transport of Zn2+ ions across phospholipid bilayers while also demonstrating the stimulus-responsive nature of this system in a set of experiments where transport is initiated in situ through reduction of the TeIV form of the transporter into its divalent counterpart using glutathione.</w:t>
      </w:r>
    </w:p>
    <w:p>
      <w:pPr>
        <w:spacing w:before="120" w:after="120"/>
      </w:pPr>
      <w:r>
        <w:rPr>
          <w:sz w:val="18"/>
        </w:rPr>
        <w:t>——————————————————————————————————————————————————————————————————————</w:t>
      </w:r>
    </w:p>
    <w:p>
      <w:pPr>
        <w:spacing w:before="160" w:after="40" w:line="240" w:lineRule="auto"/>
      </w:pPr>
      <w:r>
        <w:rPr>
          <w:b/>
        </w:rPr>
        <w:t xml:space="preserve">[311] </w:t>
      </w:r>
      <w:hyperlink r:id="rId494">
        <w:r>
          <w:rPr>
            <w:color w:val="1155CC"/>
            <w:u w:val="single"/>
          </w:rPr>
          <w:t>[ASAP] 氟介质介质介质</w:t>
        </w:r>
      </w:hyperlink>
    </w:p>
    <w:p>
      <w:pPr>
        <w:spacing w:before="0" w:after="80"/>
      </w:pPr>
      <w:r>
        <w:rPr>
          <w:i/>
          <w:sz w:val="20"/>
        </w:rPr>
        <w:t>EN: [ASAP] Fluorine Mediates the Deprotonation Pathway over Ruthenium Oxide for Stable Water Electrolysis</w:t>
      </w:r>
    </w:p>
    <w:p>
      <w:pPr>
        <w:spacing w:before="0" w:after="120"/>
      </w:pPr>
      <w:r>
        <w:rPr>
          <w:b/>
        </w:rPr>
        <w:t xml:space="preserve">Source: </w:t>
      </w:r>
      <w:r>
        <w:t>Journal of the American Chemical Society: Latest Articles (ACS Publications)</w:t>
      </w:r>
      <w:r>
        <w:t xml:space="preserve">    </w:t>
      </w:r>
      <w:r>
        <w:rPr>
          <w:b/>
        </w:rPr>
        <w:t xml:space="preserve">Pub date: </w:t>
      </w:r>
      <w:r>
        <w:t>2026-02-24 20:41:26+00:00</w:t>
      </w:r>
      <w:r>
        <w:t xml:space="preserve">    </w:t>
      </w:r>
      <w:r>
        <w:rPr>
          <w:b/>
        </w:rPr>
        <w:t xml:space="preserve">DOI: </w:t>
      </w:r>
      <w:hyperlink r:id="rId495">
        <w:r>
          <w:rPr>
            <w:color w:val="1155CC"/>
            <w:u w:val="single"/>
          </w:rPr>
          <w:t>10.1021/jacs.6c00523</w:t>
        </w:r>
      </w:hyperlink>
    </w:p>
    <w:p>
      <w:pPr>
        <w:spacing w:before="0" w:after="120"/>
      </w:pPr>
      <w:r>
        <w:rPr>
          <w:b/>
        </w:rPr>
        <w:t xml:space="preserve">Notes: </w:t>
      </w:r>
      <w:r>
        <w:t>abstract_source=openalex</w:t>
      </w:r>
    </w:p>
    <w:p>
      <w:pPr>
        <w:spacing w:before="0" w:after="80" w:lineRule="auto" w:line="276"/>
      </w:pPr>
      <w:r>
        <w:rPr>
          <w:b/>
        </w:rPr>
        <w:t xml:space="preserve">摘要（ZH）: </w:t>
      </w:r>
      <w:r>
        <w:t>氧化物(RuO2)是质子交换膜水电解(PEMWE)中一种有希望的二氧化氧化物替代阳极催化剂,然而,鲁奥2的稳定性不令人满意,以及氧进化反应(OER)的慢质相混合电子转移动力学阻碍了实际应用。我们在此报告一个氟调的鲁奥2,配有终端氟(Fter)和连接氟(Fbri)的站点,成功地解决了基于鲁氏催化剂的活性悖论。全面实验和理论研究揭示了一种非常规的氟辅助分解机制,通过这一机制,质子转移与OER期间的电转移脱钩。 Fter作为质子中继器,加速中间体的分解,而Fbri Contr则作为质中继器。</w:t>
      </w:r>
    </w:p>
    <w:p>
      <w:pPr>
        <w:spacing w:before="0" w:after="200" w:lineRule="auto" w:line="276"/>
      </w:pPr>
      <w:r>
        <w:rPr>
          <w:b/>
        </w:rPr>
        <w:t xml:space="preserve">Abstract (EN): </w:t>
      </w:r>
      <w:r>
        <w:t>Ruthenium oxide (RuO2) is a promising alternative anode catalyst to iridium oxide in proton exchange membrane water electrolysis (PEMWE). However, the unsatisfactory stability of RuO2 and the sluggish proton-coupled electron transfer kinetics of the oxygen evolution reaction (OER) hinder practical application. We report here a fluorine-tuned RuO2 with terminal fluorine (Fter) and bridging fluorine (Fbri) sites that successfully tackles the activity-stability paradox faced by Ru-based catalysts. Comprehensive experimental and theoretical studies reveal an unconventional fluorine-assisted deprotonation mechanism by which the proton transfer is decoupled from the electron transfer during the OER. The Fter acts as a proton relay that accelerates deprotonation of intermediates, while Fbri contributes to suppressing the lattice oxygen oxidation route. The catalyst exhibited a low overpotential of 191 millivolts at 10 mA per square centimeter and maintained this current density over 2000 h. A practical PEMWE based on this catalyst delivered a current density of 1000 mA per square centimeter at a mere 1.72 V and operated stably over 300 h with a voltage degradation rate of 84 microvolts per hour.</w:t>
      </w:r>
    </w:p>
    <w:p>
      <w:pPr>
        <w:spacing w:before="120" w:after="120"/>
      </w:pPr>
      <w:r>
        <w:rPr>
          <w:sz w:val="18"/>
        </w:rPr>
        <w:t>——————————————————————————————————————————————————————————————————————</w:t>
      </w:r>
    </w:p>
    <w:p>
      <w:pPr>
        <w:spacing w:before="160" w:after="40" w:line="240" w:lineRule="auto"/>
      </w:pPr>
      <w:r>
        <w:rPr>
          <w:b/>
        </w:rPr>
        <w:t xml:space="preserve">[312] </w:t>
      </w:r>
      <w:hyperlink r:id="rId496">
        <w:r>
          <w:rPr>
            <w:color w:val="1155CC"/>
            <w:u w:val="single"/>
          </w:rPr>
          <w:t>[ASAP]极地混合 Perovskite,通过引入单对等电向高效和稳定的自我授权X光探测</w:t>
        </w:r>
      </w:hyperlink>
    </w:p>
    <w:p>
      <w:pPr>
        <w:spacing w:before="0" w:after="80"/>
      </w:pPr>
      <w:r>
        <w:rPr>
          <w:i/>
          <w:sz w:val="20"/>
        </w:rPr>
        <w:t>EN: [ASAP] Polar Hybrid Perovskite Obtained by Induction of Lone Pair Electrons toward Efficient and Stable Self-Powered X-ray Detection</w:t>
      </w:r>
    </w:p>
    <w:p>
      <w:pPr>
        <w:spacing w:before="0" w:after="120"/>
      </w:pPr>
      <w:r>
        <w:rPr>
          <w:b/>
        </w:rPr>
        <w:t xml:space="preserve">Source: </w:t>
      </w:r>
      <w:r>
        <w:t>ACS Energy Letters: Latest Articles (ACS Publications)</w:t>
      </w:r>
      <w:r>
        <w:t xml:space="preserve">    </w:t>
      </w:r>
      <w:r>
        <w:rPr>
          <w:b/>
        </w:rPr>
        <w:t xml:space="preserve">Pub date: </w:t>
      </w:r>
      <w:r>
        <w:t>2026-02-24 20:56:38+00:00</w:t>
      </w:r>
      <w:r>
        <w:t xml:space="preserve">    </w:t>
      </w:r>
      <w:r>
        <w:rPr>
          <w:b/>
        </w:rPr>
        <w:t xml:space="preserve">DOI: </w:t>
      </w:r>
      <w:hyperlink r:id="rId497">
        <w:r>
          <w:rPr>
            <w:color w:val="1155CC"/>
            <w:u w:val="single"/>
          </w:rPr>
          <w:t>10.1021/acsenergylett.5c03797</w:t>
        </w:r>
      </w:hyperlink>
    </w:p>
    <w:p>
      <w:pPr>
        <w:spacing w:before="0" w:after="120"/>
      </w:pPr>
      <w:r>
        <w:rPr>
          <w:b/>
        </w:rPr>
        <w:t xml:space="preserve">Notes: </w:t>
      </w:r>
      <w:r>
        <w:t>abstract_source=openalex</w:t>
      </w:r>
    </w:p>
    <w:p>
      <w:pPr>
        <w:spacing w:before="0" w:after="80" w:lineRule="auto" w:line="276"/>
      </w:pPr>
      <w:r>
        <w:rPr>
          <w:b/>
        </w:rPr>
        <w:t xml:space="preserve">摘要（ZH）: </w:t>
      </w:r>
      <w:r>
        <w:t>通过散装光伏效应(BPVE ), 极地杂交百草枯(HPs)可以实现稳定状态自我动力X射线检测,但诱发BPVE的有效策略仍然稀缺。 具体来说,用单维非极(4-MEP)HP4Pb3BR10(1, 4-MEP=4-甲基碘)作为模板,我们成功地合成了前所未有的二维(2D)极地(4-SP)HP(4-SP)4P3BR10-2H2O(2, 4-SP=4-氨基硫酚),代之以拥有单对电子的Som 原子取代了4-MEP LIGand的C原子。 具体地说,S上的单对单对电造成结构扭曲并最终在2中诱发BPVE。 因此,2在22 克V平均X光能下,271.8 μC Gy-1cm2高度敏感度下,实现高效的自我动力X射线探测。 同时,它也表现出破记录的敏感度。</w:t>
      </w:r>
    </w:p>
    <w:p>
      <w:pPr>
        <w:spacing w:before="0" w:after="200" w:lineRule="auto" w:line="276"/>
      </w:pPr>
      <w:r>
        <w:rPr>
          <w:b/>
        </w:rPr>
        <w:t xml:space="preserve">Abstract (EN): </w:t>
      </w:r>
      <w:r>
        <w:t>Polar hybrid perovskites (HPs) can achieve steady-state self-powered X-ray detection via the bulk photovoltaic effect (BPVE), but effective strategies to induce BPVE remain scarce. Herein, using one-dimensional nonpolar HP (4-MeP)4Pb3Br10 (1, 4-MeP = 4-methylaniline) as a template, we successfully synthesized an unprecedented two-dimensional (2D) polar HP (4-SP)4Pb3Br10·2H2O (2, 4-SP = 4-aminothiophenol) by replacing the C atom in the 4-MeP ligand with an S atom possessing lone pair electrons. Specifically, lone pair electrons on S cause structural distortion and ultimately induce BPVE in 2. Therefore, 2 achieves efficient self-powered X-ray detection with a high sensitivity of 271.8 μC Gy–1 cm–2 under 22 keV average X-ray energy. Meanwhile, it also exhibits a record-breaking sensitivity of 1.1 × 104 μC Gy–1 cm–2 under 31.8 V mm–1 in all 2D single-layer HPs. Importantly, 2 possesses strong ion-migration inhibition, high radiation resistance, and excellent storage stability. Our work provides a strategy for the development and application of HPs with BPVE.</w:t>
      </w:r>
    </w:p>
    <w:p>
      <w:pPr>
        <w:spacing w:before="120" w:after="120"/>
      </w:pPr>
      <w:r>
        <w:rPr>
          <w:sz w:val="18"/>
        </w:rPr>
        <w:t>——————————————————————————————————————————————————————————————————————</w:t>
      </w:r>
    </w:p>
    <w:p>
      <w:pPr>
        <w:spacing w:before="160" w:after="40" w:line="240" w:lineRule="auto"/>
      </w:pPr>
      <w:r>
        <w:rPr>
          <w:b/>
        </w:rPr>
        <w:t xml:space="preserve">[313] </w:t>
      </w:r>
      <w:hyperlink r:id="rId498">
        <w:r>
          <w:rPr>
            <w:color w:val="1155CC"/>
            <w:u w:val="single"/>
          </w:rPr>
          <w:t>周围空中行动</w:t>
        </w:r>
      </w:hyperlink>
    </w:p>
    <w:p>
      <w:pPr>
        <w:spacing w:before="0" w:after="80"/>
      </w:pPr>
      <w:r>
        <w:rPr>
          <w:i/>
          <w:sz w:val="20"/>
        </w:rPr>
        <w:t>EN: Ambient air operation</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[314] </w:t>
      </w:r>
      <w:hyperlink r:id="rId499">
        <w:r>
          <w:rPr>
            <w:color w:val="1155CC"/>
            <w:u w:val="single"/>
          </w:rPr>
          <w:t>通过将用过的LiCO2循环利用到高价值Li6CO4的一步计算战略,促进十倍再循环利润</w:t>
        </w:r>
      </w:hyperlink>
    </w:p>
    <w:p>
      <w:pPr>
        <w:spacing w:before="0" w:after="80"/>
      </w:pPr>
      <w:r>
        <w:rPr>
          <w:i/>
          <w:sz w:val="20"/>
        </w:rPr>
        <w:t>EN: Boosting tenfold recycling profit by a one-step calcination strategy for upcycling spent LiCoO2 to high-value Li6CoO4</w:t>
      </w:r>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液化钴氧化物(LiCoO2)每年消耗全球钴储备量的40%,但是,目前回收方法的利润率低,导致钴回收率极低,严重危及钴资源的可持续性。 在这里,我们制定了一个循环战略,将用过的液化二氧化碳再生为高价值的Li6COO4, 与现有回收技术相比,利润增长了7至13倍。此外,还系统地调查了再生机制和结构演变情况。 重建后的L6COO4利用了在一步骤焚化战略中形成的天然的碳富含层,在作为锂离子电池中的利加补充合力器时,提供了850毫赫克-1的不可逆转能力。</w:t>
      </w:r>
    </w:p>
    <w:p>
      <w:pPr>
        <w:spacing w:before="0" w:after="200" w:lineRule="auto" w:line="276"/>
      </w:pPr>
      <w:r>
        <w:rPr>
          <w:b/>
        </w:rPr>
        <w:t xml:space="preserve">Abstract (EN): </w:t>
      </w:r>
      <w:r>
        <w:t>Lithium cobalt oxide (LiCoO2) consumes 40% of the global cobalt reserves annually. However, the low profitability of current recycling methods results in extremely low cobalt recovery rates that seriously threaten the sustainability of cobalt resources. Here, we developed an upcycling strategy that regenerates the spent LiCoO2 to high-value Li6CoO4, offering a profit increase of 7–13 times compared with that of the existing recycling technologies. Moreover, the regeneration mechanism and structural evolution were systematically investigated. Benefiting from the naturally endowed carbon coating layer formed during the one-step calcination strategy, the reconstructed Li6CoO4 delivered an irreversible capacity of 850 mAh g−1 when used as a Li+ supplement synergist in lithium-ion batteries, outperforming the commercial Li5FeO4 counterparts by offering 40% performance improvement. Besides, it showed extraordinary air stability, retaining 96% of the capacity after 24 hours of exposure to the atmosphere. This research proposes a sustainable strategy to tackle the global challenges of cobalt recycling and supply shortages.</w:t>
      </w:r>
    </w:p>
    <w:p>
      <w:pPr>
        <w:spacing w:before="120" w:after="120"/>
      </w:pPr>
      <w:r>
        <w:rPr>
          <w:sz w:val="18"/>
        </w:rPr>
        <w:t>——————————————————————————————————————————————————————————————————————</w:t>
      </w:r>
    </w:p>
    <w:p>
      <w:pPr>
        <w:spacing w:before="160" w:after="40" w:line="240" w:lineRule="auto"/>
      </w:pPr>
      <w:r>
        <w:rPr>
          <w:b/>
        </w:rPr>
        <w:t xml:space="preserve">[315] </w:t>
      </w:r>
      <w:hyperlink r:id="rId500">
        <w:r>
          <w:rPr>
            <w:color w:val="1155CC"/>
            <w:u w:val="single"/>
          </w:rPr>
          <w:t>腐蚀变异超导体</w:t>
        </w:r>
      </w:hyperlink>
    </w:p>
    <w:p>
      <w:pPr>
        <w:spacing w:before="0" w:after="80"/>
      </w:pPr>
      <w:r>
        <w:rPr>
          <w:i/>
          <w:sz w:val="20"/>
        </w:rPr>
        <w:t>EN: Cavity-altered superconductivity</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通过设计电磁环境来改变材料的地面状态特性是否可行?受理论预测1、2、3、4、5、6、6、7、7、8、9、9、10、11、12的启发,在没有光学外引力的情况下实验性实现这种孔状控制特性的实验开始出现13、14、15、16、17、18、19。我们在这里设计并实施了一个新的平台,以实现气态改变材料。双曲范德华(VdW)化合物的单晶体提供了光态密度和突出模式限制20、21、22、23、24的共振反应电磁环境。我们将六角黄硝酸(hBN)与分子超导体-(BEDT-TTF)2Cu[N(CN)2,BR(XXXET)。红外线双曲模式(HMs)的频率(refs.25、26)与红外线-活性模式的频率相匹配。</w:t>
      </w:r>
    </w:p>
    <w:p>
      <w:pPr>
        <w:spacing w:before="0" w:after="200" w:lineRule="auto" w:line="276"/>
      </w:pPr>
      <w:r>
        <w:rPr>
          <w:b/>
        </w:rPr>
        <w:t xml:space="preserve">Abstract (EN): </w:t>
      </w:r>
      <w:r>
        <w:t>Is it feasible to alter the ground-state properties of a material by engineering its electromagnetic environment? Inspired by theoretical predictions1,2,3,4,5,6,7,8,9,10,11,12, experimental realizations of such cavity-controlled properties without optical excitation are beginning to emerge13,14,15,16,17,18,19. Here we devised and implemented a new platform to realize cavity-altered materials. Single crystals of hyperbolic van der Waals (vdW) compounds provide a resonant electromagnetic environment with enhanced density of photonic states and prominent mode confinement20,21,22,23,24. We interfaced hexagonal boron nitride (hBN) with the molecular superconductor κ-(BEDT-TTF)2Cu[N(CN)2]Br (κ-ET). The frequencies of infrared hyperbolic modes (HMs) of hBN (refs. 25,26) match the infrared-active carbon–carbon (C=C) stretching molecular resonance of κ-ET implicated in superconductivity27. Nano-optical data supported by first-principles molecular Langevin dynamics simulations confirm the presence of resonant coupling between the hBN hyperbolic cavity modes and the C=C stretching mode in κ-ET. Meissner-effect measurements using magnetic force microscopy (MFM) demonstrate a strong suppression of superfluid density near the hBN/κ-ET interface. Non-resonant control heterostructures, including RuCl3/κ-ET and hBN/Bi2Sr2CaCu2O8+x (BSCCO), do not show the pronounced superfluid suppression. These observations suggest that hBN/κ-ET realizes a cavity-altered superconducting ground state. Our work highlights the potential of dark cavities devoid of external photons for engineering electronic ground-state properties of complex quantum materials.</w:t>
      </w:r>
    </w:p>
    <w:p>
      <w:pPr>
        <w:spacing w:before="120" w:after="120"/>
      </w:pPr>
      <w:r>
        <w:rPr>
          <w:sz w:val="18"/>
        </w:rPr>
        <w:t>——————————————————————————————————————————————————————————————————————</w:t>
      </w:r>
    </w:p>
    <w:p>
      <w:pPr>
        <w:spacing w:before="160" w:after="40" w:line="240" w:lineRule="auto"/>
      </w:pPr>
      <w:r>
        <w:rPr>
          <w:b/>
        </w:rPr>
        <w:t xml:space="preserve">[316] </w:t>
      </w:r>
      <w:hyperlink r:id="rId501">
        <w:r>
          <w:rPr>
            <w:color w:val="1155CC"/>
            <w:u w:val="single"/>
          </w:rPr>
          <w:t>CLCC1 推动肝中性脂肪通量和核孔状复合组装</w:t>
        </w:r>
      </w:hyperlink>
    </w:p>
    <w:p>
      <w:pPr>
        <w:spacing w:before="0" w:after="80"/>
      </w:pPr>
      <w:r>
        <w:rPr>
          <w:i/>
          <w:sz w:val="20"/>
        </w:rPr>
        <w:t>EN: CLCC1 promotes hepatic neutral lipid flux and nuclear pore complex assembly</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脂质储存和分泌的不平衡导致肝病、肝细胞中脂肪滴子的累积、肝细胞1,2,2,我们了解将肝细胞中中性脂肪引导到细胞细胞状脂滴子或秘密脂质素的机制仍然不完全3,440。我们在这里在不同代谢状态下进行了一系列CRISPR-Cas9屏幕,导致确定CLCC1是肝细胞中中性脂肪储存和分泌的重要调节器。CLCC1的丧失导致肝脏细胞中大量脂肪滴子的积聚,而老鼠中氯1号击倒造成肝脏病。 液滴存在于Clcc1-knockout hepatocytes的顶端体中,并展示了脂质特性,表明了一种proteins。</w:t>
      </w:r>
    </w:p>
    <w:p>
      <w:pPr>
        <w:spacing w:before="0" w:after="200" w:lineRule="auto" w:line="276"/>
      </w:pPr>
      <w:r>
        <w:rPr>
          <w:b/>
        </w:rPr>
        <w:t xml:space="preserve">Abstract (EN): </w:t>
      </w:r>
      <w:r>
        <w:t>Imbalances in lipid storage and secretion lead to hepatic steatosis, the accumulation of lipid droplets in hepatocytes1,2. Our understanding of the mechanisms that govern the channelling of neutral lipids in hepatocytes towards cytosolic lipid droplets or secreted lipoproteins remains incomplete3,4. Here we performed a series of CRISPR–Cas9 screens under different metabolic states that led to the identification of CLCC1 as a critical regulator of neutral lipid storage and secretion in hepatocytes. Loss of CLCC1 resulted in the buildup of large lipid droplets in hepatoma cells and Clcc1 knockout in mice caused liver steatosis. Lipid droplets were present in the lumen of the endoplasmic reticulum of the Clcc1-knockout hepatocytes and exhibited properties of lipoproteins, indicating a profound shift in neutral lipid flux. The loss of CLCC1 also led to the accumulation of nuclear membrane herniations accompanied by a reduction in nuclear pores. Remote homology searches identified a domain in CLCC1 that is homologous to yeast Brl1 and Brr6, factors that promote nuclear envelope fusion during nuclear pore complex assembly. Molecular dynamics simulations and mutagenesis studies support a model in which CLCC1 mediates membrane bending and fusion. We propose that CLCC1 mediates membrane fusion to promote hepatic neutral lipid flux and nuclear pore complex assembly.</w:t>
      </w:r>
    </w:p>
    <w:p>
      <w:pPr>
        <w:spacing w:before="120" w:after="120"/>
      </w:pPr>
      <w:r>
        <w:rPr>
          <w:sz w:val="18"/>
        </w:rPr>
        <w:t>——————————————————————————————————————————————————————————————————————</w:t>
      </w:r>
    </w:p>
    <w:p>
      <w:pPr>
        <w:spacing w:before="160" w:after="40" w:line="240" w:lineRule="auto"/>
      </w:pPr>
      <w:r>
        <w:rPr>
          <w:b/>
        </w:rPr>
        <w:t xml:space="preserve">[317] </w:t>
      </w:r>
      <w:hyperlink r:id="rId502">
        <w:r>
          <w:rPr>
            <w:color w:val="1155CC"/>
            <w:u w:val="single"/>
          </w:rPr>
          <w:t>Spototomor结合的利硫代亚热带框架能够使极可逆和长寿命1 200 WH L-1 Li-Metet邮袋电池具有高度可逆性和长寿命1 200 WH L-1</w:t>
        </w:r>
      </w:hyperlink>
    </w:p>
    <w:p>
      <w:pPr>
        <w:spacing w:before="0" w:after="80"/>
      </w:pPr>
      <w:r>
        <w:rPr>
          <w:i/>
          <w:sz w:val="20"/>
        </w:rPr>
        <w:t>EN: Spatiotemporally coupled lithiotropic framework enables highly reversible and long-life 1,200 Wh L−1 Li-metal pouch cell</w:t>
      </w:r>
    </w:p>
    <w:p>
      <w:pPr>
        <w:spacing w:before="0" w:after="120"/>
      </w:pPr>
      <w:r>
        <w:rPr>
          <w:b/>
        </w:rPr>
        <w:t xml:space="preserve">Source: </w:t>
      </w:r>
      <w:r>
        <w:t>Joule</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通过同时建造静态的上表性利硫代亚交界面、动态利硫代嵌入种子和SEIs,提议了相吸合的利硫代亚相交框架,优化了在板状基底、大片阶段和SEI的李吸附、迁移和传播,控制了多尺度稠密的利核核核和生长三角体,优化了超直线阴极的可逆性,这些结构有效地改善了利金属电池的速率性能和周期寿命,使得能够在微型无人机中实际应用 &gt; 1,200Wh L-1微型高能邮袋细胞。</w:t>
      </w:r>
    </w:p>
    <w:p>
      <w:pPr>
        <w:spacing w:before="0" w:after="200" w:lineRule="auto" w:line="276"/>
      </w:pPr>
      <w:r>
        <w:rPr>
          <w:b/>
        </w:rPr>
        <w:t xml:space="preserve">Abstract (EN): </w:t>
      </w:r>
      <w:r>
        <w:t>Spatiotemporally coupled lithiotropic frameworks are proposed by simultaneously constructing a static epitaxial lithiotropic interface, dynamic lithiotropic embedded seeds, and SEIs. This optimizes Li adsorption, migration, and diffusion at plated substrate, bulk phase, and SEI, controlling multi-scale dense Li nucleation and growth tropism and optimizing the reversibility of ultrathin anodes. Such structures effectively improve the rate performance and cycle life of Li-metal batteries, enabling the practical application of &gt;1,200 Wh L−1 miniature high-energy pouch cells in micro-UAVs.</w:t>
      </w:r>
    </w:p>
    <w:p>
      <w:pPr>
        <w:spacing w:before="120" w:after="120"/>
      </w:pPr>
      <w:r>
        <w:rPr>
          <w:sz w:val="18"/>
        </w:rPr>
        <w:t>——————————————————————————————————————————————————————————————————————</w:t>
      </w:r>
    </w:p>
    <w:p>
      <w:pPr>
        <w:spacing w:before="160" w:after="40" w:line="240" w:lineRule="auto"/>
      </w:pPr>
      <w:r>
        <w:rPr>
          <w:b/>
        </w:rPr>
        <w:t xml:space="preserve">[318] </w:t>
      </w:r>
      <w:hyperlink r:id="rId503">
        <w:r>
          <w:rPr>
            <w:color w:val="1155CC"/>
            <w:u w:val="single"/>
          </w:rPr>
          <w:t>有机太阳能电池节能超过20.7%的阴极间材料双分子对等剂量战略</w:t>
        </w:r>
      </w:hyperlink>
    </w:p>
    <w:p>
      <w:pPr>
        <w:spacing w:before="0" w:after="80"/>
      </w:pPr>
      <w:r>
        <w:rPr>
          <w:i/>
          <w:sz w:val="20"/>
        </w:rPr>
        <w:t>EN: Dual-molecule Reciprocal Doping Strategy for Cathode Interfacial Materials Enabling Over 20.7% Efficiency in Organic Solar Cells</w:t>
      </w:r>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有机太阳能电池(OSCs)中溶解处理的阴极间隙材料(CIMs)本身具有有限的传导和电荷转移能力,这反过来限制了设备的效率。在本研究报告中,我们报告了一种双叠的CIMs(PDINN-CNT2N),即PDINNN-CNT2N,它通过对等剂量战略将有机PDINNN与含碳纳米管结合起来。这一战略利用分子内部自制和分子间对等剂量来显著提高CIMs的电子密度和电荷传输特性。与此同时,分子间相互作用有效地优化分子组装,从而增强电影中的电子流动性。利用PDINN-CNT2N CIM的OSCs展示了更高的导力和电动性,whh。</w:t>
      </w:r>
    </w:p>
    <w:p>
      <w:pPr>
        <w:spacing w:before="0" w:after="200" w:lineRule="auto" w:line="276"/>
      </w:pPr>
      <w:r>
        <w:rPr>
          <w:b/>
        </w:rPr>
        <w:t xml:space="preserve">Abstract (EN): </w:t>
      </w:r>
      <w:r>
        <w:t>Solution-processabled cathode interfacial materials (CIMs) in organic solar cells (OSCs) inherently suffer from limited conductivity and charge transfer capabilities, which in turn restrict device efficiency. In this study, we report a double-doped CIMs, PDINN-CNT2N, which combines organic PDINN with aminated carbon nanotubes through reciprocal doping strategy. This strategy leverages intramolecular self-doping and intermolecular reciprocal doping between the two components to markedly enhance the electron density and charge transport properties of CIMs. Simultaneously, the intermolecular interactions effectively optimize molecular assembly, thereby reinforcing the electron mobility within the films. OSCs utilizing PDINN-CNT2N CIM demonstrate improved conductivity and electron mobility, while also reducing the charge recombination. Consequently, OSCs based on binary D18:L8-BO achieve an efficiency of 20.05% with superior stability. The widespread applicability of this strategy is further confirmed across additional CNT2N-based CIMs and various active layer systems, significantly enhancing the efficiency to 20.72% (certified as 20.33%) in the ternary system. The study provides essential insights into molecular synergistic doping and presents a universal approach for designing high-performance CIMs that are suitable for scalable solution processing.</w:t>
      </w:r>
    </w:p>
    <w:p>
      <w:pPr>
        <w:spacing w:before="120" w:after="120"/>
      </w:pPr>
      <w:r>
        <w:rPr>
          <w:sz w:val="18"/>
        </w:rPr>
        <w:t>——————————————————————————————————————————————————————————————————————</w:t>
      </w:r>
    </w:p>
    <w:p>
      <w:pPr>
        <w:spacing w:before="160" w:after="40" w:line="240" w:lineRule="auto"/>
      </w:pPr>
      <w:r>
        <w:rPr>
          <w:b/>
        </w:rPr>
        <w:t xml:space="preserve">[319] </w:t>
      </w:r>
      <w:hyperlink r:id="rId504">
        <w:r>
          <w:rPr>
            <w:color w:val="1155CC"/>
            <w:u w:val="single"/>
          </w:rPr>
          <w:t>在可充电锌-空气电池中, 2- 对 4 条ERR 的对 4 条e- 路径</w:t>
        </w:r>
      </w:hyperlink>
    </w:p>
    <w:p>
      <w:pPr>
        <w:spacing w:before="0" w:after="80"/>
      </w:pPr>
      <w:r>
        <w:rPr>
          <w:i/>
          <w:sz w:val="20"/>
        </w:rPr>
        <w:t>EN: The 2e- vs. 4e- Pathways for ORR in Rechargeable Zinc-Air Batteries</w:t>
      </w:r>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锌-空气电池(Zinc-air 蓄电池)是可持续能源储存最有希望的技术之一,具有1086 WHK-1的高理论能源密度,远远超过常规锂离子系统,但是,由于传统的四电子(4e-)减少氧气反应(ORR)的内在效率低下,受到动能缓慢和有害的寄生虫反应的影响,这些电池普遍商业化受到严重阻碍。</w:t>
      </w:r>
    </w:p>
    <w:p>
      <w:pPr>
        <w:spacing w:before="0" w:after="200" w:lineRule="auto" w:line="276"/>
      </w:pPr>
      <w:r>
        <w:rPr>
          <w:b/>
        </w:rPr>
        <w:t xml:space="preserve">Abstract (EN): </w:t>
      </w:r>
      <w:r>
        <w:t>Zinc-air batteries (ZABs) represent one of the most promising technologies for sustainable energy storage, boasting a high theoretical energy density of 1086 Wh kg-1 that far exceeds that of conventional lithium-ion systems. However, their widespread commercialization has been critically impeded by the inherent inefficiencies of the traditional four-electron (4e-) oxygen reduction reaction (ORR), which suffers from sluggish kinetics and detrimental parasitic side reactions. This comprehensive review urgently addresses these challenges by delineating a paradigm shift toward the emerging two-electron (2e-) ORR pathway—a transformative strategy that not only circumvents long-standing limitations but also unlocks new opportunities for high-performance metal-air batteries. By elucidating fundamental mechanistic distinctions between 2e- and 4e- ORR processes and providing actionable design principles for advanced electrolytes, catalysts, and electrode architectures, this work lays a foundational roadmap for next-generation ZABs. Furthermore, we highlight compelling research directions—including atomic-scale catalyst engineering, tailored electrode nanoarchitectures, and scalable manufacturing routes—that are essential to accelerating the development of efficient and durable zinc-air battery (ZAB) systems. Given the rapid advancements in materials science and increasing global demand for economical energy storage, this review arrives at a pivotal moment, offering critical insights that may catalyze explosive growth in this emerging field.</w:t>
      </w:r>
    </w:p>
    <w:p>
      <w:pPr>
        <w:spacing w:before="120" w:after="120"/>
      </w:pPr>
      <w:r>
        <w:rPr>
          <w:sz w:val="18"/>
        </w:rPr>
        <w:t>——————————————————————————————————————————————————————————————————————</w:t>
      </w:r>
    </w:p>
    <w:p>
      <w:pPr>
        <w:spacing w:before="160" w:after="40" w:line="240" w:lineRule="auto"/>
      </w:pPr>
      <w:r>
        <w:rPr>
          <w:b/>
        </w:rPr>
        <w:t xml:space="preserve">[320] </w:t>
      </w:r>
      <w:hyperlink r:id="rId505">
        <w:r>
          <w:rPr>
            <w:color w:val="1155CC"/>
            <w:u w:val="single"/>
          </w:rPr>
          <w:t>用作气流整流调节器的 ANGström 比例的 Janus 孔径</w:t>
        </w:r>
      </w:hyperlink>
    </w:p>
    <w:p>
      <w:pPr>
        <w:spacing w:before="0" w:after="80"/>
      </w:pPr>
      <w:r>
        <w:rPr>
          <w:i/>
          <w:sz w:val="20"/>
        </w:rPr>
        <w:t>EN: An ångström-scale Janus aperture as a gas flow rectifier</w:t>
      </w:r>
    </w:p>
    <w:p>
      <w:pPr>
        <w:spacing w:before="0" w:after="120"/>
      </w:pPr>
      <w:r>
        <w:rPr>
          <w:b/>
        </w:rPr>
        <w:t xml:space="preserve">Source: </w:t>
      </w:r>
      <w:r>
        <w:t>Nature Materials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封闭空间的定向大众迁移对生命和水 — — 能源 — — 环境关系至关重要。 尽管在理解生物和设计原子规模的人工离子二极管方面取得了进展,但纠正中电荷分子流仍然是一个挑战。 在这里,我们探索如何在石墨中通过由反馈控制的臭氧蚀刻和含氧功能组不均匀分布在边缘地带所形成的纳格斯特伦(Öngström)大小的Janus孔径进行气流。 测量了10种具有代表性的气,分子的成分、形状和大小各不相同。 渗透系数表明能源屏障的迁移。 不断观察到包括克里普顿、xenon、氢、氧、氮、木炭在内的七种不同物种的改良流。</w:t>
      </w:r>
    </w:p>
    <w:p>
      <w:pPr>
        <w:spacing w:before="0" w:after="200" w:lineRule="auto" w:line="276"/>
      </w:pPr>
      <w:r>
        <w:rPr>
          <w:b/>
        </w:rPr>
        <w:t xml:space="preserve">Abstract (EN): </w:t>
      </w:r>
      <w:r>
        <w:t>Directional mass transport in confined space is crucial to life and the water–energy–environment nexus. Despite progress in understanding biological and designing artificial ionic diodes at the atomic scale, rectifying charge-neutral molecular flow remains a challenge. Here we explore gas transport through an ångström-sized Janus aperture in graphene, which is created by feedback-controlled ozone etching and features oxygen-containing functional groups asymmetrically distributed around the edge. Ten representative gases with molecules of varying compositions, shapes and sizes were measured. The permeation coefficients indicate energy barrier-controlled transport. Rectified flow was consistently observed for seven different species including krypton, xenon, hydrogen, oxygen, nitrogen, carbon dioxide and nitrous oxide, with rectification ratios of up to two orders of magnitude for oxygen. We also performed high-throughput density functional theory calculations, obtaining energy barriers that vary distinctly as the flow direction is flipped, in agreement with experimental measurements and ab initio molecular dynamics simulations. We reveal the impact of the molecular polarizability on the rectified gas flow, while the important role of dipole and higher-order moments remains to be elucidated.</w:t>
      </w:r>
    </w:p>
    <w:p>
      <w:pPr>
        <w:spacing w:before="120" w:after="120"/>
      </w:pPr>
      <w:r>
        <w:rPr>
          <w:sz w:val="18"/>
        </w:rPr>
        <w:t>——————————————————————————————————————————————————————————————————————</w:t>
      </w:r>
    </w:p>
    <w:p>
      <w:pPr>
        <w:spacing w:before="160" w:after="40" w:line="240" w:lineRule="auto"/>
      </w:pPr>
      <w:r>
        <w:rPr>
          <w:b/>
        </w:rPr>
        <w:t xml:space="preserve">[321] </w:t>
      </w:r>
      <w:hyperlink r:id="rId506">
        <w:r>
          <w:rPr>
            <w:color w:val="1155CC"/>
            <w:u w:val="single"/>
          </w:rPr>
          <w:t>采用综合空间和多标准决定分析的CO2捕获和电化学转换系统符合情景的选址框架</w:t>
        </w:r>
      </w:hyperlink>
    </w:p>
    <w:p>
      <w:pPr>
        <w:spacing w:before="0" w:after="80"/>
      </w:pPr>
      <w:r>
        <w:rPr>
          <w:i/>
          <w:sz w:val="20"/>
        </w:rPr>
        <w:t>EN: A scenario-responsive siting framework of CO₂ capture and electrochemical conversion systems using integrated spatial and multi-criteria decision analysis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[322] </w:t>
      </w:r>
      <w:hyperlink r:id="rId507">
        <w:r>
          <w:rPr>
            <w:color w:val="1155CC"/>
            <w:u w:val="single"/>
          </w:rPr>
          <w:t>一个瓦子尺度的光电子装置解锁了单立体3D集成</w:t>
        </w:r>
      </w:hyperlink>
    </w:p>
    <w:p>
      <w:pPr>
        <w:spacing w:before="0" w:after="80"/>
      </w:pPr>
      <w:r>
        <w:rPr>
          <w:i/>
          <w:sz w:val="20"/>
        </w:rPr>
        <w:t>EN: A wafer-scale optoelectronic device unlocks monolithic 3D integration</w:t>
      </w:r>
    </w:p>
    <w:p>
      <w:pPr>
        <w:spacing w:before="0" w:after="120"/>
      </w:pPr>
      <w:r>
        <w:rPr>
          <w:b/>
        </w:rPr>
        <w:t xml:space="preserve">Source: </w:t>
      </w:r>
      <w:r>
        <w:t>Nature Nanotechnology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[323] </w:t>
      </w:r>
      <w:hyperlink r:id="rId508">
        <w:r>
          <w:rPr>
            <w:color w:val="1155CC"/>
            <w:u w:val="single"/>
          </w:rPr>
          <w:t>在DESI DD2之后的昆托姆暗能量理论</w:t>
        </w:r>
      </w:hyperlink>
    </w:p>
    <w:p>
      <w:pPr>
        <w:spacing w:before="0" w:after="80"/>
      </w:pPr>
      <w:r>
        <w:rPr>
          <w:i/>
          <w:sz w:val="20"/>
        </w:rPr>
        <w:t>EN: The Quintom theory of dark energy after DESI DR2</w:t>
      </w:r>
    </w:p>
    <w:p>
      <w:pPr>
        <w:spacing w:before="0" w:after="120"/>
      </w:pPr>
      <w:r>
        <w:rPr>
          <w:b/>
        </w:rPr>
        <w:t xml:space="preserve">Source: </w:t>
      </w:r>
      <w:r>
        <w:t>National Science Review Advance Access</w:t>
      </w:r>
      <w:r>
        <w:t xml:space="preserve">    </w:t>
      </w:r>
      <w:r>
        <w:rPr>
          <w:b/>
        </w:rPr>
        <w:t xml:space="preserve">Pub date: </w:t>
      </w:r>
      <w:r>
        <w:t>2026-02-25 00:00:00+00:00</w:t>
      </w:r>
      <w:r>
        <w:t xml:space="preserve">    </w:t>
      </w:r>
      <w:r>
        <w:rPr>
          <w:b/>
        </w:rPr>
        <w:t xml:space="preserve">DOI: </w:t>
      </w:r>
      <w:hyperlink r:id="rId509">
        <w:r>
          <w:rPr>
            <w:color w:val="1155CC"/>
            <w:u w:val="single"/>
          </w:rPr>
          <w:t>10.1093/nsr/nwag115/8497412</w:t>
        </w:r>
      </w:hyperlink>
    </w:p>
    <w:p>
      <w:pPr>
        <w:spacing w:before="0" w:after="120"/>
      </w:pPr>
      <w:r>
        <w:rPr>
          <w:b/>
        </w:rPr>
        <w:t xml:space="preserve">Notes: </w:t>
      </w:r>
      <w:r>
        <w:t>abstract_source=rss_oup</w:t>
      </w:r>
    </w:p>
    <w:p>
      <w:pPr>
        <w:spacing w:before="0" w:after="80" w:lineRule="auto" w:line="276"/>
      </w:pPr>
      <w:r>
        <w:rPr>
          <w:b/>
        </w:rPr>
        <w:t xml:space="preserve">摘要（ZH）: </w:t>
      </w:r>
      <w:r>
        <w:t>暗能量光谱仪器数据发布2(DESI DD2)的观测表明,暗能量的方程参数在</w:t>
      </w:r>
    </w:p>
    <w:p>
      <w:pPr>
        <w:spacing w:before="0" w:after="200" w:lineRule="auto" w:line="276"/>
      </w:pPr>
      <w:r>
        <w:rPr>
          <w:b/>
        </w:rPr>
        <w:t xml:space="preserve">Abstract (EN): </w:t>
      </w:r>
      <w:r>
        <w:t>Observations from The Dark Energy Spectroscopic Instrument Data Release 2 (DESI DR2) are challenging the Λ Cold Dark Matter (ΛCDM) paradigm by suggesting that the equation-of-state parameter of dark energy evolves across w</w:t>
      </w:r>
    </w:p>
    <w:p>
      <w:pPr>
        <w:spacing w:before="120" w:after="120"/>
      </w:pPr>
      <w:r>
        <w:rPr>
          <w:sz w:val="18"/>
        </w:rPr>
        <w:t>——————————————————————————————————————————————————————————————————————</w:t>
      </w:r>
    </w:p>
    <w:p>
      <w:pPr>
        <w:spacing w:before="160" w:after="40" w:line="240" w:lineRule="auto"/>
      </w:pPr>
      <w:r>
        <w:rPr>
          <w:b/>
        </w:rPr>
        <w:t xml:space="preserve">[324] </w:t>
      </w:r>
      <w:hyperlink r:id="rId510">
        <w:r>
          <w:rPr>
            <w:color w:val="1155CC"/>
            <w:u w:val="single"/>
          </w:rPr>
          <w:t>卤素生物合成基因的跨部转移有助于高纬度环境中的适应</w:t>
        </w:r>
      </w:hyperlink>
    </w:p>
    <w:p>
      <w:pPr>
        <w:spacing w:before="0" w:after="80"/>
      </w:pPr>
      <w:r>
        <w:rPr>
          <w:i/>
          <w:sz w:val="20"/>
        </w:rPr>
        <w:t>EN: Cross-domain transfer of trehalose biosynthesis genes contributes to adaptation in high-altitude environments</w:t>
      </w:r>
    </w:p>
    <w:p>
      <w:pPr>
        <w:spacing w:before="0" w:after="120"/>
      </w:pPr>
      <w:r>
        <w:rPr>
          <w:b/>
        </w:rPr>
        <w:t xml:space="preserve">Source: </w:t>
      </w:r>
      <w:r>
        <w:t>National Science Review Advance Access</w:t>
      </w:r>
      <w:r>
        <w:t xml:space="preserve">    </w:t>
      </w:r>
      <w:r>
        <w:rPr>
          <w:b/>
        </w:rPr>
        <w:t xml:space="preserve">Pub date: </w:t>
      </w:r>
      <w:r>
        <w:t>2026-02-25 00:00:00+00:00</w:t>
      </w:r>
      <w:r>
        <w:t xml:space="preserve">    </w:t>
      </w:r>
      <w:r>
        <w:rPr>
          <w:b/>
        </w:rPr>
        <w:t xml:space="preserve">DOI: </w:t>
      </w:r>
      <w:hyperlink r:id="rId511">
        <w:r>
          <w:rPr>
            <w:color w:val="1155CC"/>
            <w:u w:val="single"/>
          </w:rPr>
          <w:t>10.1093/nsr/nwag117/8497410</w:t>
        </w:r>
      </w:hyperlink>
    </w:p>
    <w:p>
      <w:pPr>
        <w:spacing w:before="0" w:after="120"/>
      </w:pPr>
      <w:r>
        <w:rPr>
          <w:b/>
        </w:rPr>
        <w:t xml:space="preserve">Notes: </w:t>
      </w:r>
      <w:r>
        <w:t>abstract_source=rss_oup</w:t>
      </w:r>
    </w:p>
    <w:p>
      <w:pPr>
        <w:spacing w:before="0" w:after="80" w:lineRule="auto" w:line="276"/>
      </w:pPr>
      <w:r>
        <w:rPr>
          <w:b/>
        </w:rPr>
        <w:t xml:space="preserve">摘要（ZH）: </w:t>
      </w:r>
      <w:r>
        <w:t>高高度对生物构成极端的生存挑战,然而,其抗御能力所依据的起源和分子战略仍不为人所知。 我们在此报告Apourosomomoida的抗应力所依据的分子和进化机制。</w:t>
      </w:r>
    </w:p>
    <w:p>
      <w:pPr>
        <w:spacing w:before="0" w:after="200" w:lineRule="auto" w:line="276"/>
      </w:pPr>
      <w:r>
        <w:rPr>
          <w:b/>
        </w:rPr>
        <w:t xml:space="preserve">Abstract (EN): </w:t>
      </w:r>
      <w:r>
        <w:t>High altitudes pose extreme survival challenges for organisms, yet the origins and molecular strategies underlying their resilience remain poorly understood. Here, we report the molecular and evolutionary mechanisms underlying stress resilience in Apourosomoida</w:t>
      </w:r>
    </w:p>
    <w:p>
      <w:pPr>
        <w:spacing w:before="120" w:after="120"/>
      </w:pPr>
      <w:r>
        <w:rPr>
          <w:sz w:val="18"/>
        </w:rPr>
        <w:t>——————————————————————————————————————————————————————————————————————</w:t>
      </w:r>
    </w:p>
    <w:p>
      <w:pPr>
        <w:spacing w:before="160" w:after="40" w:line="240" w:lineRule="auto"/>
      </w:pPr>
      <w:r>
        <w:rPr>
          <w:b/>
        </w:rPr>
        <w:t xml:space="preserve">[325] </w:t>
      </w:r>
      <w:hyperlink r:id="rId512">
        <w:r>
          <w:rPr>
            <w:color w:val="1155CC"/>
            <w:u w:val="single"/>
          </w:rPr>
          <w:t>平衡吸附</w:t>
        </w:r>
      </w:hyperlink>
    </w:p>
    <w:p>
      <w:pPr>
        <w:spacing w:before="0" w:after="80"/>
      </w:pPr>
      <w:r>
        <w:rPr>
          <w:i/>
          <w:sz w:val="20"/>
        </w:rPr>
        <w:t>EN: Balancing adsorption</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[326] </w:t>
      </w:r>
      <w:hyperlink r:id="rId513">
        <w:r>
          <w:rPr>
            <w:color w:val="1155CC"/>
            <w:u w:val="single"/>
          </w:rPr>
          <w:t>对活性神经固体中自发故障的地形控制</w:t>
        </w:r>
      </w:hyperlink>
    </w:p>
    <w:p>
      <w:pPr>
        <w:spacing w:before="0" w:after="80"/>
      </w:pPr>
      <w:r>
        <w:rPr>
          <w:i/>
          <w:sz w:val="20"/>
        </w:rPr>
        <w:t>EN: Topological control of spontaneous failure in active nematic solids</w:t>
      </w:r>
    </w:p>
    <w:p>
      <w:pPr>
        <w:spacing w:before="0" w:after="120"/>
      </w:pPr>
      <w:r>
        <w:rPr>
          <w:b/>
        </w:rPr>
        <w:t xml:space="preserve">Source: </w:t>
      </w:r>
      <w:r>
        <w:t>Nature Materials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使用能量流入生成非平衡力的活性固体体会自发发生机械故障,但不知地形缺陷如何集中内部压力和控制活性材料的断裂。在这里,我们组装了一个重构的二维Asomoysin网络,它缺乏流动性,但具有无线秩序和网络弹性。令人惊讶的是,我们发现相互作用的多缺陷配置,特别是两个+1/2和两个-1/2缺陷的缺陷四极体,起着关键的作用。将实验数据与一个活跃的固体断裂模型结合起来,我们证明一个相互对面的+1/2缺陷头四极可以触发裂开和物质撕裂。同时,尾部四极体与相互对立的+1/2缺陷驱动着一个瞬间丝状体。</w:t>
      </w:r>
    </w:p>
    <w:p>
      <w:pPr>
        <w:spacing w:before="0" w:after="200" w:lineRule="auto" w:line="276"/>
      </w:pPr>
      <w:r>
        <w:rPr>
          <w:b/>
        </w:rPr>
        <w:t xml:space="preserve">Abstract (EN): </w:t>
      </w:r>
      <w:r>
        <w:t>Active solids using energy influx to generate non-equilibrium forces undergo spontaneous mechanical failure, but how topological defects concentrate internal stresses and control breakage in active materials is unknown. Here we assemble a reconstituted two-dimensional actomyosin network that lacks fluidity but exhibits nematic order and network elasticity. Surprisingly, we found that interacting multidefect configurations, especially defect quadrupoles with two +1/2 and two −1/2 defects, play a crucial role. Combining experimental data with an active solid fracture model, we demonstrate that a head quadrupole with mutually facing +1/2 defects can trigger crack opening and material tearing. Meanwhile, tail quadrupoles with mutually opposing +1/2 defects drive transient filament clustering and condenses into asters. We establish a deep learning model to predict the eventual aster formation from the initial topological structures. Our work uncovers a defect-mediated mechanism for spontaneous failure in active solids and provides topological design principles for controlling targeted damage in soft and living systems across scales.</w:t>
      </w:r>
    </w:p>
    <w:p>
      <w:pPr>
        <w:spacing w:before="120" w:after="120"/>
      </w:pPr>
      <w:r>
        <w:rPr>
          <w:sz w:val="18"/>
        </w:rPr>
        <w:t>——————————————————————————————————————————————————————————————————————</w:t>
      </w:r>
    </w:p>
    <w:p>
      <w:pPr>
        <w:spacing w:before="160" w:after="40" w:line="240" w:lineRule="auto"/>
      </w:pPr>
      <w:r>
        <w:rPr>
          <w:b/>
        </w:rPr>
        <w:t xml:space="preserve">[327] </w:t>
      </w:r>
      <w:hyperlink r:id="rId514">
        <w:r>
          <w:rPr>
            <w:color w:val="1155CC"/>
            <w:u w:val="single"/>
          </w:rPr>
          <w:t>离子如何将水挤出N型梯级有机混合导体</w:t>
        </w:r>
      </w:hyperlink>
    </w:p>
    <w:p>
      <w:pPr>
        <w:spacing w:before="0" w:after="80"/>
      </w:pPr>
      <w:r>
        <w:rPr>
          <w:i/>
          <w:sz w:val="20"/>
        </w:rPr>
        <w:t>EN: How ions squeeze water out of n-type ladder organic mixed conductors</w:t>
      </w:r>
    </w:p>
    <w:p>
      <w:pPr>
        <w:spacing w:before="0" w:after="120"/>
      </w:pPr>
      <w:r>
        <w:rPr>
          <w:b/>
        </w:rPr>
        <w:t xml:space="preserve">Source: </w:t>
      </w:r>
      <w:r>
        <w:t>Nature Materials</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[328] </w:t>
      </w:r>
      <w:hyperlink r:id="rId515">
        <w:r>
          <w:rPr>
            <w:color w:val="1155CC"/>
            <w:u w:val="single"/>
          </w:rPr>
          <w:t>固体气中继</w:t>
        </w:r>
      </w:hyperlink>
    </w:p>
    <w:p>
      <w:pPr>
        <w:spacing w:before="0" w:after="80"/>
      </w:pPr>
      <w:r>
        <w:rPr>
          <w:i/>
          <w:sz w:val="20"/>
        </w:rPr>
        <w:t>EN: The solid–gas interphase</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[329] </w:t>
      </w:r>
      <w:hyperlink r:id="rId516">
        <w:r>
          <w:rPr>
            <w:color w:val="1155CC"/>
            <w:u w:val="single"/>
          </w:rPr>
          <w:t>使用LaMn1-xCuxO3对乙烷进行光催化脱氢,生产乙烯</w:t>
        </w:r>
      </w:hyperlink>
    </w:p>
    <w:p>
      <w:pPr>
        <w:spacing w:before="0" w:after="80"/>
      </w:pPr>
      <w:r>
        <w:rPr>
          <w:i/>
          <w:sz w:val="20"/>
        </w:rPr>
        <w:t>EN: Publisher Correction: Ethylene production via photocatalytic dehydrogenation of ethane using LaMn1−xCuxO3</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[330] </w:t>
      </w:r>
      <w:hyperlink r:id="rId517">
        <w:r>
          <w:rPr>
            <w:color w:val="1155CC"/>
            <w:u w:val="single"/>
          </w:rPr>
          <w:t>纳米zymes能实现的比酶多吗?</w:t>
        </w:r>
      </w:hyperlink>
    </w:p>
    <w:p>
      <w:pPr>
        <w:spacing w:before="0" w:after="80"/>
      </w:pPr>
      <w:r>
        <w:rPr>
          <w:i/>
          <w:sz w:val="20"/>
        </w:rPr>
        <w:t>EN: Can nanozymes achieve more than enzymes?</w:t>
      </w:r>
    </w:p>
    <w:p>
      <w:pPr>
        <w:spacing w:before="0" w:after="120"/>
      </w:pPr>
      <w:r>
        <w:rPr>
          <w:b/>
        </w:rPr>
        <w:t xml:space="preserve">Source: </w:t>
      </w:r>
      <w:r>
        <w:t>Nature Reviews Materials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从这一角度,我们研究纳米酶的材料设计如何促成生物系统无法进入的催化行为,包括在非生物环境中的活动,促进非自然反应,以及将多种催化功能纳入单一纳米结构。通过对物理化学参数的纳米控制和对关键酶结构的模拟,纳米酶可以实现细微的金枪鱼活动和选择性。</w:t>
      </w:r>
    </w:p>
    <w:p>
      <w:pPr>
        <w:spacing w:before="0" w:after="200" w:lineRule="auto" w:line="276"/>
      </w:pPr>
      <w:r>
        <w:rPr>
          <w:b/>
        </w:rPr>
        <w:t xml:space="preserve">Abstract (EN): </w:t>
      </w:r>
      <w:r>
        <w:t>Nanozymes have progressed from simple enzyme mimics to a versatile class of artificial catalysts that expand functionality beyond the reach of natural enzymes. In this Perspective, we examine how the materials design of nanozymes enables catalytic behaviours that are inaccessible to biological systems, including activity in non-biological environments, promotion of non-natural reactions and the integration of multiple catalytic functions within a single nanostructure. Through nanoscale control over physicochemical parameters and emulation of key enzyme architectures, nanozymes can achieve finely tunable activity and selectivity. Facile surface functionalization and inherent electrical connectivity further enhance their performance in complex systems. Collectively, these attributes extend catalysis beyond the constraints of natural enzymes, driving innovations in an array of different fields, including biomedicine, agriculture, environmental remediation and energy conversion.</w:t>
      </w:r>
    </w:p>
    <w:p>
      <w:pPr>
        <w:spacing w:before="120" w:after="120"/>
      </w:pPr>
      <w:r>
        <w:rPr>
          <w:sz w:val="18"/>
        </w:rPr>
        <w:t>——————————————————————————————————————————————————————————————————————</w:t>
      </w:r>
    </w:p>
    <w:p>
      <w:pPr>
        <w:spacing w:before="160" w:after="40" w:line="240" w:lineRule="auto"/>
      </w:pPr>
      <w:r>
        <w:rPr>
          <w:b/>
        </w:rPr>
        <w:t xml:space="preserve">[331] </w:t>
      </w:r>
      <w:hyperlink r:id="rId518">
        <w:r>
          <w:rPr>
            <w:color w:val="1155CC"/>
            <w:u w:val="single"/>
          </w:rPr>
          <w:t>与STMT进行实地引起的反应的检验限制</w:t>
        </w:r>
      </w:hyperlink>
    </w:p>
    <w:p>
      <w:pPr>
        <w:spacing w:before="0" w:after="80"/>
      </w:pPr>
      <w:r>
        <w:rPr>
          <w:i/>
          <w:sz w:val="20"/>
        </w:rPr>
        <w:t>EN: Limitations of probing field-induced response with STM</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[332] </w:t>
      </w:r>
      <w:hyperlink r:id="rId519">
        <w:r>
          <w:rPr>
            <w:color w:val="1155CC"/>
            <w:u w:val="single"/>
          </w:rPr>
          <w:t>实现空间兼容的千伏夫斯基太阳能电池:热抗冲击和近空间气球测试准则</w:t>
        </w:r>
      </w:hyperlink>
    </w:p>
    <w:p>
      <w:pPr>
        <w:spacing w:before="0" w:after="80"/>
      </w:pPr>
      <w:r>
        <w:rPr>
          <w:i/>
          <w:sz w:val="20"/>
        </w:rPr>
        <w:t>EN: Towards space compatible perovskite solar cells: guidelines for thermal shock resilience and near space balloon testing</w:t>
      </w:r>
    </w:p>
    <w:p>
      <w:pPr>
        <w:spacing w:before="0" w:after="120"/>
      </w:pPr>
      <w:r>
        <w:rPr>
          <w:b/>
        </w:rPr>
        <w:t xml:space="preserve">Source: </w:t>
      </w:r>
      <w:r>
        <w:t>RSC - Energy Environ. Sci.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Perovskite太阳能电池(PSCs)由于效率高、辐射耐受度高、电力对质量比率高,是空间应用的有前景的候选体,然而,严酷的空间环境带来了来自轨道快速温度转换的热冲击(TS)等压力因素,而这种压力是仍在探索中的一种降解模式,这一研究调查了在低地球轨道运行的太阳能电池在低地球轨道上实际运行所经历的实际运行温度状况,揭示了快速和极端的温度变化。根据这些调查结果,我们制定了加速的TS测试协议,将PSC装置在-80°C和+80°C之间循环,以100个周期16°C min-1的快速坡道速速度,旨在复制和扩大实际轨道热循环所引发的压力。我们利用FAPbI3作为示范系统。</w:t>
      </w:r>
    </w:p>
    <w:p>
      <w:pPr>
        <w:spacing w:before="0" w:after="200" w:lineRule="auto" w:line="276"/>
      </w:pPr>
      <w:r>
        <w:rPr>
          <w:b/>
        </w:rPr>
        <w:t xml:space="preserve">Abstract (EN): </w:t>
      </w:r>
      <w:r>
        <w:t>Perovskite solar cells (PSCs) are promising candidates for space applications due to their high efficiency, radiation tolerance, and high power-to-mass ratio. However, the harsh space environment introduces stressors such as thermal shock (TS) from rapid temperature transitions in orbit, a degradation mode that remains underexplored. This study investigated the real operating temperature profiles experienced by solar cells orbiting in low Earth orbit, revealing rapid and extreme temperature transitions. Based on these findings, we developed an accelerated TS testing protocol, cycling PSC devices between −80 °C and +80 °C at a rapid ramp rate of 16 °C min−1 for 100 cycles, designed to replicate and amplify the stresses induced by actual orbital thermal cycles. Using FAPbI3 as a model system, we explored the impact of varying concentrations of MAPbBr3 (0–7%) on the perovskite film's structural stability under this accelerated TS. Our results indicate that an intermediate MAPbBr3 incorporation level (specifically 5%) most effectively suppresses microstrain and the formation of the detrimental δ-phase after TS exposure. To validate our laboratory findings under near-space conditions, we conducted a comparative high-altitude balloon test at 35 km. These findings establish TS as a critical testing framework for evaluating PSC stability in space applications and highlight the necessity of refining material compositions for space applications.</w:t>
      </w:r>
    </w:p>
    <w:p>
      <w:pPr>
        <w:spacing w:before="120" w:after="120"/>
      </w:pPr>
      <w:r>
        <w:rPr>
          <w:sz w:val="18"/>
        </w:rPr>
        <w:t>——————————————————————————————————————————————————————————————————————</w:t>
      </w:r>
    </w:p>
    <w:p>
      <w:pPr>
        <w:spacing w:before="160" w:after="40" w:line="240" w:lineRule="auto"/>
      </w:pPr>
      <w:r>
        <w:rPr>
          <w:b/>
        </w:rPr>
        <w:t xml:space="preserve">[333] </w:t>
      </w:r>
      <w:hyperlink r:id="rId520">
        <w:r>
          <w:rPr>
            <w:color w:val="1155CC"/>
            <w:u w:val="single"/>
          </w:rPr>
          <w:t>挤压软强力摩擦界面</w:t>
        </w:r>
      </w:hyperlink>
    </w:p>
    <w:p>
      <w:pPr>
        <w:spacing w:before="0" w:after="80"/>
      </w:pPr>
      <w:r>
        <w:rPr>
          <w:i/>
          <w:sz w:val="20"/>
        </w:rPr>
        <w:t>EN: Squeaking at soft–rigid frictional interfaces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在我们日常生活的各个方面,无论是我们把橡胶胶片鞋滑过硬木地板1、在黑板2上刮粉笔、在自行车上踩刹车3 或用臀部替换4、5. 当两个僵硬的躯体相互滑过时,人们广泛认为吱吱声是由自我刺激的棒子-滑动振动引起的,而滑动速度6、8、9、10的加速导致摩擦系数下降。然而,延伸的界面滑动可能涉及裂缝或滑动脉波的传播11、12、13、14、15、16、17、18、19、20、21。当软体滑动在硬体上时,这种区别会扩大,因为巨大的变形和物质不匹配会因开启滑动脉冲22、23、24、25、26、27而导致分离。 先前的研究主要集中在慢滑动上。</w:t>
      </w:r>
    </w:p>
    <w:p>
      <w:pPr>
        <w:spacing w:before="0" w:after="200" w:lineRule="auto" w:line="276"/>
      </w:pPr>
      <w:r>
        <w:rPr>
          <w:b/>
        </w:rPr>
        <w:t xml:space="preserve">Abstract (EN): </w:t>
      </w:r>
      <w:r>
        <w:t>Squeaking is a constant companion in various aspects of our daily lives, whether we slide rubber-soled shoes across hardwood floors1, scrape chalk on a blackboard2, engage the brakes on a bicycle3 or walk with a hip replacement4,5. When two rigid bodies slide over each other, squeaking is widely understood to result from self-excited stick–slip oscillations, triggered by a decrease in the friction coefficient with increasing slip velocity6,7,8,9,10. However, sliding of extended interfaces can involve crack or slip-pulse propagation11,12,13,14,15,16,17,18,19,20,21. This distinction is amplified when a soft body slides on a rigid one, in which large deformations and material mismatch can cause detachment by opening slip pulses22,23,24,25,26,27. Previous studies focused mainly on slow sliding17,26,28,29,30,31,32,33,34, in which pulses are slow and squeaking is absent. Although squeaking at soft–rigid interfaces has been linked to stick–slip oscillations35,36,37, the mechanisms remain unclear. Here we experimentally investigate soft–rigid interfaces sliding at velocities that produce squeaking. High-speed imaging and acoustic analysis show that opening pulses propagate at approximately the shear wave speed of the soft material, mediating local slip across diverse materials. In flat samples, these pulses are irregular and generate broadband acoustic emissions. Introducing thin surface ridges confines pulse propagation, yielding a consistent repetition frequency matching the first shear mode of the sliding block and squeaking at that frequency. These findings show a structure-driven mechanism that stabilizes rupture in bimaterial friction. Geometric confinement suppresses competing modes, transforming irregular two-dimensional dynamics into coherent one-dimensional pulse trains, offering new insights into frictional rupture from engineered surfaces to geological faults.</w:t>
      </w:r>
    </w:p>
    <w:p>
      <w:pPr>
        <w:spacing w:before="120" w:after="120"/>
      </w:pPr>
      <w:r>
        <w:rPr>
          <w:sz w:val="18"/>
        </w:rPr>
        <w:t>——————————————————————————————————————————————————————————————————————</w:t>
      </w:r>
    </w:p>
    <w:p>
      <w:pPr>
        <w:spacing w:before="160" w:after="40" w:line="240" w:lineRule="auto"/>
      </w:pPr>
      <w:r>
        <w:rPr>
          <w:b/>
        </w:rPr>
        <w:t xml:space="preserve">[334] </w:t>
      </w:r>
      <w:hyperlink r:id="rId521">
        <w:r>
          <w:rPr>
            <w:color w:val="1155CC"/>
            <w:u w:val="single"/>
          </w:rPr>
          <w:t>是什么决定了太阳能光电池的采用? — — 对住宅光电系统的早期、潜在和不太可能采用者以及社区光电项目参与者的调查</w:t>
        </w:r>
      </w:hyperlink>
    </w:p>
    <w:p>
      <w:pPr>
        <w:spacing w:before="0" w:after="80"/>
      </w:pPr>
      <w:r>
        <w:rPr>
          <w:i/>
          <w:sz w:val="20"/>
        </w:rPr>
        <w:t>EN: What determines the uptake of solar PV? – A survey of early, potential and unlikely adopters of residential PV systems and participants of community PV projects</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[335] </w:t>
      </w:r>
      <w:hyperlink r:id="rId522">
        <w:r>
          <w:rPr>
            <w:color w:val="1155CC"/>
            <w:u w:val="single"/>
          </w:rPr>
          <w:t>扶持企业协调,不承担财政负担:煤炭废物管理的新政策途径</w:t>
        </w:r>
      </w:hyperlink>
    </w:p>
    <w:p>
      <w:pPr>
        <w:spacing w:before="0" w:after="80"/>
      </w:pPr>
      <w:r>
        <w:rPr>
          <w:i/>
          <w:sz w:val="20"/>
        </w:rPr>
        <w:t>EN: Enabling enterprise coordination without fiscal burden: New policy pathways for coal waste management</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[336] </w:t>
      </w:r>
      <w:hyperlink r:id="rId523">
        <w:r>
          <w:rPr>
            <w:color w:val="1155CC"/>
            <w:u w:val="single"/>
          </w:rPr>
          <w:t>布基纳法索家庭使用丁烷气体的决定因素:道路通路的作用</w:t>
        </w:r>
      </w:hyperlink>
    </w:p>
    <w:p>
      <w:pPr>
        <w:spacing w:before="0" w:after="80"/>
      </w:pPr>
      <w:r>
        <w:rPr>
          <w:i/>
          <w:sz w:val="20"/>
        </w:rPr>
        <w:t>EN: Determinants of butane gas use by households in Burkina Faso: the role of road access</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[337] </w:t>
      </w:r>
      <w:hyperlink r:id="rId524">
        <w:r>
          <w:rPr>
            <w:color w:val="1155CC"/>
            <w:u w:val="single"/>
          </w:rPr>
          <w:t>居民参与需求响应方案的财政激励和内在动机</w:t>
        </w:r>
      </w:hyperlink>
    </w:p>
    <w:p>
      <w:pPr>
        <w:spacing w:before="0" w:after="80"/>
      </w:pPr>
      <w:r>
        <w:rPr>
          <w:i/>
          <w:sz w:val="20"/>
        </w:rPr>
        <w:t>EN: Financial incentives and intrinsic motives for residents’ participation in demand response programs</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[338] </w:t>
      </w:r>
      <w:hyperlink r:id="rId525">
        <w:r>
          <w:rPr>
            <w:color w:val="1155CC"/>
            <w:u w:val="single"/>
          </w:rPr>
          <w:t>通过吸附增强中继法将沼气转换为甲烷:反应堆配置战略的实验性评价</w:t>
        </w:r>
      </w:hyperlink>
    </w:p>
    <w:p>
      <w:pPr>
        <w:spacing w:before="0" w:after="80"/>
      </w:pPr>
      <w:r>
        <w:rPr>
          <w:i/>
          <w:sz w:val="20"/>
        </w:rPr>
        <w:t>EN: Biogas-to-methane conversion via sorption-enhanced methanation: experimental evaluation of reactor configuration strategies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[339] </w:t>
      </w:r>
      <w:hyperlink r:id="rId526">
        <w:r>
          <w:rPr>
            <w:color w:val="1155CC"/>
            <w:u w:val="single"/>
          </w:rPr>
          <w:t>压缩空气能源储存技术和前景</w:t>
        </w:r>
      </w:hyperlink>
    </w:p>
    <w:p>
      <w:pPr>
        <w:spacing w:before="0" w:after="80"/>
      </w:pPr>
      <w:r>
        <w:rPr>
          <w:i/>
          <w:sz w:val="20"/>
        </w:rPr>
        <w:t>EN: Technologies and prospects for compressed air energy storage</w:t>
      </w:r>
    </w:p>
    <w:p>
      <w:pPr>
        <w:spacing w:before="0" w:after="120"/>
      </w:pPr>
      <w:r>
        <w:rPr>
          <w:b/>
        </w:rPr>
        <w:t xml:space="preserve">Source: </w:t>
      </w:r>
      <w:r>
        <w:t>Nature Reviews Clean Technology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压缩空气能源储存(CAES)可用作可再生能源电网的长期储存。 CAES系统使用电能驱动压缩机,储存的压缩空气可在需要电力时随后用于驱动涡轮机。 在这次审查中,我们审查了CAES的基本研究、技术发展、示范和应用。 大型CAES设施可以储存300多兆瓦电力,圆程效率为50-70%。 使CAES适应非发源的可再生能源需要修改压缩机和扩张机,以提高其操作压力,提高不同装载条件下的效率。 压缩空气可以储存在地质构造或人工容器中,研究重点是研究</w:t>
      </w:r>
    </w:p>
    <w:p>
      <w:pPr>
        <w:spacing w:before="0" w:after="200" w:lineRule="auto" w:line="276"/>
      </w:pPr>
      <w:r>
        <w:rPr>
          <w:b/>
        </w:rPr>
        <w:t xml:space="preserve">Abstract (EN): </w:t>
      </w:r>
      <w:r>
        <w:t>Compressed air energy storage (CAES) can be used as long-duration storage for renewable energy-based grids. CAES systems use electrical energy to drive a compressor, and the stored compressed air can later be used to drive a turbine when electricity is needed. In this Review, we examine fundamental research, technological development, demonstrations and applications of CAES. Large-scale CAES facilities can store more than 300 MW of power, with round-trip efficiencies of 50–70%. Adapting CAES for non-dispatchable renewable electricity sources requires modifications to compressors and expanders to increase their operating pressure to improve efficiency under variable loading conditions. Compressed air can be stored in geological formations or artificial containers, with research focusing on increasing the pressure and/or temperature of the stored gas. The efficiency of CAES systems can be further increased by the integration of thermal energy storage, which captures and stores the heat from the compressor, later using it to heat the turbine inlet air temperature, reducing or removing the need for fossil fuels in system operation. By providing energy storage in the order of 10 h, CAES enables electricity storage beyond what is feasible for electrochemical battery storage alone, potentially increasing grid stability.</w:t>
      </w:r>
    </w:p>
    <w:p>
      <w:pPr>
        <w:spacing w:before="120" w:after="120"/>
      </w:pPr>
      <w:r>
        <w:rPr>
          <w:sz w:val="18"/>
        </w:rPr>
        <w:t>——————————————————————————————————————————————————————————————————————</w:t>
      </w:r>
    </w:p>
    <w:p>
      <w:pPr>
        <w:spacing w:before="160" w:after="40" w:line="240" w:lineRule="auto"/>
      </w:pPr>
      <w:r>
        <w:rPr>
          <w:b/>
        </w:rPr>
        <w:t xml:space="preserve">[340] </w:t>
      </w:r>
      <w:hyperlink r:id="rId527">
        <w:r>
          <w:rPr>
            <w:color w:val="1155CC"/>
            <w:u w:val="single"/>
          </w:rPr>
          <w:t>通信-感知-记忆中无线神经网络</w:t>
        </w:r>
      </w:hyperlink>
    </w:p>
    <w:p>
      <w:pPr>
        <w:spacing w:before="0" w:after="80"/>
      </w:pPr>
      <w:r>
        <w:rPr>
          <w:i/>
          <w:sz w:val="20"/>
        </w:rPr>
        <w:t>EN: Communication-aware in-memory wireless neural networks</w:t>
      </w:r>
    </w:p>
    <w:p>
      <w:pPr>
        <w:spacing w:before="0" w:after="120"/>
      </w:pPr>
      <w:r>
        <w:rPr>
          <w:b/>
        </w:rPr>
        <w:t xml:space="preserve">Source: </w:t>
      </w:r>
      <w:r>
        <w:t>Nature Electronics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边缘装置和云端服务器之间以及无线通信上的合作计算对于受能源限制的边缘装置完成超出其处理能力的复杂任务至关重要,但是,由于记忆和计算分离、信号处理和/或接收分离以及神经网络和无线通信分离,目前的无线协作系统在能源效率和延迟度方面面临着挑战。我们在这里报告模拟无线神经网络中的通信意识。该方法使用模拟模拟计算机技术实施边缘计算和无线通信,并将无线通信整合为无线神经网络的可学习模块。我们建立了一个原型。</w:t>
      </w:r>
    </w:p>
    <w:p>
      <w:pPr>
        <w:spacing w:before="0" w:after="200" w:lineRule="auto" w:line="276"/>
      </w:pPr>
      <w:r>
        <w:rPr>
          <w:b/>
        </w:rPr>
        <w:t xml:space="preserve">Abstract (EN): </w:t>
      </w:r>
      <w:r>
        <w:t>Collaborative computing between edge devices and cloud servers over wireless communication is critical for energy-constrained edge devices to perform complex tasks that exceed their processing capacities. However, current wireless collaborative systems face challenges in terms of energy efficiency and latency due to the separation of memory and computing, the separation of signal processing and transmission and/or reception, and the separation of neural networks and wireless communication. Here we report communication-aware in-memory wireless neural networks. The approach uses analogue in-memory computing technology to implement both edge computing and wireless communication, and integrates wireless communication as a learnable module of the wireless neural network. We build a prototype that comprises an edge inference accelerator and a wireless communication system. The prototype exhibits an experimental inference accuracy of 93.71% on the Street View House Numbers dataset, and can maintain inference accuracy when using low-resolution analogue-to-digital converters in wireless communication. We also show that the approach can adapt to various wireless conditions and can reduce communication costs.</w:t>
      </w:r>
    </w:p>
    <w:p>
      <w:pPr>
        <w:spacing w:before="120" w:after="120"/>
      </w:pPr>
      <w:r>
        <w:rPr>
          <w:sz w:val="18"/>
        </w:rPr>
        <w:t>——————————————————————————————————————————————————————————————————————</w:t>
      </w:r>
    </w:p>
    <w:p>
      <w:pPr>
        <w:spacing w:before="160" w:after="40" w:line="240" w:lineRule="auto"/>
      </w:pPr>
      <w:r>
        <w:rPr>
          <w:b/>
        </w:rPr>
        <w:t xml:space="preserve">[341] </w:t>
      </w:r>
      <w:hyperlink r:id="rId528">
        <w:r>
          <w:rPr>
            <w:color w:val="1155CC"/>
            <w:u w:val="single"/>
          </w:rPr>
          <w:t>利用人工智能和机器学习促进气压和地表强化遥感</w:t>
        </w:r>
      </w:hyperlink>
    </w:p>
    <w:p>
      <w:pPr>
        <w:spacing w:before="0" w:after="80"/>
      </w:pPr>
      <w:r>
        <w:rPr>
          <w:i/>
          <w:sz w:val="20"/>
        </w:rPr>
        <w:t>EN: Artificial intelligence and machine learning for plasmonic and surface-enhanced sensing</w:t>
      </w:r>
    </w:p>
    <w:p>
      <w:pPr>
        <w:spacing w:before="0" w:after="120"/>
      </w:pPr>
      <w:r>
        <w:rPr>
          <w:b/>
        </w:rPr>
        <w:t xml:space="preserve">Source: </w:t>
      </w:r>
      <w:r>
        <w:t>RSC - Chem. Soc. Rev. latest articles</w:t>
      </w:r>
      <w:r>
        <w:t xml:space="preserve">    </w:t>
      </w:r>
      <w:r>
        <w:rPr>
          <w:b/>
        </w:rPr>
        <w:t xml:space="preserve">Pub date: </w:t>
      </w:r>
      <w:r>
        <w:t>2026-02-25 00:00:00+00:00</w:t>
      </w:r>
    </w:p>
    <w:p>
      <w:pPr>
        <w:spacing w:before="0" w:after="120"/>
      </w:pPr>
      <w:r>
        <w:rPr>
          <w:b/>
        </w:rPr>
        <w:t xml:space="preserve">Notes: </w:t>
      </w:r>
      <w:r>
        <w:t>abstract_source=rsc_html</w:t>
      </w:r>
    </w:p>
    <w:p>
      <w:pPr>
        <w:spacing w:before="0" w:after="80" w:lineRule="auto" w:line="276"/>
      </w:pPr>
      <w:r>
        <w:rPr>
          <w:b/>
        </w:rPr>
        <w:t xml:space="preserve">摘要（ZH）: </w:t>
      </w:r>
      <w:r>
        <w:t>平流层遥感是一个充满活力的领域,利用地表激光虫的光学特性为生物医学、环境和食品安全应用等创造分析传感器。在光照光光照射一个光谱活性纳米材料时,电场的增强导致分子在地表强化拉曼散射(SERS)、地表强化红外吸收(SERS)和金属强化荧光(MEF)中扩大散射、吸收和发光。 新一代人工智能(AI)和机器学习(ML)工具的出现为进一步推进设计提供了机会。</w:t>
      </w:r>
    </w:p>
    <w:p>
      <w:pPr>
        <w:spacing w:before="0" w:after="200" w:lineRule="auto" w:line="276"/>
      </w:pPr>
      <w:r>
        <w:rPr>
          <w:b/>
        </w:rPr>
        <w:t xml:space="preserve">Abstract (EN): </w:t>
      </w:r>
      <w:r>
        <w:t>Plasmonic sensing is a vibrant field where the optical properties of surface plasmons are exploited to create analytical sensors for biomedical, environmental and food safety applications, among others. Upon irradiation of light on a plasmon-active nanomaterial, the enhancement of the electric field leads to augmented scattering, absorption and luminescence of molecules in, respectively, surface-enhanced Raman scattering (SERS), surface-enhanced infrared absorption (SEIRA) and metal-enhanced fluorescence (MEF) and to highly sensitive refractometric sensors with surface plasmon resonance (SPR) and localised surface plasmon resonance (LSPR). The advent of a new generation of artificial intelligence (AI) and machine learning (ML) tools provides an opportunity to further advance the design, synthesis and characterisation of plasmonic materials, improve signal processing and image analysis in plasmonic sensing experiments and to design sensors with better sensitivity, selectivity and robustness. The review will first build basic knowledge in plasmonic sensing and AI/ML, before discussing opportunities for AI/ML-augmented sensor design and data analysis, and then discuss applications where AI/ML provided added benefits in plasmonic sensing. The review will conclude with a perspective on where the field is trending.</w:t>
      </w:r>
    </w:p>
    <w:p>
      <w:pPr>
        <w:spacing w:before="120" w:after="120"/>
      </w:pPr>
      <w:r>
        <w:rPr>
          <w:sz w:val="18"/>
        </w:rPr>
        <w:t>——————————————————————————————————————————————————————————————————————</w:t>
      </w:r>
    </w:p>
    <w:p>
      <w:pPr>
        <w:spacing w:before="160" w:after="40" w:line="240" w:lineRule="auto"/>
      </w:pPr>
      <w:r>
        <w:rPr>
          <w:b/>
        </w:rPr>
        <w:t xml:space="preserve">[342] </w:t>
      </w:r>
      <w:hyperlink r:id="rId529">
        <w:r>
          <w:rPr>
            <w:color w:val="1155CC"/>
            <w:u w:val="single"/>
          </w:rPr>
          <w:t>支支支合合体显示机械元物质行为</w:t>
        </w:r>
      </w:hyperlink>
    </w:p>
    <w:p>
      <w:pPr>
        <w:spacing w:before="0" w:after="80"/>
      </w:pPr>
      <w:r>
        <w:rPr>
          <w:i/>
          <w:sz w:val="20"/>
        </w:rPr>
        <w:t>EN: Pivoting colloidal assemblies exhibit mechanical metamaterial behaviour</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然而,尽管合成微型机器同样可以使用定向变形,但是它们过于僵硬,无法受热波动驱动,需要强大的强制力1,2,3 3. 此外,能够通过热波动改变其相容的系统确实无法控制4,5 或需要外部控制。 我们在这里使用基于DNA的滑动接触 7,8,9 来创建碳基滑动活体,僵硬的厌食性天体,这些天体可以在其脉冲点周围自由波动,并使用等级战略将这些天体组装成具有定向变形模式的布朗元材料。 我们意识到原形旋转钻石和旋转三角形,或卡戈美、地貌和定量地表显示热流是如何变化的。</w:t>
      </w:r>
    </w:p>
    <w:p>
      <w:pPr>
        <w:spacing w:before="0" w:after="200" w:lineRule="auto" w:line="276"/>
      </w:pPr>
      <w:r>
        <w:rPr>
          <w:b/>
        </w:rPr>
        <w:t xml:space="preserve">Abstract (EN): </w:t>
      </w:r>
      <w:r>
        <w:t>Biological machines use targeted deformations that can be actuated by Brownian fluctuations. However, although synthetic micromachines can similarly make use of targeted deformations, they are too stiff to be driven by thermal fluctuations and require strong forcing1,2,3. Furthermore, systems that are able to change their conformation by thermal fluctuations do so uncontrollably4,5 or require external control6. Here we use DNA-based sliding contacts7,8,9 to create colloidal pivots, rigid anisotropic objects that freely fluctuate around their pivot point and use a hierarchical strategy to assemble these into Brownian metamaterials with targeted deformation modes. We realize the archetypical rotating diamond and rotating triangle, or kagome, geometries and quantitatively show how thermal fluctuations drive their predicted auxetic deformations10,11,12,13,14,15. Finally, we implement magnetic particles into the colloidal pivots to achieve colloidal metamaterials that can be controlled externally as well as use Brownian fluctuations for precisely controlled shape changes. Together, our work introduces a strategy for creating Brownian mechanical metamaterials with easily actuatable deformation modes.</w:t>
      </w:r>
    </w:p>
    <w:p>
      <w:pPr>
        <w:spacing w:before="120" w:after="120"/>
      </w:pPr>
      <w:r>
        <w:rPr>
          <w:sz w:val="18"/>
        </w:rPr>
        <w:t>——————————————————————————————————————————————————————————————————————</w:t>
      </w:r>
    </w:p>
    <w:p>
      <w:pPr>
        <w:spacing w:before="160" w:after="40" w:line="240" w:lineRule="auto"/>
      </w:pPr>
      <w:r>
        <w:rPr>
          <w:b/>
        </w:rPr>
        <w:t xml:space="preserve">[343] </w:t>
      </w:r>
      <w:hyperlink r:id="rId530">
        <w:r>
          <w:rPr>
            <w:color w:val="1155CC"/>
            <w:u w:val="single"/>
          </w:rPr>
          <w:t>用于高能和低温电池的氢氟碳化氢电解液</w:t>
        </w:r>
      </w:hyperlink>
    </w:p>
    <w:p>
      <w:pPr>
        <w:spacing w:before="0" w:after="80"/>
      </w:pPr>
      <w:r>
        <w:rPr>
          <w:i/>
          <w:sz w:val="20"/>
        </w:rPr>
        <w:t>EN: Hydrofluorocarbon electrolytes for energy-dense and low-temperature batteries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电化学装置的电解溶剂在过去几十年中以氧(O)基和氮(N)基为主,1,2,3,4,5,其中,低离子(Li+、Na+等)相互作用通常为离子分离和运输奠定基础,但使电解-电极接口6,7,8,9的电解溶剂无法在电解-电解接口进行电解转移过程。 这里,通过用单氟结构合成烷,我们显示,氟(F)基的氟(F)基的离子,设计成不育障碍和刘易斯基本能使盐分解超过2毫升-1。 其中,以1,3-二氟丙烷(DFP)基硅电解密(DFP)电解密的利离电解解解解液具有所有优点,包括低粘度(0.95厘米)、高氧化稳定性(&gt;4.9V)和0的导导力。</w:t>
      </w:r>
    </w:p>
    <w:p>
      <w:pPr>
        <w:spacing w:before="0" w:after="200" w:lineRule="auto" w:line="276"/>
      </w:pPr>
      <w:r>
        <w:rPr>
          <w:b/>
        </w:rPr>
        <w:t xml:space="preserve">Abstract (EN): </w:t>
      </w:r>
      <w:r>
        <w:t>Electrolyte solvents for electrochemical devices have been dominated by oxygen (O)-based and nitrogen (N)-based ligands over the past decades1,2,3,4,5, for which the dipole–ion (Li+, Na+ and so on) interaction usually lays the foundations of ion dissociation and transport but frustrates the charge transfer process at the electrolyte–electrode interface6,7,8,9. Here, by synthesizing alkanes with monofluorinated structures, we show that fluorine (F)-based ligands with designed steric hindrance and Lewis basicity enable salt dissolution of more than 2 mol l−1. Among them, 1,3-difluoro-propane (DFP)-based Li-ion electrolyte is endowed with all merits for energy-dense and low-temperature batteries, including low viscosity (0.95 cp), high oxidation stability (&gt;4.9 V) and ionic conductivity of 0.29 mS cm−1 at −70 °C. By incorporating F atoms in the first solvation shell, the weak F–Li+ coordination facilitates the Li plating/stripping process with Coulombic efficiency (CE) up to 99.7% and exchange current density one magnitude larger than O–Li+ coordination at −50 °C. The electrolytes further enable the operation of lithium-metal pouch cells under an electrolyte amount of less than 0.5 g Ah−1, achieving energy densities greater than 700 Wh kg−1 at room temperature and about 400 Wh kg−1 at −50 °C. The hydrofluorocarbon (HFC) electrolytes in this work provide a feasible approach to building electrochemical systems beyond traditional coordination chemistry.</w:t>
      </w:r>
    </w:p>
    <w:p>
      <w:pPr>
        <w:spacing w:before="120" w:after="120"/>
      </w:pPr>
      <w:r>
        <w:rPr>
          <w:sz w:val="18"/>
        </w:rPr>
        <w:t>——————————————————————————————————————————————————————————————————————</w:t>
      </w:r>
    </w:p>
    <w:p>
      <w:pPr>
        <w:spacing w:before="160" w:after="40" w:line="240" w:lineRule="auto"/>
      </w:pPr>
      <w:r>
        <w:rPr>
          <w:b/>
        </w:rPr>
        <w:t xml:space="preserve">[344] </w:t>
      </w:r>
      <w:hyperlink r:id="rId531">
        <w:r>
          <w:rPr>
            <w:color w:val="1155CC"/>
            <w:u w:val="single"/>
          </w:rPr>
          <w:t>在基因组注入时,直截断除phageDNA。</w:t>
        </w:r>
      </w:hyperlink>
    </w:p>
    <w:p>
      <w:pPr>
        <w:spacing w:before="0" w:after="80"/>
      </w:pPr>
      <w:r>
        <w:rPr>
          <w:i/>
          <w:sz w:val="20"/>
        </w:rPr>
        <w:t>EN: A membrane-bound nuclease directly cleaves phage DNA during genome injection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从哺乳动物到细菌,直接认识和分解病毒核酸是一种防止病毒感染的有力防御战略,但它需要各种机制来区分自己与非自我感染,1,2. 在细菌中,CRISP-Cas和限制修改系统通过分别承认具体的DNA序列或DNA修改而实现这种歧视。其他机制可能还有待发现。在这里,我们给SNIPE定性为SNIPE,一种抗细菌防御系统,它构成Escherichia coli的细菌细胞膜的局部特性,以阻止phage {{i&gt;感染。我们利用放射性标签的phag DNA和时间穿透的显微镜来追踪phage 基因组,我们证明SNIPE在基因组注射期间直接切除了DNA。基于近距离标签,我们发现了 t。</w:t>
      </w:r>
    </w:p>
    <w:p>
      <w:pPr>
        <w:spacing w:before="0" w:after="200" w:lineRule="auto" w:line="276"/>
      </w:pPr>
      <w:r>
        <w:rPr>
          <w:b/>
        </w:rPr>
        <w:t xml:space="preserve">Abstract (EN): </w:t>
      </w:r>
      <w:r>
        <w:t>From mammals to bacteria, the direct recognition and cleavage of viral nucleic acids is a potent defence strategy against viral infection, but it requires mechanisms for distinguishing self from non-self1,2. In bacteria, CRISPR–Cas and restriction-modification systems achieve this discrimination by recognizing specific DNA sequences or DNA modifications, respectively. Alternative mechanisms probably remain to be discovered. Here, we characterize SNIPE, an anti-bacteriophage defence system that constitutively localizes to the bacterial cell membrane in Escherichia coli to block phage λ infection. Using radiolabelled phage DNA and time-lapse microscopy to track phage genomes, we demonstrate that SNIPE directly cleaves phage DNA during genome injection. Based on proximity labelling, we find that SNIPE associates with host proteins essential for λ genome entry and with the λ tape measure protein, which facilitates λ genome injection across the inner membrane. SNIPE also defends against diverse siphoviruses, probably through direct interactions with their tape measure proteins. Our findings establish SNIPE as a widespread bacterial defence system that exploits the spatial organization of phage genome injection to specifically target viral DNA, representing a previously unknown strategy for distinguishing self from non-self in prokaryotic immune systems.</w:t>
      </w:r>
    </w:p>
    <w:p>
      <w:pPr>
        <w:spacing w:before="120" w:after="120"/>
      </w:pPr>
      <w:r>
        <w:rPr>
          <w:sz w:val="18"/>
        </w:rPr>
        <w:t>——————————————————————————————————————————————————————————————————————</w:t>
      </w:r>
    </w:p>
    <w:p>
      <w:pPr>
        <w:spacing w:before="160" w:after="40" w:line="240" w:lineRule="auto"/>
      </w:pPr>
      <w:r>
        <w:rPr>
          <w:b/>
        </w:rPr>
        <w:t xml:space="preserve">[345] </w:t>
      </w:r>
      <w:hyperlink r:id="rId532">
        <w:r>
          <w:rPr>
            <w:color w:val="1155CC"/>
            <w:u w:val="single"/>
          </w:rPr>
          <w:t>阿根廷的化石重写 进化史 一个令人困惑的恐龙的刀片</w:t>
        </w:r>
      </w:hyperlink>
    </w:p>
    <w:p>
      <w:pPr>
        <w:spacing w:before="0" w:after="80"/>
      </w:pPr>
      <w:r>
        <w:rPr>
          <w:i/>
          <w:sz w:val="20"/>
        </w:rPr>
        <w:t>EN: Argentine fossil rewrites evolutionary history of a baffling dinosaur clade</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Alvarezsauroids是主要从亚洲和南美洲的Jurassic到白鲸期的已知主要为亚洲和南美洲的1,2,3. 已故白鲸甲状腺类动物,拥有专门用于挖掘、4,5分、微小超分子牙齿和高感官功能的外观动物,6 被解释为甲状腺动物,被解释为甲状腺动物,在饮食专门化的同时,它们具有进化性微型特征。2 南美洲的分裂性动物类动物类动物传统上被排列成麻痹等级,与亚洲末代白鲸亚锥体亚锥体2,3 援引分散性来解释它们的分离分布。我们在这里描述了Alvaressaurod Alnashetri 天花生细胞的骨架,7 代表我们的知识。</w:t>
      </w:r>
    </w:p>
    <w:p>
      <w:pPr>
        <w:spacing w:before="0" w:after="200" w:lineRule="auto" w:line="276"/>
      </w:pPr>
      <w:r>
        <w:rPr>
          <w:b/>
        </w:rPr>
        <w:t xml:space="preserve">Abstract (EN): </w:t>
      </w:r>
      <w:r>
        <w:t>Alvarezsauroids are an enigmatic clade of predominantly small-bodied theropod dinosaurs that are known mainly from the Jurassic to Cretaceous periods of Asia and South America1,2,3. Late Cretaceous alvarezsauroids possess specialized forelimbs adapted for digging4,5, minute supernumerary teeth and heightened sensory capacities6, and are interpreted as myrmecophagous. They are hypothesized to exhibit evolutionary miniaturization coupled to their dietary specialization2. Fragmentary South American taxa are traditionally arrayed as a paraphyletic grade with respect to the Late Cretaceous Asian subclade Parvicursorinae2,3, invoking dispersal to explain their disjunct distributions. Here we describe a skeleton of the alvarezsauroid Alnashetri cerropoliciensis7 representing to our knowledge the most complete and smallest South American taxon to date. We also recognize two alvarezsauroids among historic taxa from the Northern Hemisphere. Phylogenetic analysis recovers Alnashetri among basal non-alvarezsaurids, rendering South American taxa polyphyletic. Combined with the new taxa recognized here, our biogeographical analyses infer a Pangaean ancestral distribution for Alvarezsauroidea, with vicariance dominating the early history of the clade. The early branching position of Alnashetri among larger-bodied relatives revises best-fit models of body size evolution in alvarezsauroids—we find no support for evolutionary miniaturization but, rather, find support for repeated evolution within a narrow body size range.</w:t>
      </w:r>
    </w:p>
    <w:p>
      <w:pPr>
        <w:spacing w:before="120" w:after="120"/>
      </w:pPr>
      <w:r>
        <w:rPr>
          <w:sz w:val="18"/>
        </w:rPr>
        <w:t>——————————————————————————————————————————————————————————————————————</w:t>
      </w:r>
    </w:p>
    <w:p>
      <w:pPr>
        <w:spacing w:before="160" w:after="40" w:line="240" w:lineRule="auto"/>
      </w:pPr>
      <w:r>
        <w:rPr>
          <w:b/>
        </w:rPr>
        <w:t xml:space="preserve">[346] </w:t>
      </w:r>
      <w:hyperlink r:id="rId533">
        <w:r>
          <w:rPr>
            <w:color w:val="1155CC"/>
            <w:u w:val="single"/>
          </w:rPr>
          <w:t>以皮皮质脱重物为动力的导导指示信号</w:t>
        </w:r>
      </w:hyperlink>
    </w:p>
    <w:p>
      <w:pPr>
        <w:spacing w:before="0" w:after="80"/>
      </w:pPr>
      <w:r>
        <w:rPr>
          <w:i/>
          <w:sz w:val="20"/>
        </w:rPr>
        <w:t>EN: Vectorized instructive signals in cortical dendrites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教学信号的传导是几乎所有现代机器学习算法的一个关键要素,包括反向反向方案、目标传播和强化学习。 矢量化通过对单个神经元进行定向指导性信号的定制,为信用分配问题提供了可扩缩和计算有效的解决方案。 最近的理论模型表明,神经电路可以在细胞层面实施单阶段矢量化学习,通过在不同的登地区间处理进料和反馈信息流,1,2,3,4,5。 这为皮层电路如何解决大脑信用分配问题提供了一个令人信服但未经检验的假设。 我们在这里使用了神经后脑 — — 计算机界面任务和实验者定义的奖励功能 t。</w:t>
      </w:r>
    </w:p>
    <w:p>
      <w:pPr>
        <w:spacing w:before="0" w:after="200" w:lineRule="auto" w:line="276"/>
      </w:pPr>
      <w:r>
        <w:rPr>
          <w:b/>
        </w:rPr>
        <w:t xml:space="preserve">Abstract (EN): </w:t>
      </w:r>
      <w:r>
        <w:t>Vectorization of teaching signals is a key element of almost all modern machine learning algorithms, including backpropagation, target propagation and reinforcement learning. Vectorization allows a scalable and computationally efficient solution to the credit assignment problem by tailoring instructive signals to individual neurons. Recent theoretical models have suggested that neural circuits could implement single-phase vectorized learning at the cellular level by processing feedforward and feedback information streams in separate dendritic compartments1,2,3,4,5. This presents a compelling, but untested, hypothesis for how cortical circuits could solve credit assignment in the brain. Here we used a neurofeedback brain–computer interface task with an experimenter-defined reward function to test for vectorized instructive signals in dendrites. We trained mice to modulate the activity of two spatially intermingled populations (four or five neurons each) of layer 5 pyramidal neurons in the retrosplenial cortex to rotate a visual grating towards a target orientation while we recorded GCaMP activity from somas and corresponding distal apical dendrites. We observed that the relative magnitudes of somatic and dendritic signals could be predicted using the activity of the surrounding network and contained information about task-related variables that could serve as instructive signals, including reward and error. The signs of these putative teaching signals depended on the causal role of individual neurons in the task and predicted changes in overall activity over the course of learning. Furthermore, targeted optogenetic perturbation of these signals disrupted learning. These results demonstrate a vectorized instructive signal in the brain, implemented via semi-independent computation in cortical dendrites, unveiling a potential mechanism for solving credit assignment in the brain.</w:t>
      </w:r>
    </w:p>
    <w:p>
      <w:pPr>
        <w:spacing w:before="120" w:after="120"/>
      </w:pPr>
      <w:r>
        <w:rPr>
          <w:sz w:val="18"/>
        </w:rPr>
        <w:t>——————————————————————————————————————————————————————————————————————</w:t>
      </w:r>
    </w:p>
    <w:p>
      <w:pPr>
        <w:spacing w:before="160" w:after="40" w:line="240" w:lineRule="auto"/>
      </w:pPr>
      <w:r>
        <w:rPr>
          <w:b/>
        </w:rPr>
        <w:t xml:space="preserve">[347] </w:t>
      </w:r>
      <w:hyperlink r:id="rId534">
        <w:r>
          <w:rPr>
            <w:color w:val="1155CC"/>
            <w:u w:val="single"/>
          </w:rPr>
          <w:t>疾病示范资源揭示了组织特定癌症演变的核心原则</w:t>
        </w:r>
      </w:hyperlink>
    </w:p>
    <w:p>
      <w:pPr>
        <w:spacing w:before="0" w:after="80"/>
      </w:pPr>
      <w:r>
        <w:rPr>
          <w:i/>
          <w:sz w:val="20"/>
        </w:rPr>
        <w:t>EN: A disease model resource reveals core principles of tissue-specific cancer evolution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诸如KRAS等肿瘤基因,在其诱因潜力、遗传相互作用和胎儿效应中表现出明显的组织特征,但基本决定因素在很大程度上仍未解决,1,2,3,4,45.5。 为了解决这些问题,我们开发了老鼠癌症细胞系列图集,这是一个广泛的实用资源,有590个综合特征的模型,分布于范围广泛的各种实体(www.mcca.tum.de)。利用这个平台进行的比较和功能研究、人类群群和小鼠查明了KRAS发起的癌症在具体组织方面演变的核心原则。 首先,我们显示,变异KRAS通过各种失衡获得的剂量,产生了细胞类型特有的效应,确定了各实体之间的时间,例如,在全面癌症期间对剂量敏感的重新编制方案。</w:t>
      </w:r>
    </w:p>
    <w:p>
      <w:pPr>
        <w:spacing w:before="0" w:after="200" w:lineRule="auto" w:line="276"/>
      </w:pPr>
      <w:r>
        <w:rPr>
          <w:b/>
        </w:rPr>
        <w:t xml:space="preserve">Abstract (EN): </w:t>
      </w:r>
      <w:r>
        <w:t>Oncogenes such as KRAS display marked tissue specificity in their oncogenic potential, genetic interactions and phenotypic effects, but the underlying determinants remain largely unresolved1,2,3,4,5. Here, to address these questions, we developed the Mouse Cancer Cell line Atlas, a broad-utility resource of 590 comprehensively characterized models across a wide range of entities (www.mcca.tum.de). Comparative and functional studies using this platform, human cohorts and mice identified core principles underlying tissue-specific evolution of KRAS-initiated cancers. First, we show that mutant KRAS dosage gain through allelic imbalance exerts cell-type-specific effects, defining its timing across entities, as exemplified by dosage-sensitive developmental reprogramming during pancreatic cancer initiation. Second, we highlight how tissue- and stage-specific evolutionary requirements, such as block of differentiation in the intestine, select for KRAS-collaborating alterations. Third, we identified context-dependent epistatic KRAS–tumour suppressor interactions and show that reciprocal dosage sensitivities dictate the entity-specific patterns of cancer gene alterations, explaining their frequency, zygosity and acquisition chronology. These findings highlight how intrinsic and acquired determinants instruct cancer evolution in different tissues, with predictable molecular patterns, temporal dynamics and phenotypic outcomes. Our study provides major advances towards a mechanistic understanding of cancer genomes.</w:t>
      </w:r>
    </w:p>
    <w:p>
      <w:pPr>
        <w:spacing w:before="120" w:after="120"/>
      </w:pPr>
      <w:r>
        <w:rPr>
          <w:sz w:val="18"/>
        </w:rPr>
        <w:t>——————————————————————————————————————————————————————————————————————</w:t>
      </w:r>
    </w:p>
    <w:p>
      <w:pPr>
        <w:spacing w:before="160" w:after="40" w:line="240" w:lineRule="auto"/>
      </w:pPr>
      <w:r>
        <w:rPr>
          <w:b/>
        </w:rPr>
        <w:t xml:space="preserve">[348] </w:t>
      </w:r>
      <w:hyperlink r:id="rId535">
        <w:r>
          <w:rPr>
            <w:color w:val="1155CC"/>
            <w:u w:val="single"/>
          </w:rPr>
          <w:t>完全无实地完全转换手式反地热电磁级令</w:t>
        </w:r>
      </w:hyperlink>
    </w:p>
    <w:p>
      <w:pPr>
        <w:spacing w:before="0" w:after="80"/>
      </w:pPr>
      <w:r>
        <w:rPr>
          <w:i/>
          <w:sz w:val="20"/>
        </w:rPr>
        <w:t>EN: Field-free full switching of chiral antiferromagnetic order</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尽管制定了许多开关战略,5,6,7,8,9,外地免费全开关仍然未知,对记忆技术的实际应用构成重大障碍。我们在这里准备了一个由Mn3Sn(0001) 底层和多晶系Mn3Sn顶层组成的同质枢纽。在多晶体线Mn3Sn中,倾斜的Kagomé几何测量法将Mn3Sn(0001)层10,11平面脊柱外极极分从Mn3Sn(0001)平面10,11分到卡戈梅平面外和卡戈梅平面的部件,分别产生对称(antferromagnet-ty)和不对称(ferromagnet-ty)驱动力。前加速了离子旋转,而后决定转换c。</w:t>
      </w:r>
    </w:p>
    <w:p>
      <w:pPr>
        <w:spacing w:before="0" w:after="200" w:lineRule="auto" w:line="276"/>
      </w:pPr>
      <w:r>
        <w:rPr>
          <w:b/>
        </w:rPr>
        <w:t xml:space="preserve">Abstract (EN): </w:t>
      </w:r>
      <w:r>
        <w:t>Chiral antiferromagnets1,2 host octupole order3,4 and combine the advantages of antiferromagnets and ferromagnets. Despite the development of numerous switching strategies5,6,7,8,9, the field-free full switching remains unknown, posing an important obstacle to their practical application in memory technology. Here we prepared a homo-junction constituted of Mn3Sn(0001) bottom layer and polycrystalline Mn3Sn top layer. The tilted Kagomé geometry in polycrystalline Mn3Sn divides the out-of-plane spin polarization from Mn3Sn(0001) layer10,11 into the out-of-Kagomé-plane and in-Kagomé-plane components, generating the symmetric (antiferromagnet-type) and asymmetric (ferromagnet-type) driving forces, respectively. The former accelerates octupole rotation, whereas the latter determines switching chirality. Field-free full switching is realized in the unconventional protocol that integrates the advantages of both antiferromagnetic and ferromagnetic switching. It goes beyond the conventional full-switching framework requiring perpendicular uniaxial anisotropy7,12. An unprecedented switching efficiency is achieved, with both current density and power consumption an order of magnitude lower than in previous configurations, by virtue of the highly efficient driving forces due to spin-torque characteristics of octupole order and the ultralow energy barrier arising from easy-plane anisotropy, overcoming their trade-off in conventional protocols. The zero-field switching also shows the advantages of octupole-programmable chirality and robustness to external magnetic field.</w:t>
      </w:r>
    </w:p>
    <w:p>
      <w:pPr>
        <w:spacing w:before="120" w:after="120"/>
      </w:pPr>
      <w:r>
        <w:rPr>
          <w:sz w:val="18"/>
        </w:rPr>
        <w:t>——————————————————————————————————————————————————————————————————————</w:t>
      </w:r>
    </w:p>
    <w:p>
      <w:pPr>
        <w:spacing w:before="160" w:after="40" w:line="240" w:lineRule="auto"/>
      </w:pPr>
      <w:r>
        <w:rPr>
          <w:b/>
        </w:rPr>
        <w:t xml:space="preserve">[349] </w:t>
      </w:r>
      <w:hyperlink r:id="rId536">
        <w:r>
          <w:rPr>
            <w:color w:val="1155CC"/>
            <w:u w:val="single"/>
          </w:rPr>
          <w:t>量子网络中的嵌入辅助非局部光学干涉测量</w:t>
        </w:r>
      </w:hyperlink>
    </w:p>
    <w:p>
      <w:pPr>
        <w:spacing w:before="0" w:after="80"/>
      </w:pPr>
      <w:r>
        <w:rPr>
          <w:i/>
          <w:sz w:val="20"/>
        </w:rPr>
        <w:t>EN: Entanglement-assisted non-local optical interferometry in a quantum network</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低光强度的非局部光学测量的灵敏度,如长基线望远镜阵列1、2, 受基本量子噪音和光子损耗的限制。 3 提出了分散的量子缠绕,作为克服这些限制和获取非局部光学感测4、5、6等新制度的途径。 在这里,我们展示了在钻石纳米中硅 — 储油中心的量子网络中使用纠缠的量子存储器,7、8、9用于实验性地进行这种非局部阶段测量。 具体而言,我们将生成随时可以发生远程量子缠绕的量子、光元模式破除作为途径,隐藏从时间和空间上分离的进入光模式和非局部、非破坏性的光导体的`哪路'信息。</w:t>
      </w:r>
    </w:p>
    <w:p>
      <w:pPr>
        <w:spacing w:before="0" w:after="200" w:lineRule="auto" w:line="276"/>
      </w:pPr>
      <w:r>
        <w:rPr>
          <w:b/>
        </w:rPr>
        <w:t xml:space="preserve">Abstract (EN): </w:t>
      </w:r>
      <w:r>
        <w:t>The sensitivity of non-local optical measurements at low light intensities, such as those involved in long-baseline telescope arrays1,2, is limited by fundamental quantum noise and photon losses3. Distributed quantum entanglement has been proposed as a route towards overcoming these limitations and accessing new regimes of non-local optical sensing4,5,6. Here we demonstrate the use of entangled quantum memories in a quantum network of silicon–vacancy centres in diamond nanocavities7,8,9 to experimentally perform such non-local phase measurements. Specifically, we combine the generation of event-ready remote quantum entanglement, photon mode erasure that hides the ‘which-path’ information of temporally and spatially separated incoming optical modes and non-local, non-destructive photon heralding enabled by remote entanglement to perform a proof-of-concept entanglement-assisted differential phase measurement of weak incident light between two spatially separate stations. Demonstrating successful operation of the remote phase sensing protocol with a fibre link baseline up to 1.55 km, our results provide an opportunity for a new class of quantum-enhanced optical imaging methods with potential applications ranging from long-baseline interferometry and astronomy to microscopy10,11.</w:t>
      </w:r>
    </w:p>
    <w:p>
      <w:pPr>
        <w:spacing w:before="120" w:after="120"/>
      </w:pPr>
      <w:r>
        <w:rPr>
          <w:sz w:val="18"/>
        </w:rPr>
        <w:t>——————————————————————————————————————————————————————————————————————</w:t>
      </w:r>
    </w:p>
    <w:p>
      <w:pPr>
        <w:spacing w:before="160" w:after="40" w:line="240" w:lineRule="auto"/>
      </w:pPr>
      <w:r>
        <w:rPr>
          <w:b/>
        </w:rPr>
        <w:t xml:space="preserve">[350] </w:t>
      </w:r>
      <w:hyperlink r:id="rId537">
        <w:r>
          <w:rPr>
            <w:color w:val="1155CC"/>
            <w:u w:val="single"/>
          </w:rPr>
          <w:t>成年、老龄化和老年痴呆症的人类河马运动神经起源</w:t>
        </w:r>
      </w:hyperlink>
    </w:p>
    <w:p>
      <w:pPr>
        <w:spacing w:before="0" w:after="80"/>
      </w:pPr>
      <w:r>
        <w:rPr>
          <w:i/>
          <w:sz w:val="20"/>
        </w:rPr>
        <w:t>EN: Human hippocampal neurogenesis in adulthood, ageing and Alzheimer’s disease</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长期以来,人类河马运动神经起源的存在一直受到争议,有1,2,3,4,5,6,6,7,7,8,8,9,9,10,10,11,12 及其在认知方面的关联性仍然不得而知。最近的研究证实,在阿尔茨海默氏病(AD)11,13 中,存在扩散的后代和不成熟的神经神经元,后者在老年阿尔茨海默氏病(AD)11,13。然而,这些神经起源和调节神经起源和功能的分子网络却鲜为人所知。我们在这里研究了从不同组群获得的人类死后河马运动:记忆完整的年轻成年人、没有认知障碍的老年成年人、记忆能力超强的老年成年人(SuperArgers)14,15个具有临床前中间病学能力的成年人或具有ADD的成人。使用多组单细胞序列(单核子序列和单核细胞)进行研究。</w:t>
      </w:r>
    </w:p>
    <w:p>
      <w:pPr>
        <w:spacing w:before="0" w:after="200" w:lineRule="auto" w:line="276"/>
      </w:pPr>
      <w:r>
        <w:rPr>
          <w:b/>
        </w:rPr>
        <w:t xml:space="preserve">Abstract (EN): </w:t>
      </w:r>
      <w:r>
        <w:t>The existence of human hippocampal neurogenesis has long been disputed1,2,3,4,5,6,7,8,9,10,11,12 and its relevance in cognition remains unknown. Recent studies have established the presence of proliferating progenitors and immature neurons and a reduction in the latter in Alzheimer’s disease (AD)11,13. However, their origin and the molecular networks that regulate neurogenesis and function are poorly understood. Here we studied human post-mortem hippocampi obtained from different cohorts: young adults with intact memory, aged adults with no cognitive impairments, aged adults with extraordinary memory capacity (SuperAgers)14,15, adults with preclinical intermediate pathology or adults with AD. Using multiomic single-cell sequencing (single-nucleus RNA sequencing and single-nuclei assay for transposase-accessible chromatin with sequencing), we analysed the profiles of 355,997 nuclei isolated from the hippocampus samples and identified neural stem cells, neuroblasts and immature granule neurons. Dysregulated neurogenesis was largely associated with changes in chromatin accessibility. Analyses of transcription factors and target gene signatures that distinguished each of the groups revealed early alterations in chromatin accessibility of neurogenic cells from individuals with preclinical AD, and such changes were even more evident in samples from individuals with AD. We identified a distinct profile of neurogenesis in SuperAgers that may reflect a ‘resilience signature’. Finally, alterations in the profile of astrocytes and CA1 neurons govern cognitive function in the ageing hippocampus. Together, our study points to a multiomic molecular signature of the hippocampus that distinguishes cognitive resilience and deterioration with ageing.</w:t>
      </w:r>
    </w:p>
    <w:p>
      <w:pPr>
        <w:spacing w:before="120" w:after="120"/>
      </w:pPr>
      <w:r>
        <w:rPr>
          <w:sz w:val="18"/>
        </w:rPr>
        <w:t>——————————————————————————————————————————————————————————————————————</w:t>
      </w:r>
    </w:p>
    <w:p>
      <w:pPr>
        <w:spacing w:before="160" w:after="40" w:line="240" w:lineRule="auto"/>
      </w:pPr>
      <w:r>
        <w:rPr>
          <w:b/>
        </w:rPr>
        <w:t xml:space="preserve">[351] </w:t>
      </w:r>
      <w:hyperlink r:id="rId538">
        <w:r>
          <w:rPr>
            <w:color w:val="1155CC"/>
            <w:u w:val="single"/>
          </w:rPr>
          <w:t>梯度结构使机械电能感知</w:t>
        </w:r>
      </w:hyperlink>
    </w:p>
    <w:p>
      <w:pPr>
        <w:spacing w:before="0" w:after="80"/>
      </w:pPr>
      <w:r>
        <w:rPr>
          <w:i/>
          <w:sz w:val="20"/>
        </w:rPr>
        <w:t>EN: Echinoderm stereom gradient structures enable mechanoelectrical perception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细胞固态在自然系统中普遍存在,对活生物体至关重要,1,2 其独特的光滑分支和结节形态常被视为对机械性能增强的适应性。 探索替代进化功能可以丰富对细胞固态的理解,但经常被忽视。这里我们表明,在脑神经立体(例如,海胆脊椎)中,生物矿物化的细胞固态具有出乎意料的机械电动感知,具有反应潜力和反应时间,两者的大小均比电离层视觉大一至三级。 5 这种特殊感知源于[001]轴沿线的梯状细胞固态(有不同的真空或固相直径),产生差异。</w:t>
      </w:r>
    </w:p>
    <w:p>
      <w:pPr>
        <w:spacing w:before="0" w:after="200" w:lineRule="auto" w:line="276"/>
      </w:pPr>
      <w:r>
        <w:rPr>
          <w:b/>
        </w:rPr>
        <w:t xml:space="preserve">Abstract (EN): </w:t>
      </w:r>
      <w:r>
        <w:t>Cellular solids ubiquitously exist in natural systems and are crucial for living organisms1,2. Their unique smooth branch and node morphologies are often seen as adaptations for enhanced mechanical performance3,4. Exploring alternative evolutionary functions can enrich the understanding of cellular solids, but it is frequently neglected. Here we show that the biomineralized cellular solids in echinoderm stereom (for example, sea urchin spine) have unexpected mechanoelectrical perception with response potential and response time, both of which are one to three orders of magnitude greater than those of echinoderm vision5. This exceptional perception originates from the gradient cellular solids (with varying void- or solid-phase diameters) along the [001] spine axis, generating a differential charge density across the stereom surface during liquid flow. Inspired by this natural wisdom, we create artificial spine-like structures using three-dimensional printing technology that exhibit three-fold higher voltage output and eight-fold greater amplitude differential than gradient-free samples, as well as a nature-inspired metamaterial mechanoreceptor capable of time-resolved self-monitoring information underwater. Our findings advance the understanding of load-sensitive biomimetic cellular solids (such as wood, sponge and trabecular bone), with the potential to develop functional gradient cellular materials towards underwater spatiotemporal sensing and water resource utilization.</w:t>
      </w:r>
    </w:p>
    <w:p>
      <w:pPr>
        <w:spacing w:before="120" w:after="120"/>
      </w:pPr>
      <w:r>
        <w:rPr>
          <w:sz w:val="18"/>
        </w:rPr>
        <w:t>——————————————————————————————————————————————————————————————————————</w:t>
      </w:r>
    </w:p>
    <w:p>
      <w:pPr>
        <w:spacing w:before="160" w:after="40" w:line="240" w:lineRule="auto"/>
      </w:pPr>
      <w:r>
        <w:rPr>
          <w:b/>
        </w:rPr>
        <w:t xml:space="preserve">[352] </w:t>
      </w:r>
      <w:hyperlink r:id="rId539">
        <w:r>
          <w:rPr>
            <w:color w:val="1155CC"/>
            <w:u w:val="single"/>
          </w:rPr>
          <w:t>MurJ 卷式软膜凝胶透析蛋白抑制</w:t>
        </w:r>
      </w:hyperlink>
    </w:p>
    <w:p>
      <w:pPr>
        <w:spacing w:before="0" w:after="80"/>
      </w:pPr>
      <w:r>
        <w:rPr>
          <w:i/>
          <w:sz w:val="20"/>
        </w:rPr>
        <w:t>EN: Convergent MurJ flippase inhibition by phage lysis proteins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抗微生物药物抗药性构成全球健康挑战,需要确定新的可药目标1、2.3 基本脂质二型脂质二型脂质二型脂质二型脂质二型脂质七型脂质二型脂质二型脂质二型脂质二型脂质二型脂质二型脂质二型脂质二型脂质二型脂质二型脂质二型脂质二型脂质二型药物,是细菌细胞壁生物合成物4,5,6,7,7,7. MurJ唯一已知的克微阴性(didem)抗药性抑制剂,是液态单体单体单体和RNAphage M(SglM)和PP7(SglP7)的单体溶性蛋白质(SglJ),9 SglM和SglPP7型脂质七型脂质七型脂质二型脂质二型脂质二型脂质二型脂质二型脂质二型脂质二型脂质二型脂质二型脂质二型的单质二型血</w:t>
      </w:r>
    </w:p>
    <w:p>
      <w:pPr>
        <w:spacing w:before="0" w:after="200" w:lineRule="auto" w:line="276"/>
      </w:pPr>
      <w:r>
        <w:rPr>
          <w:b/>
        </w:rPr>
        <w:t xml:space="preserve">Abstract (EN): </w:t>
      </w:r>
      <w:r>
        <w:t>Antimicrobial drug resistance poses a global health challenge that necessitates the identification of new druggable targets1,2,3. The essential lipid II flippase MurJ is a promising yet underexplored antimicrobial target in bacterial cell wall biosynthesis4,5,6,7. The only known inhibitors of Gram-negative (diderm) MurJ are the single-gene lysis proteins (Sgls) from the lytic single-strand RNA phages M (SglM) and PP7 (SglPP7)8,9. SglM and SglPP7 have distinct evolutionary origins and share no sequence similarity. Here we describe a common mechanism of MurJ inhibition by these phage-encoded Sgls. We determined the structures of MurJ-bound SglM and SglPP7 and discovered a third distinct MurJ-targeting Sgl from the predicted phage Changjiang3 (SglCJ3) that we also characterized structurally. Our findings demonstrate that all three Sgls evolved convergently to trap MurJ in a periplasm-open conformation through a common MurJ interface, revealing a pathway for drug design.</w:t>
      </w:r>
    </w:p>
    <w:p>
      <w:pPr>
        <w:spacing w:before="120" w:after="120"/>
      </w:pPr>
      <w:r>
        <w:rPr>
          <w:sz w:val="18"/>
        </w:rPr>
        <w:t>——————————————————————————————————————————————————————————————————————</w:t>
      </w:r>
    </w:p>
    <w:p>
      <w:pPr>
        <w:spacing w:before="160" w:after="40" w:line="240" w:lineRule="auto"/>
      </w:pPr>
      <w:r>
        <w:rPr>
          <w:b/>
        </w:rPr>
        <w:t xml:space="preserve">[353] </w:t>
      </w:r>
      <w:hyperlink r:id="rId540">
        <w:r>
          <w:rPr>
            <w:color w:val="1155CC"/>
            <w:u w:val="single"/>
          </w:rPr>
          <w:t>外围免疫导体性免疫导体登地性细胞驱动早期寿命过敏炎症</w:t>
        </w:r>
      </w:hyperlink>
    </w:p>
    <w:p>
      <w:pPr>
        <w:spacing w:before="0" w:after="80"/>
      </w:pPr>
      <w:r>
        <w:rPr>
          <w:i/>
          <w:sz w:val="20"/>
        </w:rPr>
        <w:t>EN: Peripheral immune-inducer dendritic cells drive early-life allergic inflammation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与过敏基因和过敏疾病有关的同位素疾病在生命早期经常出现;然而,指导对过敏基因的免疫反应的依赖于年龄的机制仍然不甚为人理解。 我们在这里发现,在早期生命中,接触普通过敏基因会引发一种不同的双形免疫反应,同时引发皮肤中17型发炎,并在淋巴节点中引发康氏2敏化。这种早期生命 17型代介介质皮肤炎为二级过敏肺炎的过度过敏发炎的初级。从机械上看,我们发现登地细胞(DC)介质为17型的皮肤直接活化,而不需要迁移到淋巴节点;我们称这个州为 " 阴道免疫诱导器 " (pii) DC. CD301b+ 常规类型。</w:t>
      </w:r>
    </w:p>
    <w:p>
      <w:pPr>
        <w:spacing w:before="0" w:after="200" w:lineRule="auto" w:line="276"/>
      </w:pPr>
      <w:r>
        <w:rPr>
          <w:b/>
        </w:rPr>
        <w:t xml:space="preserve">Abstract (EN): </w:t>
      </w:r>
      <w:r>
        <w:t>Atopic diseases associated with allergens, as well as allergic diseases, frequently arise early in life; however, the age-dependent mechanisms governing immune responses to allergens remain poorly understood1. Here we find that in early life, exposure to common allergens triggers a distinct bifurcated immune response, simultaneously triggering type 17 inflammation in the skin and initiating canonical T helper 2 sensitization in the lymph nodes. This early-life γδ type 17-mediated dermatitis primes the exaggerated allergic lung inflammation upon secondary allergen exposure. Mechanistically, we find dendritic cell (DC)-mediated type 17 activation directly in the skin without requiring migration to lymph nodes; we term this state ‘peripheral immune inducer’ (pii) DC. CD301b+ conventional type 2 DCs acquire allergen, adopt the pii-DC state, produce IL-23 and activate local γδ type 17 cells independently of lymph-node engagement. The pii-DC state is enabled by the immature hypothalamic–pituitary–adrenal axis and physiologically low systemic glucocorticoids characteristic of early life2,3; DC-specific deletion of the glucocorticoid receptor recapitulates the pii-DC phenotype. These findings define a developmental checkpoint, set by neuroendocrine maturation, that enables in situ DC activation and immune induction, thereby shaping age-dependent responses to allergens.</w:t>
      </w:r>
    </w:p>
    <w:p>
      <w:pPr>
        <w:spacing w:before="120" w:after="120"/>
      </w:pPr>
      <w:r>
        <w:rPr>
          <w:sz w:val="18"/>
        </w:rPr>
        <w:t>——————————————————————————————————————————————————————————————————————</w:t>
      </w:r>
    </w:p>
    <w:p>
      <w:pPr>
        <w:spacing w:before="160" w:after="40" w:line="240" w:lineRule="auto"/>
      </w:pPr>
      <w:r>
        <w:rPr>
          <w:b/>
        </w:rPr>
        <w:t xml:space="preserve">[354] </w:t>
      </w:r>
      <w:hyperlink r:id="rId541">
        <w:r>
          <w:rPr>
            <w:color w:val="1155CC"/>
            <w:u w:val="single"/>
          </w:rPr>
          <w:t>CLCC1 管理 ER 双层平衡以保持脂质软体平衡</w:t>
        </w:r>
      </w:hyperlink>
    </w:p>
    <w:p>
      <w:pPr>
        <w:spacing w:before="0" w:after="80"/>
      </w:pPr>
      <w:r>
        <w:rPr>
          <w:i/>
          <w:sz w:val="20"/>
        </w:rPr>
        <w:t>EN: CLCC1 governs ER bilayer equilibration to maintain lipid homeostasis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脂肪生产、储存和调动的管合性对于细胞和系统的原生常态1,2。 功能性等离浆脂控制是心血管疾病的主要风险因素,是造成人类死亡的主要原因。 在细胞地貌中,内分解性内流体是脂肪合成和分泌的中心枢纽,特别是在肝脏或直肠5,6的肠内代代谢活性肝细胞细胞中。最初在ER润滑剂中组装的脂肪喷嘴性脂质蛋白质,需要将中性和磷素跨膜转移到阳极阿皮蛋白B(APOB),其工艺范围不很明确,为7,8,9,10。我们在这里表明ER蛋白CCC1调节了细胞脂分割,并因此按部位将系统性脂质软化。</w:t>
      </w:r>
    </w:p>
    <w:p>
      <w:pPr>
        <w:spacing w:before="0" w:after="200" w:lineRule="auto" w:line="276"/>
      </w:pPr>
      <w:r>
        <w:rPr>
          <w:b/>
        </w:rPr>
        <w:t xml:space="preserve">Abstract (EN): </w:t>
      </w:r>
      <w:r>
        <w:t>Orchestration of lipid production, storage and mobilization is vital for cellular and systemic homeostasis1,2. Dysfunctional plasma lipid control represents the major risk factor for cardiometabolic diseases—the leading cause of human mortality3,4. Within the cellular landscape, the endoplasmic reticulum (ER) is the central hub of lipid synthesis and secretion, particularly in metabolically active hepatocytes in the liver or enterocytes in the gut5,6. Initially assembled in the ER lumen, lipid-ferrying lipoproteins necessitate the cross-membrane transfer of both neutral and phospholipids onto the lumenal apolipoprotein B (APOB), in a poorly defined process7,8,9,10. Here we show that the ER protein CLCC1 regulates cellular lipid partition and, consequently, systemic lipid homeostasis by participating in trans-bilayer equilibration of phospholipids. CLCC1 partners with the phospholipid scramblase TMEM41B11,12 to recognize imbalanced bilayers and promote lipid scrambling, thereby supporting lipoprotein biogenesis and the subsequent bulk lipid transport. Loss of CLCC1 or TMEM41B leads to the emergence of giant lumenal lipid droplets enclosed by imbalanced ER bilayers and, consequently, accelerated pathogenesis of metabolic-dysfunction-associated liver steatohepatitis. The results reveal that phospholipid scrambling at the ER is essential for establishing a dynamic equilibrium. Considering the requirement of trans-bilayer phospholipid equilibration in numerous biological processes, ranging from catabolic autophagy to viral infection13,14,15,16, we anticipate that future work will elucidate a homeostatic control mechanism intrinsic to ER function in lipid biogenesis and distribution.</w:t>
      </w:r>
    </w:p>
    <w:p>
      <w:pPr>
        <w:spacing w:before="120" w:after="120"/>
      </w:pPr>
      <w:r>
        <w:rPr>
          <w:sz w:val="18"/>
        </w:rPr>
        <w:t>——————————————————————————————————————————————————————————————————————</w:t>
      </w:r>
    </w:p>
    <w:p>
      <w:pPr>
        <w:spacing w:before="160" w:after="40" w:line="240" w:lineRule="auto"/>
      </w:pPr>
      <w:r>
        <w:rPr>
          <w:b/>
        </w:rPr>
        <w:t xml:space="preserve">[355] </w:t>
      </w:r>
      <w:hyperlink r:id="rId542">
        <w:r>
          <w:rPr>
            <w:color w:val="1155CC"/>
            <w:u w:val="single"/>
          </w:rPr>
          <w:t>珊瑚微生物作为未知基因组和生物合成多样性的蓄水层</w:t>
        </w:r>
      </w:hyperlink>
    </w:p>
    <w:p>
      <w:pPr>
        <w:spacing w:before="0" w:after="80"/>
      </w:pPr>
      <w:r>
        <w:rPr>
          <w:i/>
          <w:sz w:val="20"/>
        </w:rPr>
        <w:t>EN: Coral microbiomes as reservoirs of unknown genomic and biosynthetic diversity</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珊瑚礁是海洋生物多样性的热点,提供了广泛的生态系统服务。1 这些是生物活性代谢物的蓄积地,其中许多是由与珊瑚礁无脊椎动物宿主有关的微生物产生的微生物代谢物。2 然而,对于珊瑚礁的关键物种——建造珊瑚礁的珊瑚——而言,由于珊瑚礁生物多样性的惊人减少,我们仍缺乏对其微生物编码的生物合成潜力和所涉分子资源的系统评估。我们在这里分析了从在整个太平洋32个岛屿的99个珊瑚礁收集的3个具有代表性的珊瑚基因的820个珊瑚礁造珊瑚礁样本中重建的微生物基因组。 (塔拉太平洋考察)3 通过将我们的分析与其他珊瑚礁物种的微生物进行背景化,我们发现4 224米的微生物中只有10%具有代表性。</w:t>
      </w:r>
    </w:p>
    <w:p>
      <w:pPr>
        <w:spacing w:before="0" w:after="200" w:lineRule="auto" w:line="276"/>
      </w:pPr>
      <w:r>
        <w:rPr>
          <w:b/>
        </w:rPr>
        <w:t xml:space="preserve">Abstract (EN): </w:t>
      </w:r>
      <w:r>
        <w:t>Coral reefs are marine biodiversity hotspots that provide a wide range of ecosystem services1. They are reservoirs of bioactive metabolites, many produced by microorganisms associated with reef invertebrate hosts2. However, for the keystone species of coral reefs—the reef-building corals—we still lack a systematic assessment of their microbially encoded biosynthetic potential and the molecular resources at stake due to the alarming decline in reef biodiversity. Here we analysed microbial genomes reconstructed from 820 reef-building coral samples of three representative coral genera collected at 99 reefs across 32 islands throughout the Pacific Ocean (Tara Pacific expedition)3. By contextualizing our analyses with the microbiomes of other reef species, we found that only 10% of the 4,224 microbial species and less than 1% of the 645 species exclusively identified in Tara Pacific samples had genomic information available. Furthermore, the biosynthetic potential of reef-building coral microbiomes rivalled or surpassed that of traditional natural product sources such as sponges. Among the biosynthetically rich bacteria in the reef microbiome, we identified new groups of Acidobacteriota that encode previously unknown enzymology, in turn opening promising avenues for functional protein engineering. Together, this study underscores the importance of conserving coral reefs as vital reservoirs of molecular diversity.</w:t>
      </w:r>
    </w:p>
    <w:p>
      <w:pPr>
        <w:spacing w:before="120" w:after="120"/>
      </w:pPr>
      <w:r>
        <w:rPr>
          <w:sz w:val="18"/>
        </w:rPr>
        <w:t>——————————————————————————————————————————————————————————————————————</w:t>
      </w:r>
    </w:p>
    <w:p>
      <w:pPr>
        <w:spacing w:before="160" w:after="40" w:line="240" w:lineRule="auto"/>
      </w:pPr>
      <w:r>
        <w:rPr>
          <w:b/>
        </w:rPr>
        <w:t xml:space="preserve">[356] </w:t>
      </w:r>
      <w:hyperlink r:id="rId543">
        <w:r>
          <w:rPr>
            <w:color w:val="1155CC"/>
            <w:u w:val="single"/>
          </w:rPr>
          <w:t>基于器官胶囊过滤法的静脉定向脂肪纳米粒子</w:t>
        </w:r>
      </w:hyperlink>
    </w:p>
    <w:p>
      <w:pPr>
        <w:spacing w:before="0" w:after="80"/>
      </w:pPr>
      <w:r>
        <w:rPr>
          <w:i/>
          <w:sz w:val="20"/>
        </w:rPr>
        <w:t>EN: Pancreatic-targeted lipid nanoparticles based on organ capsule filtration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实现针对胰岛素的交付标志着治疗胰岛素疾病的突破,但准确的交付仍具有挑战性。 我们在此确定了明确和普遍的原则,以进行针对胰岛素的选择性交付,并提议为mRNA的交付提供一种针对胰岛素的针对脂肪纳米粒子(AH-LNP),AH-LNP在配有蛋白后展示了体积的扩大,促进了以胶囊-过滤器为媒介的针对胰岛素的选择性累积和受体治疗内分泌,从而提高了针对胰岛素的能力。AH-LNP从中获益,通过交付Cas9 mRNA和单一指南RNA(SgRNA),使全市的基因组得以精确和高效地进行编辑,在治疗自动免疫性肿瘤疾病方面展现出很有潜力。此外,以胰岛素为对象的交付也使全市素得以进行精确和高效的基因组分。</w:t>
      </w:r>
    </w:p>
    <w:p>
      <w:pPr>
        <w:spacing w:before="0" w:after="200" w:lineRule="auto" w:line="276"/>
      </w:pPr>
      <w:r>
        <w:rPr>
          <w:b/>
        </w:rPr>
        <w:t xml:space="preserve">Abstract (EN): </w:t>
      </w:r>
      <w:r>
        <w:t>Achieving pancreatic-targeted delivery marks a breakthrough in treating pancreatic diseases, yet precise delivery remains challenging1. Here we identify an explicit and universal principle for pancreatic-selective delivery and propose a pancreatic-targeted lipid nanoparticle (AH-LNP) for mRNA delivery. AH-LNP exhibits size enlargement after assembly with proteins, facilitating capsule-filter-mediated pancreas-selective accumulation and receptor-mediated endocytosis, thereby boosting the pancreatic-targeted ability. Benefiting from this, AH-LNP enables precise and efficient genome editing in the pancreas through the delivery of Cas9 mRNA and single guide RNA (sgRNA), exhibiting promising potential in the treatment of autoimmune pancreatic diseases. Furthermore, pancreatic-targeted delivery of mRNA encoding therapeutic cytokines through AH-LNP demonstrates superior antitumour efficacy when combined with a cancer vaccine or chimeric antigen receptor T cell therapy in multiple pancreatic cancer models. The safety and pancreatic mRNA delivery of AH-LNP were verified in multiple animal models, including non-human primates, demonstrating great promise for clinical translation. Our findings highlight the transformative potential of this pancreatic-targeted mechanism and the derived LNP platform, opening avenues for developing precision therapeutics against diverse pancreatic diseases.</w:t>
      </w:r>
    </w:p>
    <w:p>
      <w:pPr>
        <w:spacing w:before="120" w:after="120"/>
      </w:pPr>
      <w:r>
        <w:rPr>
          <w:sz w:val="18"/>
        </w:rPr>
        <w:t>——————————————————————————————————————————————————————————————————————</w:t>
      </w:r>
    </w:p>
    <w:p>
      <w:pPr>
        <w:spacing w:before="160" w:after="40" w:line="240" w:lineRule="auto"/>
      </w:pPr>
      <w:r>
        <w:rPr>
          <w:b/>
        </w:rPr>
        <w:t xml:space="preserve">[357] </w:t>
      </w:r>
      <w:hyperlink r:id="rId544">
        <w:r>
          <w:rPr>
            <w:color w:val="1155CC"/>
            <w:u w:val="single"/>
          </w:rPr>
          <w:t>直视皮层的内心深心神经网络模型</w:t>
        </w:r>
      </w:hyperlink>
    </w:p>
    <w:p>
      <w:pPr>
        <w:spacing w:before="0" w:after="80"/>
      </w:pPr>
      <w:r>
        <w:rPr>
          <w:i/>
          <w:sz w:val="20"/>
        </w:rPr>
        <w:t>EN: Compact deep neural network models of the visual cortex</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理解视觉皮层计算方法的有力方法就是建立模型,预测对任何任意图像的神经反应。深神经网络(DNNs)已成为领先的预测模型1,2 但其基本计算仍然埋在数百万参数之下。这里我们通过寻找原始视觉皮层皮层的预测和相似的 DNN 模型,挑战这种规模模型的必要性。我们首先在macaque 视觉V4中建立了一个高度预测的DNN神经反应模型,方法是交替数据收集和适应性闭环实验的模型培训。然后我们压缩了这个由6,000万参数组成的大型黑箱 DNN 模型,以便用5 000倍的但具有可比性的精确度的参数确定紧凑模型。</w:t>
      </w:r>
    </w:p>
    <w:p>
      <w:pPr>
        <w:spacing w:before="0" w:after="200" w:lineRule="auto" w:line="276"/>
      </w:pPr>
      <w:r>
        <w:rPr>
          <w:b/>
        </w:rPr>
        <w:t xml:space="preserve">Abstract (EN): </w:t>
      </w:r>
      <w:r>
        <w:t>A powerful approach to understand the computations carried out by the visual cortex is to build models that predict neural responses to any arbitrary image. Deep neural networks (DNNs) have emerged as the leading predictive models1,2, yet their underlying computations remain buried beneath millions of parameters. Here we challenge the need for models at this scale by seeking predictive and parsimonious DNN models of the primate visual cortex. We first built a highly predictive DNN model of neural responses in macaque visual area V4 by alternating data collection and model training in adaptive closed-loop experiments. We then compressed this large, black-box DNN model, which comprised 60 million parameters, to identify compact models with 5,000 times fewer parameters yet comparable accuracy. This dramatic compression enabled us to investigate the inner workings of the compact models. We discovered a salient computational motif: compact models share similar filters in early processing, but individual models then specialize their feature selectivity by ‘consolidating’ this shared high-dimensional representation in distinct ways. We examined this consolidation step in a dot-detecting model neuron, revealing a computational mechanism that leads to a testable circuit hypothesis for dot-selective V4 neurons. Beyond V4, we found strong model compression for macaque visual areas V1 and IT (inferior temporal cortex), revealing a general computational principle of the visual cortex. Overall, our work challenges the notion that large DNNs are necessary to predict individual neurons and establishes a modelling framework that balances prediction and parsimony.</w:t>
      </w:r>
    </w:p>
    <w:p>
      <w:pPr>
        <w:spacing w:before="120" w:after="120"/>
      </w:pPr>
      <w:r>
        <w:rPr>
          <w:sz w:val="18"/>
        </w:rPr>
        <w:t>——————————————————————————————————————————————————————————————————————</w:t>
      </w:r>
    </w:p>
    <w:p>
      <w:pPr>
        <w:spacing w:before="160" w:after="40" w:line="240" w:lineRule="auto"/>
      </w:pPr>
      <w:r>
        <w:rPr>
          <w:b/>
        </w:rPr>
        <w:t xml:space="preserve">[358] </w:t>
      </w:r>
      <w:hyperlink r:id="rId545">
        <w:r>
          <w:rPr>
            <w:color w:val="1155CC"/>
            <w:u w:val="single"/>
          </w:rPr>
          <w:t>气相化学还原系统工程推进CAR-NK抗固态肿瘤疗法</w:t>
        </w:r>
      </w:hyperlink>
    </w:p>
    <w:p>
      <w:pPr>
        <w:spacing w:before="0" w:after="80"/>
      </w:pPr>
      <w:r>
        <w:rPr>
          <w:i/>
          <w:sz w:val="20"/>
        </w:rPr>
        <w:t>EN: OR7A10 GPCR engineering boosts CAR-NK therapy against solid tumours</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CAR-CAR-自然杀手(NK)细胞疗法对固态肿瘤有希望,但由于肿瘤微微型环境的肿瘤渗透、持久性和抗力差,因此仍然有限,但由于肿瘤微环境的肿瘤渗透、持久性和抗力不足,1,2,3,4,4,4,4。为了确定提高CAR-NK细胞效能的功能增益目标,我们在CRISPR活化屏上进行了无偏向性的工作,然后在人类CAR-NK初级细胞的活性露天阅读框架屏幕上进行了有条纹的检查。我们确定并全面验证了G蛋白混合受体OR7A10,即G蛋白混合受体(GPCR)为最高候选者。工程CAR-NK细胞与OR7A10 CDNA(一种以简单制造战略为独立的CRIPR独立方法)一道,加强了其扩散、激活、脱压、细胞皮生产、断层表达、化学受体外溢出。我们确定并全面验证了O7A10。</w:t>
      </w:r>
    </w:p>
    <w:p>
      <w:pPr>
        <w:spacing w:before="0" w:after="200" w:lineRule="auto" w:line="276"/>
      </w:pPr>
      <w:r>
        <w:rPr>
          <w:b/>
        </w:rPr>
        <w:t xml:space="preserve">Abstract (EN): </w:t>
      </w:r>
      <w:r>
        <w:t>Chimeric antigen receptor (CAR)-natural killer (NK) cell therapies hold promise for solid tumours but remain limited because of poor tumour infiltration, persistence and resistance in the tumour microenvironment1,2,3,4. Here, to identify gain-of-function targets that enhance CAR-NK cell efficacy, we performed an unbiased in vivo CRISPR activation screen followed by a barcoded targeted in vivo open reading frame screen in primary human CAR-NK cells. We identified and comprehensively validated OR7A10, a G protein-coupled receptor (GPCR), as the top candidate. Engineering CAR-NK cells with OR7A10 cDNA (a CRISPR-independent method with a simple manufacturing strategy) enhanced their proliferation, activation, degranulation, cytokine production, death ligand expression, chemokine receptor expression, cytotoxicity, persistence, metabolic fitness and tumour microenvironment resistance. Moreover, exhaustion in primary human NK cells derived from multiple peripheral blood and cord blood donors was reduced. OR7A10 gain-of-function CAR-NK cells displayed strong in vivo efficacy across multiple solid tumour models. For example, 100% complete response with long-term tumour control and survival benefit in an orthotopic breast cancer mouse model were achieved. These findings establish OR7A10-engineered CAR-NK cells as a highly potent and scalable off-the-shelf therapeutic for solid tumours.</w:t>
      </w:r>
    </w:p>
    <w:p>
      <w:pPr>
        <w:spacing w:before="120" w:after="120"/>
      </w:pPr>
      <w:r>
        <w:rPr>
          <w:sz w:val="18"/>
        </w:rPr>
        <w:t>——————————————————————————————————————————————————————————————————————</w:t>
      </w:r>
    </w:p>
    <w:p>
      <w:pPr>
        <w:spacing w:before="160" w:after="40" w:line="240" w:lineRule="auto"/>
      </w:pPr>
      <w:r>
        <w:rPr>
          <w:b/>
        </w:rPr>
        <w:t xml:space="preserve">[359] </w:t>
      </w:r>
      <w:hyperlink r:id="rId546">
        <w:r>
          <w:rPr>
            <w:color w:val="1155CC"/>
            <w:u w:val="single"/>
          </w:rPr>
          <w:t>E3离子重新配E3增强耐寒能力和玉米使用磷酸盐</w:t>
        </w:r>
      </w:hyperlink>
    </w:p>
    <w:p>
      <w:pPr>
        <w:spacing w:before="0" w:after="80"/>
      </w:pPr>
      <w:r>
        <w:rPr>
          <w:i/>
          <w:sz w:val="20"/>
        </w:rPr>
        <w:t>EN: Rewiring an E3 ligase enhances cold resilience and phosphate use in maize</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冷应力限制了植物生长和无机磷酸盐(Pi)的吸收,降低了产量并增加了化肥需求1,2,33 提高冷耐力和磷使用效率(PUE)对于可持续的作物生产力至关重要。在这里,我们确定含有聚氧二氧乙烷的含有E3无处不在的E3离子酶NITROGEN自成适应(NLA)的中央调节器,将冷信号与玉米中Pi homeostasis(Zea mays L.)联系起来。在寒冷条件下,NLA推动转录抑制器JAZ11的退化,激活麻黄素信号,以加强冷容忍;然而,NLA还同时通过无氧醇多元磷酸盐(InsP)的无所依存式Pi运输器PT4(Ins Piositroducation)来抑制Pi的吸收。</w:t>
      </w:r>
    </w:p>
    <w:p>
      <w:pPr>
        <w:spacing w:before="0" w:after="200" w:lineRule="auto" w:line="276"/>
      </w:pPr>
      <w:r>
        <w:rPr>
          <w:b/>
        </w:rPr>
        <w:t xml:space="preserve">Abstract (EN): </w:t>
      </w:r>
      <w:r>
        <w:t>Cold stress restricts plant growth and inorganic phosphate (Pi) uptake, reducing yield and increasing fertilizer demand1,2,3. Enhancing both cold tolerance and phosphorus use efficiency (PUE) is crucial for sustainable crop productivity. Here we identify the SPX-domain-containing E3 ubiquitin ligase NITROGEN LIMITATION ADAPTATION (NLA) as a central regulator that links cold signalling to Pi homeostasis in maize (Zea mays L.). Under cold conditions, NLA promotes the degradation of the transcriptional repressor JAZ11, activating jasmonate signalling to enhance cold tolerance; however, NLA also simultaneously represses Pi uptake, through inositol polyphosphate (InsP)-dependent ubiquitination of the Pi transporter PT4. A ubiquitinome-informed genome-wide association study identified a natural PT4(K267A) (lysine-to-alanine substitution) variant that attenuates NLA-mediated degradation and increases Pi uptake in cold conditions. To overcome this nutrient–stress trade-off, we combined artificial-intelligence-guided structural modelling and ligand docking with genome editing to generate the nlaΔ12 allele, which encodes an NLA variant in which binding to InsP is impaired but JAZ11 targeting is retained. The Δ12 modification selectively redirects the activity of NLA towards jasmonate signalling, resulting in improved cold resilience, higher PUE and increased yield in multi-site field trials. These findings reveal a tunable SPX regulatory module that integrates environmental and nutrient signals, and provide a molecular framework for engineering climate-resilient, nutrient-efficient crops.</w:t>
      </w:r>
    </w:p>
    <w:p>
      <w:pPr>
        <w:spacing w:before="120" w:after="120"/>
      </w:pPr>
      <w:r>
        <w:rPr>
          <w:sz w:val="18"/>
        </w:rPr>
        <w:t>——————————————————————————————————————————————————————————————————————</w:t>
      </w:r>
    </w:p>
    <w:p>
      <w:pPr>
        <w:spacing w:before="160" w:after="40" w:line="240" w:lineRule="auto"/>
      </w:pPr>
      <w:r>
        <w:rPr>
          <w:b/>
        </w:rPr>
        <w:t xml:space="preserve">[360] </w:t>
      </w:r>
      <w:hyperlink r:id="rId547">
        <w:r>
          <w:rPr>
            <w:color w:val="1155CC"/>
            <w:u w:val="single"/>
          </w:rPr>
          <w:t>以含盐量调节的巧克力花旗内含盐量</w:t>
        </w:r>
      </w:hyperlink>
    </w:p>
    <w:p>
      <w:pPr>
        <w:spacing w:before="0" w:after="80"/>
      </w:pPr>
      <w:r>
        <w:rPr>
          <w:i/>
          <w:sz w:val="20"/>
        </w:rPr>
        <w:t>EN: Clonal-aggregative multicellularity tuned by salinity in a choanoflagellate</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在 eukaryotes, 1,2,3,4,4,4,4,4,4。两种不同的机制支撑着多细胞5:阴性(没有姐妹细胞分离的垂直细胞分裂)和聚合(独立细胞形成一个多细胞体)。 传统上,克隆和隔离的多细胞性被认为是相互排斥的1,6,7,8, 稀有的例外9, 进化假设解决了为什么多细胞性可能与另一极端3,4,4。目前已知的动物及其姐妹群体,即乔诺旗舰群,只能获得多细胞性(colunally)4,10,11。这里我们表明,通过多种机制,C.Livila 单层(表) 的C.Livea 单层(表) 和 C. C. C. C. C. C.</w:t>
      </w:r>
    </w:p>
    <w:p>
      <w:pPr>
        <w:spacing w:before="0" w:after="200" w:lineRule="auto" w:line="276"/>
      </w:pPr>
      <w:r>
        <w:rPr>
          <w:b/>
        </w:rPr>
        <w:t xml:space="preserve">Abstract (EN): </w:t>
      </w:r>
      <w:r>
        <w:t>Multicellularity evolved independently multiple times in eukaryotes1,2,3,4. Two distinct mechanisms underpin multicellularity5: clonality (serial cell division without sister-cell separation) and aggregation (whereby independent cells assemble into a multicellular entity). Clonal and aggregative multicellularity are traditionally considered to be mutually exclusive1,6,7,8, with rare exceptions9, and evolutionary hypotheses have addressed why multicellularity might diverge towards one or the other extreme3,4. Both animals and their sister group, the choanoflagellates, are currently known to acquire multicellularity only clonally4,10,11. Here we show that the choanoflagellate Choanoeca flexa12 forms motile and contractile cell monolayers (sheets) through multiple mechanisms—C. flexa sheets can form purely clonally, purely aggregatively or through a combination of both processes. We characterize the life history of C. flexa in its natural environment—ephemeral splash pools on the island of Curaçao—and show that C. flexa undergoes reversible transitions between unicellularity and multicellularity during evaporation–refilling cycles. Different splash pools house genetically distinct strains of C. flexa and kin recognition constrains aggregation between them. We show that clonal-aggregative multicellularity is a versatile strategy for the robust establishment of multicellularity in this variable and fast-fluctuating environment. Our findings challenge former generalizations about choanoflagellates and expand the option space of choanozoan multicellularity.</w:t>
      </w:r>
    </w:p>
    <w:p>
      <w:pPr>
        <w:spacing w:before="120" w:after="120"/>
      </w:pPr>
      <w:r>
        <w:rPr>
          <w:sz w:val="18"/>
        </w:rPr>
        <w:t>——————————————————————————————————————————————————————————————————————</w:t>
      </w:r>
    </w:p>
    <w:p>
      <w:pPr>
        <w:spacing w:before="160" w:after="40" w:line="240" w:lineRule="auto"/>
      </w:pPr>
      <w:r>
        <w:rPr>
          <w:b/>
        </w:rPr>
        <w:t xml:space="preserve">[361] </w:t>
      </w:r>
      <w:hyperlink r:id="rId548">
        <w:r>
          <w:rPr>
            <w:color w:val="1155CC"/>
            <w:u w:val="single"/>
          </w:rPr>
          <w:t>答复:用STM对实地引起的反应进行检验的局限性</w:t>
        </w:r>
      </w:hyperlink>
    </w:p>
    <w:p>
      <w:pPr>
        <w:spacing w:before="0" w:after="80"/>
      </w:pPr>
      <w:r>
        <w:rPr>
          <w:i/>
          <w:sz w:val="20"/>
        </w:rPr>
        <w:t>EN: Reply to: Limitations of probing field-induced response with STM</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[362] </w:t>
      </w:r>
      <w:hyperlink r:id="rId549">
        <w:r>
          <w:rPr>
            <w:color w:val="1155CC"/>
            <w:u w:val="single"/>
          </w:rPr>
          <w:t>促进增强复原力的性别平等多样性</w:t>
        </w:r>
      </w:hyperlink>
    </w:p>
    <w:p>
      <w:pPr>
        <w:spacing w:before="0" w:after="80"/>
      </w:pPr>
      <w:r>
        <w:rPr>
          <w:i/>
          <w:sz w:val="20"/>
        </w:rPr>
        <w:t>EN: Gender diversity for enhanced resilience</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[363] </w:t>
      </w:r>
      <w:hyperlink r:id="rId550">
        <w:r>
          <w:rPr>
            <w:color w:val="1155CC"/>
            <w:u w:val="single"/>
          </w:rPr>
          <w:t>以单核核酸溶解法解析复杂特性变异功能</w:t>
        </w:r>
      </w:hyperlink>
    </w:p>
    <w:p>
      <w:pPr>
        <w:spacing w:before="0" w:after="80"/>
      </w:pPr>
      <w:r>
        <w:rPr>
          <w:i/>
          <w:sz w:val="20"/>
        </w:rPr>
        <w:t>EN: Functional dissection of complex trait variants at single-nucleotide resolution</w:t>
      </w:r>
    </w:p>
    <w:p>
      <w:pPr>
        <w:spacing w:before="0" w:after="120"/>
      </w:pPr>
      <w:r>
        <w:rPr>
          <w:b/>
        </w:rPr>
        <w:t xml:space="preserve">Source: </w:t>
      </w:r>
      <w:r>
        <w:t>Nature</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确定导致复杂特性和疾病的因果变异和机制仍然是人类遗传1、2、3、4、5的核心问题。 这些变异大多个别地具有弱效6, 并存在于非编码基因调节元素7、8、9、10, 对此,我们没有充分理解单核酸改变调节转录过程如何影响人类的苯型5、11、12、13、13、14、15。为了解决这一问题,我们用大量平行的5种不同细胞类型的报告员Assaid16、17、18、19、20,衡量了221 412个细微标定的特异变异的活性。我们表明,这一分析有效地区分了可能的因果变异和控制,并非常精确地确定了13 121个调异的调节变异性。尽管这些变异的效果基本上一致。</w:t>
      </w:r>
    </w:p>
    <w:p>
      <w:pPr>
        <w:spacing w:before="0" w:after="200" w:lineRule="auto" w:line="276"/>
      </w:pPr>
      <w:r>
        <w:rPr>
          <w:b/>
        </w:rPr>
        <w:t xml:space="preserve">Abstract (EN): </w:t>
      </w:r>
      <w:r>
        <w:t>Identifying the causal variants and mechanisms that drive complex traits and diseases remains a core problem in human genetics1,2,3,4,5. Most of these variants individually have weak effects6 and lie in non-coding gene-regulatory elements7,8,9,10, for which we lack a complete understanding of how single-nucleotide alterations modulate transcriptional processes to affect human phenotypes5,11,12,13,14,15. To address this problem, we measured the activity of 221,412 fine-mapped trait-associated variants using a massively parallel reporter assay16,17,18,19,20 in 5 diverse cell types. We show that this assay effectively discriminates between likely causal variants and controls, and identified 13,121 regulatory variants with high precision. Although the effects of these variants largely agree with orthogonal measures of function, only 69% of them can plausibly be explained by the disruption of a known transcription factor binding motif. We investigated the mechanisms of 136 variants using saturation mutagenesis and assigned affected transcription factors for 91% of variants without a clear canonical mechanism. Finally, we detected regulatory epistasis at 11% of tested regulatory variants in close proximity and identified multiple functional variants on the same haplotype at a small, but important, subset of trait-associated loci. Overall, our study provides a systematic functional characterization of likely causal common variants that underlie complex and molecular human traits, enabling new insights into the regulatory grammar underlying disease risk.</w:t>
      </w:r>
    </w:p>
    <w:p>
      <w:pPr>
        <w:spacing w:before="120" w:after="120"/>
      </w:pPr>
      <w:r>
        <w:rPr>
          <w:sz w:val="18"/>
        </w:rPr>
        <w:t>——————————————————————————————————————————————————————————————————————</w:t>
      </w:r>
    </w:p>
    <w:p>
      <w:pPr>
        <w:spacing w:before="160" w:after="40" w:line="240" w:lineRule="auto"/>
      </w:pPr>
      <w:r>
        <w:rPr>
          <w:b/>
        </w:rPr>
        <w:t xml:space="preserve">[364] </w:t>
      </w:r>
      <w:hyperlink r:id="rId551">
        <w:r>
          <w:rPr>
            <w:color w:val="1155CC"/>
            <w:u w:val="single"/>
          </w:rPr>
          <w:t>光环下光环下提高谷物边界复原力和百草枯太阳能电池稳定性的光导可透光异构体</w:t>
        </w:r>
      </w:hyperlink>
    </w:p>
    <w:p>
      <w:pPr>
        <w:spacing w:before="0" w:after="80"/>
      </w:pPr>
      <w:r>
        <w:rPr>
          <w:i/>
          <w:sz w:val="20"/>
        </w:rPr>
        <w:t>EN: Photoswitchable isomers to improve grain boundary resilience and perovskite solar cells stability under light cycling</w:t>
      </w:r>
    </w:p>
    <w:p>
      <w:pPr>
        <w:spacing w:before="0" w:after="120"/>
      </w:pPr>
      <w:r>
        <w:rPr>
          <w:b/>
        </w:rPr>
        <w:t xml:space="preserve">Source: </w:t>
      </w:r>
      <w:r>
        <w:t>Nature Energy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在现实世界户外条件下,实现稳定和可伸缩的千草枯太阳能电池(PSCs)在现实世界户外条件下实现稳定和可伸缩的全新太阳能电池仍是一项部署挑战。在这里,我们报告了一项提高谷物边界复原力的战略,在现实的光环和PSC的紫外照射下,同时提高电力转换效率和长期运行持久性,在现实的光环和PSC的紫外照射下,同时提高电力转换效率和长期运行持久性。通过在谷物边界整合光可光开源的异构体,我们抑制了在通过光触发的动态破坏释放而反复光环绕时的拉链结合破裂和缺陷积累。这一方法稳定了基于三氯基铅的渗透拉蒂,防止光诱变和降解路径。结果,PSCs在紫外2 000小时之后保留了其初始性能的95%以上。</w:t>
      </w:r>
    </w:p>
    <w:p>
      <w:pPr>
        <w:spacing w:before="0" w:after="200" w:lineRule="auto" w:line="276"/>
      </w:pPr>
      <w:r>
        <w:rPr>
          <w:b/>
        </w:rPr>
        <w:t xml:space="preserve">Abstract (EN): </w:t>
      </w:r>
      <w:r>
        <w:t>Realizing stable and scalable perovskite solar cells (PSCs) under real-world outdoor conditions remains a challenge for deployment. Here we report a strategy to improve the resilience of the grain boundary, achieving simultaneous improvement in the power conversion efficiency and long-term operational durability under realistic light cycling and ultraviolet exposure of PSCs. By integrating photoswitchable isomers at grain boundaries, we suppress lattice bond rupture and defect accumulation during repeated light cycling through light-triggered dynamic damage release. This approach stabilizes the triple-cation lead-based perovskite lattice against photoinduced distortions and degradation pathways. As a result, the PSCs retain over 95% of their initial performance after 2,000 h of ultraviolet-containing light cycling at 65 °C and 500 thermal cycles between –40 °C and 85 °C, and deliver a power conversion efficiency of 27.2% (certified as 26.9%). Our strategy improves the operational stability and commercial viability of triple-cation perovskite photovoltaics.</w:t>
      </w:r>
    </w:p>
    <w:p>
      <w:pPr>
        <w:spacing w:before="120" w:after="120"/>
      </w:pPr>
      <w:r>
        <w:rPr>
          <w:sz w:val="18"/>
        </w:rPr>
        <w:t>——————————————————————————————————————————————————————————————————————</w:t>
      </w:r>
    </w:p>
    <w:p>
      <w:pPr>
        <w:spacing w:before="160" w:after="40" w:line="240" w:lineRule="auto"/>
      </w:pPr>
      <w:r>
        <w:rPr>
          <w:b/>
        </w:rPr>
        <w:t xml:space="preserve">[365] </w:t>
      </w:r>
      <w:hyperlink r:id="rId552">
        <w:r>
          <w:rPr>
            <w:color w:val="1155CC"/>
            <w:u w:val="single"/>
          </w:rPr>
          <w:t>我们需要对可避免的气候变化风险进行全球评估</w:t>
        </w:r>
      </w:hyperlink>
    </w:p>
    <w:p>
      <w:pPr>
        <w:spacing w:before="0" w:after="80"/>
      </w:pPr>
      <w:r>
        <w:rPr>
          <w:i/>
          <w:sz w:val="20"/>
        </w:rPr>
        <w:t>EN: We need a global assessment of avoidable climate-change risks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[366] </w:t>
      </w:r>
      <w:hyperlink r:id="rId553">
        <w:r>
          <w:rPr>
            <w:color w:val="1155CC"/>
            <w:u w:val="single"/>
          </w:rPr>
          <w:t>交叉实地洞见</w:t>
        </w:r>
      </w:hyperlink>
    </w:p>
    <w:p>
      <w:pPr>
        <w:spacing w:before="0" w:after="80"/>
      </w:pPr>
      <w:r>
        <w:rPr>
          <w:i/>
          <w:sz w:val="20"/>
        </w:rPr>
        <w:t>EN: Cross‑field insights</w:t>
      </w:r>
    </w:p>
    <w:p>
      <w:pPr>
        <w:spacing w:before="0" w:after="120"/>
      </w:pPr>
      <w:r>
        <w:rPr>
          <w:b/>
        </w:rPr>
        <w:t xml:space="preserve">Source: </w:t>
      </w:r>
      <w:r>
        <w:t>Nature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[367] </w:t>
      </w:r>
      <w:hyperlink r:id="rId554">
        <w:r>
          <w:rPr>
            <w:color w:val="1155CC"/>
            <w:u w:val="single"/>
          </w:rPr>
          <w:t>科学家面对过去与Epstein的关联的 后果</w:t>
        </w:r>
      </w:hyperlink>
    </w:p>
    <w:p>
      <w:pPr>
        <w:spacing w:before="0" w:after="80"/>
      </w:pPr>
      <w:r>
        <w:rPr>
          <w:i/>
          <w:sz w:val="20"/>
        </w:rPr>
        <w:t>EN: Scientists face fallout for past associations with Epstein</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[368] </w:t>
      </w:r>
      <w:hyperlink r:id="rId555">
        <w:r>
          <w:rPr>
            <w:color w:val="1155CC"/>
            <w:u w:val="single"/>
          </w:rPr>
          <w:t>欧盟领导人不应急于修改绿氢规则</w:t>
        </w:r>
      </w:hyperlink>
    </w:p>
    <w:p>
      <w:pPr>
        <w:spacing w:before="0" w:after="80"/>
      </w:pPr>
      <w:r>
        <w:rPr>
          <w:i/>
          <w:sz w:val="20"/>
        </w:rPr>
        <w:t>EN: EU leaders should not rush to revamp green-hydrogen rules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[369] </w:t>
      </w:r>
      <w:hyperlink r:id="rId556">
        <w:r>
          <w:rPr>
            <w:color w:val="1155CC"/>
            <w:u w:val="single"/>
          </w:rPr>
          <w:t>电力系统中电-碳-水 Nexus 电-碳-水-电-电-电-电-电-电-电-电-电-电-电-电-电-电-电- Nexus 新的双级优化时间表框架</w:t>
        </w:r>
      </w:hyperlink>
    </w:p>
    <w:p>
      <w:pPr>
        <w:spacing w:before="0" w:after="80"/>
      </w:pPr>
      <w:r>
        <w:rPr>
          <w:i/>
          <w:sz w:val="20"/>
        </w:rPr>
        <w:t>EN: A novel bi-level optimization scheduling framework for electricity-carbon-water Nexus in power systems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[370] </w:t>
      </w:r>
      <w:hyperlink r:id="rId557">
        <w:r>
          <w:rPr>
            <w:color w:val="1155CC"/>
            <w:u w:val="single"/>
          </w:rPr>
          <w:t>动物实验的时代正在消逝,接下来科学会到哪里去?</w:t>
        </w:r>
      </w:hyperlink>
    </w:p>
    <w:p>
      <w:pPr>
        <w:spacing w:before="0" w:after="80"/>
      </w:pPr>
      <w:r>
        <w:rPr>
          <w:i/>
          <w:sz w:val="20"/>
        </w:rPr>
        <w:t>EN: The age of animal experiments is waning. Where will science go next?</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[371] </w:t>
      </w:r>
      <w:hyperlink r:id="rId558">
        <w:r>
          <w:rPr>
            <w:color w:val="1155CC"/>
            <w:u w:val="single"/>
          </w:rPr>
          <w:t>5种方法来发现 报纸是欺诈的5种方法</w:t>
        </w:r>
      </w:hyperlink>
    </w:p>
    <w:p>
      <w:pPr>
        <w:spacing w:before="0" w:after="80"/>
      </w:pPr>
      <w:r>
        <w:rPr>
          <w:i/>
          <w:sz w:val="20"/>
        </w:rPr>
        <w:t>EN: Five ways to spot when a paper is a fraud</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[372] </w:t>
      </w:r>
      <w:hyperlink r:id="rId559">
        <w:r>
          <w:rPr>
            <w:color w:val="1155CC"/>
            <w:u w:val="single"/>
          </w:rPr>
          <w:t>锻炼活性酶如何帮助大脑保持年轻</w:t>
        </w:r>
      </w:hyperlink>
    </w:p>
    <w:p>
      <w:pPr>
        <w:spacing w:before="0" w:after="80"/>
      </w:pPr>
      <w:r>
        <w:rPr>
          <w:i/>
          <w:sz w:val="20"/>
        </w:rPr>
        <w:t>EN: How an exercise-activated enzyme helps to keep the brain young</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[373] </w:t>
      </w:r>
      <w:hyperlink r:id="rId560">
        <w:r>
          <w:rPr>
            <w:color w:val="1155CC"/>
            <w:u w:val="single"/>
          </w:rPr>
          <w:t>已查明数百脂质的蛋白质载体</w:t>
        </w:r>
      </w:hyperlink>
    </w:p>
    <w:p>
      <w:pPr>
        <w:spacing w:before="0" w:after="80"/>
      </w:pPr>
      <w:r>
        <w:rPr>
          <w:i/>
          <w:sz w:val="20"/>
        </w:rPr>
        <w:t>EN: The protein carriers of hundreds of lipids have been identified</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[374] </w:t>
      </w:r>
      <w:hyperlink r:id="rId561">
        <w:r>
          <w:rPr>
            <w:color w:val="1155CC"/>
            <w:u w:val="single"/>
          </w:rPr>
          <w:t>历史上历史大气氢水平的第一次冰芯记录</w:t>
        </w:r>
      </w:hyperlink>
    </w:p>
    <w:p>
      <w:pPr>
        <w:spacing w:before="0" w:after="80"/>
      </w:pPr>
      <w:r>
        <w:rPr>
          <w:i/>
          <w:sz w:val="20"/>
        </w:rPr>
        <w:t>EN: The first ice-core record of historical atmospheric hydrogen levels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[375] </w:t>
      </w:r>
      <w:hyperlink r:id="rId562">
        <w:r>
          <w:rPr>
            <w:color w:val="1155CC"/>
            <w:u w:val="single"/>
          </w:rPr>
          <w:t>利用镜像装置实现的放大X射线激光脉冲</w:t>
        </w:r>
      </w:hyperlink>
    </w:p>
    <w:p>
      <w:pPr>
        <w:spacing w:before="0" w:after="80"/>
      </w:pPr>
      <w:r>
        <w:rPr>
          <w:i/>
          <w:sz w:val="20"/>
        </w:rPr>
        <w:t>EN: Amplified X-ray laser pulses achieved using mirror set-up</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[376] </w:t>
      </w:r>
      <w:hyperlink r:id="rId563">
        <w:r>
          <w:rPr>
            <w:color w:val="1155CC"/>
            <w:u w:val="single"/>
          </w:rPr>
          <w:t>Stem 细胞为脆弱病症提供有效治疗</w:t>
        </w:r>
      </w:hyperlink>
    </w:p>
    <w:p>
      <w:pPr>
        <w:spacing w:before="0" w:after="80"/>
      </w:pPr>
      <w:r>
        <w:rPr>
          <w:i/>
          <w:sz w:val="20"/>
        </w:rPr>
        <w:t>EN: Stem cells provide a potent treatment for frailty</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[377] </w:t>
      </w:r>
      <w:hyperlink r:id="rId564">
        <w:r>
          <w:rPr>
            <w:color w:val="1155CC"/>
            <w:u w:val="single"/>
          </w:rPr>
          <w:t>“超级Agers”的大脑仍然是新神经元的强大生产者。</w:t>
        </w:r>
      </w:hyperlink>
    </w:p>
    <w:p>
      <w:pPr>
        <w:spacing w:before="0" w:after="80"/>
      </w:pPr>
      <w:r>
        <w:rPr>
          <w:i/>
          <w:sz w:val="20"/>
        </w:rPr>
        <w:t>EN: Brains of ‘super agers’ are still strong producers of new neurons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[378] </w:t>
      </w:r>
      <w:hyperlink r:id="rId565">
        <w:r>
          <w:rPr>
            <w:color w:val="1155CC"/>
            <w:u w:val="single"/>
          </w:rPr>
          <w:t>地震和闪电如何帮助解释尖叫式运动鞋</w:t>
        </w:r>
      </w:hyperlink>
    </w:p>
    <w:p>
      <w:pPr>
        <w:spacing w:before="0" w:after="80"/>
      </w:pPr>
      <w:r>
        <w:rPr>
          <w:i/>
          <w:sz w:val="20"/>
        </w:rPr>
        <w:t>EN: How earthquakes and lightning help explain squeaky sneakers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[379] </w:t>
      </w:r>
      <w:hyperlink r:id="rId566">
        <w:r>
          <w:rPr>
            <w:color w:val="1155CC"/>
            <w:u w:val="single"/>
          </w:rPr>
          <w:t>令人惊讶的飞鸣运动鞋科学</w:t>
        </w:r>
      </w:hyperlink>
    </w:p>
    <w:p>
      <w:pPr>
        <w:spacing w:before="0" w:after="80"/>
      </w:pPr>
      <w:r>
        <w:rPr>
          <w:i/>
          <w:sz w:val="20"/>
        </w:rPr>
        <w:t>EN: The surprising science of squeaky sneakers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[380] </w:t>
      </w:r>
      <w:hyperlink r:id="rId567">
        <w:r>
          <w:rPr>
            <w:color w:val="1155CC"/>
            <w:u w:val="single"/>
          </w:rPr>
          <w:t>一个新的MIMI-BOA-TiDE融合框架,对锂离电池的点数和剩余使用寿命概率预测进行内核密度估计</w:t>
        </w:r>
      </w:hyperlink>
    </w:p>
    <w:p>
      <w:pPr>
        <w:spacing w:before="0" w:after="80"/>
      </w:pPr>
      <w:r>
        <w:rPr>
          <w:i/>
          <w:sz w:val="20"/>
        </w:rPr>
        <w:t>EN: A novel MIC-BOA-TiDE fusion framework with kernel density estimation for point and probabilistic remaining useful life prediction of lithium-ion batteries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[381] </w:t>
      </w:r>
      <w:hyperlink r:id="rId568">
        <w:r>
          <w:rPr>
            <w:color w:val="1155CC"/>
            <w:u w:val="single"/>
          </w:rPr>
          <w:t>帕金森病影响控制全体行动的脑区域网络</w:t>
        </w:r>
      </w:hyperlink>
    </w:p>
    <w:p>
      <w:pPr>
        <w:spacing w:before="0" w:after="80"/>
      </w:pPr>
      <w:r>
        <w:rPr>
          <w:i/>
          <w:sz w:val="20"/>
        </w:rPr>
        <w:t>EN: Parkinson’s disease affects network of brain regions that controls whole-body action</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[382] </w:t>
      </w:r>
      <w:hyperlink r:id="rId569">
        <w:r>
          <w:rPr>
            <w:color w:val="1155CC"/>
            <w:u w:val="single"/>
          </w:rPr>
          <w:t>每日简报:动物试验的新替代办法</w:t>
        </w:r>
      </w:hyperlink>
    </w:p>
    <w:p>
      <w:pPr>
        <w:spacing w:before="0" w:after="80"/>
      </w:pPr>
      <w:r>
        <w:rPr>
          <w:i/>
          <w:sz w:val="20"/>
        </w:rPr>
        <w:t>EN: Daily briefing: The new alternatives to animal testing</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[383] </w:t>
      </w:r>
      <w:hyperlink r:id="rId570">
        <w:r>
          <w:rPr>
            <w:color w:val="1155CC"/>
            <w:u w:val="single"/>
          </w:rPr>
          <w:t>选择性地识别四氟化铵</w:t>
        </w:r>
      </w:hyperlink>
    </w:p>
    <w:p>
      <w:pPr>
        <w:spacing w:before="0" w:after="80"/>
      </w:pPr>
      <w:r>
        <w:rPr>
          <w:i/>
          <w:sz w:val="20"/>
        </w:rPr>
        <w:t>EN: Selective recognition of quaternary ammonium cations</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常规互动模型预测,由于合成受体的氢-气瓶捐赠和碳化-相互作用增强,较不易替代的铵加速度应被合成受体更强烈地认识到。在这里,我们推翻了这一范式,将超分子识别与固态阶段抽象结合,以实现对四氟化铵的热动力控制和高度选择性隔离。我们适应性BINOL-反射网络在不同支架上和水环境中运作,重新定义了在氨识别中依赖替代的选择性。</w:t>
      </w:r>
    </w:p>
    <w:p>
      <w:pPr>
        <w:spacing w:before="0" w:after="200" w:lineRule="auto" w:line="276"/>
      </w:pPr>
      <w:r>
        <w:rPr>
          <w:b/>
        </w:rPr>
        <w:t xml:space="preserve">Abstract (EN): </w:t>
      </w:r>
      <w:r>
        <w:t>Conventional interaction models predict that less substituted ammonium cations should be more strongly recognized by synthetic receptors because of their enhanced hydrogen-bond donation and cation-π interactions. Here, we overturn this paradigm by integrating supramolecular recognition with solid-phase abstraction to achieve thermodynamically controlled and highly selective isolation of quaternary ammonium cations. Our adaptive BINOL·counterion networks operate across diverse scaffolds and in aqueous environments, redefining substitution-dependent selectivity in ammonium recognition.</w:t>
      </w:r>
    </w:p>
    <w:p>
      <w:pPr>
        <w:spacing w:before="120" w:after="120"/>
      </w:pPr>
      <w:r>
        <w:rPr>
          <w:sz w:val="18"/>
        </w:rPr>
        <w:t>——————————————————————————————————————————————————————————————————————</w:t>
      </w:r>
    </w:p>
    <w:p>
      <w:pPr>
        <w:spacing w:before="160" w:after="40" w:line="240" w:lineRule="auto"/>
      </w:pPr>
      <w:r>
        <w:rPr>
          <w:b/>
        </w:rPr>
        <w:t xml:space="preserve">[384] </w:t>
      </w:r>
      <w:hyperlink r:id="rId571">
        <w:r>
          <w:rPr>
            <w:color w:val="1155CC"/>
            <w:u w:val="single"/>
          </w:rPr>
          <w:t>海胆脊椎在流水中产生电信号</w:t>
        </w:r>
      </w:hyperlink>
    </w:p>
    <w:p>
      <w:pPr>
        <w:spacing w:before="0" w:after="80"/>
      </w:pPr>
      <w:r>
        <w:rPr>
          <w:i/>
          <w:sz w:val="20"/>
        </w:rPr>
        <w:t>EN: Sea-urchin spines generate electrical signals in flowing water</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[385] </w:t>
      </w:r>
      <w:hyperlink r:id="rId572">
        <w:r>
          <w:rPr>
            <w:color w:val="1155CC"/>
            <w:u w:val="single"/>
          </w:rPr>
          <w:t>重新设计的aldetheridde de hydgenase使得从aldhydes和amine形成分子间分子生物催化氨化物</w:t>
        </w:r>
      </w:hyperlink>
    </w:p>
    <w:p>
      <w:pPr>
        <w:spacing w:before="0" w:after="80"/>
      </w:pPr>
      <w:r>
        <w:rPr>
          <w:i/>
          <w:sz w:val="20"/>
        </w:rPr>
        <w:t>EN: A redesigned aldehyde dehydrogenase enables intermolecular biocatalytic amide formation from aldehydes and amines</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氨化物的形成是药物合成中的一种关键反应,为此寻求更环保的方法。 在Science, Gao等人报告中说,一种生物催化氧化战略利用经重新设计的aldehyde de hydgenase,允许以牺牲氧化剂[NAD(P)+,分子氧]为代价,将甲胺与甲胺混合。</w:t>
      </w:r>
    </w:p>
    <w:p>
      <w:pPr>
        <w:spacing w:before="0" w:after="200" w:lineRule="auto" w:line="276"/>
      </w:pPr>
      <w:r>
        <w:rPr>
          <w:b/>
        </w:rPr>
        <w:t xml:space="preserve">Abstract (EN): </w:t>
      </w:r>
      <w:r>
        <w:t>Amide formation represents a key reaction in pharmaceutical synthesis, for which more environmentally friendly methods are sought. In Science, Gao et al. report a biocatalytic oxidative strategy exploiting a redesigned aldehyde dehydrogenase that allows the coupling of aldehydes with amines at the expense of an oxidant [NAD(P)+, molecular oxygen].</w:t>
      </w:r>
    </w:p>
    <w:p>
      <w:pPr>
        <w:spacing w:before="120" w:after="120"/>
      </w:pPr>
      <w:r>
        <w:rPr>
          <w:sz w:val="18"/>
        </w:rPr>
        <w:t>——————————————————————————————————————————————————————————————————————</w:t>
      </w:r>
    </w:p>
    <w:p>
      <w:pPr>
        <w:spacing w:before="160" w:after="40" w:line="240" w:lineRule="auto"/>
      </w:pPr>
      <w:r>
        <w:rPr>
          <w:b/>
        </w:rPr>
        <w:t xml:space="preserve">[386] </w:t>
      </w:r>
      <w:hyperlink r:id="rId573">
        <w:r>
          <w:rPr>
            <w:color w:val="1155CC"/>
            <w:u w:val="single"/>
          </w:rPr>
          <w:t>高效海水电解高效海水电解的生物模拟流引导电极设计设计:克服盐降水挑战</w:t>
        </w:r>
      </w:hyperlink>
    </w:p>
    <w:p>
      <w:pPr>
        <w:spacing w:before="0" w:after="80"/>
      </w:pPr>
      <w:r>
        <w:rPr>
          <w:i/>
          <w:sz w:val="20"/>
        </w:rPr>
        <w:t>EN: Biomimetic flow guiding electrode design for high-efficiency seawater electrolysis: Overcoming salt precipitation challenges</w:t>
      </w:r>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Mg2+/Ca2+降水引发的缓慢的阴极泡分离和活跃的屏蔽点使海水电解受到Mg2+/Ca2+降雨的困扰,受沙漠甲虫和仙人掌脊椎的启发,生物模拟式微积分电极有利于盐阻断和定向气体运输,以约1.7/千克H2有效而持久的H2生产,低于美国能源部2030年2美元/千克H2的目标。</w:t>
      </w:r>
    </w:p>
    <w:p>
      <w:pPr>
        <w:spacing w:before="0" w:after="200" w:lineRule="auto" w:line="276"/>
      </w:pPr>
      <w:r>
        <w:rPr>
          <w:b/>
        </w:rPr>
        <w:t xml:space="preserve">Abstract (EN): </w:t>
      </w:r>
      <w:r>
        <w:t>Seawater electrolysis is plagued by sluggish cathodic bubble detachment and active site blocking induced by Mg2+/Ca2+ precipitation. Inspired by desert beetles and cactus spines, a biomimetic wedge-structured electrode facilitates salt rejection and directional gas transport, achieving efficient and durable H2 production at approximately $1.7/kg of H2, which is below the US Department of Energy’s 2030 target of $2/kg of H2.</w:t>
      </w:r>
    </w:p>
    <w:p>
      <w:pPr>
        <w:spacing w:before="120" w:after="120"/>
      </w:pPr>
      <w:r>
        <w:rPr>
          <w:sz w:val="18"/>
        </w:rPr>
        <w:t>——————————————————————————————————————————————————————————————————————</w:t>
      </w:r>
    </w:p>
    <w:p>
      <w:pPr>
        <w:spacing w:before="160" w:after="40" w:line="240" w:lineRule="auto"/>
      </w:pPr>
      <w:r>
        <w:rPr>
          <w:b/>
        </w:rPr>
        <w:t xml:space="preserve">[387] </w:t>
      </w:r>
      <w:hyperlink r:id="rId574">
        <w:r>
          <w:rPr>
            <w:color w:val="1155CC"/>
            <w:u w:val="single"/>
          </w:rPr>
          <w:t>动态聚合附加说明图书馆:一种自动整理材料科学文献的方法</w:t>
        </w:r>
      </w:hyperlink>
    </w:p>
    <w:p>
      <w:pPr>
        <w:spacing w:before="0" w:after="80"/>
      </w:pPr>
      <w:r>
        <w:rPr>
          <w:i/>
          <w:sz w:val="20"/>
        </w:rPr>
        <w:t>EN: The Dynamic Polymer Annotated Library: An automated approach to curating materials science literature</w:t>
      </w:r>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动态聚合体附加说明图书馆(DPAL)是经同行审查的研究附加说明的图书馆,目的是通过重新设计共同的医学领域实践(系统文献搜索),使之更适用于材料设计问题,更加普遍,从而填补材料科学领域的知识空白。</w:t>
      </w:r>
    </w:p>
    <w:p>
      <w:pPr>
        <w:spacing w:before="0" w:after="200" w:lineRule="auto" w:line="276"/>
      </w:pPr>
      <w:r>
        <w:rPr>
          <w:b/>
        </w:rPr>
        <w:t xml:space="preserve">Abstract (EN): </w:t>
      </w:r>
      <w:r>
        <w:t>Dynamic Polymer Annotated Library (DPAL) is an annotated library of peer-reviewed research that aims to fill a knowledge gap in the materials science field by re-designing a common medical field practice (the systematic literature search) to be more applicable and universal to materials design questions.</w:t>
      </w:r>
    </w:p>
    <w:p>
      <w:pPr>
        <w:spacing w:before="120" w:after="120"/>
      </w:pPr>
      <w:r>
        <w:rPr>
          <w:sz w:val="18"/>
        </w:rPr>
        <w:t>——————————————————————————————————————————————————————————————————————</w:t>
      </w:r>
    </w:p>
    <w:p>
      <w:pPr>
        <w:spacing w:before="160" w:after="40" w:line="240" w:lineRule="auto"/>
      </w:pPr>
      <w:r>
        <w:rPr>
          <w:b/>
        </w:rPr>
        <w:t xml:space="preserve">[388] </w:t>
      </w:r>
      <w:hyperlink r:id="rId575">
        <w:r>
          <w:rPr>
            <w:color w:val="1155CC"/>
            <w:u w:val="single"/>
          </w:rPr>
          <w:t>谷仓:对材料中多变量微结构障碍进行量化</w:t>
        </w:r>
      </w:hyperlink>
    </w:p>
    <w:p>
      <w:pPr>
        <w:spacing w:before="0" w:after="80"/>
      </w:pPr>
      <w:r>
        <w:rPr>
          <w:i/>
          <w:sz w:val="20"/>
        </w:rPr>
        <w:t>EN: GrainBot: Quantifying multi-variable microstructure disorder in materials</w:t>
      </w:r>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这项研究提供了一个AI动力分析框架,将多晶素材料的复杂显微镜图像转化为定量、机器可读数据;通过将深层学习与可解释分析相结合,工具包可以精确地描述谷物水平特征,揭示结构特征之间的隐藏关系;除了推进数据驱动材料研究外,它还连接了人类观察和自动实验,为闭环发现和材料科学自驾实验室铺平了道路。</w:t>
      </w:r>
    </w:p>
    <w:p>
      <w:pPr>
        <w:spacing w:before="0" w:after="200" w:lineRule="auto" w:line="276"/>
      </w:pPr>
      <w:r>
        <w:rPr>
          <w:b/>
        </w:rPr>
        <w:t xml:space="preserve">Abstract (EN): </w:t>
      </w:r>
      <w:r>
        <w:t>This study presents an AI-powered analytical framework that transforms complex microscope images of polycrystalline materials into quantitative, machine-readable data. By combining deep learning with interpretable analysis, the toolkit enables precise grain-level characterization and reveals hidden relationships among structural features. Beyond advancing data-driven materials research, it also bridges human observation and automated experimentation, paving the way for closed-loop discovery and self-driving laboratories in materials science.</w:t>
      </w:r>
    </w:p>
    <w:p>
      <w:pPr>
        <w:spacing w:before="120" w:after="120"/>
      </w:pPr>
      <w:r>
        <w:rPr>
          <w:sz w:val="18"/>
        </w:rPr>
        <w:t>——————————————————————————————————————————————————————————————————————</w:t>
      </w:r>
    </w:p>
    <w:p>
      <w:pPr>
        <w:spacing w:before="160" w:after="40" w:line="240" w:lineRule="auto"/>
      </w:pPr>
      <w:r>
        <w:rPr>
          <w:b/>
        </w:rPr>
        <w:t xml:space="preserve">[389] </w:t>
      </w:r>
      <w:hyperlink r:id="rId576">
        <w:r>
          <w:rPr>
            <w:color w:val="1155CC"/>
            <w:u w:val="single"/>
          </w:rPr>
          <w:t>加网陶瓷的高人文工程使3D动态高温成像和热防护得以进行</w:t>
        </w:r>
      </w:hyperlink>
    </w:p>
    <w:p>
      <w:pPr>
        <w:spacing w:before="0" w:after="80"/>
      </w:pPr>
      <w:r>
        <w:rPr>
          <w:i/>
          <w:sz w:val="20"/>
        </w:rPr>
        <w:t>EN: High-entropy engineering of garnet ceramics enables 3D dynamic high-temperature imaging and thermal protecting</w:t>
      </w:r>
    </w:p>
    <w:p>
      <w:pPr>
        <w:spacing w:before="0" w:after="120"/>
      </w:pPr>
      <w:r>
        <w:rPr>
          <w:b/>
        </w:rPr>
        <w:t xml:space="preserve">Source: </w:t>
      </w:r>
      <w:r>
        <w:t>Matter</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我们的研究结果为开发具有热感应器和屏障双重功能的陶瓷提供了一种高活性工程方法,在高活性工程之后,它具有较高的热屏障特性,从Tb3+到Eu3+的交叉放松中导能源转移过程打破了超高温理论温度敏感度限制,并展示了在航空航天工业中3D动态高温成像的潜力。</w:t>
      </w:r>
    </w:p>
    <w:p>
      <w:pPr>
        <w:spacing w:before="0" w:after="200" w:lineRule="auto" w:line="276"/>
      </w:pPr>
      <w:r>
        <w:rPr>
          <w:b/>
        </w:rPr>
        <w:t xml:space="preserve">Abstract (EN): </w:t>
      </w:r>
      <w:r>
        <w:t>Our findings present a high-entropy engineering approach to the development of ceramics with dual functions as thermal sensors and barriers. It exhibits superior thermal barrier properties after high-entropy engineering. The cross relaxation-mediated energy transfer process from Tb3+ to Eu3+ breaks the theoretical thermometry sensitivity limitation at ultrahigh temperatures, and its potential for 3D dynamic high-temperature imaging in the aerospace industry was demonstrated.</w:t>
      </w:r>
    </w:p>
    <w:p>
      <w:pPr>
        <w:spacing w:before="120" w:after="120"/>
      </w:pPr>
      <w:r>
        <w:rPr>
          <w:sz w:val="18"/>
        </w:rPr>
        <w:t>——————————————————————————————————————————————————————————————————————</w:t>
      </w:r>
    </w:p>
    <w:p>
      <w:pPr>
        <w:spacing w:before="160" w:after="40" w:line="240" w:lineRule="auto"/>
      </w:pPr>
      <w:r>
        <w:rPr>
          <w:b/>
        </w:rPr>
        <w:t xml:space="preserve">[390] </w:t>
      </w:r>
      <w:hyperlink r:id="rId577">
        <w:r>
          <w:rPr>
            <w:color w:val="1155CC"/>
            <w:u w:val="single"/>
          </w:rPr>
          <w:t>由数据驱动的铜催化法能够使立体选择性氟环环丙丙烷化</w:t>
        </w:r>
      </w:hyperlink>
    </w:p>
    <w:p>
      <w:pPr>
        <w:spacing w:before="0" w:after="80"/>
      </w:pPr>
      <w:r>
        <w:rPr>
          <w:i/>
          <w:sz w:val="20"/>
        </w:rPr>
        <w:t>EN: Data-driven copper catalysis enables stereoselective fluorocyclopropanation</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在历史上,定型选择性建造氟化环丙烷是困难的。我们展示了一个数据驱动的铜催化平台,该平台通过由碳乙烯机械描述器提供信息的机器学习,将高通量自动实验与机器学习结合起来。该工作流程可靠地生成了高抗生素和异立体选择性氟化环丙烷,按克数量计算,并加快了获得类似氟化药物的脚架的速度 — — 展示了人工智能和自动化如何使立体化学优化更快、更具有预测性。</w:t>
      </w:r>
    </w:p>
    <w:p>
      <w:pPr>
        <w:spacing w:before="0" w:after="200" w:lineRule="auto" w:line="276"/>
      </w:pPr>
      <w:r>
        <w:rPr>
          <w:b/>
        </w:rPr>
        <w:t xml:space="preserve">Abstract (EN): </w:t>
      </w:r>
      <w:r>
        <w:t>Stereoselective construction of fluorinated cyclopropanes is historically difficult. We present a data-driven copper-catalyzed platform that pairs automated high-throughput experiments with machine learning informed by carbene mechanistic descriptors. The workflow reliably produces highly enantio- and diastereoselective fluorocyclopropanes, scales to gram quantities, and accelerates access to fluorinated drug-like scaffolds—showing how AI and automation can make stereochemical optimization faster and more predictive.</w:t>
      </w:r>
    </w:p>
    <w:p>
      <w:pPr>
        <w:spacing w:before="120" w:after="120"/>
      </w:pPr>
      <w:r>
        <w:rPr>
          <w:sz w:val="18"/>
        </w:rPr>
        <w:t>——————————————————————————————————————————————————————————————————————</w:t>
      </w:r>
    </w:p>
    <w:p>
      <w:pPr>
        <w:spacing w:before="160" w:after="40" w:line="240" w:lineRule="auto"/>
      </w:pPr>
      <w:r>
        <w:rPr>
          <w:b/>
        </w:rPr>
        <w:t xml:space="preserve">[391] </w:t>
      </w:r>
      <w:hyperlink r:id="rId578">
        <w:r>
          <w:rPr>
            <w:color w:val="1155CC"/>
            <w:u w:val="single"/>
          </w:rPr>
          <w:t>轻控共合结晶化</w:t>
        </w:r>
      </w:hyperlink>
    </w:p>
    <w:p>
      <w:pPr>
        <w:spacing w:before="0" w:after="80"/>
      </w:pPr>
      <w:r>
        <w:rPr>
          <w:i/>
          <w:sz w:val="20"/>
        </w:rPr>
        <w:t>EN: Light-controlled colloidal crystallization</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光敏感分子用于控制微粒之间的吸引力和反向作用。 这种光控制能够使精密的晶体型微结构在当地自行组装,控制光强度和地方照明能够非常精确地实现“结晶化 ” 。</w:t>
      </w:r>
    </w:p>
    <w:p>
      <w:pPr>
        <w:spacing w:before="0" w:after="200" w:lineRule="auto" w:line="276"/>
      </w:pPr>
      <w:r>
        <w:rPr>
          <w:b/>
        </w:rPr>
        <w:t xml:space="preserve">Abstract (EN): </w:t>
      </w:r>
      <w:r>
        <w:t>Light-sensitive molecules are used for controlling both the attraction and repulsion between microscopic particles. This light control enables the local self-assembly of well-ordered crystal-like microstructures, and controlling light intensity and local illumination can achieve “colloidal crystallization” with excellent precision.</w:t>
      </w:r>
    </w:p>
    <w:p>
      <w:pPr>
        <w:spacing w:before="120" w:after="120"/>
      </w:pPr>
      <w:r>
        <w:rPr>
          <w:sz w:val="18"/>
        </w:rPr>
        <w:t>——————————————————————————————————————————————————————————————————————</w:t>
      </w:r>
    </w:p>
    <w:p>
      <w:pPr>
        <w:spacing w:before="160" w:after="40" w:line="240" w:lineRule="auto"/>
      </w:pPr>
      <w:r>
        <w:rPr>
          <w:b/>
        </w:rPr>
        <w:t xml:space="preserve">[392] </w:t>
      </w:r>
      <w:hyperlink r:id="rId579">
        <w:r>
          <w:rPr>
            <w:color w:val="1155CC"/>
            <w:u w:val="single"/>
          </w:rPr>
          <w:t>政策研究的弹出杂志:临时标题能否提供答案?</w:t>
        </w:r>
      </w:hyperlink>
    </w:p>
    <w:p>
      <w:pPr>
        <w:spacing w:before="0" w:after="80"/>
      </w:pPr>
      <w:r>
        <w:rPr>
          <w:i/>
          <w:sz w:val="20"/>
        </w:rPr>
        <w:t>EN: Pop-up journals for policy research: can temporary titles deliver answers?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[393] </w:t>
      </w:r>
      <w:hyperlink r:id="rId580">
        <w:r>
          <w:rPr>
            <w:color w:val="1155CC"/>
            <w:u w:val="single"/>
          </w:rPr>
          <w:t>改变研究领域的最佳方法是什么?</w:t>
        </w:r>
      </w:hyperlink>
    </w:p>
    <w:p>
      <w:pPr>
        <w:spacing w:before="0" w:after="80"/>
      </w:pPr>
      <w:r>
        <w:rPr>
          <w:i/>
          <w:sz w:val="20"/>
        </w:rPr>
        <w:t>EN: What's the best way to change research fields? These three scientists have ideas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[394] </w:t>
      </w:r>
      <w:hyperlink r:id="rId581">
        <w:r>
          <w:rPr>
            <w:color w:val="1155CC"/>
            <w:u w:val="single"/>
          </w:rPr>
          <w:t>未来完美无缺的脑中连续的被动和其他中转性紊乱</w:t>
        </w:r>
      </w:hyperlink>
    </w:p>
    <w:p>
      <w:pPr>
        <w:spacing w:before="0" w:after="80"/>
      </w:pPr>
      <w:r>
        <w:rPr>
          <w:i/>
          <w:sz w:val="20"/>
        </w:rPr>
        <w:t>EN: The future perfect continuous passive and other transitive disorders of the mind</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[395] </w:t>
      </w:r>
      <w:hyperlink r:id="rId582">
        <w:r>
          <w:rPr>
            <w:color w:val="1155CC"/>
            <w:u w:val="single"/>
          </w:rPr>
          <w:t>催化、复制和非平衡行为:使用短化物实现生命复杂程度的关键决定因素</w:t>
        </w:r>
      </w:hyperlink>
    </w:p>
    <w:p>
      <w:pPr>
        <w:spacing w:before="0" w:after="80"/>
      </w:pPr>
      <w:r>
        <w:rPr>
          <w:i/>
          <w:sz w:val="20"/>
        </w:rPr>
        <w:t>EN: Catalysis, replication, and non-equilibrium behavior: Key determinants for life-like complexity realized using short peptides</w:t>
      </w:r>
    </w:p>
    <w:p>
      <w:pPr>
        <w:spacing w:before="0" w:after="120"/>
      </w:pPr>
      <w:r>
        <w:rPr>
          <w:b/>
        </w:rPr>
        <w:t xml:space="preserve">Source: </w:t>
      </w:r>
      <w:r>
        <w:t>Chem</w:t>
      </w:r>
      <w:r>
        <w:t xml:space="preserve">    </w:t>
      </w:r>
      <w:r>
        <w:rPr>
          <w:b/>
        </w:rPr>
        <w:t xml:space="preserve">Pub date: </w:t>
      </w:r>
      <w:r>
        <w:t>2026-02-25 00:00:00+00:00</w:t>
      </w:r>
    </w:p>
    <w:p>
      <w:pPr>
        <w:spacing w:before="0" w:after="120"/>
      </w:pPr>
      <w:r>
        <w:rPr>
          <w:b/>
        </w:rPr>
        <w:t xml:space="preserve">Notes: </w:t>
      </w:r>
      <w:r>
        <w:t>abstract_source=rss_cell</w:t>
      </w:r>
    </w:p>
    <w:p>
      <w:pPr>
        <w:spacing w:before="0" w:after="80" w:lineRule="auto" w:line="276"/>
      </w:pPr>
      <w:r>
        <w:rPr>
          <w:b/>
        </w:rPr>
        <w:t xml:space="preserve">摘要（ZH）: </w:t>
      </w:r>
      <w:r>
        <w:t>一种基于微粒的短短系统可以将自我复制与催化能力相结合,以显示复杂的非平衡行为。 基底驱动的自我复制者展示了一种敌对关系,一种复制装置的催化自降解使系统能够调整和选择一套完全脱离平衡的更合适的后继复制者。</w:t>
      </w:r>
    </w:p>
    <w:p>
      <w:pPr>
        <w:spacing w:before="0" w:after="200" w:lineRule="auto" w:line="276"/>
      </w:pPr>
      <w:r>
        <w:rPr>
          <w:b/>
        </w:rPr>
        <w:t xml:space="preserve">Abstract (EN): </w:t>
      </w:r>
      <w:r>
        <w:t>A short peptide-based system is shown that can integrate self-replication with catalytic competence to exhibit complex non-equilibrium behavior. Substrate-driven self-replicators demonstrate an antagonistic relationship where the catalytic self-degradation of one replicating set enables the system to adapt and select a new set of fitter successor replicators exclusively out of equilibrium.</w:t>
      </w:r>
    </w:p>
    <w:p>
      <w:pPr>
        <w:spacing w:before="120" w:after="120"/>
      </w:pPr>
      <w:r>
        <w:rPr>
          <w:sz w:val="18"/>
        </w:rPr>
        <w:t>——————————————————————————————————————————————————————————————————————</w:t>
      </w:r>
    </w:p>
    <w:p>
      <w:pPr>
        <w:spacing w:before="160" w:after="40" w:line="240" w:lineRule="auto"/>
      </w:pPr>
      <w:r>
        <w:rPr>
          <w:b/>
        </w:rPr>
        <w:t xml:space="preserve">[396] </w:t>
      </w:r>
      <w:hyperlink r:id="rId583">
        <w:r>
          <w:rPr>
            <w:color w:val="1155CC"/>
            <w:u w:val="single"/>
          </w:rPr>
          <w:t>通往多细胞的灵活路径</w:t>
        </w:r>
      </w:hyperlink>
    </w:p>
    <w:p>
      <w:pPr>
        <w:spacing w:before="0" w:after="80"/>
      </w:pPr>
      <w:r>
        <w:rPr>
          <w:i/>
          <w:sz w:val="20"/>
        </w:rPr>
        <w:t>EN: Flexible paths to multicellularity</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[397] </w:t>
      </w:r>
      <w:hyperlink r:id="rId584">
        <w:r>
          <w:rPr>
            <w:color w:val="1155CC"/>
            <w:u w:val="single"/>
          </w:rPr>
          <w:t>蛋白质工程修补主要作物交换</w:t>
        </w:r>
      </w:hyperlink>
    </w:p>
    <w:p>
      <w:pPr>
        <w:spacing w:before="0" w:after="80"/>
      </w:pPr>
      <w:r>
        <w:rPr>
          <w:i/>
          <w:sz w:val="20"/>
        </w:rPr>
        <w:t>EN: Protein engineering fixes a major crop trade-off</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[398] </w:t>
      </w:r>
      <w:hyperlink r:id="rId585">
        <w:r>
          <w:rPr>
            <w:color w:val="1155CC"/>
            <w:u w:val="single"/>
          </w:rPr>
          <w:t>设计利皮纳米粒子,将治疗性RNA射向胰腺</w:t>
        </w:r>
      </w:hyperlink>
    </w:p>
    <w:p>
      <w:pPr>
        <w:spacing w:before="0" w:after="80"/>
      </w:pPr>
      <w:r>
        <w:rPr>
          <w:i/>
          <w:sz w:val="20"/>
        </w:rPr>
        <w:t>EN: Lipid nanoparticles engineered to target therapeutic RNA to the pancreas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[399] </w:t>
      </w:r>
      <w:hyperlink r:id="rId586">
        <w:r>
          <w:rPr>
            <w:color w:val="1155CC"/>
            <w:u w:val="single"/>
          </w:rPr>
          <w:t>吱吱声篮球鞋的秘密</w:t>
        </w:r>
      </w:hyperlink>
    </w:p>
    <w:p>
      <w:pPr>
        <w:spacing w:before="0" w:after="80"/>
      </w:pPr>
      <w:r>
        <w:rPr>
          <w:i/>
          <w:sz w:val="20"/>
        </w:rPr>
        <w:t>EN: The secret of squeaky basketball shoes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[400] </w:t>
      </w:r>
      <w:hyperlink r:id="rId587">
        <w:r>
          <w:rPr>
            <w:color w:val="1155CC"/>
            <w:u w:val="single"/>
          </w:rPr>
          <w:t>灯光控制装置可以控制超导力,即使在黑暗中也是如此。</w:t>
        </w:r>
      </w:hyperlink>
    </w:p>
    <w:p>
      <w:pPr>
        <w:spacing w:before="0" w:after="80"/>
      </w:pPr>
      <w:r>
        <w:rPr>
          <w:i/>
          <w:sz w:val="20"/>
        </w:rPr>
        <w:t>EN: Light-confining device can control superconductivity — even in the dark</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[401] </w:t>
      </w:r>
      <w:hyperlink r:id="rId588">
        <w:r>
          <w:rPr>
            <w:color w:val="1155CC"/>
            <w:u w:val="single"/>
          </w:rPr>
          <w:t>环境暴露训练免疫系统抑制过敏反应的免疫系统</w:t>
        </w:r>
      </w:hyperlink>
    </w:p>
    <w:p>
      <w:pPr>
        <w:spacing w:before="0" w:after="80"/>
      </w:pPr>
      <w:r>
        <w:rPr>
          <w:i/>
          <w:sz w:val="20"/>
        </w:rPr>
        <w:t>EN: Environmental exposure trains the immune system to dampen allergic responses</w:t>
      </w:r>
    </w:p>
    <w:p>
      <w:pPr>
        <w:spacing w:before="0" w:after="120"/>
      </w:pPr>
      <w:r>
        <w:rPr>
          <w:b/>
        </w:rPr>
        <w:t xml:space="preserve">Source: </w:t>
      </w:r>
      <w:r>
        <w:t>Nature</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[402] </w:t>
      </w:r>
      <w:hyperlink r:id="rId589">
        <w:r>
          <w:rPr>
            <w:color w:val="1155CC"/>
            <w:u w:val="single"/>
          </w:rPr>
          <w:t>作者更正: 瞄准 vivo 中的 QKI-7 恢复糖尿病中的内皮细胞功能</w:t>
        </w:r>
      </w:hyperlink>
    </w:p>
    <w:p>
      <w:pPr>
        <w:spacing w:before="0" w:after="80"/>
      </w:pPr>
      <w:r>
        <w:rPr>
          <w:i/>
          <w:sz w:val="20"/>
        </w:rPr>
        <w:t>EN: Author Correction: Targeting QKI-7 in vivo restores endothelial cell function in diabetes</w:t>
      </w:r>
    </w:p>
    <w:p>
      <w:pPr>
        <w:spacing w:before="0" w:after="120"/>
      </w:pPr>
      <w:r>
        <w:rPr>
          <w:b/>
        </w:rPr>
        <w:t xml:space="preserve">Source: </w:t>
      </w:r>
      <w:r>
        <w:t>Nature Communications</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[403] </w:t>
      </w:r>
      <w:hyperlink r:id="rId590">
        <w:r>
          <w:rPr>
            <w:color w:val="1155CC"/>
            <w:u w:val="single"/>
          </w:rPr>
          <w:t>欧洲ETS-2的区域不平等[能源政策208(2026)(2026)114891]</w:t>
        </w:r>
      </w:hyperlink>
    </w:p>
    <w:p>
      <w:pPr>
        <w:spacing w:before="0" w:after="80"/>
      </w:pPr>
      <w:r>
        <w:rPr>
          <w:i/>
          <w:sz w:val="20"/>
        </w:rPr>
        <w:t>EN: Corrigendum to: Regional inequality of the European ETS-2 [Energy policy 208 (2026) 114891]</w:t>
      </w:r>
    </w:p>
    <w:p>
      <w:pPr>
        <w:spacing w:before="0" w:after="120"/>
      </w:pPr>
      <w:r>
        <w:rPr>
          <w:b/>
        </w:rPr>
        <w:t xml:space="preserve">Source: </w:t>
      </w:r>
      <w:r>
        <w:t>ScienceDirect Publication: Energy Policy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[404] </w:t>
      </w:r>
      <w:hyperlink r:id="rId591">
        <w:r>
          <w:rPr>
            <w:color w:val="1155CC"/>
            <w:u w:val="single"/>
          </w:rPr>
          <w:t>利用混合固体氧化固体电解槽进行超级结构优化,揭示出新的成本-最佳电到甲醇途径。</w:t>
        </w:r>
      </w:hyperlink>
    </w:p>
    <w:p>
      <w:pPr>
        <w:spacing w:before="0" w:after="80"/>
      </w:pPr>
      <w:r>
        <w:rPr>
          <w:i/>
          <w:sz w:val="20"/>
        </w:rPr>
        <w:t>EN: Superstructure optimization reveals novel cost-optimal power-to-methanol pathways using hybrid solid oxide electrolysis cells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[405] </w:t>
      </w:r>
      <w:hyperlink r:id="rId592">
        <w:r>
          <w:rPr>
            <w:color w:val="1155CC"/>
            <w:u w:val="single"/>
          </w:rPr>
          <w:t>引入异环 [3.1.1] 丙烯</w:t>
        </w:r>
      </w:hyperlink>
    </w:p>
    <w:p>
      <w:pPr>
        <w:spacing w:before="0" w:after="80"/>
      </w:pPr>
      <w:r>
        <w:rPr>
          <w:i/>
          <w:sz w:val="20"/>
        </w:rPr>
        <w:t>EN: Introducing the heterocyclic[3.1.1]propellanes</w:t>
      </w:r>
    </w:p>
    <w:p>
      <w:pPr>
        <w:spacing w:before="0" w:after="120"/>
      </w:pPr>
      <w:r>
        <w:rPr>
          <w:b/>
        </w:rPr>
        <w:t xml:space="preserve">Source: </w:t>
      </w:r>
      <w:r>
        <w:t>Nature Chemistry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[406] </w:t>
      </w:r>
      <w:hyperlink r:id="rId593">
        <w:r>
          <w:rPr>
            <w:color w:val="1155CC"/>
            <w:u w:val="single"/>
          </w:rPr>
          <w:t>异丙烯[3.1.1]</w:t>
        </w:r>
      </w:hyperlink>
    </w:p>
    <w:p>
      <w:pPr>
        <w:spacing w:before="0" w:after="80"/>
      </w:pPr>
      <w:r>
        <w:rPr>
          <w:i/>
          <w:sz w:val="20"/>
        </w:rPr>
        <w:t>EN: Hetero[3.1.1]propellanes</w:t>
      </w:r>
    </w:p>
    <w:p>
      <w:pPr>
        <w:spacing w:before="0" w:after="120"/>
      </w:pPr>
      <w:r>
        <w:rPr>
          <w:b/>
        </w:rPr>
        <w:t xml:space="preserve">Source: </w:t>
      </w:r>
      <w:r>
        <w:t>Nature Chemistry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[n.1.1.1.1] 蛋白质是双环[n.1.1.1.1]烷、硬性小环碳氢化合物的关键前体,这些碳氢化合物已成为当代药物设计中的重要构件,作为分离的苯苯环的生物索sters,在当代药物设计中已成为重要构件。 [n.1.1.1.1] 以异环环环为特征的环环形环形环形环形环形环形环形环形环形可直接合成广泛多样的桥梁双环形环状双环环循环环状环形环形环形环形环形环形环形环形环形环形环形环形环形环形环形环形环形环形环形环形环形环形环形环形环形环形环形环形环形环形环形环形环形环形环形环形环形环形环形环状环形环形环形环形环形环形环形环形环形环形环形环形环形环形环形环形环形环形环形环形环形环形环形环形环形环形环形</w:t>
      </w:r>
    </w:p>
    <w:p>
      <w:pPr>
        <w:spacing w:before="0" w:after="200" w:lineRule="auto" w:line="276"/>
      </w:pPr>
      <w:r>
        <w:rPr>
          <w:b/>
        </w:rPr>
        <w:t xml:space="preserve">Abstract (EN): </w:t>
      </w:r>
      <w:r>
        <w:t>[n.1.1]Propellanes are key precursors to bicyclo[n.1.1]alkanes, rigid small-ring hydrocarbons that have emerged as important building blocks in contemporary drug design as bioisosteres for disubstituted benzene rings. [n.1.1]Propellanes featuring heterocyclic rings could enable the direct synthesis of a wide diversity of bridged bicyclic heterocycles, which should exhibit superior physicochemical profiles compared to their established carbocyclic analogues. Here we report the unified synthesis of a family of heterocyclic [3.1.1]propellanes featuring oxygen, nitrogen and sulfur heteroatoms in the three-carbon bridge. The approaches we have developed are necessarily distinct from the established routes to carbocyclic propellanes, and utilize a common precursor that is conveniently assembled on a multigram scale via rhodium-catalysed cyclopropanation. These hetero[3.1.1]propellanes undergo a range of radical ring-opening reactions, affording bridged heterocycles that are of high utility in drug-discovery programmes.</w:t>
      </w:r>
    </w:p>
    <w:p>
      <w:pPr>
        <w:spacing w:before="120" w:after="120"/>
      </w:pPr>
      <w:r>
        <w:rPr>
          <w:sz w:val="18"/>
        </w:rPr>
        <w:t>——————————————————————————————————————————————————————————————————————</w:t>
      </w:r>
    </w:p>
    <w:p>
      <w:pPr>
        <w:spacing w:before="160" w:after="40" w:line="240" w:lineRule="auto"/>
      </w:pPr>
      <w:r>
        <w:rPr>
          <w:b/>
        </w:rPr>
        <w:t xml:space="preserve">[407] </w:t>
      </w:r>
      <w:hyperlink r:id="rId594">
        <w:r>
          <w:rPr>
            <w:color w:val="1155CC"/>
            <w:u w:val="single"/>
          </w:rPr>
          <w:t>铜催化铜催化动动能动力学(4+1)(4+1)</w:t>
        </w:r>
      </w:hyperlink>
    </w:p>
    <w:p>
      <w:pPr>
        <w:spacing w:before="0" w:after="80"/>
      </w:pPr>
      <w:r>
        <w:rPr>
          <w:i/>
          <w:sz w:val="20"/>
        </w:rPr>
        <w:t>EN: Copper-catalysed dynamic kinetic (4+1) cyclization of 1,3-enynes for atroposelective arylpyrrole synthesis</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轴心手性丙烯丙烯丙烯菊酯是一种很有前途的化合物类别,在催解、药用化学和材料科学中广泛应用了催化、药用化学和材料科学。在这里,我们报告了一个铜催化的动态动动不对称(4+1)循环,用于对具有单一立分轴或1,3-腺和氨的1,2-二-二分轴的丙烯丙烯烃进行天体选择性合成。这种动态动动动性对称变换使用一个手动铜/皮箱复合体,空气作为氧化剂,DABCO作为基地和质子航天飞机。一个关键特征是可逆的aza-米恰尔添加物,它使得分离的C-N债券能够动态形成/分裂。</w:t>
      </w:r>
    </w:p>
    <w:p>
      <w:pPr>
        <w:spacing w:before="0" w:after="200" w:lineRule="auto" w:line="276"/>
      </w:pPr>
      <w:r>
        <w:rPr>
          <w:b/>
        </w:rPr>
        <w:t xml:space="preserve">Abstract (EN): </w:t>
      </w:r>
      <w:r>
        <w:t>Axially chiral arylpyrroles are a promising class of compounds with broad applications in catalysis, medicinal chemistry, and materials science. Herein, we report a copper-catalysed dynamic kinetic asymmetric (4 + 1) cyclization for the atroposelective synthesis of arylpyrroles bearing a single stereogenic axis or 1,2-diaxes from 1,3-enynes and amines. This dynamic kinetic asymmetric transformation employs a chiral Cu/Pybox complex, with air as the oxidant and DABCO serving as both a base and a proton shuttle. A key feature is the reversibility of the aza-Michael addition, which enables the dynamic formation/cleavage of distal C–N bonds. The 5-endo-dig cyclization serves as both the rate-determining and stereodetermining step, ensuring precise stereocontrol of the proximal stereocenters by the catalyst. This strategy overcomes long-standing challenges in the stereocontrol of distal C–N bond formation and enables the synthesis of atropisomeric DMAP catalysts with two stereogenic axes. DFT calculations provide insights into the mechanism of stereocontrol.</w:t>
      </w:r>
    </w:p>
    <w:p>
      <w:pPr>
        <w:spacing w:before="120" w:after="120"/>
      </w:pPr>
      <w:r>
        <w:rPr>
          <w:sz w:val="18"/>
        </w:rPr>
        <w:t>——————————————————————————————————————————————————————————————————————</w:t>
      </w:r>
    </w:p>
    <w:p>
      <w:pPr>
        <w:spacing w:before="160" w:after="40" w:line="240" w:lineRule="auto"/>
      </w:pPr>
      <w:r>
        <w:rPr>
          <w:b/>
        </w:rPr>
        <w:t xml:space="preserve">[408] </w:t>
      </w:r>
      <w:hyperlink r:id="rId595">
        <w:r>
          <w:rPr>
            <w:color w:val="1155CC"/>
            <w:u w:val="single"/>
          </w:rPr>
          <w:t>在不确定情况下模拟和处理单位承诺约束性筛选</w:t>
        </w:r>
      </w:hyperlink>
    </w:p>
    <w:p>
      <w:pPr>
        <w:spacing w:before="0" w:after="80"/>
      </w:pPr>
      <w:r>
        <w:rPr>
          <w:i/>
          <w:sz w:val="20"/>
        </w:rPr>
        <w:t>EN: Modeling and tackling unit commitment constraint screening under uncertainty</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[409] </w:t>
      </w:r>
      <w:hyperlink r:id="rId596">
        <w:r>
          <w:rPr>
            <w:color w:val="1155CC"/>
            <w:u w:val="single"/>
          </w:rPr>
          <w:t>作者更正: 真正的第一个界面在调节纳米通道的离声信号中的作用</w:t>
        </w:r>
      </w:hyperlink>
    </w:p>
    <w:p>
      <w:pPr>
        <w:spacing w:before="0" w:after="80"/>
      </w:pPr>
      <w:r>
        <w:rPr>
          <w:i/>
          <w:sz w:val="20"/>
        </w:rPr>
        <w:t>EN: Author Correction: Role of the real first interface in regulating ionic signal of nanochannels</w:t>
      </w:r>
    </w:p>
    <w:p>
      <w:pPr>
        <w:spacing w:before="0" w:after="120"/>
      </w:pPr>
      <w:r>
        <w:rPr>
          <w:b/>
        </w:rPr>
        <w:t xml:space="preserve">Source: </w:t>
      </w:r>
      <w:r>
        <w:t>Nature Communications</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[410] </w:t>
      </w:r>
      <w:hyperlink r:id="rId597">
        <w:r>
          <w:rPr>
            <w:color w:val="1155CC"/>
            <w:u w:val="single"/>
          </w:rPr>
          <w:t>对光伏阵列采用不同配置的光电阵列进行跨阵间断断断断断诊断,这些光电阵列基于端点 -- -- 密集语语语法特征编码和混合增强的域对立网络</w:t>
        </w:r>
      </w:hyperlink>
    </w:p>
    <w:p>
      <w:pPr>
        <w:spacing w:before="0" w:after="80"/>
      </w:pPr>
      <w:r>
        <w:rPr>
          <w:i/>
          <w:sz w:val="20"/>
        </w:rPr>
        <w:t>EN: Cross-array fault diagnosis of photovoltaic arrays with different configurations based on endpoint-dense gram feature encoding and mixup-enhanced domain adversarial network</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[411] </w:t>
      </w:r>
      <w:hyperlink r:id="rId598">
        <w:r>
          <w:rPr>
            <w:color w:val="1155CC"/>
            <w:u w:val="single"/>
          </w:rPr>
          <w:t>目标对准新火药合成,使得在PARP抗抗卵巢癌抑制剂抗卵巢癌中,很容易受到铜以ATR为媒介的ATR活性作用的干扰。</w:t>
        </w:r>
      </w:hyperlink>
    </w:p>
    <w:p>
      <w:pPr>
        <w:spacing w:before="0" w:after="80"/>
      </w:pPr>
      <w:r>
        <w:rPr>
          <w:i/>
          <w:sz w:val="20"/>
        </w:rPr>
        <w:t>EN: Targeting de novo pyrimidine synthesis confers vulnerability to copper-mediated ATR inactivation in PARP inhibitor-resistant ovarian cancer</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虽然聚(ADP-ribose)聚合酶抑制剂(PARPi)作为单疗法或与其他DNA破坏剂结合的聚(PARPi)具有良好的临床效果,但治疗反应通常具有短暂性,随后的获得抗药性发展构成重大挑战。 在这里,通过小型分子化合物筛查,我们发现,强效的铜离子眼,通过抑制ATR-CHK1路径的激活,使BRCA-proficient 卵巢癌细胞对PARPi具有敏感性。 机械上,我们证明铜与ATRIP直接结合,ATRIP是ATR激活的关键同源,破坏ATR-TRIP的相互作用,进一步损害ATR的DNA中位修复信号和增强PARPi灵敏度。 重要的是,我们揭示了二级代谢物脉。</w:t>
      </w:r>
    </w:p>
    <w:p>
      <w:pPr>
        <w:spacing w:before="0" w:after="200" w:lineRule="auto" w:line="276"/>
      </w:pPr>
      <w:r>
        <w:rPr>
          <w:b/>
        </w:rPr>
        <w:t xml:space="preserve">Abstract (EN): </w:t>
      </w:r>
      <w:r>
        <w:t>Although poly(ADP-ribose) polymerase (PARP) inhibitors (PARPi) as monotherapy or in combination with other DNA-damaging agents exhibit promising clinical efficacy, the therapeutic responses are usually transient, with subsequent development of acquired resistance posing a significant challenge. Here, through a small-molecule compound screening, we identify elesclomol, a potent copper ionophore, which sensitizes BRCA-proficient ovarian cancer cells to PARPi by inhibiting activation of the ATR-CHK1 pathway. Mechanistically, we demonstrate that copper directly binds to ATRIP, a critical cofactor of ATR activation, disrupting the ATR-ATRIP interaction, further impairing ATR-mediated DNA damage repair signaling and potentiating PARPi sensitivity. Importantly, we reveal a secondary metabolic vulnerability in PARPi-resistant ovarian cancer associated with de novo pyrimidine synthesis, suggesting that targeting this pathway as an effective strategy to eradicate drug-adaptive residual tumors and resistant patient-derived xenograft models following ATR and PARP co-inhibition. These findings propose de novo pyrimidine synthesis as an adaptive metabolic vulnerability that can be therapeutically targeted to overcome PARPi resistance in BRCA-proficient ovarian cancer.</w:t>
      </w:r>
    </w:p>
    <w:p>
      <w:pPr>
        <w:spacing w:before="120" w:after="120"/>
      </w:pPr>
      <w:r>
        <w:rPr>
          <w:sz w:val="18"/>
        </w:rPr>
        <w:t>——————————————————————————————————————————————————————————————————————</w:t>
      </w:r>
    </w:p>
    <w:p>
      <w:pPr>
        <w:spacing w:before="160" w:after="40" w:line="240" w:lineRule="auto"/>
      </w:pPr>
      <w:r>
        <w:rPr>
          <w:b/>
        </w:rPr>
        <w:t xml:space="preserve">[412] </w:t>
      </w:r>
      <w:hyperlink r:id="rId599">
        <w:r>
          <w:rPr>
            <w:color w:val="1155CC"/>
            <w:u w:val="single"/>
          </w:rPr>
          <w:t>VRAC在肠胃炎中协调营养吸收与抗微生物防护之间的取舍。</w:t>
        </w:r>
      </w:hyperlink>
    </w:p>
    <w:p>
      <w:pPr>
        <w:spacing w:before="0" w:after="80"/>
      </w:pPr>
      <w:r>
        <w:rPr>
          <w:i/>
          <w:sz w:val="20"/>
        </w:rPr>
        <w:t>EN: VRAC coordinates the trade-off between nutrient absorption and antimicrobial defense in enterocytes against inflammation</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内肠内分泌介介介了营养吸收和抗微生物性peptide(AMP)分泌,同时不断暴露于表面波动中。然而,在肠胃和炎性肠胃疾病(IBD)中,体积调控阴离子渠道(VRAC)的作用仍然不清楚,该渠道是一个关键的骨髓敏感离子渠道(VRAC),在肠道和炎性肠胃疾病(IBD)中发挥作用。这里,我们显示肠内内内皮细胞(IEC)特定地击退LRC8A这一基本VRAC子单位,加剧科炎和炎性相关染色癌。 VRAC缺乏特别干扰肠胃结肠和区,扩大AMP生产的肠胃细胞,同时减少对营养吸收负责的肠内肠道。在VRAC-deficient IEC中,肾酸性新陈代代代谢作为受影响最严重的营养道出现,Adh1, Aldh1a2 表达方式和 aldehydede dethys。</w:t>
      </w:r>
    </w:p>
    <w:p>
      <w:pPr>
        <w:spacing w:before="0" w:after="200" w:lineRule="auto" w:line="276"/>
      </w:pPr>
      <w:r>
        <w:rPr>
          <w:b/>
        </w:rPr>
        <w:t xml:space="preserve">Abstract (EN): </w:t>
      </w:r>
      <w:r>
        <w:t>Enterocytes mediate both nutrient absorption and antimicrobial peptide (AMP) secretion while constantly exposed to osmotic fluctuations. However, the role of volume-regulated anion channel (VRAC), a key osmo-sensitive ion channel, in enterocytes and inflammatory bowel disease (IBD) remains unclear. Here, we show that intestinal epithelial cell (IEC)-specific knockout of LRRC8A, the essential VRAC subunit, exacerbates colitis and inflammation-associated colorectal cancer. VRAC deficiency specifically disrupts enterocyte maturation and zonation, expanding AMP-producing enterocytes while reducing enterocytes responsible for nutrient absorption. Retinoic acid metabolism emerges as the most affected nutrient pathway in VRAC-deficient IECs, with reduced Adh1, Aldh1a2 expression and aldehyde dehydrogenase activity. Supplementation with retinoic acid reversed inflammation caused by VRAC deficiency. Conversely, VRAC deficiency induced gut microbiota dysbiosis, while administration of Lactobacillus species effectively restored microbial balance and alleviated inflammation. This study delineates the role of VRAC in balancing nutrient absorption and antimicrobial defense in enterocytes to safeguard gut homeostasis.</w:t>
      </w:r>
    </w:p>
    <w:p>
      <w:pPr>
        <w:spacing w:before="120" w:after="120"/>
      </w:pPr>
      <w:r>
        <w:rPr>
          <w:sz w:val="18"/>
        </w:rPr>
        <w:t>——————————————————————————————————————————————————————————————————————</w:t>
      </w:r>
    </w:p>
    <w:p>
      <w:pPr>
        <w:spacing w:before="160" w:after="40" w:line="240" w:lineRule="auto"/>
      </w:pPr>
      <w:r>
        <w:rPr>
          <w:b/>
        </w:rPr>
        <w:t xml:space="preserve">[413] </w:t>
      </w:r>
      <w:hyperlink r:id="rId600">
        <w:r>
          <w:rPr>
            <w:color w:val="1155CC"/>
            <w:u w:val="single"/>
          </w:rPr>
          <w:t>双酶逻辑动力于乙酰胺生物合成</w:t>
        </w:r>
      </w:hyperlink>
    </w:p>
    <w:p>
      <w:pPr>
        <w:spacing w:before="0" w:after="80"/>
      </w:pPr>
      <w:r>
        <w:rPr>
          <w:i/>
          <w:sz w:val="20"/>
        </w:rPr>
        <w:t>EN: Dual-enzyme logic powers azetidine biosynthesis</w:t>
      </w:r>
    </w:p>
    <w:p>
      <w:pPr>
        <w:spacing w:before="0" w:after="120"/>
      </w:pPr>
      <w:r>
        <w:rPr>
          <w:b/>
        </w:rPr>
        <w:t xml:space="preserve">Source: </w:t>
      </w:r>
      <w:r>
        <w:t>Nature Chemistry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[414] </w:t>
      </w:r>
      <w:hyperlink r:id="rId601">
        <w:r>
          <w:rPr>
            <w:color w:val="1155CC"/>
            <w:u w:val="single"/>
          </w:rPr>
          <w:t>慢性刺激自反应B细胞,以在小鼠中发展成B淋巴瘤</w:t>
        </w:r>
      </w:hyperlink>
    </w:p>
    <w:p>
      <w:pPr>
        <w:spacing w:before="0" w:after="80"/>
      </w:pPr>
      <w:r>
        <w:rPr>
          <w:i/>
          <w:sz w:val="20"/>
        </w:rPr>
        <w:t>EN: Idiotype-specific CD4+ T cells chronically stimulate autoreactive B cells to develop into B lymphomas in mice</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自动免疫会增加在人体内发展B淋巴瘤的风险;然而,这一联系背后的分子机制仍然无法解释。在这里,我们开发了一个鼠标模型,以解析Id驱动T-B合作的贡献,并表明B细胞和CD4+T细胞之间的慢性相互作用首先导致自发性,后来又导致B(和T)细胞淋巴瘤的发育。我们发现血清自动机体和淋巴马B细胞受体(BCR)相互关联,对无处不在的自我抗原(石块和核核素)具有相同的特性。我们开发了一个鼠标模型,用以分解Id驱动T-B合作作用的自反应B淋巴细胞得到CD4+T细胞的帮助,这些细胞承认了淋巴马新尼根,一种MHC二级的低能细胞(Id)pitide (Signal 2)。这个机制被称为Id驱动T-B合作,其结果是无情的肌肉。</w:t>
      </w:r>
    </w:p>
    <w:p>
      <w:pPr>
        <w:spacing w:before="0" w:after="200" w:lineRule="auto" w:line="276"/>
      </w:pPr>
      <w:r>
        <w:rPr>
          <w:b/>
        </w:rPr>
        <w:t xml:space="preserve">Abstract (EN): </w:t>
      </w:r>
      <w:r>
        <w:t>Autoimmunity increases the risk of developing B lymphoma in humans; however, the molecular mechanism(s) underlying this link remain(s) unexplained. Here, we develop a mouse model to dissect the contribution of Id-driven T-B collaboration and show that chronic interaction between B cells and CD4+ T cells first leads to autoimmunity and later to the development of B (and T) cell lymphomas. We find that serum autoantibodies and lymphoma B cell receptor (BCR) are related and have the same specificity for ubiquitous self-antigens (histone and nucleosome) (Signal 1). Self-reactive B lymphoma cells are helped by CD4+ T cells that recognize a lymphoma neoantigen, an MHC class II-presented Idiotypic (Id) peptide (Signal 2). The mechanism, called Id-driven T-B collaboration, results in relentless mutual stimulation of B and T cells with germinal center markers, autoimmunity, and finally, malignant transformation of either B or T cells. Our results thus indicate Id-driven T-B collaboration as a potential mechanism linking autoimmunity and the development of lymphomas.</w:t>
      </w:r>
    </w:p>
    <w:p>
      <w:pPr>
        <w:spacing w:before="120" w:after="120"/>
      </w:pPr>
      <w:r>
        <w:rPr>
          <w:sz w:val="18"/>
        </w:rPr>
        <w:t>——————————————————————————————————————————————————————————————————————</w:t>
      </w:r>
    </w:p>
    <w:p>
      <w:pPr>
        <w:spacing w:before="160" w:after="40" w:line="240" w:lineRule="auto"/>
      </w:pPr>
      <w:r>
        <w:rPr>
          <w:b/>
        </w:rPr>
        <w:t xml:space="preserve">[415] </w:t>
      </w:r>
      <w:hyperlink r:id="rId602">
        <w:r>
          <w:rPr>
            <w:color w:val="1155CC"/>
            <w:u w:val="single"/>
          </w:rPr>
          <w:t>通过Li2SnS3对经认证效率超过15%的千酯太阳能电池间链调节谷类增长</w:t>
        </w:r>
      </w:hyperlink>
    </w:p>
    <w:p>
      <w:pPr>
        <w:spacing w:before="0" w:after="80"/>
      </w:pPr>
      <w:r>
        <w:rPr>
          <w:i/>
          <w:sz w:val="20"/>
        </w:rPr>
        <w:t>EN: Regulating grain growth via Li2SnS3 interphase in kesterite solar cells with certified efficiencies exceeding 15%</w:t>
      </w:r>
    </w:p>
    <w:p>
      <w:pPr>
        <w:spacing w:before="0" w:after="120"/>
      </w:pPr>
      <w:r>
        <w:rPr>
          <w:b/>
        </w:rPr>
        <w:t xml:space="preserve">Source: </w:t>
      </w:r>
      <w:r>
        <w:t>Nature Energy</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静电反应过程是确定 Cu2ZnSn(S,Se)4 薄膜质量的关键步骤。在静电过程中金属离子的均衡迁移动能导致深层缺陷浓度高,导致开路电压大幅损失。在这项工作中,我们报告了一项Li2SnS3 的跨阶段战略,以修改电离迁移路径和Zn2+/Sn4+移民差异平衡。Li2SnS3 的跨阶段有选择地封存了Cu2Sn(S,Se)3 中间谷物,作为离子迁移的速度确定层。在中间阶段中,Zn2+/Sn4的迁移屏障差异从Cu2Sn(S,Se)3 的0.41 eV下降到L2SnS3 的0.21 eV,这促进了大型、统一、高晶质谷物的形成。结果,设备效率从13.86%提高到了13.6%。</w:t>
      </w:r>
    </w:p>
    <w:p>
      <w:pPr>
        <w:spacing w:before="0" w:after="200" w:lineRule="auto" w:line="276"/>
      </w:pPr>
      <w:r>
        <w:rPr>
          <w:b/>
        </w:rPr>
        <w:t xml:space="preserve">Abstract (EN): </w:t>
      </w:r>
      <w:r>
        <w:t>The selenization reaction process is the key step in determining the quality of Cu2ZnSn(S,Se)4 thin films. Imbalanced migration kinetics of metal ions during selenization led to high concentrations of deep-level defects, resulting in dramatic open-circuit voltage loss. In this work, we reported a Li2SnS3 interphase strategy to modify cation migration paths and balance Zn2+/Sn4+ migration differences. The Li2SnS3 interphase selectively encapsulates the Cu2Sn(S,Se)3 intermediate grains, serving as the rate-determining layer for ion migration. The Zn2+/Sn4+ migration barrier difference in the interphase decreases from 0.41 eV in Cu2Sn(S,Se)3 to 0.21 eV in Li2SnS3, which promotes the formation of larger, uniform, high-crystallinity grains. As a result, device efficiency improves from 13.86% to 15.45% (certified at 15.04%), and open-circuit voltage reaches 602 mV at a bandgap of 1.10 eV.</w:t>
      </w:r>
    </w:p>
    <w:p>
      <w:pPr>
        <w:spacing w:before="120" w:after="120"/>
      </w:pPr>
      <w:r>
        <w:rPr>
          <w:sz w:val="18"/>
        </w:rPr>
        <w:t>——————————————————————————————————————————————————————————————————————</w:t>
      </w:r>
    </w:p>
    <w:p>
      <w:pPr>
        <w:spacing w:before="160" w:after="40" w:line="240" w:lineRule="auto"/>
      </w:pPr>
      <w:r>
        <w:rPr>
          <w:b/>
        </w:rPr>
        <w:t xml:space="preserve">[416] </w:t>
      </w:r>
      <w:hyperlink r:id="rId603">
        <w:r>
          <w:rPr>
            <w:color w:val="1155CC"/>
            <w:u w:val="single"/>
          </w:rPr>
          <w:t>在线确定锂离锂电池能力降解轨迹的典型变化点</w:t>
        </w:r>
      </w:hyperlink>
    </w:p>
    <w:p>
      <w:pPr>
        <w:spacing w:before="0" w:after="80"/>
      </w:pPr>
      <w:r>
        <w:rPr>
          <w:i/>
          <w:sz w:val="20"/>
        </w:rPr>
        <w:t>EN: Online identification of characteristic change points in capacity degradation trajectories of lithium-ion batteries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[417] </w:t>
      </w:r>
      <w:hyperlink r:id="rId604">
        <w:r>
          <w:rPr>
            <w:color w:val="1155CC"/>
            <w:u w:val="single"/>
          </w:rPr>
          <w:t>具有高切换率的双基折纸热开关</w:t>
        </w:r>
      </w:hyperlink>
    </w:p>
    <w:p>
      <w:pPr>
        <w:spacing w:before="0" w:after="80"/>
      </w:pPr>
      <w:r>
        <w:rPr>
          <w:i/>
          <w:sz w:val="20"/>
        </w:rPr>
        <w:t>EN: Bistable origami thermal switch with high switching ratios</w:t>
      </w:r>
    </w:p>
    <w:p>
      <w:pPr>
        <w:spacing w:before="0" w:after="120"/>
      </w:pPr>
      <w:r>
        <w:rPr>
          <w:b/>
        </w:rPr>
        <w:t xml:space="preserve">Source: </w:t>
      </w:r>
      <w:r>
        <w:t>Nature Communications</w:t>
      </w:r>
      <w:r>
        <w:t xml:space="preserve">    </w:t>
      </w:r>
      <w:r>
        <w:rPr>
          <w:b/>
        </w:rPr>
        <w:t xml:space="preserve">Pub date: </w:t>
      </w:r>
      <w:r>
        <w:t>2026-02-25 00:00:00+00:00</w:t>
      </w:r>
    </w:p>
    <w:p>
      <w:pPr>
        <w:spacing w:before="0" w:after="120"/>
      </w:pPr>
      <w:r>
        <w:rPr>
          <w:b/>
        </w:rPr>
        <w:t xml:space="preserve">Notes: </w:t>
      </w:r>
      <w:r>
        <w:t>abstract_source=nature_html</w:t>
      </w:r>
    </w:p>
    <w:p>
      <w:pPr>
        <w:spacing w:before="0" w:after="80" w:lineRule="auto" w:line="276"/>
      </w:pPr>
      <w:r>
        <w:rPr>
          <w:b/>
        </w:rPr>
        <w:t xml:space="preserve">摘要（ZH）: </w:t>
      </w:r>
      <w:r>
        <w:t>有效的热管理对于人工智能和机器人中的电力电子至关重要,这凸显了对动态、可逆热开关的需求。 实现高开关比率仍然具有挑战性。 在这里,我们展示了一个可双轨的由红神启发的热开关,在没有外部能量或感官输入的情况下在不同的热导状态之间快速转换。 从薄薄膜中通过精确的剪切和分数制造出来,在真空中实现了13,984的热切换比率,在周围空气中实现了13,984的热切换比率,在环境空气中达到了1,360的热切换比率,大大高于现有方法。 开关是由快速通的不稳定驱动的,通过形状- 模类合合物和弹性弹簧的组合来驱动。 能源景观可以通过几何变化来调整,以调整触发温度和开关比率。 我们的变异体是魔鬼。</w:t>
      </w:r>
    </w:p>
    <w:p>
      <w:pPr>
        <w:spacing w:before="0" w:after="200" w:lineRule="auto" w:line="276"/>
      </w:pPr>
      <w:r>
        <w:rPr>
          <w:b/>
        </w:rPr>
        <w:t xml:space="preserve">Abstract (EN): </w:t>
      </w:r>
      <w:r>
        <w:t>Effective thermal management is critical for power electronics in AI and robotics, highlighting the need for dynamic, reversible thermal switches. Achieving a high switching ratio remains challenging. Here, we present a bistable origami-inspired thermal switch that switch rapidly between distinct thermal conduction states without external energy or sensory input. Fabricated from a thin film through precise cut-and-fold, it achieves thermal switching ratios of 13,984 in vacuum and 1360 in ambient air, significantly higher than existing approaches. Switching is driven by snap-through instability, actuated by a combination of shape-memory alloy and elastic springs. The energy landscape can be tuned through geometric variations to adjust triggering temperature and switching ratio. We demonstrate stable, repeatable thermal regulation across multiple scenarios, offering a pathway toward passive, programmable thermal management.</w:t>
      </w:r>
    </w:p>
    <w:p>
      <w:pPr>
        <w:spacing w:before="120" w:after="120"/>
      </w:pPr>
      <w:r>
        <w:rPr>
          <w:sz w:val="18"/>
        </w:rPr>
        <w:t>——————————————————————————————————————————————————————————————————————</w:t>
      </w:r>
    </w:p>
    <w:p>
      <w:pPr>
        <w:spacing w:before="160" w:after="40" w:line="240" w:lineRule="auto"/>
      </w:pPr>
      <w:r>
        <w:rPr>
          <w:b/>
        </w:rPr>
        <w:t xml:space="preserve">[418] </w:t>
      </w:r>
      <w:hyperlink r:id="rId605">
        <w:r>
          <w:rPr>
            <w:color w:val="1155CC"/>
            <w:u w:val="single"/>
          </w:rPr>
          <w:t>电解设计战略、故障机制和未来前景</w:t>
        </w:r>
      </w:hyperlink>
    </w:p>
    <w:p>
      <w:pPr>
        <w:spacing w:before="0" w:after="80"/>
      </w:pPr>
      <w:r>
        <w:rPr>
          <w:i/>
          <w:sz w:val="20"/>
        </w:rPr>
        <w:t>EN: Electrolyte design strategies, failure mechanisms, and future perspectives for wide-temperature-range aqueous zinc-ion batteries</w:t>
      </w:r>
    </w:p>
    <w:p>
      <w:pPr>
        <w:spacing w:before="0" w:after="120"/>
      </w:pPr>
      <w:r>
        <w:rPr>
          <w:b/>
        </w:rPr>
        <w:t xml:space="preserve">Source: </w:t>
      </w:r>
      <w:r>
        <w:t>ScienceDirect Publication: Applied Energy</w:t>
      </w:r>
      <w:r>
        <w:t xml:space="preserve">    </w:t>
      </w:r>
      <w:r>
        <w:rPr>
          <w:b/>
        </w:rPr>
        <w:t xml:space="preserve">Pub date: </w:t>
      </w:r>
      <w:r>
        <w:t>2026-02-25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[419] </w:t>
      </w:r>
      <w:hyperlink r:id="rId606">
        <w:r>
          <w:rPr>
            <w:color w:val="1155CC"/>
            <w:u w:val="single"/>
          </w:rPr>
          <w:t>通过高效和耐久 Perovskite光伏两边协调,稳定Ni3Rich NiOx/Perovskite界面</w:t>
        </w:r>
      </w:hyperlink>
    </w:p>
    <w:p>
      <w:pPr>
        <w:spacing w:before="0" w:after="80"/>
      </w:pPr>
      <w:r>
        <w:rPr>
          <w:i/>
          <w:sz w:val="20"/>
        </w:rPr>
        <w:t>EN: Stabilizing Ni3+‐Rich NiOx/Perovskite Interface via Dual Coordination for Efficient and Durable Perovskite Photovoltaics</w:t>
      </w:r>
    </w:p>
    <w:p>
      <w:pPr>
        <w:spacing w:before="0" w:after="120"/>
      </w:pPr>
      <w:r>
        <w:rPr>
          <w:b/>
        </w:rPr>
        <w:t xml:space="preserve">Source: </w:t>
      </w:r>
      <w:r>
        <w:t>Wiley: Advanced Materials: Table of Contents</w:t>
      </w:r>
      <w:r>
        <w:t xml:space="preserve">    </w:t>
      </w:r>
      <w:r>
        <w:rPr>
          <w:b/>
        </w:rPr>
        <w:t xml:space="preserve">Pub date: </w:t>
      </w:r>
      <w:r>
        <w:t>2026-02-25 04:05:07+00:00</w:t>
      </w:r>
      <w:r>
        <w:t xml:space="preserve">    </w:t>
      </w:r>
      <w:r>
        <w:rPr>
          <w:b/>
        </w:rPr>
        <w:t xml:space="preserve">DOI: </w:t>
      </w:r>
      <w:hyperlink r:id="rId607">
        <w:r>
          <w:rPr>
            <w:color w:val="1155CC"/>
            <w:u w:val="single"/>
          </w:rPr>
          <w:t>10.1002/adma.202521697</w:t>
        </w:r>
      </w:hyperlink>
    </w:p>
    <w:p>
      <w:pPr>
        <w:spacing w:before="0" w:after="120"/>
      </w:pPr>
      <w:r>
        <w:rPr>
          <w:b/>
        </w:rPr>
        <w:t xml:space="preserve">Notes: </w:t>
      </w:r>
      <w:r>
        <w:t>abstract_source=pubmed</w:t>
      </w:r>
    </w:p>
    <w:p>
      <w:pPr>
        <w:spacing w:before="0" w:after="80" w:lineRule="auto" w:line="276"/>
      </w:pPr>
      <w:r>
        <w:rPr>
          <w:b/>
        </w:rPr>
        <w:t xml:space="preserve">摘要（ZH）: </w:t>
      </w:r>
      <w:r>
        <w:t>虽然氧化镍(NiOx)被广泛用作高效的洞车运输材料,但有效运输所需的表层Ni3+物种不稳定,能够引发与百草枯层的不和谐的相互作用反应。在此,我们引入了一种四氧丙烯丙烯酯功能化的porphyrin分子,以通过双重协调稳定一个Ni3+富含尼奥克斯/perovskite的界面。Porphyrin的两种氧化亚丙烯作为硬性刘易斯基地,与尼奥克斯的硬性酸尼3+点协调,而其他两种则与普洛夫斯基拉提斯的Pb2+互动。这种情况会减少界面缺陷形成,减缓降解,有助于保持胶片完整性,而同质的porphyrin宏观循环会促进高效的洞抽取。经过修改的NiOx的装置会到达卫士的节能。</w:t>
      </w:r>
    </w:p>
    <w:p>
      <w:pPr>
        <w:spacing w:before="0" w:after="200" w:lineRule="auto" w:line="276"/>
      </w:pPr>
      <w:r>
        <w:rPr>
          <w:b/>
        </w:rPr>
        <w:t xml:space="preserve">Abstract (EN): </w:t>
      </w:r>
      <w:r>
        <w:t>While nickel oxide (NiOx) is widely employed as an efficient hole-transport material, the surface Ni3+ species required for effective transport are unstable and can drive unfavorable interfacial reactions with the perovskite layer. Herein, we introduce a tetraoxopyridine-functionalized porphyrin molecule to stabilize a Ni3+-rich NiOx/perovskite interface through dual coordination. Two oxopyridines in porphyrin act as hard Lewis bases that coordinate with hard-acidic Ni3+ sites on NiOx, while the other two interact with Pb2+ in the perovskite lattice. Such a situation reduces interface defect formation, slows degradation, and helps maintain film integrity, while the conjugated porphyrin macrocycle promotes efficient hole extraction. Devices with the modified NiOx reach the champion efficiency of 27.05% (0.062 cm2) and 21.8% (21.54 cm2 aperture area), retaining &gt;95% of the initial efficiency after 2000 h of continuous 1-sun operation at the maximum power point. This work establishes a robust molecular-engineering route to stabilize surface Ni3+ in NiOx and support high-efficiency, long-lived perovskite solar cells.</w:t>
      </w:r>
    </w:p>
    <w:p>
      <w:pPr>
        <w:spacing w:before="120" w:after="120"/>
      </w:pPr>
      <w:r>
        <w:rPr>
          <w:sz w:val="18"/>
        </w:rPr>
        <w:t>——————————————————————————————————————————————————————————————————————</w:t>
      </w:r>
    </w:p>
    <w:p>
      <w:pPr>
        <w:spacing w:before="160" w:after="40" w:line="240" w:lineRule="auto"/>
      </w:pPr>
      <w:r>
        <w:rPr>
          <w:b/>
        </w:rPr>
        <w:t xml:space="preserve">[420] </w:t>
      </w:r>
      <w:hyperlink r:id="rId608">
        <w:r>
          <w:rPr>
            <w:color w:val="1155CC"/>
            <w:u w:val="single"/>
          </w:rPr>
          <w:t>微/纳米3D3D生物印刷:改变细胞/组织增长和功能的变革方法</w:t>
        </w:r>
      </w:hyperlink>
    </w:p>
    <w:p>
      <w:pPr>
        <w:spacing w:before="0" w:after="80"/>
      </w:pPr>
      <w:r>
        <w:rPr>
          <w:i/>
          <w:sz w:val="20"/>
        </w:rPr>
        <w:t>EN: Micro/Nanoscale 3D Bioprinting: A Transformative Way to Modulate Cell/Tissue Growth and Function</w:t>
      </w:r>
    </w:p>
    <w:p>
      <w:pPr>
        <w:spacing w:before="0" w:after="120"/>
      </w:pPr>
      <w:r>
        <w:rPr>
          <w:b/>
        </w:rPr>
        <w:t xml:space="preserve">Source: </w:t>
      </w:r>
      <w:r>
        <w:t>Wiley: Advanced Materials: Table of Contents</w:t>
      </w:r>
      <w:r>
        <w:t xml:space="preserve">    </w:t>
      </w:r>
      <w:r>
        <w:rPr>
          <w:b/>
        </w:rPr>
        <w:t xml:space="preserve">Pub date: </w:t>
      </w:r>
      <w:r>
        <w:t>2026-02-25 04:08:48+00:00</w:t>
      </w:r>
      <w:r>
        <w:t xml:space="preserve">    </w:t>
      </w:r>
      <w:r>
        <w:rPr>
          <w:b/>
        </w:rPr>
        <w:t xml:space="preserve">DOI: </w:t>
      </w:r>
      <w:hyperlink r:id="rId609">
        <w:r>
          <w:rPr>
            <w:color w:val="1155CC"/>
            <w:u w:val="single"/>
          </w:rPr>
          <w:t>10.1002/adma.202515400</w:t>
        </w:r>
      </w:hyperlink>
    </w:p>
    <w:p>
      <w:pPr>
        <w:spacing w:before="0" w:after="120"/>
      </w:pPr>
      <w:r>
        <w:rPr>
          <w:b/>
        </w:rPr>
        <w:t xml:space="preserve">Notes: </w:t>
      </w:r>
      <w:r>
        <w:t>abstract_source=pubmed</w:t>
      </w:r>
    </w:p>
    <w:p>
      <w:pPr>
        <w:spacing w:before="0" w:after="80" w:lineRule="auto" w:line="276"/>
      </w:pPr>
      <w:r>
        <w:rPr>
          <w:b/>
        </w:rPr>
        <w:t xml:space="preserve">摘要（ZH）: </w:t>
      </w:r>
      <w:r>
        <w:t>土生组织外细胞矩阵(EMM)具有高度有组织的微型/纳米结构,这些结构与细胞密切互动,以调节组织功能、保持软保持状态和支持再生。微/纳米三维(3D)生物印刷最近作为一种变革技术出现。它使得能够利用细胞环状水凝胶复制类似ECM结构的可复制制造。在这次审查中,我们系统地综述了活性组织建筑微型/纳米3D生物印刷的最新进展,特别强调了这些类似ECM的微型/纳米建筑对细胞和组织行为的影响。我们首先采用了初级微型/纳米生物印刷技术,包括光基、外形基和喷射式生物印刷技术。</w:t>
      </w:r>
    </w:p>
    <w:p>
      <w:pPr>
        <w:spacing w:before="0" w:after="200" w:lineRule="auto" w:line="276"/>
      </w:pPr>
      <w:r>
        <w:rPr>
          <w:b/>
        </w:rPr>
        <w:t xml:space="preserve">Abstract (EN): </w:t>
      </w:r>
      <w:r>
        <w:t>The extracellular matrix (ECM) of native tissues features highly organized micro/nanoscale structures that intricately interact with cells to regulate tissue function, maintain homeostasis, and support regeneration. Micro/nanoscale three-dimensional (3D) bioprinting has recently emerged as a transformative technology, enabling the reproducible fabrication of ECM-like structures using cell-laden hydrogels. In this review, we provide a systematic overview of recent advances in micro/nanoscale 3D bioprinting for living tissue constructs, with particular emphasis on the effects of these ECM-like micro/nanoscale architectures on cellular and tissue behavior. We begin by introducing the primary micro/nanoscale bioprinting techniques, including light-based, extrusion-based, and jetting-based bioprinting methods. We examine the effects of the high-resolution 3D bioprinting process and/or bioprinting-induced micro/nanostructures on modulating cell growth. Next, we highlight recent innovations that integrate biomechanical stimuli into these micro/nanoscale 3D-bioprinted constructs to further enhance cell and tissue functionality. The key applications of micro/nanoscale bioprinting in tissue regeneration and in vitro models are explored. Finally, current challenges and potential solutions for advancing micro/nanoscale 3D bioprinting toward the realization of functional tissue/organ analogs are discussed.</w:t>
      </w:r>
    </w:p>
    <w:p>
      <w:pPr>
        <w:spacing w:before="120" w:after="120"/>
      </w:pPr>
      <w:r>
        <w:rPr>
          <w:sz w:val="18"/>
        </w:rPr>
        <w:t>——————————————————————————————————————————————————————————————————————</w:t>
      </w:r>
    </w:p>
    <w:p>
      <w:pPr>
        <w:spacing w:before="160" w:after="40" w:line="240" w:lineRule="auto"/>
      </w:pPr>
      <w:r>
        <w:rPr>
          <w:b/>
        </w:rPr>
        <w:t xml:space="preserve">[421] </w:t>
      </w:r>
      <w:hyperlink r:id="rId610">
        <w:r>
          <w:rPr>
            <w:color w:val="1155CC"/>
            <w:u w:val="single"/>
          </w:rPr>
          <w:t>触发巨人Rashba-Dreselhaus的电电路半导体的定形化学活性单方对等效应,用于环极光探测</w:t>
        </w:r>
      </w:hyperlink>
    </w:p>
    <w:p>
      <w:pPr>
        <w:spacing w:before="0" w:after="80"/>
      </w:pPr>
      <w:r>
        <w:rPr>
          <w:i/>
          <w:sz w:val="20"/>
        </w:rPr>
        <w:t>EN: Stereochemically Active Lone Pair Effect of Cations Triggers Giant Rashba–Dresselhaus Spin Splitting in Ferroelectric Semiconductors for Circularly Polarized Light Detection</w:t>
      </w:r>
    </w:p>
    <w:p>
      <w:pPr>
        <w:spacing w:before="0" w:after="120"/>
      </w:pPr>
      <w:r>
        <w:rPr>
          <w:b/>
        </w:rPr>
        <w:t xml:space="preserve">Source: </w:t>
      </w:r>
      <w:r>
        <w:t>Wiley: Advanced Materials: Table of Contents</w:t>
      </w:r>
      <w:r>
        <w:t xml:space="preserve">    </w:t>
      </w:r>
      <w:r>
        <w:rPr>
          <w:b/>
        </w:rPr>
        <w:t xml:space="preserve">Pub date: </w:t>
      </w:r>
      <w:r>
        <w:t>2026-02-25 04:17:10+00:00</w:t>
      </w:r>
      <w:r>
        <w:t xml:space="preserve">    </w:t>
      </w:r>
      <w:r>
        <w:rPr>
          <w:b/>
        </w:rPr>
        <w:t xml:space="preserve">DOI: </w:t>
      </w:r>
      <w:hyperlink r:id="rId611">
        <w:r>
          <w:rPr>
            <w:color w:val="1155CC"/>
            <w:u w:val="single"/>
          </w:rPr>
          <w:t>10.1002/adma.202519568</w:t>
        </w:r>
      </w:hyperlink>
    </w:p>
    <w:p>
      <w:pPr>
        <w:spacing w:before="0" w:after="120"/>
      </w:pPr>
      <w:r>
        <w:rPr>
          <w:b/>
        </w:rPr>
        <w:t xml:space="preserve">Notes: </w:t>
      </w:r>
      <w:r>
        <w:t>abstract_source=pubmed</w:t>
      </w:r>
    </w:p>
    <w:p>
      <w:pPr>
        <w:spacing w:before="0" w:after="80" w:lineRule="auto" w:line="276"/>
      </w:pPr>
      <w:r>
        <w:rPr>
          <w:b/>
        </w:rPr>
        <w:t xml:space="preserve">摘要（ZH）: </w:t>
      </w:r>
      <w:r>
        <w:t>Rashba-Dresselhaus(RD)在空间对流不对称半导体中因旋转轨道相联而导致的旋转分解对于实现许多先进的脊柱应用至关重要。然而,由于结构-财产关系不明确,调整RD旋转分化系数(αRD)具有挑战性。在这里,在含有立体化学活性单方电子(SCALP)的高度扭曲的无机分泌物的启发下,我们选择了含有SCALP电子的4-氨基色电离电(4AM),以合成一个新的二维(2D)铁电半导体(4AM)2PbBr4, 展示了2.377 eV的大型αRD, 与ZERD=126MV和k0=0.106A-1,该方圆极光振动空间的光辐射载体通过依赖的光学过渡选择而分辨。</w:t>
      </w:r>
    </w:p>
    <w:p>
      <w:pPr>
        <w:spacing w:before="0" w:after="200" w:lineRule="auto" w:line="276"/>
      </w:pPr>
      <w:r>
        <w:rPr>
          <w:b/>
        </w:rPr>
        <w:t xml:space="preserve">Abstract (EN): </w:t>
      </w:r>
      <w:r>
        <w:t>Rashba-Dresselhaus (RD) spin splitting arising from spin-orbit coupling in spatial inversion asymmetric semiconductors is critical for realizing numerous advanced spintronic applications. However, modulating the RD spin splitting coefficient (αRD) is challenging due to the unclear structural-property relationship. Herein, inspired by highly distorted inorganic selenites containing stereochemically active lone pair (SCALP) electrons, we selected 4-aminomorpholine cation (4AM) containing SCALP electrons to synthesize a new two-dimensional (2D) ferroelectric semiconductor (4AM)2PbBr4, exhibiting a giant αRD of 2.377 eV Å with ΔERD = 126 meV and Δk0 = 0.106 Å-1 that differentiates circularly polarized light-excited carriers in the momentum space via spin-dependent optical transition selection rules with an asymmetric factor of 0.65. A geometric structure-property relationship study reveals that incorporating SCALP into the organic cations enhances their net polarity and induces substantial distortions within the inorganic sublattices that enhance the αRD. This work reveals the regulatory mechanism of organic cations on distortion of inorganic octahedron and provides a new approach for efficient synthesis and rapid screening of 2D ferroelectric semiconductors with large αRD.</w:t>
      </w:r>
    </w:p>
    <w:p>
      <w:pPr>
        <w:spacing w:before="120" w:after="120"/>
      </w:pPr>
      <w:r>
        <w:rPr>
          <w:sz w:val="18"/>
        </w:rPr>
        <w:t>——————————————————————————————————————————————————————————————————————</w:t>
      </w:r>
    </w:p>
    <w:p>
      <w:pPr>
        <w:spacing w:before="160" w:after="40" w:line="240" w:lineRule="auto"/>
      </w:pPr>
      <w:r>
        <w:rPr>
          <w:b/>
        </w:rPr>
        <w:t xml:space="preserve">[422] </w:t>
      </w:r>
      <w:hyperlink r:id="rId612">
        <w:r>
          <w:rPr>
            <w:color w:val="1155CC"/>
            <w:u w:val="single"/>
          </w:rPr>
          <w:t>自动振动螺旋 显示振动的振动风动和松动动作</w:t>
        </w:r>
      </w:hyperlink>
    </w:p>
    <w:p>
      <w:pPr>
        <w:spacing w:before="0" w:after="80"/>
      </w:pPr>
      <w:r>
        <w:rPr>
          <w:i/>
          <w:sz w:val="20"/>
        </w:rPr>
        <w:t>EN: Self‐Oscillating Helix Showing Amplified Winding and Unwinding Motions</w:t>
      </w:r>
    </w:p>
    <w:p>
      <w:pPr>
        <w:spacing w:before="0" w:after="120"/>
      </w:pPr>
      <w:r>
        <w:rPr>
          <w:b/>
        </w:rPr>
        <w:t xml:space="preserve">Source: </w:t>
      </w:r>
      <w:r>
        <w:t>Wiley: Advanced Materials: Table of Contents</w:t>
      </w:r>
      <w:r>
        <w:t xml:space="preserve">    </w:t>
      </w:r>
      <w:r>
        <w:rPr>
          <w:b/>
        </w:rPr>
        <w:t xml:space="preserve">Pub date: </w:t>
      </w:r>
      <w:r>
        <w:t>2026-02-25 04:18:11+00:00</w:t>
      </w:r>
      <w:r>
        <w:t xml:space="preserve">    </w:t>
      </w:r>
      <w:r>
        <w:rPr>
          <w:b/>
        </w:rPr>
        <w:t xml:space="preserve">DOI: </w:t>
      </w:r>
      <w:hyperlink r:id="rId613">
        <w:r>
          <w:rPr>
            <w:color w:val="1155CC"/>
            <w:u w:val="single"/>
          </w:rPr>
          <w:t>10.1002/adma.202521736</w:t>
        </w:r>
      </w:hyperlink>
    </w:p>
    <w:p>
      <w:pPr>
        <w:spacing w:before="0" w:after="120"/>
      </w:pPr>
      <w:r>
        <w:rPr>
          <w:b/>
        </w:rPr>
        <w:t xml:space="preserve">Notes: </w:t>
      </w:r>
      <w:r>
        <w:t>abstract_source=pubmed</w:t>
      </w:r>
    </w:p>
    <w:p>
      <w:pPr>
        <w:spacing w:before="0" w:after="80" w:lineRule="auto" w:line="276"/>
      </w:pPr>
      <w:r>
        <w:rPr>
          <w:b/>
        </w:rPr>
        <w:t xml:space="preserve">摘要（ZH）: </w:t>
      </w:r>
      <w:r>
        <w:t>自然中的热量结构通过顺风扩大运动。 我们报告了一个简单、通用的光聚合战略,用精确控制的抗辐射聚合梯度在玻璃的玻璃螺旋内制造液凝胶螺旋。 一个螺旋包裹的光层和一个化学的UV吸收器(Ru(bpy)3)共同编码长度和辐射不对称。它们的几何通过调整光谱宽度和间距很容易编程,我们的方法是一般聚合物,包括热反应凝胶和有机胶。有代表性的例子是,低临界溶液温度(LCST)-类热聚醚(NIPAAM)的热量变小,异体体体变小,变成放大的单氧畸形,显示1.6倍的轴缩小于其加热总长度缩缩缩。它们的反应是:</w:t>
      </w:r>
    </w:p>
    <w:p>
      <w:pPr>
        <w:spacing w:before="0" w:after="200" w:lineRule="auto" w:line="276"/>
      </w:pPr>
      <w:r>
        <w:rPr>
          <w:b/>
        </w:rPr>
        <w:t xml:space="preserve">Abstract (EN): </w:t>
      </w:r>
      <w:r>
        <w:t>Helical architectures in nature amplify motion via winding-unwinding. We report a simple, universal photopolymerization strategy to fabricate hydrogel helices with precisely controlled radial polymer gradients inside glass capillaries. A helically wrapped photomask and a chemical UV absorber (Ru(bpy)3) jointly encode longitudinal and radial asymmetry. Their geometry is readily programmed by adjusting the photomask width and spacing, and our approach is polymer-general, including thermoresponsive gels and organogels. As a representative example, lower critical solution temperature (LCST)-type poly(NIPAAm) helices convert small, isotropic volume change into amplified uniaxial deformation, showing 1.6-fold larger axial shrinkage than their total length shrinkage under heating. They respond to various stimuli, including temperature, acid, and near-infrared (NIR) light. As a proof-of-concept soft robotic actuator, we fabricated a helix with a gradual axial variation in diameter and demonstrated stepwise, unidirectional locomotion along a string under cyclic heating and cooling. Integrating vinyl‑functionalized Ru(bpy)3 as a covalent catalyst yields self‑oscillating helices driven by the Belousov-Zhabotinsky reaction, which autonomously repeat winding-unwinding accompanied by peristaltic waves. Compared with conventional rods, helices exhibit four-fold larger amplitude and 3.4-times faster deswelling kinetics. Our platform establishes a geometry‑driven design rule that harnesses helical coupling to amplify displacement in programmable and autonomous soft actuators.</w:t>
      </w:r>
    </w:p>
    <w:p>
      <w:pPr>
        <w:spacing w:before="120" w:after="120"/>
      </w:pPr>
      <w:r>
        <w:rPr>
          <w:sz w:val="18"/>
        </w:rPr>
        <w:t>——————————————————————————————————————————————————————————————————————</w:t>
      </w:r>
    </w:p>
    <w:p>
      <w:pPr>
        <w:spacing w:before="160" w:after="40" w:line="240" w:lineRule="auto"/>
      </w:pPr>
      <w:r>
        <w:rPr>
          <w:b/>
        </w:rPr>
        <w:t xml:space="preserve">[423] </w:t>
      </w:r>
      <w:hyperlink r:id="rId614">
        <w:r>
          <w:rPr>
            <w:color w:val="1155CC"/>
            <w:u w:val="single"/>
          </w:rPr>
          <w:t>All-inne VN/B2-O3电动能快速聚硫化物在激光S电池中转换的电子化分析条例</w:t>
        </w:r>
      </w:hyperlink>
    </w:p>
    <w:p>
      <w:pPr>
        <w:spacing w:before="0" w:after="80"/>
      </w:pPr>
      <w:r>
        <w:rPr>
          <w:i/>
          <w:sz w:val="20"/>
        </w:rPr>
        <w:t>EN: Coupled Electronic‐Catalytic Regulation in All‐in‐One VN/B2O3 Ceramic Enables Fast Polysulfides Conversion in Li‐S Batteries</w:t>
      </w:r>
    </w:p>
    <w:p>
      <w:pPr>
        <w:spacing w:before="0" w:after="120"/>
      </w:pPr>
      <w:r>
        <w:rPr>
          <w:b/>
        </w:rPr>
        <w:t xml:space="preserve">Source: </w:t>
      </w:r>
      <w:r>
        <w:t>Wiley: Angewandte Chemie International Edition: Table of Contents</w:t>
      </w:r>
      <w:r>
        <w:t xml:space="preserve">    </w:t>
      </w:r>
      <w:r>
        <w:rPr>
          <w:b/>
        </w:rPr>
        <w:t xml:space="preserve">Pub date: </w:t>
      </w:r>
      <w:r>
        <w:t>2026-02-25 04:19:19+00:00</w:t>
      </w:r>
      <w:r>
        <w:t xml:space="preserve">    </w:t>
      </w:r>
      <w:r>
        <w:rPr>
          <w:b/>
        </w:rPr>
        <w:t xml:space="preserve">DOI: </w:t>
      </w:r>
      <w:hyperlink r:id="rId615">
        <w:r>
          <w:rPr>
            <w:color w:val="1155CC"/>
            <w:u w:val="single"/>
          </w:rPr>
          <w:t>10.1002/anie.202526035</w:t>
        </w:r>
      </w:hyperlink>
    </w:p>
    <w:p>
      <w:pPr>
        <w:spacing w:before="0" w:after="120"/>
      </w:pPr>
      <w:r>
        <w:rPr>
          <w:b/>
        </w:rPr>
        <w:t xml:space="preserve">Notes: </w:t>
      </w:r>
      <w:r>
        <w:t>abstract_source=pubmed</w:t>
      </w:r>
    </w:p>
    <w:p>
      <w:pPr>
        <w:spacing w:before="0" w:after="80" w:lineRule="auto" w:line="276"/>
      </w:pPr>
      <w:r>
        <w:rPr>
          <w:b/>
        </w:rPr>
        <w:t xml:space="preserve">摘要（ZH）: </w:t>
      </w:r>
      <w:r>
        <w:t>锂硫(Li-S)电池对下一代高能贮存有着巨大希望,但受到低效锂聚硫化物转化、低硫利用和有限的实际装载的挑战。在这里,我们报告了一种全在一蚂蚁类类似多孔VN/B2O3(VNBO)陶瓷,它是通过VN纳米粒子自下而上交接和扩散过程以及B2O3的阶段过渡而建造的。 这种集成的多孔陶瓷提供了一个连续传导框架,可以最大限度地减少间阻力。VN纳米单位是加速LIPS再氧动能的高度活跃催化中心,而B2O3组件则推动形成类似于VN/B2O3的顶级反射网络,并调节VN/B2O3热内层的电子结构。</w:t>
      </w:r>
    </w:p>
    <w:p>
      <w:pPr>
        <w:spacing w:before="0" w:after="200" w:lineRule="auto" w:line="276"/>
      </w:pPr>
      <w:r>
        <w:rPr>
          <w:b/>
        </w:rPr>
        <w:t xml:space="preserve">Abstract (EN): </w:t>
      </w:r>
      <w:r>
        <w:t>Lithium-sulfur (Li-S) batteries hold great promise for next-generation high-energy storage but are challenged by sluggish lithium polysulfides (LiPSs) conversion, low sulfur utilization, and limited practical loading. Herein, we report an all-in-one ant-nest-like porous VN/B2O3 (VNBO) ceramic, constructed through a bottom-up sintering-diffusion process of VN nanoparticles coupled with the phase transition of B2O3. This integrated porous ceramic provides a continuous conductive framework with minimized interfacial resistance. The VN nano-units serve as highly active catalytic centers to accelerate LiPSs redox kinetics, while B2O3 component promotes the formation of the hierarchical ant-nest-like network and modulates the electronic structure of the VN/B2O3 heterointerface. This coupled electronic-catalytic regulation effectively suppresses LiPSs shuttling and enables fast, reversible LiPSs conversion. Benefiting from this synergistic architecture, the 2-VNBO@S cathode delivers outstanding electrochemical performances, achieving 1187.2 mAh g-1 at 0.5 C after 200 cycles and retaining 944.3 mAh g-1 over 300 cycles at 3 C with a capacity decay of only 0.054% per cycle. Even under a high sulfur loading of 4 mg cm-2, it maintains 557.9 mAh g-1 after 150 cycles. This work establishes a robust design strategy for high-energy and catalytically active sulfur cathodes.</w:t>
      </w:r>
    </w:p>
    <w:p>
      <w:pPr>
        <w:spacing w:before="120" w:after="120"/>
      </w:pPr>
      <w:r>
        <w:rPr>
          <w:sz w:val="18"/>
        </w:rPr>
        <w:t>——————————————————————————————————————————————————————————————————————</w:t>
      </w:r>
    </w:p>
    <w:p>
      <w:pPr>
        <w:spacing w:before="160" w:after="40" w:line="240" w:lineRule="auto"/>
      </w:pPr>
      <w:r>
        <w:rPr>
          <w:b/>
        </w:rPr>
        <w:t xml:space="preserve">[424] </w:t>
      </w:r>
      <w:hyperlink r:id="rId616">
        <w:r>
          <w:rPr>
            <w:color w:val="1155CC"/>
            <w:u w:val="single"/>
          </w:rPr>
          <w:t>锂电池硅基阳极的降解途径</w:t>
        </w:r>
      </w:hyperlink>
    </w:p>
    <w:p>
      <w:pPr>
        <w:spacing w:before="0" w:after="80"/>
      </w:pPr>
      <w:r>
        <w:rPr>
          <w:i/>
          <w:sz w:val="20"/>
        </w:rPr>
        <w:t>EN: Degradation Pathways of Silicon‐Based Anodes in Lithium‐Ion Batteries</w:t>
      </w:r>
    </w:p>
    <w:p>
      <w:pPr>
        <w:spacing w:before="0" w:after="120"/>
      </w:pPr>
      <w:r>
        <w:rPr>
          <w:b/>
        </w:rPr>
        <w:t xml:space="preserve">Source: </w:t>
      </w:r>
      <w:r>
        <w:t>Wiley: Advanced Energy Materials: Table of Contents</w:t>
      </w:r>
      <w:r>
        <w:t xml:space="preserve">    </w:t>
      </w:r>
      <w:r>
        <w:rPr>
          <w:b/>
        </w:rPr>
        <w:t xml:space="preserve">Pub date: </w:t>
      </w:r>
      <w:r>
        <w:t>2026-02-25 04:20:47+00:00</w:t>
      </w:r>
      <w:r>
        <w:t xml:space="preserve">    </w:t>
      </w:r>
      <w:r>
        <w:rPr>
          <w:b/>
        </w:rPr>
        <w:t xml:space="preserve">DOI: </w:t>
      </w:r>
      <w:hyperlink r:id="rId617">
        <w:r>
          <w:rPr>
            <w:color w:val="1155CC"/>
            <w:u w:val="single"/>
          </w:rPr>
          <w:t>10.1002/aenm.202506750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[425] </w:t>
      </w:r>
      <w:hyperlink r:id="rId618">
        <w:r>
          <w:rPr>
            <w:color w:val="1155CC"/>
            <w:u w:val="single"/>
          </w:rPr>
          <w:t>生物化学中更多的缓冲:Tris作为金属-氧大会的建筑师和看门人</w:t>
        </w:r>
      </w:hyperlink>
    </w:p>
    <w:p>
      <w:pPr>
        <w:spacing w:before="0" w:after="80"/>
      </w:pPr>
      <w:r>
        <w:rPr>
          <w:i/>
          <w:sz w:val="20"/>
        </w:rPr>
        <w:t>EN: More Than a Buffer in Biochemistry: Tris as an Architect and Gatekeeper of Metal–Oxo Assembly</w:t>
      </w:r>
    </w:p>
    <w:p>
      <w:pPr>
        <w:spacing w:before="0" w:after="120"/>
      </w:pPr>
      <w:r>
        <w:rPr>
          <w:b/>
        </w:rPr>
        <w:t xml:space="preserve">Source: </w:t>
      </w:r>
      <w:r>
        <w:t>Wiley: Angewandte Chemie International Edition: Table of Contents</w:t>
      </w:r>
      <w:r>
        <w:t xml:space="preserve">    </w:t>
      </w:r>
      <w:r>
        <w:rPr>
          <w:b/>
        </w:rPr>
        <w:t xml:space="preserve">Pub date: </w:t>
      </w:r>
      <w:r>
        <w:t>2026-02-25 04:28:29+00:00</w:t>
      </w:r>
      <w:r>
        <w:t xml:space="preserve">    </w:t>
      </w:r>
      <w:r>
        <w:rPr>
          <w:b/>
        </w:rPr>
        <w:t xml:space="preserve">DOI: </w:t>
      </w:r>
      <w:hyperlink r:id="rId619">
        <w:r>
          <w:rPr>
            <w:color w:val="1155CC"/>
            <w:u w:val="single"/>
          </w:rPr>
          <w:t>10.1002/anie.202525355</w:t>
        </w:r>
      </w:hyperlink>
    </w:p>
    <w:p>
      <w:pPr>
        <w:spacing w:before="0" w:after="120"/>
      </w:pPr>
      <w:r>
        <w:rPr>
          <w:b/>
        </w:rPr>
        <w:t xml:space="preserve">Notes: </w:t>
      </w:r>
      <w:r>
        <w:t>abstract_source=pubmed</w:t>
      </w:r>
    </w:p>
    <w:p>
      <w:pPr>
        <w:spacing w:before="0" w:after="80" w:lineRule="auto" w:line="276"/>
      </w:pPr>
      <w:r>
        <w:rPr>
          <w:b/>
        </w:rPr>
        <w:t xml:space="preserve">摘要（ZH）: </w:t>
      </w:r>
      <w:r>
        <w:t>多氧原子(POMM、分子金属-氧化物集群)通常在水介质中研究和应用,在水介质中,常规缓冲确定哪些集群形成、持续或反应。Tris(氢氧甲基)氨基甲烷(Tris)是接近生理pH的无处不在的缓冲,并产生了pH单独控制无法解释的结果,引发了一个具有巨大后果的简单问题:Tris对POMs的实际作用是什么?POM多个家庭的量化表明,这种松散缓冲与完整离子的较长寿命、三维特定导管的形成和通过电磁力调整的金枪鱼稳定性有关。我们描述了Tris的三个分子作用。首先,Tris作为将μ-O-CH2单元嵌入 POM scafold的烷氧基捐赠者作用。第二,Tris作为圆锥体的圆柱体。</w:t>
      </w:r>
    </w:p>
    <w:p>
      <w:pPr>
        <w:spacing w:before="0" w:after="200" w:lineRule="auto" w:line="276"/>
      </w:pPr>
      <w:r>
        <w:rPr>
          <w:b/>
        </w:rPr>
        <w:t xml:space="preserve">Abstract (EN): </w:t>
      </w:r>
      <w:r>
        <w:t>Polyoxometalates (POMs, molecular metal-oxo clusters) are typically studied and applied in aqueous media, where routine buffers determine which clusters form, persist, or react. Tris(hydroxymethyl)aminomethane (Tris) is a ubiquitous buffer near physiological pH and has produced outcomes that pH control alone could not explain, prompting a simple question with large consequences: What does Tris actually do to POMs? Quantification across several POM families shows that this loose buffering correlates with longer lifetimes of intact anions, the formation of Tris-specific adducts, and tunable stability through ionic-strength adjustment. We describe three molecular roles of Tris. First, Tris acts as an alkoxy donor that embeds μ-O─CH2 units within POM scaffolds. Second, Tris functions as a chelator that arrests early tungsten-oxo condensation and stabilizes a minimal isopolytungstate. Third, Tris serves as a structure-directing medium, since a chromium-incorporated Keggin forms only in Tris buffer at pH 7.5 and displays single-ion-magnet behavior. We advocate a speciation-first workflow that logs attained pH, reports buffer identity, concentration, and ionic strength, and verifies species by orthogonal spectroscopic, diffraction, and computational methods. The implication extends well beyond POM chemistry: in catalysis, electrochemistry, and biomaterials, buffers and amine additives can redirect speciation, alter redox access, and bias kinetics.</w:t>
      </w:r>
    </w:p>
    <w:p>
      <w:pPr>
        <w:spacing w:before="120" w:after="120"/>
      </w:pPr>
      <w:r>
        <w:rPr>
          <w:sz w:val="18"/>
        </w:rPr>
        <w:t>——————————————————————————————————————————————————————————————————————</w:t>
      </w:r>
    </w:p>
    <w:p>
      <w:pPr>
        <w:spacing w:before="160" w:after="40" w:line="240" w:lineRule="auto"/>
      </w:pPr>
      <w:r>
        <w:rPr>
          <w:b/>
        </w:rPr>
        <w:t xml:space="preserve">[426] </w:t>
      </w:r>
      <w:hyperlink r:id="rId620">
        <w:r>
          <w:rPr>
            <w:color w:val="1155CC"/>
            <w:u w:val="single"/>
          </w:rPr>
          <w:t>层层间隔化合物滑动阶段变化中期模型模型模型</w:t>
        </w:r>
      </w:hyperlink>
    </w:p>
    <w:p>
      <w:pPr>
        <w:spacing w:before="0" w:after="80"/>
      </w:pPr>
      <w:r>
        <w:rPr>
          <w:i/>
          <w:sz w:val="20"/>
        </w:rPr>
        <w:t>EN: Meso‐Scale Modeling of Glide Phase Transformations in Layered Intercalation Compounds</w:t>
      </w:r>
    </w:p>
    <w:p>
      <w:pPr>
        <w:spacing w:before="0" w:after="120"/>
      </w:pPr>
      <w:r>
        <w:rPr>
          <w:b/>
        </w:rPr>
        <w:t xml:space="preserve">Source: </w:t>
      </w:r>
      <w:r>
        <w:t>Wiley: Advanced Energy Materials: Table of Contents</w:t>
      </w:r>
      <w:r>
        <w:t xml:space="preserve">    </w:t>
      </w:r>
      <w:r>
        <w:rPr>
          <w:b/>
        </w:rPr>
        <w:t xml:space="preserve">Pub date: </w:t>
      </w:r>
      <w:r>
        <w:t>2026-02-25 04:32:39+00:00</w:t>
      </w:r>
      <w:r>
        <w:t xml:space="preserve">    </w:t>
      </w:r>
      <w:r>
        <w:rPr>
          <w:b/>
        </w:rPr>
        <w:t xml:space="preserve">DOI: </w:t>
      </w:r>
      <w:hyperlink r:id="rId621">
        <w:r>
          <w:rPr>
            <w:color w:val="1155CC"/>
            <w:u w:val="single"/>
          </w:rPr>
          <w:t>10.1002/aenm.202505903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[427] </w:t>
      </w:r>
      <w:hyperlink r:id="rId622">
        <w:r>
          <w:rPr>
            <w:color w:val="1155CC"/>
            <w:u w:val="single"/>
          </w:rPr>
          <w:t>小型机器人和机器的物理情报(Adv.Mater. 12/2026)</w:t>
        </w:r>
      </w:hyperlink>
    </w:p>
    <w:p>
      <w:pPr>
        <w:spacing w:before="0" w:after="80"/>
      </w:pPr>
      <w:r>
        <w:rPr>
          <w:i/>
          <w:sz w:val="20"/>
        </w:rPr>
        <w:t>EN: Physical Intelligence in Small‐Scale Robots and Machines (Adv. Mater. 12/2026)</w:t>
      </w:r>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623">
        <w:r>
          <w:rPr>
            <w:color w:val="1155CC"/>
            <w:u w:val="single"/>
          </w:rPr>
          <w:t>10.1002/adma.72464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[428] </w:t>
      </w:r>
      <w:hyperlink r:id="rId624">
        <w:r>
          <w:rPr>
            <w:color w:val="1155CC"/>
            <w:u w:val="single"/>
          </w:rPr>
          <w:t>审查丁锂金属电池制造——微结构——电化学关系(Adv. Mater. 12/2026)</w:t>
        </w:r>
      </w:hyperlink>
    </w:p>
    <w:p>
      <w:pPr>
        <w:spacing w:before="0" w:after="80"/>
      </w:pPr>
      <w:r>
        <w:rPr>
          <w:i/>
          <w:sz w:val="20"/>
        </w:rPr>
        <w:t>EN: Review of Thin Lithium Metal Battery Anode Fabrication – Microstructure – Electrochemistry Relations (Adv. Mater. 12/2026)</w:t>
      </w:r>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625">
        <w:r>
          <w:rPr>
            <w:color w:val="1155CC"/>
            <w:u w:val="single"/>
          </w:rPr>
          <w:t>10.1002/adma.72465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[429] </w:t>
      </w:r>
      <w:hyperlink r:id="rId626">
        <w:r>
          <w:rPr>
            <w:color w:val="1155CC"/>
            <w:u w:val="single"/>
          </w:rPr>
          <w:t>个人热管理热管理热量制造系统(Adv. Mater. 12/2026)</w:t>
        </w:r>
      </w:hyperlink>
    </w:p>
    <w:p>
      <w:pPr>
        <w:spacing w:before="0" w:after="80"/>
      </w:pPr>
      <w:r>
        <w:rPr>
          <w:i/>
          <w:sz w:val="20"/>
        </w:rPr>
        <w:t>EN: Bioinspired Swelling‐Deswelling Strategy Unlocks Synergistic Molecular Solar Thermal‐Fabric Systems for Personal Thermal Management (Adv. Mater. 12/2026)</w:t>
      </w:r>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627">
        <w:r>
          <w:rPr>
            <w:color w:val="1155CC"/>
            <w:u w:val="single"/>
          </w:rPr>
          <w:t>10.1002/adma.72466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[430] </w:t>
      </w:r>
      <w:hyperlink r:id="rId628">
        <w:r>
          <w:rPr>
            <w:color w:val="1155CC"/>
            <w:u w:val="single"/>
          </w:rPr>
          <w:t>自动组织化自用汽车大会的新兴动力(Adv. Mater. 12/2026)</w:t>
        </w:r>
      </w:hyperlink>
    </w:p>
    <w:p>
      <w:pPr>
        <w:spacing w:before="0" w:after="80"/>
      </w:pPr>
      <w:r>
        <w:rPr>
          <w:i/>
          <w:sz w:val="20"/>
        </w:rPr>
        <w:t>EN: Emergent Motility of Self‐Organized Particle‐Giant Unilamellar Vesicle Assembly (Adv. Mater. 12/2026)</w:t>
      </w:r>
    </w:p>
    <w:p>
      <w:pPr>
        <w:spacing w:before="0" w:after="120"/>
      </w:pPr>
      <w:r>
        <w:rPr>
          <w:b/>
        </w:rPr>
        <w:t xml:space="preserve">Source: </w:t>
      </w:r>
      <w:r>
        <w:t>Wiley: Advanced Materials: Table of Contents</w:t>
      </w:r>
      <w:r>
        <w:t xml:space="preserve">    </w:t>
      </w:r>
      <w:r>
        <w:rPr>
          <w:b/>
        </w:rPr>
        <w:t xml:space="preserve">Pub date: </w:t>
      </w:r>
      <w:r>
        <w:t>2026-02-25 06:33:39+00:00</w:t>
      </w:r>
      <w:r>
        <w:t xml:space="preserve">    </w:t>
      </w:r>
      <w:r>
        <w:rPr>
          <w:b/>
        </w:rPr>
        <w:t xml:space="preserve">DOI: </w:t>
      </w:r>
      <w:hyperlink r:id="rId629">
        <w:r>
          <w:rPr>
            <w:color w:val="1155CC"/>
            <w:u w:val="single"/>
          </w:rPr>
          <w:t>10.1002/adma.72467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[431] </w:t>
      </w:r>
      <w:hyperlink r:id="rId630">
        <w:r>
          <w:rPr>
            <w:color w:val="1155CC"/>
            <w:u w:val="single"/>
          </w:rPr>
          <w:t>对其他人的裁断会改变导致责任规避的元认知</w:t>
        </w:r>
      </w:hyperlink>
    </w:p>
    <w:p>
      <w:pPr>
        <w:spacing w:before="0" w:after="80"/>
      </w:pPr>
      <w:r>
        <w:rPr>
          <w:i/>
          <w:sz w:val="20"/>
        </w:rPr>
        <w:t>EN: Deciding for others alters metacognition leading to responsibility aversion</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31">
        <w:r>
          <w:rPr>
            <w:color w:val="1155CC"/>
            <w:u w:val="single"/>
          </w:rPr>
          <w:t>10.1126/sciadv.ady0441</w:t>
        </w:r>
      </w:hyperlink>
    </w:p>
    <w:p>
      <w:pPr>
        <w:spacing w:before="0" w:after="120"/>
      </w:pPr>
      <w:r>
        <w:rPr>
          <w:b/>
        </w:rPr>
        <w:t xml:space="preserve">Notes: </w:t>
      </w:r>
      <w:r>
        <w:t>abstract_source=crossref</w:t>
      </w:r>
    </w:p>
    <w:p>
      <w:pPr>
        <w:spacing w:before="0" w:after="80" w:lineRule="auto" w:line="276"/>
      </w:pPr>
      <w:r>
        <w:rPr>
          <w:b/>
        </w:rPr>
        <w:t xml:space="preserve">摘要（ZH）: </w:t>
      </w:r>
      <w:r>
        <w:t>人们往往面临各种选择,其结果除了自身之外还会影响其他个人。 代表他人作出决定的责任会改变选择行为,增加涉及风险和模糊不清的决策授权率。然而,对于社会责任对决策的影响是否主要或直接针对风险、损失和模糊态度,相对于认知的更一般的方面,尚不清楚。我们报告了一系列关于客观规模判断的实验,这些实验表明,责任对认知和行为的影响超越了风险或模糊不清的范围,并在元认知层面采取行动。具体地说,对他人的责任会改变元认知偏见,导致决策信心的下降而无影响。</w:t>
      </w:r>
    </w:p>
    <w:p>
      <w:pPr>
        <w:spacing w:before="0" w:after="200" w:lineRule="auto" w:line="276"/>
      </w:pPr>
      <w:r>
        <w:rPr>
          <w:b/>
        </w:rPr>
        <w:t xml:space="preserve">Abstract (EN): </w:t>
      </w:r>
      <w:r>
        <w:t>People are often faced with choices whose outcomes will affect other individuals in addition to themselves. Being responsible for deciding on behalf of others alters choice behavior and increases delegation rates in decisions involving risk and ambiguity. However, it is unknown whether the influence of social responsibility on decision-making acts primarily or directly on risk, loss, and ambiguity attitudes versus more general aspects of cognition. We report a series of experiments on objective magnitude judgments that demonstrate that the influences of responsibility on cognition and behavior extend beyond risk or ambiguity and act at the metacognitive level. Specifically, responsibility for others changes metacognitive biases, leading to a decrease in decision confidence without affecting choice accuracy. Last, we propose and empirically test a normative computational framework based on decision confidence that can explain decisions to assume or delegate responsibility for others without needing to assume changes in risk preferences.</w:t>
      </w:r>
    </w:p>
    <w:p>
      <w:pPr>
        <w:spacing w:before="120" w:after="120"/>
      </w:pPr>
      <w:r>
        <w:rPr>
          <w:sz w:val="18"/>
        </w:rPr>
        <w:t>——————————————————————————————————————————————————————————————————————</w:t>
      </w:r>
    </w:p>
    <w:p>
      <w:pPr>
        <w:spacing w:before="160" w:after="40" w:line="240" w:lineRule="auto"/>
      </w:pPr>
      <w:r>
        <w:rPr>
          <w:b/>
        </w:rPr>
        <w:t xml:space="preserve">[432] </w:t>
      </w:r>
      <w:hyperlink r:id="rId632">
        <w:r>
          <w:rPr>
            <w:color w:val="1155CC"/>
            <w:u w:val="single"/>
          </w:rPr>
          <w:t>亚2-nm 质谱准-2D纳米气道中分子迁移的随机拉曼探测</w:t>
        </w:r>
      </w:hyperlink>
    </w:p>
    <w:p>
      <w:pPr>
        <w:spacing w:before="0" w:after="80"/>
      </w:pPr>
      <w:r>
        <w:rPr>
          <w:i/>
          <w:sz w:val="20"/>
        </w:rPr>
        <w:t>EN: Spatiotemporal Raman probing of molecular transport in sub–2-nm plasmonic quasi-2D nanochannels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33">
        <w:r>
          <w:rPr>
            <w:color w:val="1155CC"/>
            <w:u w:val="single"/>
          </w:rPr>
          <w:t>10.1126/sciadv.aec3641</w:t>
        </w:r>
      </w:hyperlink>
    </w:p>
    <w:p>
      <w:pPr>
        <w:spacing w:before="0" w:after="120"/>
      </w:pPr>
      <w:r>
        <w:rPr>
          <w:b/>
        </w:rPr>
        <w:t xml:space="preserve">Notes: </w:t>
      </w:r>
      <w:r>
        <w:t>abstract_source=crossref</w:t>
      </w:r>
    </w:p>
    <w:p>
      <w:pPr>
        <w:spacing w:before="0" w:after="80" w:lineRule="auto" w:line="276"/>
      </w:pPr>
      <w:r>
        <w:rPr>
          <w:b/>
        </w:rPr>
        <w:t xml:space="preserve">摘要（ZH）: </w:t>
      </w:r>
      <w:r>
        <w:t>在具有高度时空分辨率的纳米封闭管道中获取分子动态是纳米科学中的一个关键挑战,对于推进催化、能源转换和分子感测至关重要。 底部超直通纳米网格结构,如灭蚁纳米粒子(NPoM)结构,由于其极端光度限制,对于超敏感探测来说是理想的,但是它们所认知的密封几何对无障碍运输通道的存在产生了怀疑。 与此相反,我们证明无处不在的NPOM型NPOM型纳米网球可以形成一个自然的近二维纳米通道,支持超长尺度(5微米)的分子交流和渗透,且具有极端的方位比率( &amp; gt;10 3 )。</w:t>
      </w:r>
    </w:p>
    <w:p>
      <w:pPr>
        <w:spacing w:before="0" w:after="200" w:lineRule="auto" w:line="276"/>
      </w:pPr>
      <w:r>
        <w:rPr>
          <w:b/>
        </w:rPr>
        <w:t xml:space="preserve">Abstract (EN): </w:t>
      </w:r>
      <w:r>
        <w:t>Capturing molecular dynamics in nanoconfined channels with high spatiotemporal resolution is a key challenge in nanoscience, crucial for advancing catalysis, energy conversion, and molecular sensing. Bottom-up ultrathin plasmonic nanogaps, such as nanoparticle-on-mirror (NPoM) structures, are ideal for ultrasensitive probing due to their extreme light confinement, but their perceived sealed geometry has cast doubt on the existence of accessible transport pathways. Here, counterintuitively, we demonstrate that ubiquitous ligand-capped NPoM-type nanogaps can form a natural quasi–two-dimensional nanochannel, supporting molecular exchange and infiltration over unprecedented length scales (≳5 micrometers) with an extreme aspect ratio (&amp;gt;10</w:t>
      </w:r>
      <w:r>
        <w:rPr>
          <w:vertAlign w:val="subscript"/>
        </w:rPr>
        <w:t>3</w:t>
      </w:r>
      <w:r>
        <w:t>). Using wavelength-multiplexed Raman spectroscopy, we resolve the underlying centripetal infiltration pathway with a spatial resolving power of ~20 nanometers. This redefines the NPoM architecture as a sensitive and hotspot-accessible platform, enabling in situ, real-time, reusable monitoring of analyte with ~10</w:t>
      </w:r>
      <w:r>
        <w:t xml:space="preserve"> </w:t>
      </w:r>
      <w:r>
        <w:t>−11</w:t>
      </w:r>
      <w:r>
        <w:t xml:space="preserve"> </w:t>
      </w:r>
      <w:r>
        <w:t>molar. This work establishes a versatile platform for advancing super-resolved in situ molecular sensing, nanoscale physicochemical studies, and on-chip nanophotofluidics.</w:t>
      </w:r>
    </w:p>
    <w:p>
      <w:pPr>
        <w:spacing w:before="120" w:after="120"/>
      </w:pPr>
      <w:r>
        <w:rPr>
          <w:sz w:val="18"/>
        </w:rPr>
        <w:t>——————————————————————————————————————————————————————————————————————</w:t>
      </w:r>
    </w:p>
    <w:p>
      <w:pPr>
        <w:spacing w:before="160" w:after="40" w:line="240" w:lineRule="auto"/>
      </w:pPr>
      <w:r>
        <w:rPr>
          <w:b/>
        </w:rPr>
        <w:t xml:space="preserve">[433] </w:t>
      </w:r>
      <w:hyperlink r:id="rId634">
        <w:r>
          <w:rPr>
            <w:color w:val="1155CC"/>
            <w:u w:val="single"/>
          </w:rPr>
          <w:t>确定NLRX1是人类线粒体渗透性过渡的基本动力动力</w:t>
        </w:r>
      </w:hyperlink>
    </w:p>
    <w:p>
      <w:pPr>
        <w:spacing w:before="0" w:after="80"/>
      </w:pPr>
      <w:r>
        <w:rPr>
          <w:i/>
          <w:sz w:val="20"/>
        </w:rPr>
        <w:t>EN: Phenotypic CRISPR screens identify NLRX1 as an essential activator of the human mitochondrial permeability transition</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635">
        <w:r>
          <w:rPr>
            <w:color w:val="1155CC"/>
            <w:u w:val="single"/>
          </w:rPr>
          <w:t>10.1073/pnas.2535298123</w:t>
        </w:r>
      </w:hyperlink>
    </w:p>
    <w:p>
      <w:pPr>
        <w:spacing w:before="0" w:after="120"/>
      </w:pPr>
      <w:r>
        <w:rPr>
          <w:b/>
        </w:rPr>
        <w:t xml:space="preserve">Notes: </w:t>
      </w:r>
      <w:r>
        <w:t>abstract_source=crossref</w:t>
      </w:r>
    </w:p>
    <w:p>
      <w:pPr>
        <w:spacing w:before="0" w:after="80" w:lineRule="auto" w:line="276"/>
      </w:pPr>
      <w:r>
        <w:rPr>
          <w:b/>
        </w:rPr>
        <w:t xml:space="preserve">摘要（ZH）: </w:t>
      </w:r>
      <w:r>
        <w:t>为明确确定基本蛋白,我们设计了两部关于线粒体过载的乳腺测试,并将其应用到以FAS为基础的人体细胞CRISPR筛查中,最终对19,113个基因进行了评估。第一部屏幕研究了对钙过载反应的线粒体介膜(MMP)潜在崩溃的可能性。顶级基因是单叶综合体、MCU和EMRE的基本蛋白质,反映了由线粒体钙进入而不是MPT导致的钙诱导的MMP崩溃。第二部屏幕显示,由微粒引起的MMP崩溃是来自线粒体钙进入而不是MPT的结果。第二部屏幕显示,顶级基因是单叶单叶综合体、MCU和EMRE的基本蛋白质。</w:t>
      </w:r>
    </w:p>
    <w:p>
      <w:pPr>
        <w:spacing w:before="0" w:after="200" w:lineRule="auto" w:line="276"/>
      </w:pPr>
      <w:r>
        <w:rPr>
          <w:b/>
        </w:rPr>
        <w:t xml:space="preserve">Abstract (EN): </w:t>
      </w:r>
      <w:r>
        <w:t>The mitochondrial permeability transition (mPT) is an evolutionarily conserved destructive process that permeabilizes the inner mitochondrial membrane in response to calcium overload. The molecular mechanism underlying the mPT is not established. To unambiguously identify essential proteins, we designed two phenotypic assays for mitochondrial calcium overload and applied them to FACS-based CRISPR screening in human cells, ultimately evaluating 19,113 genes. The first screen studied mitochondrial membrane potential (MMP) collapse in response to calcium overload. Top-ranked genes were the essential proteins of the mitochondrial calcium uniporter complex, MCU and EMRE, reflecting that the calcium-induced MMP collapse results from mitochondrial calcium entry and not the mPT. The second screen measured the permeability of the inner mitochondrial membrane. Here, the fluorescent interaction of a membrane impermeant ~600 Da dye and a mitochondrial-targeted HaloTag protein was studied under mPT activating conditions; calcium overload and the thiol-reactive molecule phenylarsine oxide. With secondary validation, we identified four protein-encoding genes that delayed or prevented the mPT under knockout: NF2, REST, BPTF, and NRLX1. Knockout of the nonmitochondrial proteins BPTF, NF2, or REST increased mitochondrial calcium retention capacity (CRC). However, calcium release or sensitivity to cyclosporin A (CsA) persisted, indicative of mPT sensitizers. Only knockout of the mitochondrial matrix protein, NLRX1, increased CRC, abolished calcium release, and was CsA-insensitive. This top-ranked hit of the mitochondrial permeability screen meets the definition of an essential mPT activator. Integral membrane proteins, including all previously proposed mPT candidates, were not essential activators.</w:t>
      </w:r>
    </w:p>
    <w:p>
      <w:pPr>
        <w:spacing w:before="120" w:after="120"/>
      </w:pPr>
      <w:r>
        <w:rPr>
          <w:sz w:val="18"/>
        </w:rPr>
        <w:t>——————————————————————————————————————————————————————————————————————</w:t>
      </w:r>
    </w:p>
    <w:p>
      <w:pPr>
        <w:spacing w:before="160" w:after="40" w:line="240" w:lineRule="auto"/>
      </w:pPr>
      <w:r>
        <w:rPr>
          <w:b/>
        </w:rPr>
        <w:t xml:space="preserve">[434] </w:t>
      </w:r>
      <w:hyperlink r:id="rId636">
        <w:r>
          <w:rPr>
            <w:color w:val="1155CC"/>
            <w:u w:val="single"/>
          </w:rPr>
          <w:t>为应对战地变暖而进行陆陆生生态系统氮循环:全球模式和未来趋势</w:t>
        </w:r>
      </w:hyperlink>
    </w:p>
    <w:p>
      <w:pPr>
        <w:spacing w:before="0" w:after="80"/>
      </w:pPr>
      <w:r>
        <w:rPr>
          <w:i/>
          <w:sz w:val="20"/>
        </w:rPr>
        <w:t>EN: Terrestrial ecosystem nitrogen cycling in response to field warming: Global patterns and future trends</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637">
        <w:r>
          <w:rPr>
            <w:color w:val="1155CC"/>
            <w:u w:val="single"/>
          </w:rPr>
          <w:t>10.1073/pnas.2532868123</w:t>
        </w:r>
      </w:hyperlink>
    </w:p>
    <w:p>
      <w:pPr>
        <w:spacing w:before="0" w:after="120"/>
      </w:pPr>
      <w:r>
        <w:rPr>
          <w:b/>
        </w:rPr>
        <w:t xml:space="preserve">Notes: </w:t>
      </w:r>
      <w:r>
        <w:t>abstract_source=crossref</w:t>
      </w:r>
    </w:p>
    <w:p>
      <w:pPr>
        <w:spacing w:before="0" w:after="80" w:lineRule="auto" w:line="276"/>
      </w:pPr>
      <w:r>
        <w:rPr>
          <w:b/>
        </w:rPr>
        <w:t xml:space="preserve">摘要（ZH）: </w:t>
      </w:r>
      <w:r>
        <w:t>氮环绕调节了陆地生态系统的生产力和碳固存,然而,它对气候变暖的反应仍然不确定。在这里,我们汇编了迄今为止最全面的数据集,结合了世界各地413个实地变暖实验的7,941次观测,这些实验包括随机森林回归和社区土地模型(CLM)模拟。 实地变暖极大地加速了氮循环,增加了N2O的排放量(+24.7%)、矿化(+25.8%)、硝化(+51.7%)和脱硝化(+41.1%)。 土壤无机氮也有所增加,而植物氮基本保持不变。 15N的高度自然丰度表明,变暖缓解了氮的限制,促进了更多的氮化。</w:t>
      </w:r>
    </w:p>
    <w:p>
      <w:pPr>
        <w:spacing w:before="0" w:after="200" w:lineRule="auto" w:line="276"/>
      </w:pPr>
      <w:r>
        <w:rPr>
          <w:b/>
        </w:rPr>
        <w:t xml:space="preserve">Abstract (EN): </w:t>
      </w:r>
      <w:r>
        <w:t>Nitrogen cycling regulates terrestrial ecosystem productivity and carbon sequestration, yet its response to climate warming remains uncertain. Here, we compiled the most comprehensive dataset to date, integrating 7,941 observations from 413 field warming experiments worldwide with random forest regression and Community Land Model (CLM) simulations. Field warming significantly accelerated nitrogen cycling, increasing N</w:t>
      </w:r>
      <w:r>
        <w:rPr>
          <w:vertAlign w:val="subscript"/>
        </w:rPr>
        <w:t>2</w:t>
      </w:r>
      <w:r>
        <w:t>O emissions (+24.7%), mineralization (+25.8%), nitrification (+51.7%), and denitrification (+41.1%). Soil inorganic nitrogen also increased, while plant nitrogen remained largely unchanged. Elevated natural abundance of</w:t>
      </w:r>
      <w:r>
        <w:rPr>
          <w:vertAlign w:val="subscript"/>
        </w:rPr>
        <w:t>15</w:t>
      </w:r>
      <w:r>
        <w:t>N indicated that warming alleviates nitrogen limitation and promotes more open nitrogen cycles. Soil moisture, ecosystem type, and warming magnitude were key drivers. N</w:t>
      </w:r>
      <w:r>
        <w:rPr>
          <w:vertAlign w:val="subscript"/>
        </w:rPr>
        <w:t>2</w:t>
      </w:r>
      <w:r>
        <w:t>O emission and nitrification further intensified with increased warming magnitude in random forest analyses. In contrast, CLM5-BGC simulated weak responses in N</w:t>
      </w:r>
      <w:r>
        <w:rPr>
          <w:vertAlign w:val="subscript"/>
        </w:rPr>
        <w:t>2</w:t>
      </w:r>
      <w:r>
        <w:t>O emissions and nitrification and negative changes in nitrogen mineralization, substantially diverging from field observations. These discrepancies highlight the omission of microbial processes and the oversimplification of large-scale ecosystem feedbacks, respectively. Uniquely, this study provides a direct comparison among empirical data, random forest regression, and CLM simulations, revealing discrepancies and their potential causes. Collectively, our findings demonstrate that terrestrial nitrogen cycling is more responsive to climate warming than previously recognized and underscore the importance of integrating multiple analytical approaches to synthesize cross-scale ecological data.</w:t>
      </w:r>
    </w:p>
    <w:p>
      <w:pPr>
        <w:spacing w:before="120" w:after="120"/>
      </w:pPr>
      <w:r>
        <w:rPr>
          <w:sz w:val="18"/>
        </w:rPr>
        <w:t>——————————————————————————————————————————————————————————————————————</w:t>
      </w:r>
    </w:p>
    <w:p>
      <w:pPr>
        <w:spacing w:before="160" w:after="40" w:line="240" w:lineRule="auto"/>
      </w:pPr>
      <w:r>
        <w:rPr>
          <w:b/>
        </w:rPr>
        <w:t xml:space="preserve">[435] </w:t>
      </w:r>
      <w:hyperlink r:id="rId638">
        <w:r>
          <w:rPr>
            <w:color w:val="1155CC"/>
            <w:u w:val="single"/>
          </w:rPr>
          <w:t>南极沿海海洋热量预算以陆地冰融化的热量损失为主导</w:t>
        </w:r>
      </w:hyperlink>
    </w:p>
    <w:p>
      <w:pPr>
        <w:spacing w:before="0" w:after="80"/>
      </w:pPr>
      <w:r>
        <w:rPr>
          <w:i/>
          <w:sz w:val="20"/>
        </w:rPr>
        <w:t>EN: The Antarctic coastal ocean heat budget is dominated by heat loss to land ice melt</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39">
        <w:r>
          <w:rPr>
            <w:color w:val="1155CC"/>
            <w:u w:val="single"/>
          </w:rPr>
          <w:t>10.1126/sciadv.aec7443</w:t>
        </w:r>
      </w:hyperlink>
    </w:p>
    <w:p>
      <w:pPr>
        <w:spacing w:before="0" w:after="120"/>
      </w:pPr>
      <w:r>
        <w:rPr>
          <w:b/>
        </w:rPr>
        <w:t xml:space="preserve">Notes: </w:t>
      </w:r>
      <w:r>
        <w:t>abstract_source=crossref</w:t>
      </w:r>
    </w:p>
    <w:p>
      <w:pPr>
        <w:spacing w:before="0" w:after="80" w:lineRule="auto" w:line="276"/>
      </w:pPr>
      <w:r>
        <w:rPr>
          <w:b/>
        </w:rPr>
        <w:t xml:space="preserve">摘要（ZH）: </w:t>
      </w:r>
      <w:r>
        <w:t>南极大陆架隔断处的暖北极深水(CDW)的运输是南极洲边缘海洋的主要热源。 CCDW提供的净热最终消失在:(一) 海洋表面,或者大气或海冰,或者(二) 冰层,融化了冰架和冰山的基底,冰盖和冰山。 海洋模型往往忽视了融化冰架和冰山所需的热交换。 这里的模拟表明,这忽略了南极大陆架最大的海洋热汇,占大陆架间断口的热量的60%。 在模拟中抑制这种热汇通过薄化的海冰覆盖和通过海水减少大陆架的热量,导致大气热量增加。</w:t>
      </w:r>
    </w:p>
    <w:p>
      <w:pPr>
        <w:spacing w:before="0" w:after="200" w:lineRule="auto" w:line="276"/>
      </w:pPr>
      <w:r>
        <w:rPr>
          <w:b/>
        </w:rPr>
        <w:t xml:space="preserve">Abstract (EN): </w:t>
      </w:r>
      <w:r>
        <w:t>Transport of warm Circumpolar Deep Water (CDW) across the Antarctic continental shelf break is the primary source of heat to Antarctica’s marginal seas. Net heat supplied by CDW is ultimately lost to: (i) the ocean surface, either to the atmosphere or sea ice, or (ii) the ice sheet, by melting the base of ice shelves and calved icebergs. Ocean models often neglect the heat exchange needed to melt ice shelves and icebergs. Simulations presented here indicate that this omits the largest ocean heat sink on the Antarctic continental shelf, representing 60% of heat supplied across the shelf break. Suppressing this heat sink in simulations drives enhanced heat loss to the atmosphere through thinned sea ice cover as well as nonlocal reductions in heat supply to the continental shelf via sea ice–mediated stratification changes. These results highlight a source of climate model bias and clarify the dynamics of heat transport to Antarctic ice shelves.</w:t>
      </w:r>
    </w:p>
    <w:p>
      <w:pPr>
        <w:spacing w:before="120" w:after="120"/>
      </w:pPr>
      <w:r>
        <w:rPr>
          <w:sz w:val="18"/>
        </w:rPr>
        <w:t>——————————————————————————————————————————————————————————————————————</w:t>
      </w:r>
    </w:p>
    <w:p>
      <w:pPr>
        <w:spacing w:before="160" w:after="40" w:line="240" w:lineRule="auto"/>
      </w:pPr>
      <w:r>
        <w:rPr>
          <w:b/>
        </w:rPr>
        <w:t xml:space="preserve">[436] </w:t>
      </w:r>
      <w:hyperlink r:id="rId640">
        <w:r>
          <w:rPr>
            <w:color w:val="1155CC"/>
            <w:u w:val="single"/>
          </w:rPr>
          <w:t>当替代品变得至关重要时: 甲状腺甘油醇-3-磷酸酯脱氢酶的作用</w:t>
        </w:r>
      </w:hyperlink>
    </w:p>
    <w:p>
      <w:pPr>
        <w:spacing w:before="0" w:after="80"/>
      </w:pPr>
      <w:r>
        <w:rPr>
          <w:i/>
          <w:sz w:val="20"/>
        </w:rPr>
        <w:t>EN: When alternative becomes essential: The role of mitochondrial glycerol-3-phosphate dehydrogenase</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641">
        <w:r>
          <w:rPr>
            <w:color w:val="1155CC"/>
            <w:u w:val="single"/>
          </w:rPr>
          <w:t>10.1073/pnas.2535701123</w:t>
        </w:r>
      </w:hyperlink>
    </w:p>
    <w:p>
      <w:pPr>
        <w:spacing w:before="0" w:after="120"/>
      </w:pPr>
      <w:r>
        <w:rPr>
          <w:b/>
        </w:rPr>
        <w:t xml:space="preserve">Notes: </w:t>
      </w:r>
      <w:r>
        <w:t>abstract_source=crossref</w:t>
      </w:r>
    </w:p>
    <w:p>
      <w:pPr>
        <w:spacing w:before="0" w:after="80" w:lineRule="auto" w:line="276"/>
      </w:pPr>
      <w:r>
        <w:rPr>
          <w:b/>
        </w:rPr>
        <w:t xml:space="preserve">摘要（ZH）: </w:t>
      </w:r>
      <w:r>
        <w:t>综合体I被称为线粒体电子运输系统(ETS)内电子的主要切入点,然而,甘油醇-3-磷酸盐(G3P)航天飞机(由细胞片片和线粒体G3P脱氢气酶(分别为cG3PDH和MtG3PDH)组成),从细胞质溶液向线粒体体体基的转移等量的减少,MtG3PDH通过FADH 2氧化,将电子输入ETS,但理论上能量转换效率低于复杂的I。 因此,人们认为这是一种“替代”途径,仅在复杂我失败时支持线粒子体呼吸。 mtG3PDH在反应性氧种(ROS)生产中也发挥着重要作用。调查这种研究不足的蛋白在米托科体生物遗传学和复杂I中所起的作用。</w:t>
      </w:r>
    </w:p>
    <w:p>
      <w:pPr>
        <w:spacing w:before="0" w:after="200" w:lineRule="auto" w:line="276"/>
      </w:pPr>
      <w:r>
        <w:rPr>
          <w:b/>
        </w:rPr>
        <w:t xml:space="preserve">Abstract (EN): </w:t>
      </w:r>
      <w:r>
        <w:t>Complex I is known as the primary entry point for electrons within the mitochondrial electron transport system (ETS). However, the glycerol-3-phosphate (G3P) shuttle, composed of cytosolic and mitochondrial G3P dehydrogenase (cG3PDH and mtG3PDH, respectively), transfer reducing equivalents from the cytosol to the mitochondrial matrix. The mtG3PDH feeds electrons into the ETS via FADH</w:t>
      </w:r>
      <w:r>
        <w:rPr>
          <w:vertAlign w:val="subscript"/>
        </w:rPr>
        <w:t>2</w:t>
      </w:r>
      <w:r>
        <w:t>oxidation, but with theoretically lower energy conversion efficiency than complex I. It is thus believed to be an “alternative” pathway, only supporting mitochondrial respiration when complex I fails. mtG3PDH also plays an important role in reactive oxygen species (ROS) production. To investigate the role of this understudied protein in mitochondrial bioenergetics and redox homeostasis, we generated</w:t>
      </w:r>
      <w:r>
        <w:t xml:space="preserve"> </w:t>
      </w:r>
      <w:r>
        <w:t>Drosophila melanogaster</w:t>
      </w:r>
      <w:r>
        <w:t xml:space="preserve"> </w:t>
      </w:r>
      <w:r>
        <w:t>mutant lines for mtG3PDH (GPO1) using a CRISPR/Cas9-based approach and determined several physiological and metabolic parameters. A drastically higher mortality rate was observed among the GPO1 flies, as well as a lethargic behavior characterized by an inability to climb. These results are in accordance with an impaired mitochondrial efficiency (ATP/O) mainly due to decreased ATP production (~60% decrease) and O</w:t>
      </w:r>
      <w:r>
        <w:rPr>
          <w:vertAlign w:val="subscript"/>
        </w:rPr>
        <w:t>2</w:t>
      </w:r>
      <w:r>
        <w:t>consumption (~33% decrease), rather than elevated ROS. In fact, GPO1 flies produced ~70% less ROS than controls, likely due to the reduced direct and reverse electron transfer-related ROS production from mtG3PDH. These results support an essential role of mtG3PDH in mitochondrial bioenergetic, challenging its alternative aspect, and confirming its importance in mitochondrial redox homeostasis.</w:t>
      </w:r>
    </w:p>
    <w:p>
      <w:pPr>
        <w:spacing w:before="120" w:after="120"/>
      </w:pPr>
      <w:r>
        <w:rPr>
          <w:sz w:val="18"/>
        </w:rPr>
        <w:t>——————————————————————————————————————————————————————————————————————</w:t>
      </w:r>
    </w:p>
    <w:p>
      <w:pPr>
        <w:spacing w:before="160" w:after="40" w:line="240" w:lineRule="auto"/>
      </w:pPr>
      <w:r>
        <w:rPr>
          <w:b/>
        </w:rPr>
        <w:t xml:space="preserve">[437] </w:t>
      </w:r>
      <w:hyperlink r:id="rId642">
        <w:r>
          <w:rPr>
            <w:color w:val="1155CC"/>
            <w:u w:val="single"/>
          </w:rPr>
          <w:t>在清醒的神经外科手术中进行有电刺激的因果模拟语言制图</w:t>
        </w:r>
      </w:hyperlink>
    </w:p>
    <w:p>
      <w:pPr>
        <w:spacing w:before="0" w:after="80"/>
      </w:pPr>
      <w:r>
        <w:rPr>
          <w:i/>
          <w:sz w:val="20"/>
        </w:rPr>
        <w:t>EN: Causal parametric language mapping with electrical stimulation during awake neurosurgery</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43">
        <w:r>
          <w:rPr>
            <w:color w:val="1155CC"/>
            <w:u w:val="single"/>
          </w:rPr>
          <w:t>10.1126/sciadv.adw1599</w:t>
        </w:r>
      </w:hyperlink>
    </w:p>
    <w:p>
      <w:pPr>
        <w:spacing w:before="0" w:after="120"/>
      </w:pPr>
      <w:r>
        <w:rPr>
          <w:b/>
        </w:rPr>
        <w:t xml:space="preserve">Notes: </w:t>
      </w:r>
      <w:r>
        <w:t>abstract_source=crossref</w:t>
      </w:r>
    </w:p>
    <w:p>
      <w:pPr>
        <w:spacing w:before="0" w:after="80" w:lineRule="auto" w:line="276"/>
      </w:pPr>
      <w:r>
        <w:rPr>
          <w:b/>
        </w:rPr>
        <w:t xml:space="preserve">摘要（ZH）: </w:t>
      </w:r>
      <w:r>
        <w:t>在清醒的神经外科手术期间,广泛使用直接电刺激功能制图法(DES)来生成针对特定个人的神经剖析组织的因果关系证据。根据长期的临床和科学范例,如果DES应用于特定脑区域不会造成性能错误,则该网站被认为与任务无关。在这里,我们表明,正确试验的误差率和性能速度均由DES开始和停止与刺激性脑区域和网络的任务驱动处理时间表相对的参数绘图法进行对等调节。我们提出了一个框架,即因果参数绘图法,它超越了将DES对行为的影响纳入“积极”和“消极”绘图试验的典型方法。</w:t>
      </w:r>
    </w:p>
    <w:p>
      <w:pPr>
        <w:spacing w:before="0" w:after="200" w:lineRule="auto" w:line="276"/>
      </w:pPr>
      <w:r>
        <w:rPr>
          <w:b/>
        </w:rPr>
        <w:t xml:space="preserve">Abstract (EN): </w:t>
      </w:r>
      <w:r>
        <w:t>Functional mapping with direct electrical stimulation (DES) is widely used during awake neurosurgery to generate causal evidence about person-specific neuroanatomical organization. According to a long-standing clinical and scientific paradigm, if the application of DES to a given brain region does not result in performance errors, that site is considered to be uninvolved in the task. Here, we show that both error rates and performance speed on correct trials are parametrically modulated by when DES starts and stops relative to the timeline of task-driven processing in stimulated brain areas and networks. We propose a framework, causal parametric mapping, which moves beyond the classic approach of binarizing the effects of DES on behavior into “positive” and “negative” mapping trials. Causal parametric mapping offers a method to functionally dissect separable processing stages in the human brain, in real time, with reversible causal evidence during invasive neurosurgical procedures.</w:t>
      </w:r>
    </w:p>
    <w:p>
      <w:pPr>
        <w:spacing w:before="120" w:after="120"/>
      </w:pPr>
      <w:r>
        <w:rPr>
          <w:sz w:val="18"/>
        </w:rPr>
        <w:t>——————————————————————————————————————————————————————————————————————</w:t>
      </w:r>
    </w:p>
    <w:p>
      <w:pPr>
        <w:spacing w:before="160" w:after="40" w:line="240" w:lineRule="auto"/>
      </w:pPr>
      <w:r>
        <w:rPr>
          <w:b/>
        </w:rPr>
        <w:t xml:space="preserve">[438] </w:t>
      </w:r>
      <w:hyperlink r:id="rId644">
        <w:r>
          <w:rPr>
            <w:color w:val="1155CC"/>
            <w:u w:val="single"/>
          </w:rPr>
          <w:t>以冷冻-EM从自然来源绝对手动确定液晶纤维brils</w:t>
        </w:r>
      </w:hyperlink>
    </w:p>
    <w:p>
      <w:pPr>
        <w:spacing w:before="0" w:after="80"/>
      </w:pPr>
      <w:r>
        <w:rPr>
          <w:i/>
          <w:sz w:val="20"/>
        </w:rPr>
        <w:t>EN: Absolute hand determination of glycofibrils from natural sources in cryo-EM</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645">
        <w:r>
          <w:rPr>
            <w:color w:val="1155CC"/>
            <w:u w:val="single"/>
          </w:rPr>
          <w:t>10.1073/pnas.2531477123</w:t>
        </w:r>
      </w:hyperlink>
    </w:p>
    <w:p>
      <w:pPr>
        <w:spacing w:before="0" w:after="120"/>
      </w:pPr>
      <w:r>
        <w:rPr>
          <w:b/>
        </w:rPr>
        <w:t xml:space="preserve">Notes: </w:t>
      </w:r>
      <w:r>
        <w:t>abstract_source=crossref</w:t>
      </w:r>
    </w:p>
    <w:p>
      <w:pPr>
        <w:spacing w:before="0" w:after="80" w:lineRule="auto" w:line="276"/>
      </w:pPr>
      <w:r>
        <w:rPr>
          <w:b/>
        </w:rPr>
        <w:t xml:space="preserve">摘要（ZH）: </w:t>
      </w:r>
      <w:r>
        <w:t>胶囊不仅是构成生命的四个基本宏观分子类别之一,也是地球上这四个类别中最丰富的。然而,与蛋白质和核酸相比,我们对甘蔗结构和功能机制的理解仍然有限。此外,获得高分辨率的三维甘蔗结构通常具有挑战性。最近的研究表明,CryoSeek战略具有潜力,能够对甘蔗进行高通量结构确定,从而为其结构性调查提供新的途径。 与此同时,与蛋白质不同,接近地核分辨率的甘油富集图并不必然有助于确定绝对手,而绝对手是建立原子模型的先决条件。</w:t>
      </w:r>
    </w:p>
    <w:p>
      <w:pPr>
        <w:spacing w:before="0" w:after="200" w:lineRule="auto" w:line="276"/>
      </w:pPr>
      <w:r>
        <w:rPr>
          <w:b/>
        </w:rPr>
        <w:t xml:space="preserve">Abstract (EN): </w:t>
      </w:r>
      <w:r>
        <w:t>Glycans are not only one of the four fundamental macromolecular classes that constitute life, but also the most abundant among these four across the Earth. However, compared with proteins and nucleic acids, our understanding of the structures and functional mechanisms of glycans remains limited. Moreover, it is generally challenging to obtain high-resolution three-dimensional structures of glycans. Recent studies have demonstrated the potential of the CryoSeek strategy in enabling high-throughput structural determination of glycans, thereby presenting novel avenues for their structural investigation. Meanwhile, unlike proteins, near atomic resolution density maps of glycofibrils do not inherently facilitate the determination of absolute hand, which is a prerequisite for building atomic models of glycofibrils. Existing absolute hand determination methods have severe limitations in the case of glycofibrils from natural sources. In this study, we introduce Ahaha, a straightforward and efficient method for determining such absolute hand in cryogenic electron microscopy. With their absolute hand measured by Ahaha, we built atomic models of four glycofibrils derived from a natural water sample, facilitating the study of glycans. The online service of Ahaha is available at</w:t>
      </w:r>
      <w:r>
        <w:t xml:space="preserve"> </w:t>
      </w:r>
      <w:r>
        <w:t>https://cryoseek.org/ahaha</w:t>
      </w:r>
      <w:r>
        <w:t xml:space="preserve"> </w:t>
      </w:r>
      <w:r>
        <w:t>.</w:t>
      </w:r>
    </w:p>
    <w:p>
      <w:pPr>
        <w:spacing w:before="120" w:after="120"/>
      </w:pPr>
      <w:r>
        <w:rPr>
          <w:sz w:val="18"/>
        </w:rPr>
        <w:t>——————————————————————————————————————————————————————————————————————</w:t>
      </w:r>
    </w:p>
    <w:p>
      <w:pPr>
        <w:spacing w:before="160" w:after="40" w:line="240" w:lineRule="auto"/>
      </w:pPr>
      <w:r>
        <w:rPr>
          <w:b/>
        </w:rPr>
        <w:t xml:space="preserve">[439] </w:t>
      </w:r>
      <w:hyperlink r:id="rId646">
        <w:r>
          <w:rPr>
            <w:color w:val="1155CC"/>
            <w:u w:val="single"/>
          </w:rPr>
          <w:t>蜜蜂灵活调整决策战略,以适应饲料任务中的信息内容</w:t>
        </w:r>
      </w:hyperlink>
    </w:p>
    <w:p>
      <w:pPr>
        <w:spacing w:before="0" w:after="80"/>
      </w:pPr>
      <w:r>
        <w:rPr>
          <w:i/>
          <w:sz w:val="20"/>
        </w:rPr>
        <w:t>EN: Bees flexibly adjust decision strategies to information content in a foraging task</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47">
        <w:r>
          <w:rPr>
            <w:color w:val="1155CC"/>
            <w:u w:val="single"/>
          </w:rPr>
          <w:t>10.1126/sciadv.adw9320</w:t>
        </w:r>
      </w:hyperlink>
    </w:p>
    <w:p>
      <w:pPr>
        <w:spacing w:before="0" w:after="120"/>
      </w:pPr>
      <w:r>
        <w:rPr>
          <w:b/>
        </w:rPr>
        <w:t xml:space="preserve">Notes: </w:t>
      </w:r>
      <w:r>
        <w:t>abstract_source=crossref</w:t>
      </w:r>
    </w:p>
    <w:p>
      <w:pPr>
        <w:spacing w:before="0" w:after="80" w:lineRule="auto" w:line="276"/>
      </w:pPr>
      <w:r>
        <w:rPr>
          <w:b/>
        </w:rPr>
        <w:t xml:space="preserve">摘要（ZH）: </w:t>
      </w:r>
      <w:r>
        <w:t>在做决定时,动物往往同时依赖多个提示。它们提供了补充性的信息源,可以提高决定的准确性。在这项研究中,我们用大黄蜂Bombus Terrestris 测试了昆虫在饲料任务中面对多重提示的决定和学习策略。我们展示了天然花朵中发现的视觉特性的组合:不同差异的颜色,与形状或模式相配。我们发现蜜蜂完全依赖颜色,而这些颜色很容易区分,没有同时学习模式或形状特征。在更难区分颜色的情况下,蜜蜂既学习颜色,也学习形状或模式特征。我们的结果表明,蜂群的颜色和形状或模式特征都非常相似。</w:t>
      </w:r>
    </w:p>
    <w:p>
      <w:pPr>
        <w:spacing w:before="0" w:after="200" w:lineRule="auto" w:line="276"/>
      </w:pPr>
      <w:r>
        <w:rPr>
          <w:b/>
        </w:rPr>
        <w:t xml:space="preserve">Abstract (EN): </w:t>
      </w:r>
      <w:r>
        <w:t>When making decisions, animals often rely on multiple cues simultaneously. These provide complementary sources of information, which can increase the accuracy of decisions. In this study, we tested the decision and learning strategies of insects faced with multiple cues in a foraging task, using the bumblebee</w:t>
      </w:r>
      <w:r>
        <w:t xml:space="preserve"> </w:t>
      </w:r>
      <w:r>
        <w:t>Bombus terrestris</w:t>
      </w:r>
      <w:r>
        <w:t xml:space="preserve"> </w:t>
      </w:r>
      <w:r>
        <w:t>. We presented combinations of visual-only features, as found in natural flowers: colors of varying discriminability, paired with shapes or patterns. We found that the bees relied exclusively on colors when these were easy to discriminate, and did not learn pattern or shape features simultaneously. With harder to discriminate colors, the bees learned both color and shape or pattern features. Our results demonstrate that bumblebees flexibly adjust their learning strategies when presented with visual features of varying discriminability, to balance the investment in learning time and accuracy during multicue learning and decision making. A difference in learning dynamics suggests that blocking could serve as a mechanism to implement this strategy switch.</w:t>
      </w:r>
    </w:p>
    <w:p>
      <w:pPr>
        <w:spacing w:before="120" w:after="120"/>
      </w:pPr>
      <w:r>
        <w:rPr>
          <w:sz w:val="18"/>
        </w:rPr>
        <w:t>——————————————————————————————————————————————————————————————————————</w:t>
      </w:r>
    </w:p>
    <w:p>
      <w:pPr>
        <w:spacing w:before="160" w:after="40" w:line="240" w:lineRule="auto"/>
      </w:pPr>
      <w:r>
        <w:rPr>
          <w:b/>
        </w:rPr>
        <w:t xml:space="preserve">[440] </w:t>
      </w:r>
      <w:hyperlink r:id="rId648">
        <w:r>
          <w:rPr>
            <w:color w:val="1155CC"/>
            <w:u w:val="single"/>
          </w:rPr>
          <w:t>团团数目和早期互动影响社会生活能力</w:t>
        </w:r>
      </w:hyperlink>
    </w:p>
    <w:p>
      <w:pPr>
        <w:spacing w:before="0" w:after="80"/>
      </w:pPr>
      <w:r>
        <w:rPr>
          <w:i/>
          <w:sz w:val="20"/>
        </w:rPr>
        <w:t>EN: Sibling number and early interactions shape social competence for life</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649">
        <w:r>
          <w:rPr>
            <w:color w:val="1155CC"/>
            <w:u w:val="single"/>
          </w:rPr>
          <w:t>10.1073/pnas.2527981123</w:t>
        </w:r>
      </w:hyperlink>
    </w:p>
    <w:p>
      <w:pPr>
        <w:spacing w:before="0" w:after="120"/>
      </w:pPr>
      <w:r>
        <w:rPr>
          <w:b/>
        </w:rPr>
        <w:t xml:space="preserve">Notes: </w:t>
      </w:r>
      <w:r>
        <w:t>abstract_source=crossref</w:t>
      </w:r>
    </w:p>
    <w:p>
      <w:pPr>
        <w:spacing w:before="0" w:after="80" w:lineRule="auto" w:line="276"/>
      </w:pPr>
      <w:r>
        <w:rPr>
          <w:b/>
        </w:rPr>
        <w:t xml:space="preserve">摘要（ZH）: </w:t>
      </w:r>
      <w:r>
        <w:t>发展过程中经历的社会环境在形成社会能力方面发挥着关键作用,这种社会能力是能够适当应对社会挑战的能力。它们之间的盘腹数和社会互动是许多动物早期生活的关键组成部分。虽然这些组成部分众所周知,影响人类的社会发展,但它们在非人类动物中的作用仍然不清楚。这里,我们表明兄弟姐妹人数和社会互动机会对于发展高度社会性的儿童的社会能力至关重要。长在大溴(LB)中养殖的鱼比在小溴(SB)中养殖的鱼更顺从,在早期生活中的侵略性或顺从性行为也更少。</w:t>
      </w:r>
    </w:p>
    <w:p>
      <w:pPr>
        <w:spacing w:before="0" w:after="200" w:lineRule="auto" w:line="276"/>
      </w:pPr>
      <w:r>
        <w:rPr>
          <w:b/>
        </w:rPr>
        <w:t xml:space="preserve">Abstract (EN): </w:t>
      </w:r>
      <w:r>
        <w:t>The social environment experienced during development plays a crucial role in shaping social competence—the ability to respond appropriately to social challenges. Sibling number and the social interactions between them are key components of the early lives in many animals. While these components are well known to influence social development in humans, their role in nonhuman animals remains unclear. Here, we show that both the number of siblings and opportunities for social interaction are essential for developing social competence in the highly social cichlid</w:t>
      </w:r>
      <w:r>
        <w:t xml:space="preserve"> </w:t>
      </w:r>
      <w:r>
        <w:t>Neolamprologus pulcher</w:t>
      </w:r>
      <w:r>
        <w:t xml:space="preserve"> </w:t>
      </w:r>
      <w:r>
        <w:t>. Fish reared in large broods (LB) displayed more affiliative and fewer aggressive or submissive behaviors during early life compared to those reared in small broods (SB) or in large broods with restricted opportunities for interactions (4 × 8). Later in life, LB fish were more socially competent. Thus, social competence arises not from the number of individuals or interactions alone, but from the combination of both.</w:t>
      </w:r>
    </w:p>
    <w:p>
      <w:pPr>
        <w:spacing w:before="120" w:after="120"/>
      </w:pPr>
      <w:r>
        <w:rPr>
          <w:sz w:val="18"/>
        </w:rPr>
        <w:t>——————————————————————————————————————————————————————————————————————</w:t>
      </w:r>
    </w:p>
    <w:p>
      <w:pPr>
        <w:spacing w:before="160" w:after="40" w:line="240" w:lineRule="auto"/>
      </w:pPr>
      <w:r>
        <w:rPr>
          <w:b/>
        </w:rPr>
        <w:t xml:space="preserve">[441] </w:t>
      </w:r>
      <w:hyperlink r:id="rId650">
        <w:r>
          <w:rPr>
            <w:color w:val="1155CC"/>
            <w:u w:val="single"/>
          </w:rPr>
          <w:t>嗅探用于可磨损代谢监测的皮肤二氧化碳</w:t>
        </w:r>
      </w:hyperlink>
    </w:p>
    <w:p>
      <w:pPr>
        <w:spacing w:before="0" w:after="80"/>
      </w:pPr>
      <w:r>
        <w:rPr>
          <w:i/>
          <w:sz w:val="20"/>
        </w:rPr>
        <w:t>EN: Skin CO2 sniffing for wearable metabolic monitoring</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51">
        <w:r>
          <w:rPr>
            <w:color w:val="1155CC"/>
            <w:u w:val="single"/>
          </w:rPr>
          <w:t>10.1126/sciadv.aec2376</w:t>
        </w:r>
      </w:hyperlink>
    </w:p>
    <w:p>
      <w:pPr>
        <w:spacing w:before="0" w:after="120"/>
      </w:pPr>
      <w:r>
        <w:rPr>
          <w:b/>
        </w:rPr>
        <w:t xml:space="preserve">Notes: </w:t>
      </w:r>
      <w:r>
        <w:t>abstract_source=crossref</w:t>
      </w:r>
    </w:p>
    <w:p>
      <w:pPr>
        <w:spacing w:before="0" w:after="80" w:lineRule="auto" w:line="276"/>
      </w:pPr>
      <w:r>
        <w:rPr>
          <w:b/>
        </w:rPr>
        <w:t xml:space="preserve">摘要（ZH）: </w:t>
      </w:r>
      <w:r>
        <w:t>CO2是一个关键的生理参数,用来评估低通风水平和估计代谢率。然而,目前的CO2监测依靠散状呼吸分析系统,这些系统对日常生活的持续使用不切实际。这里,我们展示了一种可磨损的皮肤皮肤气吸气系统,对皮肤排放的CO2进行量化,并通过与吸入的CO2和代谢率直接相关来确定其生理相关性。与会者研究表明,在休息和锻炼期间,皮肤和呼吸的CO2流量率之间有着密切的相互关系。</w:t>
      </w:r>
    </w:p>
    <w:p>
      <w:pPr>
        <w:spacing w:before="0" w:after="200" w:lineRule="auto" w:line="276"/>
      </w:pPr>
      <w:r>
        <w:rPr>
          <w:b/>
        </w:rPr>
        <w:t xml:space="preserve">Abstract (EN): </w:t>
      </w:r>
      <w:r>
        <w:t>CO</w:t>
      </w:r>
      <w:r>
        <w:rPr>
          <w:vertAlign w:val="subscript"/>
        </w:rPr>
        <w:t>2</w:t>
      </w:r>
      <w:r>
        <w:t>is a key physiological parameter used to assess hypoventilation and to estimate metabolic rates. However, current CO</w:t>
      </w:r>
      <w:r>
        <w:rPr>
          <w:vertAlign w:val="subscript"/>
        </w:rPr>
        <w:t>2</w:t>
      </w:r>
      <w:r>
        <w:t>monitoring relies on bulky breath-analysis systems that are impractical for continuous use in daily life. Here, we present a wearable on-skin gas-sniffing system that quantifies skin-emitted CO</w:t>
      </w:r>
      <w:r>
        <w:rPr>
          <w:vertAlign w:val="subscript"/>
        </w:rPr>
        <w:t>2</w:t>
      </w:r>
      <w:r>
        <w:t>and establishes its physiological relevance through direct correlation with exhaled CO</w:t>
      </w:r>
      <w:r>
        <w:rPr>
          <w:vertAlign w:val="subscript"/>
        </w:rPr>
        <w:t>2</w:t>
      </w:r>
      <w:r>
        <w:t>and metabolic rate. Participant studies demonstrate strong correlations between CO</w:t>
      </w:r>
      <w:r>
        <w:rPr>
          <w:vertAlign w:val="subscript"/>
        </w:rPr>
        <w:t>2</w:t>
      </w:r>
      <w:r>
        <w:t>flow rates from the skin and breath during both rest and exercise, with skin-emitted CO</w:t>
      </w:r>
      <w:r>
        <w:rPr>
          <w:vertAlign w:val="subscript"/>
        </w:rPr>
        <w:t>2</w:t>
      </w:r>
      <w:r>
        <w:t>approximately four orders of magnitude lower than exhaled CO</w:t>
      </w:r>
      <w:r>
        <w:rPr>
          <w:vertAlign w:val="subscript"/>
        </w:rPr>
        <w:t>2</w:t>
      </w:r>
      <w:r>
        <w:t>. Skin-emitted CO</w:t>
      </w:r>
      <w:r>
        <w:rPr>
          <w:vertAlign w:val="subscript"/>
        </w:rPr>
        <w:t>2</w:t>
      </w:r>
      <w:r>
        <w:t>also correlates with metabolic rate, suggesting its potential as a surrogate for breath-based indirect calorimetry. With its wearable form factor and physiological relevance, this skin gas sniffing system enables continuous, noninvasive metabolic monitoring and opens opportunities for studying skin gas exchange.</w:t>
      </w:r>
    </w:p>
    <w:p>
      <w:pPr>
        <w:spacing w:before="120" w:after="120"/>
      </w:pPr>
      <w:r>
        <w:rPr>
          <w:sz w:val="18"/>
        </w:rPr>
        <w:t>——————————————————————————————————————————————————————————————————————</w:t>
      </w:r>
    </w:p>
    <w:p>
      <w:pPr>
        <w:spacing w:before="160" w:after="40" w:line="240" w:lineRule="auto"/>
      </w:pPr>
      <w:r>
        <w:rPr>
          <w:b/>
        </w:rPr>
        <w:t xml:space="preserve">[442] </w:t>
      </w:r>
      <w:hyperlink r:id="rId652">
        <w:r>
          <w:rPr>
            <w:color w:val="1155CC"/>
            <w:u w:val="single"/>
          </w:rPr>
          <w:t>KIT 支持小肠道图夫细胞增生</w:t>
        </w:r>
      </w:hyperlink>
    </w:p>
    <w:p>
      <w:pPr>
        <w:spacing w:before="0" w:after="80"/>
      </w:pPr>
      <w:r>
        <w:rPr>
          <w:i/>
          <w:sz w:val="20"/>
        </w:rPr>
        <w:t>EN: KIT supports small intestinal tuft cell hyperplasia</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53">
        <w:r>
          <w:rPr>
            <w:color w:val="1155CC"/>
            <w:u w:val="single"/>
          </w:rPr>
          <w:t>10.1126/sciadv.ady0883</w:t>
        </w:r>
      </w:hyperlink>
    </w:p>
    <w:p>
      <w:pPr>
        <w:spacing w:before="0" w:after="120"/>
      </w:pPr>
      <w:r>
        <w:rPr>
          <w:b/>
        </w:rPr>
        <w:t xml:space="preserve">Notes: </w:t>
      </w:r>
      <w:r>
        <w:t>abstract_source=crossref</w:t>
      </w:r>
    </w:p>
    <w:p>
      <w:pPr>
        <w:spacing w:before="0" w:after="80" w:lineRule="auto" w:line="276"/>
      </w:pPr>
      <w:r>
        <w:rPr>
          <w:b/>
        </w:rPr>
        <w:t xml:space="preserve">摘要（ZH）: </w:t>
      </w:r>
      <w:r>
        <w:t>小肠道平衡了营养吸收、免疫耐受力和通过短寿命上皮细胞的动态分化进行防御等相互竞争的任务。在掌风素感染期间,Interleukin-13(IL-13) 或 IL-4 驱动了10倍的软体细胞扩张,以推进掌风素清除。在软骨细胞增生需要IL-4/13在上皮细胞细胞中发出信号的同时,几乎没有任何支持这一过程的信号。在这里,我们表明,所有组织中的软体细胞都表现了受体强力脉搏KIT和IL-4/13,对于对小肠胃(SI)软细胞进行升级调节是必要和充分的。虽然上皮细胞KIT对于家庭骨质循环是分离的,但KIT在掌风细胞感染期间从软体细胞中去除会减少软体细胞增生素和延迟掌风。</w:t>
      </w:r>
    </w:p>
    <w:p>
      <w:pPr>
        <w:spacing w:before="0" w:after="200" w:lineRule="auto" w:line="276"/>
      </w:pPr>
      <w:r>
        <w:rPr>
          <w:b/>
        </w:rPr>
        <w:t xml:space="preserve">Abstract (EN): </w:t>
      </w:r>
      <w:r>
        <w:t>The small intestine balances the competing tasks of nutrient absorption, immune tolerance, and defense through dynamic differentiation of short-lived epithelial cells. During helminth infection, interleukin-13 (IL-13) or IL-4 drive a 10-fold expansion of tuft cells to promote helminth clearance. While IL-4/13 signaling in epithelial cells is required for tuft cell hyperplasia, few signals that support this process have been identified. Here, we show that tuft cells across all tissues express the receptor tyrosine kinase KIT and that IL-4/13 is necessary and sufficient to up-regulate KIT on small intestinal (SI) tuft cells. Although epithelial KIT is dispensable for homeostatic turnover, KIT deletion from tuft cells during helminth infection reduces tuft cell hyperplasia and delays helminth clearance. Mechanistically, KIT signaling supports the generation of new tuft cells in SI crypts. These findings thus identify a unique tuft cell-specific function for KIT in type 2 immunity.</w:t>
      </w:r>
    </w:p>
    <w:p>
      <w:pPr>
        <w:spacing w:before="120" w:after="120"/>
      </w:pPr>
      <w:r>
        <w:rPr>
          <w:sz w:val="18"/>
        </w:rPr>
        <w:t>——————————————————————————————————————————————————————————————————————</w:t>
      </w:r>
    </w:p>
    <w:p>
      <w:pPr>
        <w:spacing w:before="160" w:after="40" w:line="240" w:lineRule="auto"/>
      </w:pPr>
      <w:r>
        <w:rPr>
          <w:b/>
        </w:rPr>
        <w:t xml:space="preserve">[443] </w:t>
      </w:r>
      <w:hyperlink r:id="rId654">
        <w:r>
          <w:rPr>
            <w:color w:val="1155CC"/>
            <w:u w:val="single"/>
          </w:rPr>
          <w:t>多种数据库和机器学习模型,以缩小RNA结构结构预测中普遍化差距</w:t>
        </w:r>
      </w:hyperlink>
    </w:p>
    <w:p>
      <w:pPr>
        <w:spacing w:before="0" w:after="80"/>
      </w:pPr>
      <w:r>
        <w:rPr>
          <w:i/>
          <w:sz w:val="20"/>
        </w:rPr>
        <w:t>EN: Diverse database and machine learning model to narrow the generalization gap in RNA structure prediction</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55">
        <w:r>
          <w:rPr>
            <w:color w:val="1155CC"/>
            <w:u w:val="single"/>
          </w:rPr>
          <w:t>10.1126/sciadv.adz4967</w:t>
        </w:r>
      </w:hyperlink>
    </w:p>
    <w:p>
      <w:pPr>
        <w:spacing w:before="0" w:after="120"/>
      </w:pPr>
      <w:r>
        <w:rPr>
          <w:b/>
        </w:rPr>
        <w:t xml:space="preserve">Notes: </w:t>
      </w:r>
      <w:r>
        <w:t>abstract_source=crossref</w:t>
      </w:r>
    </w:p>
    <w:p>
      <w:pPr>
        <w:spacing w:before="0" w:after="80" w:lineRule="auto" w:line="276"/>
      </w:pPr>
      <w:r>
        <w:rPr>
          <w:b/>
        </w:rPr>
        <w:t xml:space="preserve">摘要（ZH）: </w:t>
      </w:r>
      <w:r>
        <w:t>了解蛋白质和核酸的宏观分子结构对于辨别其功能和生物作用至关重要。 先进技术 — — 晶体摄影、核磁共振和冷冻 — — 电子显微镜 — — 有助于确定180,000多个蛋白结构,这些结构都在蛋白质数据库中进行编目。 这个综合储存库对于制定从序列中直接预测蛋白结构的深层次学习算法至关重要。 相反,RNA结构预测滞后,而且缺乏结构性数据。 在这里,我们介绍了通过化学探测确定的1098个初级微核和1456个人类信使RNA区域的二级结构模型。 我们开发了一个从Evoform中启发的深层次学习结构。</w:t>
      </w:r>
    </w:p>
    <w:p>
      <w:pPr>
        <w:spacing w:before="0" w:after="200" w:lineRule="auto" w:line="276"/>
      </w:pPr>
      <w:r>
        <w:rPr>
          <w:b/>
        </w:rPr>
        <w:t xml:space="preserve">Abstract (EN): </w:t>
      </w:r>
      <w:r>
        <w:t>Understanding macromolecular structures of proteins and nucleic acids is critical for discerning their functions and biological roles. Advanced techniques—crystallography, nuclear magnetic resonance, and cryo–electron microscopy—have facilitated the determination of more than 180,000 protein structures, all cataloged in the Protein Data Bank. This comprehensive repository has been pivotal in developing deep learning algorithms for predicting protein structures directly from sequences. In contrast, RNA structure prediction has lagged and suffers from a scarcity of structural data. Here, we present the secondary structure models of 1098 primary microRNAs and 1456 human messenger RNA regions determined through chemical probing. We develop a deep learning architecture inspired from the Evoformer model of Alphafold and traditional architectures for secondary structure prediction. This model, eFold, was trained on our newly generated database and more than 300,000 secondary structures across multiple sources. We benchmark eFold on two challenging test sets of long and diverse RNA structures and show that our dataset and architecture contribute to increasing the prediction performance, compared to similar state-of-the-art methods. Together, our results reveal that merely expanding the database size is insufficient for generalization across families, whereas incorporating a greater diversity and complexity of RNA structures allows for enhanced model performance.</w:t>
      </w:r>
    </w:p>
    <w:p>
      <w:pPr>
        <w:spacing w:before="120" w:after="120"/>
      </w:pPr>
      <w:r>
        <w:rPr>
          <w:sz w:val="18"/>
        </w:rPr>
        <w:t>——————————————————————————————————————————————————————————————————————</w:t>
      </w:r>
    </w:p>
    <w:p>
      <w:pPr>
        <w:spacing w:before="160" w:after="40" w:line="240" w:lineRule="auto"/>
      </w:pPr>
      <w:r>
        <w:rPr>
          <w:b/>
        </w:rPr>
        <w:t xml:space="preserve">[444] </w:t>
      </w:r>
      <w:hyperlink r:id="rId656">
        <w:r>
          <w:rPr>
            <w:color w:val="1155CC"/>
            <w:u w:val="single"/>
          </w:rPr>
          <w:t>肠内肉毒杆菌神经毒素会助长Salmonella和Shigella的感染。</w:t>
        </w:r>
      </w:hyperlink>
    </w:p>
    <w:p>
      <w:pPr>
        <w:spacing w:before="0" w:after="80"/>
      </w:pPr>
      <w:r>
        <w:rPr>
          <w:i/>
          <w:sz w:val="20"/>
        </w:rPr>
        <w:t>EN: Enteric botulinum neurotoxins facilitate infection by Salmonella and Shigella</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57">
        <w:r>
          <w:rPr>
            <w:color w:val="1155CC"/>
            <w:u w:val="single"/>
          </w:rPr>
          <w:t>10.1126/sciadv.ady9407</w:t>
        </w:r>
      </w:hyperlink>
    </w:p>
    <w:p>
      <w:pPr>
        <w:spacing w:before="0" w:after="120"/>
      </w:pPr>
      <w:r>
        <w:rPr>
          <w:b/>
        </w:rPr>
        <w:t xml:space="preserve">Notes: </w:t>
      </w:r>
      <w:r>
        <w:t>abstract_source=crossref</w:t>
      </w:r>
    </w:p>
    <w:p>
      <w:pPr>
        <w:spacing w:before="0" w:after="80" w:lineRule="auto" w:line="276"/>
      </w:pPr>
      <w:r>
        <w:rPr>
          <w:b/>
        </w:rPr>
        <w:t xml:space="preserve">摘要（ZH）: </w:t>
      </w:r>
      <w:r>
        <w:t>肉毒杆菌细菌释放出的肉毒杆菌神经毒素(BONTs)造成一种威胁生命的疾病。 肉毒杆菌通过溶性N-乙基麦基胺 — 敏感因子附加蛋白受体(SNARE)的裂痕,阻阻外围胆碱性神经元的神经分质释放,从而导致松动性麻痹。 肠内神经系统(ENS)通过神经松动调节器控制肠内肠内抗微生物防御反应。 这里,我们显示BONT/A和BNT/B的亚临床剂量不足以造成肉毒,这些剂量在肠润滑剂中释放时不足以造成肉毒,而麻痹性免疫神经元则有利于通过原细菌病菌感染,如Salmonella肠内。</w:t>
      </w:r>
    </w:p>
    <w:p>
      <w:pPr>
        <w:spacing w:before="0" w:after="200" w:lineRule="auto" w:line="276"/>
      </w:pPr>
      <w:r>
        <w:rPr>
          <w:b/>
        </w:rPr>
        <w:t xml:space="preserve">Abstract (EN): </w:t>
      </w:r>
      <w:r>
        <w:t>Botulism is a life-threatening disease caused by botulinum neurotoxins (BoNTs) released by</w:t>
      </w:r>
      <w:r>
        <w:t xml:space="preserve"> </w:t>
      </w:r>
      <w:r>
        <w:t>Clostridium</w:t>
      </w:r>
      <w:r>
        <w:t xml:space="preserve"> </w:t>
      </w:r>
      <w:r>
        <w:t>bacteria. BoNTs induce a flaccid paralysis by blocking neurotransmitter release from peripheral cholinergic neurons via soluble</w:t>
      </w:r>
      <w:r>
        <w:t xml:space="preserve"> </w:t>
      </w:r>
      <w:r>
        <w:t>N</w:t>
      </w:r>
      <w:r>
        <w:t xml:space="preserve"> </w:t>
      </w:r>
      <w:r>
        <w:t>-ethylmaleimide–sensitive factor attachment protein receptor (SNARE) cleavage. The enteric nervous system (ENS) controls antimicrobial defense reactions within the intestine through neuron-released mediators. Here, we show that subclinical doses of BoNT/A and BoNT/B, which are not sufficient to cause botulism when released in the intestinal lumen, paralyze ENS neurons favoring infection by prototypic bacterial pathogens such as</w:t>
      </w:r>
      <w:r>
        <w:t xml:space="preserve"> </w:t>
      </w:r>
      <w:r>
        <w:t>Salmonella enterica</w:t>
      </w:r>
      <w:r>
        <w:t xml:space="preserve"> </w:t>
      </w:r>
      <w:r>
        <w:t>and</w:t>
      </w:r>
      <w:r>
        <w:t xml:space="preserve"> </w:t>
      </w:r>
      <w:r>
        <w:t>Shigella flexneri</w:t>
      </w:r>
      <w:r>
        <w:t xml:space="preserve"> </w:t>
      </w:r>
      <w:r>
        <w:t>. The BoNTs reduce the release of mucin, decreasing the protective barrier against bacterial infection. These findings disclose previously unrecognized functions of BoNTs and roles in intestinal infections. Moreover, they indicate that BoNTs are valuable tools for investigating the ENS neuron involvement in the intestinal defense reactions.</w:t>
      </w:r>
    </w:p>
    <w:p>
      <w:pPr>
        <w:spacing w:before="120" w:after="120"/>
      </w:pPr>
      <w:r>
        <w:rPr>
          <w:sz w:val="18"/>
        </w:rPr>
        <w:t>——————————————————————————————————————————————————————————————————————</w:t>
      </w:r>
    </w:p>
    <w:p>
      <w:pPr>
        <w:spacing w:before="160" w:after="40" w:line="240" w:lineRule="auto"/>
      </w:pPr>
      <w:r>
        <w:rPr>
          <w:b/>
        </w:rPr>
        <w:t xml:space="preserve">[445] </w:t>
      </w:r>
      <w:hyperlink r:id="rId658">
        <w:r>
          <w:rPr>
            <w:color w:val="1155CC"/>
            <w:u w:val="single"/>
          </w:rPr>
          <w:t>慢性间歇性缺氧缺氧重塑</w:t>
        </w:r>
      </w:hyperlink>
    </w:p>
    <w:p>
      <w:pPr>
        <w:spacing w:before="0" w:after="80"/>
      </w:pPr>
      <w:r>
        <w:rPr>
          <w:i/>
          <w:sz w:val="20"/>
        </w:rPr>
        <w:t>EN: Chronic intermittent hypoxia reshapes circadian metabolic architecture in a model of sleep apnea</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59">
        <w:r>
          <w:rPr>
            <w:color w:val="1155CC"/>
            <w:u w:val="single"/>
          </w:rPr>
          <w:t>10.1126/sciadv.aeb3756</w:t>
        </w:r>
      </w:hyperlink>
    </w:p>
    <w:p>
      <w:pPr>
        <w:spacing w:before="0" w:after="120"/>
      </w:pPr>
      <w:r>
        <w:rPr>
          <w:b/>
        </w:rPr>
        <w:t xml:space="preserve">Notes: </w:t>
      </w:r>
      <w:r>
        <w:t>abstract_source=crossref</w:t>
      </w:r>
    </w:p>
    <w:p>
      <w:pPr>
        <w:spacing w:before="0" w:after="80" w:lineRule="auto" w:line="276"/>
      </w:pPr>
      <w:r>
        <w:rPr>
          <w:b/>
        </w:rPr>
        <w:t xml:space="preserve">摘要（ZH）: </w:t>
      </w:r>
      <w:r>
        <w:t>以睡眠中长期间歇性缺氧为特征的睡眠阻塞性睡眠性动脉(OSA)被日益视为代谢机能障碍的驱动力。然而,它对环形代谢调节的影响仍然不为人所知。 在这里,我们调查了慢性IH如何在模仿与OSA相关的慢性缺氧的鼠标模型中重塑24小时的肝脏和系统性代谢方案。 通过综合环形代谢、代谢和生理24小时剖析,我们发现4周的休养阶段(受限制的IH)以特定时间方式对环形代谢和系统代谢进行重新规划。 这一重组涉及对葡萄糖、脂和红氧化物路径进行协调一致的环形调节,从氧化性代谢转向诸如 gl 等氧代谢过程。</w:t>
      </w:r>
    </w:p>
    <w:p>
      <w:pPr>
        <w:spacing w:before="0" w:after="200" w:lineRule="auto" w:line="276"/>
      </w:pPr>
      <w:r>
        <w:rPr>
          <w:b/>
        </w:rPr>
        <w:t xml:space="preserve">Abstract (EN): </w:t>
      </w:r>
      <w:r>
        <w:t>Obstructive sleep apnea (OSA), characterized by chronic intermittent hypoxia (IH) during sleep, is increasingly recognized as a driver of metabolic dysfunction. However, its impact on circadian metabolic regulation remains poorly understood. Here, we investigated how chronic IH reshapes 24-hour hepatic and systemic metabolic programs in a mouse model mimicking OSA-associated chronic hypoxia. Through integrated circadian transcriptomic, metabolomic, and physiological 24-hour profiling, we show that 4 weeks of rest phase–restricted IH reprograms hepatic and systemic metabolism in a time-specific manner. This reorganization involves the coordinated circadian regulation of glucose, lipid, and redox pathways, with a shift away from oxidative metabolism toward oxygen-sparing processes such as gluconeogenesis, glycogen turnover, and lipid mobilization. These changes align with the hypoxic phase exposure and coincide with reshaped hepatic metabolite oscillations and systemic autonomic rhythms, supporting a functional adaptation to intermittent oxygen availability. Mechanistically, we identify the cAMP-CREB1 pathway as a driver of circadian transcriptional remodeling in the liver and a central integrator of IH-dependent adrenergic stress. Our findings establish chronic IH as a potent metabolic zeitgeber that rewires hepatic transcriptional and metabolic programs, revealing a circadian dimension to the metabolic consequences of sleep-disordered breathing.</w:t>
      </w:r>
    </w:p>
    <w:p>
      <w:pPr>
        <w:spacing w:before="120" w:after="120"/>
      </w:pPr>
      <w:r>
        <w:rPr>
          <w:sz w:val="18"/>
        </w:rPr>
        <w:t>——————————————————————————————————————————————————————————————————————</w:t>
      </w:r>
    </w:p>
    <w:p>
      <w:pPr>
        <w:spacing w:before="160" w:after="40" w:line="240" w:lineRule="auto"/>
      </w:pPr>
      <w:r>
        <w:rPr>
          <w:b/>
        </w:rPr>
        <w:t xml:space="preserve">[446] </w:t>
      </w:r>
      <w:hyperlink r:id="rId660">
        <w:r>
          <w:rPr>
            <w:color w:val="1155CC"/>
            <w:u w:val="single"/>
          </w:rPr>
          <w:t>Ampk Alpha2 T172 激活要求运动性能和骨骼肌肉能量转换</w:t>
        </w:r>
      </w:hyperlink>
    </w:p>
    <w:p>
      <w:pPr>
        <w:spacing w:before="0" w:after="80"/>
      </w:pPr>
      <w:r>
        <w:rPr>
          <w:i/>
          <w:sz w:val="20"/>
        </w:rPr>
        <w:t>EN: Ampk alpha2 T172 activation dictates exercise performance and energy transduction in skeletal muscle</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61">
        <w:r>
          <w:rPr>
            <w:color w:val="1155CC"/>
            <w:u w:val="single"/>
          </w:rPr>
          <w:t>10.1126/sciadv.aeb3338</w:t>
        </w:r>
      </w:hyperlink>
    </w:p>
    <w:p>
      <w:pPr>
        <w:spacing w:before="0" w:after="120"/>
      </w:pPr>
      <w:r>
        <w:rPr>
          <w:b/>
        </w:rPr>
        <w:t xml:space="preserve">Notes: </w:t>
      </w:r>
      <w:r>
        <w:t>abstract_source=crossref</w:t>
      </w:r>
    </w:p>
    <w:p>
      <w:pPr>
        <w:spacing w:before="0" w:after="80" w:lineRule="auto" w:line="276"/>
      </w:pPr>
      <w:r>
        <w:rPr>
          <w:b/>
        </w:rPr>
        <w:t xml:space="preserve">摘要（ZH）: </w:t>
      </w:r>
      <w:r>
        <w:t>Adenosine 5-mono磷酸磷 - 活性蛋白体(AMPK)是代谢调节和整合的能动感应器。在这里,我们利用CRISPR-Cas9生成了非活性活性Ampkffal Kim-in(KI)小鼠,并突变了亚麻ine-172磷酸盐(T172A),避免了先前干扰蛋白细胞测量学的遗传干预的局限性。 Ampkffa2的KI鼠,但Ampkffat1没有显示Ampk-α1, 显示出了对口变化的视变化,增加了脂肪到 Lean质量、耐力功能受损,以及骨骼肌肉的线粒体最大呼吸和行为能力减弱了。 在休养和锻炼期间,对骨骼肌肉的综合时间多组分析(Proteomics/posproporoomics/Metomomics)确定了Amprotomics,Amplivat 确定AmpkFF 2 T172 Actionivat 的Pet</w:t>
      </w:r>
    </w:p>
    <w:p>
      <w:pPr>
        <w:spacing w:before="0" w:after="200" w:lineRule="auto" w:line="276"/>
      </w:pPr>
      <w:r>
        <w:rPr>
          <w:b/>
        </w:rPr>
        <w:t xml:space="preserve">Abstract (EN): </w:t>
      </w:r>
      <w:r>
        <w:t>Adenosine 5′-monophosphate–activated protein kinase (AMPK) is an energetic sensor for metabolic regulation and integration. Here, we used CRISPR-Cas9 to generate nonactivatable Ampkα knock-in (KI) mice with mutation of threonine-172 phosphorylation site to alanine (T172A), circumventing the limitations of previous genetic interventions that disrupt the protein stoichiometry. KI mice of Ampkα2, but not Ampkα1, demonstrated phenotypic changes with increased fat-to-lean mass, impaired endurance exercise capacity, and diminished mitochondrial maximal respiration and conductance in skeletal muscle. Integrated temporal multiomics analysis (proteomics/phosphoproteomics/metabolomics) in skeletal muscle at rest and during exercise establishes a pleiotropic yet imperative role of Ampkα2 T172 activation for glycolytic and oxidative metabolism, mitochondrial respiration, and contractile function. There is a substantial overlap of skeletal muscle proteomic changes in Ampkα2 T172A KI mice with that of patients with type 2 diabetes. Our findings suggest that Ampkα2 T172 activation is critical for exercise performance and energy transduction in skeletal muscle and may serve as a therapeutic target for type 2 diabetes.</w:t>
      </w:r>
    </w:p>
    <w:p>
      <w:pPr>
        <w:spacing w:before="120" w:after="120"/>
      </w:pPr>
      <w:r>
        <w:rPr>
          <w:sz w:val="18"/>
        </w:rPr>
        <w:t>——————————————————————————————————————————————————————————————————————</w:t>
      </w:r>
    </w:p>
    <w:p>
      <w:pPr>
        <w:spacing w:before="160" w:after="40" w:line="240" w:lineRule="auto"/>
      </w:pPr>
      <w:r>
        <w:rPr>
          <w:b/>
        </w:rPr>
        <w:t xml:space="preserve">[447] </w:t>
      </w:r>
      <w:hyperlink r:id="rId662">
        <w:r>
          <w:rPr>
            <w:color w:val="1155CC"/>
            <w:u w:val="single"/>
          </w:rPr>
          <w:t>SLLC25特定载体对米托氏体蛋白合成进行监管</w:t>
        </w:r>
      </w:hyperlink>
    </w:p>
    <w:p>
      <w:pPr>
        <w:spacing w:before="0" w:after="80"/>
      </w:pPr>
      <w:r>
        <w:rPr>
          <w:i/>
          <w:sz w:val="20"/>
        </w:rPr>
        <w:t>EN: Specific SLC25 carriers regulate mitochondrial protein synthesis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63">
        <w:r>
          <w:rPr>
            <w:color w:val="1155CC"/>
            <w:u w:val="single"/>
          </w:rPr>
          <w:t>10.1126/sciadv.aeb0049</w:t>
        </w:r>
      </w:hyperlink>
    </w:p>
    <w:p>
      <w:pPr>
        <w:spacing w:before="0" w:after="120"/>
      </w:pPr>
      <w:r>
        <w:rPr>
          <w:b/>
        </w:rPr>
        <w:t xml:space="preserve">Notes: </w:t>
      </w:r>
      <w:r>
        <w:t>abstract_source=crossref</w:t>
      </w:r>
    </w:p>
    <w:p>
      <w:pPr>
        <w:spacing w:before="0" w:after="80" w:lineRule="auto" w:line="276"/>
      </w:pPr>
      <w:r>
        <w:rPr>
          <w:b/>
        </w:rPr>
        <w:t xml:space="preserve">摘要（ZH）: </w:t>
      </w:r>
      <w:r>
        <w:t>为了阐明这一关系,我们为SLC25A25, SLC25A25, SLC25A44, SLC25A45, SLC25A45, SLC25A45, SLC25A48, 和 SLC25A48创造了人类细胞淘汰,显示它们交换了三磷酸三磷-镁(ATP-Mg)和磷酸(ALC25A48)和磷酸、分链氨酸、甲基基氨基氨酸和胆碱。</w:t>
      </w:r>
    </w:p>
    <w:p>
      <w:pPr>
        <w:spacing w:before="0" w:after="200" w:lineRule="auto" w:line="276"/>
      </w:pPr>
      <w:r>
        <w:rPr>
          <w:b/>
        </w:rPr>
        <w:t xml:space="preserve">Abstract (EN): </w:t>
      </w:r>
      <w:r>
        <w:t>A genome-wide knockout screen identified members of the SLC25 family of mitochondrial carrier proteins as important regulators of the rate of de novo mitochondrial protein synthesis. To elucidate this relationship, we generated human cell knockouts for SLC25A25, SLC25A44, SLC25A45, and SLC25A48, which have been shown to exchange adenosine triphosphate-magnesium (ATP-Mg) and phosphate, branched-chain amino acids, methylated basic amino acids, and choline, respectively. Multiomic and functional analyses identified that these four carriers are crucial for mitochondrial translation, biogenesis and function of the oxidative phosphorylation system, as well as mitochondrial morphology. Thermostability screens showed that SLC25A48 is specifically stabilized by choline, and changes in the mitochondrial metabolome and lipidome indicated defects in choline biosynthetic pathways and remodeling of mitochondrial membranes, both consistent with SLC25A48 being a choline transporter. These results highlight the essential roles of specific SLC25 transporters in maintaining mitochondrial structure and function and show that impaired transport of branched-chain amino acids, methylated basic amino acids, ATP-Mg, and choline affects mitochondrial translation.</w:t>
      </w:r>
    </w:p>
    <w:p>
      <w:pPr>
        <w:spacing w:before="120" w:after="120"/>
      </w:pPr>
      <w:r>
        <w:rPr>
          <w:sz w:val="18"/>
        </w:rPr>
        <w:t>——————————————————————————————————————————————————————————————————————</w:t>
      </w:r>
    </w:p>
    <w:p>
      <w:pPr>
        <w:spacing w:before="160" w:after="40" w:line="240" w:lineRule="auto"/>
      </w:pPr>
      <w:r>
        <w:rPr>
          <w:b/>
        </w:rPr>
        <w:t xml:space="preserve">[448] </w:t>
      </w:r>
      <w:hyperlink r:id="rId664">
        <w:r>
          <w:rPr>
            <w:color w:val="1155CC"/>
            <w:u w:val="single"/>
          </w:rPr>
          <w:t>由微型机器人集体操纵的液化火力 — — 由微型机器人集体操纵的物体</w:t>
        </w:r>
      </w:hyperlink>
    </w:p>
    <w:p>
      <w:pPr>
        <w:spacing w:before="0" w:after="80"/>
      </w:pPr>
      <w:r>
        <w:rPr>
          <w:i/>
          <w:sz w:val="20"/>
        </w:rPr>
        <w:t>EN: Fluidic torque–enabled object manipulation by microrobot collectives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65">
        <w:r>
          <w:rPr>
            <w:color w:val="1155CC"/>
            <w:u w:val="single"/>
          </w:rPr>
          <w:t>10.1126/sciadv.aea9947</w:t>
        </w:r>
      </w:hyperlink>
    </w:p>
    <w:p>
      <w:pPr>
        <w:spacing w:before="0" w:after="120"/>
      </w:pPr>
      <w:r>
        <w:rPr>
          <w:b/>
        </w:rPr>
        <w:t xml:space="preserve">Notes: </w:t>
      </w:r>
      <w:r>
        <w:t>abstract_source=crossref</w:t>
      </w:r>
    </w:p>
    <w:p>
      <w:pPr>
        <w:spacing w:before="0" w:after="80" w:lineRule="auto" w:line="276"/>
      </w:pPr>
      <w:r>
        <w:rPr>
          <w:b/>
        </w:rPr>
        <w:t xml:space="preserve">摘要（ZH）: </w:t>
      </w:r>
      <w:r>
        <w:t>微缩系统由于其存在的低-Reynolds-number-number 系统而经历了强大的粘度互动。 这意味着对被动物体的流性操纵和激活可以被微型机器人的单个旋转率、微机器人的数量及其与物体相对的位置所促成和影响。 我们探索这些参数空间,发现磁性微机器人集体产生的液压可以被利用来将双向扭动应用到同心环结构中,并通过物理实验和数字模拟来证明这一点。 此外,我们展示了如何利用微机器人的流性扭动来操作齿轮列,旋转相对大的三维物体,动态的自我组状。</w:t>
      </w:r>
    </w:p>
    <w:p>
      <w:pPr>
        <w:spacing w:before="0" w:after="200" w:lineRule="auto" w:line="276"/>
      </w:pPr>
      <w:r>
        <w:rPr>
          <w:b/>
        </w:rPr>
        <w:t xml:space="preserve">Abstract (EN): </w:t>
      </w:r>
      <w:r>
        <w:t>Microscale systems experience strong viscous interactions because of the low–Reynolds-number regime in which they exist. This means that fluidic manipulation and actuation of passive objects can be enabled and influenced by the individual spin rate of microscale robots, the number of microrobots, and their positions relative to the objects. We explore these parameter spaces and find that the fluidic torque generated by a magnetic microrobot collective can be exploited to apply bidirectional torque to concentric ring structures and demonstrate this through physical experiments and numerical simulations. Additionally, we demonstrate how the fluidic torque of the microrobots can be exploited to actuate gear trains, rotate comparatively large three-dimensional objects, dynamically self-assemble internally driven ring structures, and absorb and expel large numbers of circular objects. Last, we show emergent behaviors where the microrobot collective’s morphology and method of locomotion changes as a function of the spin rate of the microrobots and the size and shape of the surrounding objects.</w:t>
      </w:r>
    </w:p>
    <w:p>
      <w:pPr>
        <w:spacing w:before="120" w:after="120"/>
      </w:pPr>
      <w:r>
        <w:rPr>
          <w:sz w:val="18"/>
        </w:rPr>
        <w:t>——————————————————————————————————————————————————————————————————————</w:t>
      </w:r>
    </w:p>
    <w:p>
      <w:pPr>
        <w:spacing w:before="160" w:after="40" w:line="240" w:lineRule="auto"/>
      </w:pPr>
      <w:r>
        <w:rPr>
          <w:b/>
        </w:rPr>
        <w:t xml:space="preserve">[449] </w:t>
      </w:r>
      <w:hyperlink r:id="rId666">
        <w:r>
          <w:rPr>
            <w:color w:val="1155CC"/>
            <w:u w:val="single"/>
          </w:rPr>
          <w:t>南中国海历时世纪的通过流量减少的南海珊瑚记录</w:t>
        </w:r>
      </w:hyperlink>
    </w:p>
    <w:p>
      <w:pPr>
        <w:spacing w:before="0" w:after="80"/>
      </w:pPr>
      <w:r>
        <w:rPr>
          <w:i/>
          <w:sz w:val="20"/>
        </w:rPr>
        <w:t>EN: Century-long coral records of the South China Sea throughflow slowdown</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67">
        <w:r>
          <w:rPr>
            <w:color w:val="1155CC"/>
            <w:u w:val="single"/>
          </w:rPr>
          <w:t>10.1126/sciadv.aea9091</w:t>
        </w:r>
      </w:hyperlink>
    </w:p>
    <w:p>
      <w:pPr>
        <w:spacing w:before="0" w:after="120"/>
      </w:pPr>
      <w:r>
        <w:rPr>
          <w:b/>
        </w:rPr>
        <w:t xml:space="preserve">Notes: </w:t>
      </w:r>
      <w:r>
        <w:t>abstract_source=crossref</w:t>
      </w:r>
    </w:p>
    <w:p>
      <w:pPr>
        <w:spacing w:before="0" w:after="80" w:lineRule="auto" w:line="276"/>
      </w:pPr>
      <w:r>
        <w:rPr>
          <w:b/>
        </w:rPr>
        <w:t xml:space="preserve">摘要（ZH）: </w:t>
      </w:r>
      <w:r>
        <w:t>南中国海流(SCSTF)是一个热和淡水输送器,在监管南中国海物理过程和生物地球化学循环方面发挥着关键作用。由于观测有限,在气候变暖和基本动态下,南中国海流的长期变化仍然不明确。在本研究中,我们利用珊瑚氧同位素(18O)和卫星观测,重建了南中国海流(1894-2022年)的百年规模变异。除了显著的年际和十年间差异外,在南中国海流中长期明显下降的趋势为-0.14 + 0.02 Sv(1Sv = 10 6m 3s-1),在南中国海流中南海流(18O)和卫星观测总共十年中,每10年有0.14 +.02 Sv(1Sv = 10 6m 3s-1)。</w:t>
      </w:r>
    </w:p>
    <w:p>
      <w:pPr>
        <w:spacing w:before="0" w:after="200" w:lineRule="auto" w:line="276"/>
      </w:pPr>
      <w:r>
        <w:rPr>
          <w:b/>
        </w:rPr>
        <w:t xml:space="preserve">Abstract (EN): </w:t>
      </w:r>
      <w:r>
        <w:t>The South China Sea throughflow (SCSTF) serves as a heat and freshwater conveyor, playing a pivotal role in regulating physical processes and biogeochemical cycles in the SCS. Because of limited observations, the long-term changes of the SCSTF under a warming climate and underlying dynamics remain unclear. In this study, we reconstructed centennial-scale variability of the SCSTF (1894–2022) using coral oxygen isotope (δ</w:t>
      </w:r>
      <w:r>
        <w:rPr>
          <w:vertAlign w:val="subscript"/>
        </w:rPr>
        <w:t>18</w:t>
      </w:r>
      <w:r>
        <w:t>O) and satellite observations. Besides prominent interannual and decadal variabilities, there exists a marked long-term decreasing trend at −0.14 ± 0.02 Sv (1 Sv = 10</w:t>
      </w:r>
      <w:r>
        <w:rPr>
          <w:vertAlign w:val="subscript"/>
        </w:rPr>
        <w:t>6</w:t>
      </w:r>
      <w:r>
        <w:t>m</w:t>
      </w:r>
      <w:r>
        <w:rPr>
          <w:vertAlign w:val="subscript"/>
        </w:rPr>
        <w:t>3</w:t>
      </w:r>
      <w:r>
        <w:t>s</w:t>
      </w:r>
      <w:r>
        <w:t xml:space="preserve"> </w:t>
      </w:r>
      <w:r>
        <w:t>−1</w:t>
      </w:r>
      <w:r>
        <w:t xml:space="preserve"> </w:t>
      </w:r>
      <w:r>
        <w:t>) per decade for the total SCSTF volume transport. Consequently, the SCSTF transport decreased by 35 ± 5% over the past 129 years in comparison with the mean value of 5.15 Sv. Using the Time-dependent Island Rule theory, we further reveal that the intensified trade wind in the tropical western Pacific drives the SCSTF slowdown. The findings substantially contribute to investigating the physical, ecological, and biogeochemical changes in the SCS and the Indo-Pacific Oceans.</w:t>
      </w:r>
    </w:p>
    <w:p>
      <w:pPr>
        <w:spacing w:before="120" w:after="120"/>
      </w:pPr>
      <w:r>
        <w:rPr>
          <w:sz w:val="18"/>
        </w:rPr>
        <w:t>——————————————————————————————————————————————————————————————————————</w:t>
      </w:r>
    </w:p>
    <w:p>
      <w:pPr>
        <w:spacing w:before="160" w:after="40" w:line="240" w:lineRule="auto"/>
      </w:pPr>
      <w:r>
        <w:rPr>
          <w:b/>
        </w:rPr>
        <w:t xml:space="preserve">[450] </w:t>
      </w:r>
      <w:hyperlink r:id="rId668">
        <w:r>
          <w:rPr>
            <w:color w:val="1155CC"/>
            <w:u w:val="single"/>
          </w:rPr>
          <w:t>组合的地貌和气候驱动的生物地球化学过程管理农业梯田中的土壤有机碳储量</w:t>
        </w:r>
      </w:hyperlink>
    </w:p>
    <w:p>
      <w:pPr>
        <w:spacing w:before="0" w:after="80"/>
      </w:pPr>
      <w:r>
        <w:rPr>
          <w:i/>
          <w:sz w:val="20"/>
        </w:rPr>
        <w:t>EN: Coupled geomorphic and climate-driven biogeochemical processes regulate soil organic carbon stocks in agricultural terraces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69">
        <w:r>
          <w:rPr>
            <w:color w:val="1155CC"/>
            <w:u w:val="single"/>
          </w:rPr>
          <w:t>10.1126/sciadv.aea8560</w:t>
        </w:r>
      </w:hyperlink>
    </w:p>
    <w:p>
      <w:pPr>
        <w:spacing w:before="0" w:after="120"/>
      </w:pPr>
      <w:r>
        <w:rPr>
          <w:b/>
        </w:rPr>
        <w:t xml:space="preserve">Notes: </w:t>
      </w:r>
      <w:r>
        <w:t>abstract_source=crossref</w:t>
      </w:r>
    </w:p>
    <w:p>
      <w:pPr>
        <w:spacing w:before="0" w:after="80" w:lineRule="auto" w:line="276"/>
      </w:pPr>
      <w:r>
        <w:rPr>
          <w:b/>
        </w:rPr>
        <w:t xml:space="preserve">摘要（ZH）: </w:t>
      </w:r>
      <w:r>
        <w:t>农业梯田是人类造形形式中最广泛的土地形式之一,它们深刻地改变土壤景观和影响碳循环,但其影响的程度和驱动因素仍然极不确定。通过将14个排水良好的梯田形态的实地观测结果纳入气候-地球化学梯度,并综合数据,我们表明,梯田之后土壤有机碳储存的变化受到两个结合的C更替地变形过程的制约:用侵蚀位置取代损失的表层土壤C,使埋葬的SOC沉积在沉积位置上的稳定。气候通过塑造土壤地球化学和植物生产力,大大调节这些过程,进而控制土壤梯田内的SOC替换和稳定。因此,对SOC储量的梯田效应。</w:t>
      </w:r>
    </w:p>
    <w:p>
      <w:pPr>
        <w:spacing w:before="0" w:after="200" w:lineRule="auto" w:line="276"/>
      </w:pPr>
      <w:r>
        <w:rPr>
          <w:b/>
        </w:rPr>
        <w:t xml:space="preserve">Abstract (EN): </w:t>
      </w:r>
      <w:r>
        <w:t>Agricultural terraces are among the most widespread human-made landforms. They profoundly reshape soil landscapes and influence the carbon cycle, yet the extent and drivers of their impact remain highly uncertain. By integrating field observations from 14 well-drained terrace landforms across a climatic-geochemical gradient with a data synthesis, we show that changes in soil organic carbon (SOC) stocks after terracing are governed by two coupled C turnover-geomorphic processes: replacement of lost topsoil C at eroding positions and stabilization of buried SOC at depositional positions. Climate strongly modulates these processes by shaping soil geochemistry and plant productivity, which in turn control SOC replacement and stabilization within terraces. Thus, terracing effects on SOC stocks shift from consistently positive in humid regions to mixed (positive and negative) outcomes in dry regions. This study establishes a framework for elucidating SOC dynamics in well-drained terrace systems and provides a scientific basis for targeted management strategies to enhance C sequestration in agricultural terraces globally.</w:t>
      </w:r>
    </w:p>
    <w:p>
      <w:pPr>
        <w:spacing w:before="120" w:after="120"/>
      </w:pPr>
      <w:r>
        <w:rPr>
          <w:sz w:val="18"/>
        </w:rPr>
        <w:t>——————————————————————————————————————————————————————————————————————</w:t>
      </w:r>
    </w:p>
    <w:p>
      <w:pPr>
        <w:spacing w:before="160" w:after="40" w:line="240" w:lineRule="auto"/>
      </w:pPr>
      <w:r>
        <w:rPr>
          <w:b/>
        </w:rPr>
        <w:t xml:space="preserve">[451] </w:t>
      </w:r>
      <w:hyperlink r:id="rId670">
        <w:r>
          <w:rPr>
            <w:color w:val="1155CC"/>
            <w:u w:val="single"/>
          </w:rPr>
          <w:t>在不需要晚晚的体形的情况下,在地球上排出挥发性元素</w:t>
        </w:r>
      </w:hyperlink>
    </w:p>
    <w:p>
      <w:pPr>
        <w:spacing w:before="0" w:after="80"/>
      </w:pPr>
      <w:r>
        <w:rPr>
          <w:i/>
          <w:sz w:val="20"/>
        </w:rPr>
        <w:t>EN: Accretion of volatile elements on Earth without the need of a late veneer</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71">
        <w:r>
          <w:rPr>
            <w:color w:val="1155CC"/>
            <w:u w:val="single"/>
          </w:rPr>
          <w:t>10.1126/sciadv.ady8018</w:t>
        </w:r>
      </w:hyperlink>
    </w:p>
    <w:p>
      <w:pPr>
        <w:spacing w:before="0" w:after="120"/>
      </w:pPr>
      <w:r>
        <w:rPr>
          <w:b/>
        </w:rPr>
        <w:t xml:space="preserve">Notes: </w:t>
      </w:r>
      <w:r>
        <w:t>abstract_source=crossref</w:t>
      </w:r>
    </w:p>
    <w:p>
      <w:pPr>
        <w:spacing w:before="0" w:after="80" w:lineRule="auto" w:line="276"/>
      </w:pPr>
      <w:r>
        <w:rPr>
          <w:b/>
        </w:rPr>
        <w:t xml:space="preserve">摘要（ZH）: </w:t>
      </w:r>
      <w:r>
        <w:t>挥发元素对于生命发育和行星进化至关重要。 然而,向地球行星投送这些元素的时机仍然不清楚。硫、和是挥发性元素,但也包括副粒子元素。它们的地皮中的丰度可以用来确定在岩心分离期间或之后是否向地球投送了挥发元素。在这里,我们实验测量了在与深海岩浆海洋相关的压力、温度和氧富含条件下,核心成形金属和锰硅酸盐之间的分配系数。我们的结果表明,这些元素表现出相似的分化行为,表明核心文体平衡保存了它们的相交性相对丰度。 如果一个挥发性丰富的晚期异物被分解,那么它们就会被分解。</w:t>
      </w:r>
    </w:p>
    <w:p>
      <w:pPr>
        <w:spacing w:before="0" w:after="200" w:lineRule="auto" w:line="276"/>
      </w:pPr>
      <w:r>
        <w:rPr>
          <w:b/>
        </w:rPr>
        <w:t xml:space="preserve">Abstract (EN): </w:t>
      </w:r>
      <w:r>
        <w:t>Volatile elements are essential for life development and planetary evolution. However, the timing of their delivery to terrestrial planets remains unclear. Sulfur, selenium, and tellurium are volatiles, but also siderophile elements. Their abundances in Earth’s mantle can be used to determine whether volatile elements were delivered to Earth during or after the segregation of the core. Here, we experimentally measured their partition coefficients between core-forming metal and mantle silicate under pressure, temperature, and oxygen fugacity conditions relevant to a deep magma ocean. Our results show that these elements exhibit similar partitioning behaviors, indicating that core-mantle equilibrium preserves their chondritic relative abundances. If a volatile-rich late veneer has been delivered to Earth after core segregation, it must have been limited in mass, making up a maximum of 0.1% Earth’s mass. This suggests that volatile elements, including water, were accreted continuously during Earth’s growth rather than being delivered predominantly by a late veneer of volatile-rich material such as carbonaceous chondrites.</w:t>
      </w:r>
    </w:p>
    <w:p>
      <w:pPr>
        <w:spacing w:before="120" w:after="120"/>
      </w:pPr>
      <w:r>
        <w:rPr>
          <w:sz w:val="18"/>
        </w:rPr>
        <w:t>——————————————————————————————————————————————————————————————————————</w:t>
      </w:r>
    </w:p>
    <w:p>
      <w:pPr>
        <w:spacing w:before="160" w:after="40" w:line="240" w:lineRule="auto"/>
      </w:pPr>
      <w:r>
        <w:rPr>
          <w:b/>
        </w:rPr>
        <w:t xml:space="preserve">[452] </w:t>
      </w:r>
      <w:hyperlink r:id="rId672">
        <w:r>
          <w:rPr>
            <w:color w:val="1155CC"/>
            <w:u w:val="single"/>
          </w:rPr>
          <w:t>通过工业用AEM水电解离子机的分子级协调与内部调控结合的分子级结合</w:t>
        </w:r>
      </w:hyperlink>
    </w:p>
    <w:p>
      <w:pPr>
        <w:spacing w:before="0" w:after="80"/>
      </w:pPr>
      <w:r>
        <w:rPr>
          <w:i/>
          <w:sz w:val="20"/>
        </w:rPr>
        <w:t>EN: Molecular level combination of coordination and interfacial regulations via functional ligands for industrial AEM water electrolysis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73">
        <w:r>
          <w:rPr>
            <w:color w:val="1155CC"/>
            <w:u w:val="single"/>
          </w:rPr>
          <w:t>10.1126/sciadv.aea8247</w:t>
        </w:r>
      </w:hyperlink>
    </w:p>
    <w:p>
      <w:pPr>
        <w:spacing w:before="0" w:after="120"/>
      </w:pPr>
      <w:r>
        <w:rPr>
          <w:b/>
        </w:rPr>
        <w:t xml:space="preserve">Notes: </w:t>
      </w:r>
      <w:r>
        <w:t>abstract_source=crossref</w:t>
      </w:r>
    </w:p>
    <w:p>
      <w:pPr>
        <w:spacing w:before="0" w:after="80" w:lineRule="auto" w:line="276"/>
      </w:pPr>
      <w:r>
        <w:rPr>
          <w:b/>
        </w:rPr>
        <w:t xml:space="preserve">摘要（ZH）: </w:t>
      </w:r>
      <w:r>
        <w:t>协调工程常常用于调整活跃点的电子结构,而其催化性能不仅由电子结构决定,而且由微环境决定。在这里,我们引入了跨子功能断层,不仅优化活跃点的电子结构,而且还规范了用于氧进化反应的跨子微环境。 具体地说,孔边缘 -- -- 托管的FEF 3 O 2 站点使得有利的电子结构能够生成* OOH中间体,同时促进氢氧化物的跨子运输,以强化OER动能。</w:t>
      </w:r>
    </w:p>
    <w:p>
      <w:pPr>
        <w:spacing w:before="0" w:after="200" w:lineRule="auto" w:line="276"/>
      </w:pPr>
      <w:r>
        <w:rPr>
          <w:b/>
        </w:rPr>
        <w:t xml:space="preserve">Abstract (EN): </w:t>
      </w:r>
      <w:r>
        <w:t>Coordination engineering is often used to tune the electronic structures of active sites, while their catalytic performances are determined not only by electronic structures but also by microenvironments. Herein, we introduce interfacial functional ligands that not only optimize the electronic structures of active sites but also regulate the interfacial microenvironment for oxygen evolution reaction (OER). Specifically, the pore edge–hosted FeF</w:t>
      </w:r>
      <w:r>
        <w:rPr>
          <w:vertAlign w:val="subscript"/>
        </w:rPr>
        <w:t>3</w:t>
      </w:r>
      <w:r>
        <w:t>O</w:t>
      </w:r>
      <w:r>
        <w:rPr>
          <w:vertAlign w:val="subscript"/>
        </w:rPr>
        <w:t>2</w:t>
      </w:r>
      <w:r>
        <w:t>sites enable a favorable electronic structure to generate</w:t>
      </w:r>
      <w:r>
        <w:t xml:space="preserve"> </w:t>
      </w:r>
      <w:r>
        <w:t>*</w:t>
      </w:r>
      <w:r>
        <w:t xml:space="preserve"> </w:t>
      </w:r>
      <w:r>
        <w:t>OOH intermediates and simultaneously promote the interfacial transport of hydroxide for enhanced OER kinetics. The F ligands in FeF</w:t>
      </w:r>
      <w:r>
        <w:rPr>
          <w:vertAlign w:val="subscript"/>
        </w:rPr>
        <w:t>3</w:t>
      </w:r>
      <w:r>
        <w:t>O</w:t>
      </w:r>
      <w:r>
        <w:rPr>
          <w:vertAlign w:val="subscript"/>
        </w:rPr>
        <w:t>2</w:t>
      </w:r>
      <w:r>
        <w:t>sites interact with interfacial water strongly via H-bonding to promote H-bond network connectivity, thus encouraging the temporally concerted proton transfer during hydroxide diffusion. Consequently, FeF</w:t>
      </w:r>
      <w:r>
        <w:rPr>
          <w:vertAlign w:val="subscript"/>
        </w:rPr>
        <w:t>3</w:t>
      </w:r>
      <w:r>
        <w:t>O</w:t>
      </w:r>
      <w:r>
        <w:rPr>
          <w:vertAlign w:val="subscript"/>
        </w:rPr>
        <w:t>2</w:t>
      </w:r>
      <w:r>
        <w:t>sites realize the 331.5-fold enhancement in turnover frequency for alkaline OER over the NiOOH and efficient water electrolyzers (1.663 voltage at 1.0 amperes per square centimeter at 60°C, durably operating at 1.0 amperes per square centimeter &amp;gt; 1200 hours).</w:t>
      </w:r>
    </w:p>
    <w:p>
      <w:pPr>
        <w:spacing w:before="120" w:after="120"/>
      </w:pPr>
      <w:r>
        <w:rPr>
          <w:sz w:val="18"/>
        </w:rPr>
        <w:t>——————————————————————————————————————————————————————————————————————</w:t>
      </w:r>
    </w:p>
    <w:p>
      <w:pPr>
        <w:spacing w:before="160" w:after="40" w:line="240" w:lineRule="auto"/>
      </w:pPr>
      <w:r>
        <w:rPr>
          <w:b/>
        </w:rPr>
        <w:t xml:space="preserve">[453] </w:t>
      </w:r>
      <w:hyperlink r:id="rId674">
        <w:r>
          <w:rPr>
            <w:color w:val="1155CC"/>
            <w:u w:val="single"/>
          </w:rPr>
          <w:t>油墨状态预集控制使高效和稳定的有机光伏能可缩放和自动制造高高效和稳定的有机光伏</w:t>
        </w:r>
      </w:hyperlink>
    </w:p>
    <w:p>
      <w:pPr>
        <w:spacing w:before="0" w:after="80"/>
      </w:pPr>
      <w:r>
        <w:rPr>
          <w:i/>
          <w:sz w:val="20"/>
        </w:rPr>
        <w:t>EN: Ink-state preaggregation control enables scalable and automated fabrication of highly efficient and stable organic photovoltaics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75">
        <w:r>
          <w:rPr>
            <w:color w:val="1155CC"/>
            <w:u w:val="single"/>
          </w:rPr>
          <w:t>10.1126/sciadv.aea6522</w:t>
        </w:r>
      </w:hyperlink>
    </w:p>
    <w:p>
      <w:pPr>
        <w:spacing w:before="0" w:after="120"/>
      </w:pPr>
      <w:r>
        <w:rPr>
          <w:b/>
        </w:rPr>
        <w:t xml:space="preserve">Notes: </w:t>
      </w:r>
      <w:r>
        <w:t>abstract_source=crossref</w:t>
      </w:r>
    </w:p>
    <w:p>
      <w:pPr>
        <w:spacing w:before="0" w:after="80" w:lineRule="auto" w:line="276"/>
      </w:pPr>
      <w:r>
        <w:rPr>
          <w:b/>
        </w:rPr>
        <w:t xml:space="preserve">摘要（ZH）: </w:t>
      </w:r>
      <w:r>
        <w:t>缩放性和自动化对于推动有机太阳能电池(OSCs)向高吞吐量生产发展至关重要,但两者都仍然是值得注意的挑战。 在这里,我们报告了一项简单而有效的战略,使用Tz6T作为多功能添加剂来监管墨水状态预聚集,以解决这两个问题。 Tz6T与油墨中的捐赠者和接受者分子互动,从而得以改进和增加订单预聚集。 这有利于统一胶片的形成,并大大减少双分子再组合,使得16.4%的高效大型绿色溶剂-经过加工的OSC模块(19.3厘米 2 ) 成为迄今报告的最佳值之一。 此外,预先分离的墨水减轻了预编程机器人时间延误造成的形态变化。</w:t>
      </w:r>
    </w:p>
    <w:p>
      <w:pPr>
        <w:spacing w:before="0" w:after="200" w:lineRule="auto" w:line="276"/>
      </w:pPr>
      <w:r>
        <w:rPr>
          <w:b/>
        </w:rPr>
        <w:t xml:space="preserve">Abstract (EN): </w:t>
      </w:r>
      <w:r>
        <w:t>Scalability and automation are critical for advancing organic solar cells (OSCs) toward high-throughput production, yet both remain notable challenges. Here, we report a simple yet effective strategy using Tz6T as a multifunctional additive to regulate ink-state preaggregation to address both concerns. Tz6T interacts with both donor and acceptor molecules in ink, enabling improved and more ordered preaggregation. This facilitates uniform film formation and significantly reduces bimolecular recombination, enables 16.4% efficiency large-area green solvent–processed OSC modules (19.3 cm</w:t>
      </w:r>
      <w:r>
        <w:rPr>
          <w:vertAlign w:val="subscript"/>
        </w:rPr>
        <w:t>2</w:t>
      </w:r>
      <w:r>
        <w:t>), ranking it among the best reported values to date. Furthermore, the preagggregated ink mitigates the morphology drift caused by time delays in preprogrammed robotic fabrication, yielding device efficiency exceeding 16%, highlighting strong potential for high-throughput production. Beyond efficiency, Tz6T also enhances long-term stability and exhibits compatibility across diverse material systems, underscoring its broad applicability. This work offers a promising pathway for accelerating the translation toward sustainable, scalable, and automated fabricable high-performance and stable OSCs, paving the way for their industrialization.</w:t>
      </w:r>
    </w:p>
    <w:p>
      <w:pPr>
        <w:spacing w:before="120" w:after="120"/>
      </w:pPr>
      <w:r>
        <w:rPr>
          <w:sz w:val="18"/>
        </w:rPr>
        <w:t>——————————————————————————————————————————————————————————————————————</w:t>
      </w:r>
    </w:p>
    <w:p>
      <w:pPr>
        <w:spacing w:before="160" w:after="40" w:line="240" w:lineRule="auto"/>
      </w:pPr>
      <w:r>
        <w:rPr>
          <w:b/>
        </w:rPr>
        <w:t xml:space="preserve">[454] </w:t>
      </w:r>
      <w:hyperlink r:id="rId676">
        <w:r>
          <w:rPr>
            <w:color w:val="1155CC"/>
            <w:u w:val="single"/>
          </w:rPr>
          <w:t>因缺血性中风神经防护而跨越血脑屏障释放H2</w:t>
        </w:r>
      </w:hyperlink>
    </w:p>
    <w:p>
      <w:pPr>
        <w:spacing w:before="0" w:after="80"/>
      </w:pPr>
      <w:r>
        <w:rPr>
          <w:i/>
          <w:sz w:val="20"/>
        </w:rPr>
        <w:t>EN: Inflamed vessel–anchored release of H2 across the blood-brain barrier for ischemic stroke neuroprotection</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77">
        <w:r>
          <w:rPr>
            <w:color w:val="1155CC"/>
            <w:u w:val="single"/>
          </w:rPr>
          <w:t>10.1126/sciadv.aea3355</w:t>
        </w:r>
      </w:hyperlink>
    </w:p>
    <w:p>
      <w:pPr>
        <w:spacing w:before="0" w:after="120"/>
      </w:pPr>
      <w:r>
        <w:rPr>
          <w:b/>
        </w:rPr>
        <w:t xml:space="preserve">Notes: </w:t>
      </w:r>
      <w:r>
        <w:t>abstract_source=crossref</w:t>
      </w:r>
    </w:p>
    <w:p>
      <w:pPr>
        <w:spacing w:before="0" w:after="80" w:lineRule="auto" w:line="276"/>
      </w:pPr>
      <w:r>
        <w:rPr>
          <w:b/>
        </w:rPr>
        <w:t xml:space="preserve">摘要（ZH）: </w:t>
      </w:r>
      <w:r>
        <w:t>热中中风之后的再融合迫切需要安全高效的细胞保护战略,目前的药方疗法仍然没有满足这一需求。 纳米技术有望改善向大脑的药物供应。 纳米技术有望改善对大脑的药物供应。 然而,穿越血液脑屏障(BBB)的纳米材料的功效相当有限,长期内存纳米材料可能会引发神经中毒。 利用氢(H 2)的防炎、BBB交叉和生物安全特性,我们通过修改ZrSi 2纳米粒子(ZNP ), 模拟P-ELtin/P-Exectin glycoprotein(ZNPP ), 模拟P-Exectin/P-selectin glucoptein 离子体(ZSNPP ), 开发一个燃烧的容器 — 目标/ancred H 2 — 生产系统。</w:t>
      </w:r>
    </w:p>
    <w:p>
      <w:pPr>
        <w:spacing w:before="0" w:after="200" w:lineRule="auto" w:line="276"/>
      </w:pPr>
      <w:r>
        <w:rPr>
          <w:b/>
        </w:rPr>
        <w:t xml:space="preserve">Abstract (EN): </w:t>
      </w:r>
      <w:r>
        <w:t>Ischemic stroke followed by reperfusion urgently requires safe and efficient cytoprotective strategies, a need still unmet by current pharmacotherapies. Nanotechnology holds promise for improved drug delivery to the brain, yet the efficacy of nanomaterials crossing the blood-brain barrier (BBB) is quite limited, and long-term intracranial retention of nanomaterials may provoke neurotoxicity. Leveraging the anti-inflammatory, BBB-crossing, and biosafe properties of hydrogen (H</w:t>
      </w:r>
      <w:r>
        <w:rPr>
          <w:vertAlign w:val="subscript"/>
        </w:rPr>
        <w:t>2</w:t>
      </w:r>
      <w:r>
        <w:t>), we develop an inflamed vessel–targeted/anchored H</w:t>
      </w:r>
      <w:r>
        <w:rPr>
          <w:vertAlign w:val="subscript"/>
        </w:rPr>
        <w:t>2</w:t>
      </w:r>
      <w:r>
        <w:t>–producing system by modifying ZrSi</w:t>
      </w:r>
      <w:r>
        <w:rPr>
          <w:vertAlign w:val="subscript"/>
        </w:rPr>
        <w:t>2</w:t>
      </w:r>
      <w:r>
        <w:t>nanoparticles with a P-selectin–binding peptide (ZSNP), mimicking P-selectin/P-selectin glycoprotein ligand–mediated innate immune recruitment. Rather than relying on nanoparticle penetration into the brain parenchyma, this design enables ZSNP to anchor at the BBB vasculature, where it locally and continuously generates H</w:t>
      </w:r>
      <w:r>
        <w:rPr>
          <w:vertAlign w:val="subscript"/>
        </w:rPr>
        <w:t>2</w:t>
      </w:r>
      <w:r>
        <w:t>via hydrolysis. The released H</w:t>
      </w:r>
      <w:r>
        <w:rPr>
          <w:vertAlign w:val="subscript"/>
        </w:rPr>
        <w:t>2</w:t>
      </w:r>
      <w:r>
        <w:t>traverses the BBB, exerting cytoprotection through antioxidant and immunomodulatory mechanisms that coordinate multicellular recovery processes. Furthermore, ZSNP promotes microglia-mediated angiogenesis and neurogenesis, guides axonal projections along neovascular trajectories, and facilitates microglia-neuron interaction via the noncanonical Wnt/Ca</w:t>
      </w:r>
      <w:r>
        <w:t xml:space="preserve"> </w:t>
      </w:r>
      <w:r>
        <w:t>2+</w:t>
      </w:r>
      <w:r>
        <w:t xml:space="preserve"> </w:t>
      </w:r>
      <w:r>
        <w:t>pathway. This reconstruction of the neurovascular network supports the reintegration of functional neural circuits, leading to structural and functional recovery that surpasses the effects of edaravone. By enabling sustained H</w:t>
      </w:r>
      <w:r>
        <w:rPr>
          <w:vertAlign w:val="subscript"/>
        </w:rPr>
        <w:t>2</w:t>
      </w:r>
      <w:r>
        <w:t>release at the BBB interface without requiring nanoparticle intracranial accumulation, this strategy represents a promising and low-burden neuroprotective approach for ischemic stroke.</w:t>
      </w:r>
    </w:p>
    <w:p>
      <w:pPr>
        <w:spacing w:before="120" w:after="120"/>
      </w:pPr>
      <w:r>
        <w:rPr>
          <w:sz w:val="18"/>
        </w:rPr>
        <w:t>——————————————————————————————————————————————————————————————————————</w:t>
      </w:r>
    </w:p>
    <w:p>
      <w:pPr>
        <w:spacing w:before="160" w:after="40" w:line="240" w:lineRule="auto"/>
      </w:pPr>
      <w:r>
        <w:rPr>
          <w:b/>
        </w:rPr>
        <w:t xml:space="preserve">[455] </w:t>
      </w:r>
      <w:hyperlink r:id="rId678">
        <w:r>
          <w:rPr>
            <w:color w:val="1155CC"/>
            <w:u w:val="single"/>
          </w:rPr>
          <w:t>通过Wnt的极化累积11 出现行星细胞极极。</w:t>
        </w:r>
      </w:hyperlink>
    </w:p>
    <w:p>
      <w:pPr>
        <w:spacing w:before="0" w:after="80"/>
      </w:pPr>
      <w:r>
        <w:rPr>
          <w:i/>
          <w:sz w:val="20"/>
        </w:rPr>
        <w:t>EN: Planar cell polarity emerges through polarized accumulation of Wnt11</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79">
        <w:r>
          <w:rPr>
            <w:color w:val="1155CC"/>
            <w:u w:val="single"/>
          </w:rPr>
          <w:t>10.1126/sciadv.aea0326</w:t>
        </w:r>
      </w:hyperlink>
    </w:p>
    <w:p>
      <w:pPr>
        <w:spacing w:before="0" w:after="120"/>
      </w:pPr>
      <w:r>
        <w:rPr>
          <w:b/>
        </w:rPr>
        <w:t xml:space="preserve">Notes: </w:t>
      </w:r>
      <w:r>
        <w:t>abstract_source=crossref</w:t>
      </w:r>
    </w:p>
    <w:p>
      <w:pPr>
        <w:spacing w:before="0" w:after="80" w:lineRule="auto" w:line="276"/>
      </w:pPr>
      <w:r>
        <w:rPr>
          <w:b/>
        </w:rPr>
        <w:t xml:space="preserve">摘要（ZH）: </w:t>
      </w:r>
      <w:r>
        <w:t>由于一些废物蛋白质可在脊椎动物中诱发五氯苯酚,因此建议Wnt浓度梯度为两极分化提供空间提示。然而,我们在这里提供证据表明,Wnt11能够以梯度独立的方式对五氯苯酚进行调节。在Xenopus胚胎神经板块中,本地Wnt11不构成五氯苯酚方向的明显梯度,而是与五氯苯酚核心成分一道在细胞边界两极分化。 Wnt11两极分化取决于五氯苯酚核心成分,而五氯苯酚核心成分的两极分化也可能由Wnt11引起,这表明Wnt11与五氯苯酚格式中五氯苯酚核心成分之间的相互放大循环。</w:t>
      </w:r>
    </w:p>
    <w:p>
      <w:pPr>
        <w:spacing w:before="0" w:after="200" w:lineRule="auto" w:line="276"/>
      </w:pPr>
      <w:r>
        <w:rPr>
          <w:b/>
        </w:rPr>
        <w:t xml:space="preserve">Abstract (EN): </w:t>
      </w:r>
      <w:r>
        <w:t>Planar cell polarity (PCP) is established by asymmetric localization of core PCP components in each cell. Because some Wnt proteins can induce PCP in vertebrates, it has been proposed that Wnt concentration gradients provide spatial cues for polarization. However, here, we present evidence that Wnt11 can regulate PCP in a gradient-independent manner. In the neural plate of</w:t>
      </w:r>
      <w:r>
        <w:t xml:space="preserve"> </w:t>
      </w:r>
      <w:r>
        <w:t>Xenopus</w:t>
      </w:r>
      <w:r>
        <w:t xml:space="preserve"> </w:t>
      </w:r>
      <w:r>
        <w:t>embryos, endogenous Wnt11 does not form an obvious gradient in the direction of PCP, but is polarized at cell boundaries together with core PCP components. Wnt11 polarization is dependent on core PCP components, while polarization of core PCP components can also be induced by Wnt11, indicating a mutual amplification loop between Wnt11 and core PCP components in PCP formation. Furthermore, Wnt11 and core PCP components compose an intercellular loop to coordinate the direction of polarity. Thus, we propose that local and reciprocal interactions between Wnt11 and core PCP components can generate PCP.</w:t>
      </w:r>
    </w:p>
    <w:p>
      <w:pPr>
        <w:spacing w:before="120" w:after="120"/>
      </w:pPr>
      <w:r>
        <w:rPr>
          <w:sz w:val="18"/>
        </w:rPr>
        <w:t>——————————————————————————————————————————————————————————————————————</w:t>
      </w:r>
    </w:p>
    <w:p>
      <w:pPr>
        <w:spacing w:before="160" w:after="40" w:line="240" w:lineRule="auto"/>
      </w:pPr>
      <w:r>
        <w:rPr>
          <w:b/>
        </w:rPr>
        <w:t xml:space="preserve">[456] </w:t>
      </w:r>
      <w:hyperlink r:id="rId680">
        <w:r>
          <w:rPr>
            <w:color w:val="1155CC"/>
            <w:u w:val="single"/>
          </w:rPr>
          <w:t>六边硝酸中枢兴奋状态boron空缺的放松动态</w:t>
        </w:r>
      </w:hyperlink>
    </w:p>
    <w:p>
      <w:pPr>
        <w:spacing w:before="0" w:after="80"/>
      </w:pPr>
      <w:r>
        <w:rPr>
          <w:i/>
          <w:sz w:val="20"/>
        </w:rPr>
        <w:t>EN: Intermediate excited state relaxation dynamics of boron vacancy spin defects in hexagonal boron nitride</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81">
        <w:r>
          <w:rPr>
            <w:color w:val="1155CC"/>
            <w:u w:val="single"/>
          </w:rPr>
          <w:t>10.1126/sciadv.aea0109</w:t>
        </w:r>
      </w:hyperlink>
    </w:p>
    <w:p>
      <w:pPr>
        <w:spacing w:before="0" w:after="120"/>
      </w:pPr>
      <w:r>
        <w:rPr>
          <w:b/>
        </w:rPr>
        <w:t xml:space="preserve">Notes: </w:t>
      </w:r>
      <w:r>
        <w:t>abstract_source=crossref</w:t>
      </w:r>
    </w:p>
    <w:p>
      <w:pPr>
        <w:spacing w:before="0" w:after="80" w:lineRule="auto" w:line="276"/>
      </w:pPr>
      <w:r>
        <w:rPr>
          <w:b/>
        </w:rPr>
        <w:t xml:space="preserve">摘要（ZH）: </w:t>
      </w:r>
      <w:r>
        <w:t>亚硝酸六边形的光学可处理性脊椎缺陷为2D量子感测提供了大有希望的潜力,尽管兴奋状态动态仍然不为人所知。 特别是,从兴奋的三胞胎状态到地面状态的非辐射性放松路径,特别是涉及悬浮中间状态(IS)的非辐射性放松路径,在很大程度上仍然是假设的,率常数尚有待直接测量。 在这项工作中,我们调查了光学泵周期中光学泵周期在广泛温度范围内的光学泵周期中IS的放松动态。我们测量了从IS到地面状态的24.0(3)毫纳秒的放松时间,在低温下,室温约为两倍。模拟揭示了旋动人口和地面两极化如何以不同的引力率演变。</w:t>
      </w:r>
    </w:p>
    <w:p>
      <w:pPr>
        <w:spacing w:before="0" w:after="200" w:lineRule="auto" w:line="276"/>
      </w:pPr>
      <w:r>
        <w:rPr>
          <w:b/>
        </w:rPr>
        <w:t xml:space="preserve">Abstract (EN): </w:t>
      </w:r>
      <w:r>
        <w:t>Optically addressable spin defects in hexagonal boron nitride offer promising potential for 2D quantum sensing, although excited-state dynamics remain poorly understood. In particular, the nonradiative relaxation paths from the excited triplet states to the ground state, especially those involving a shelving intermediate state (IS), remain largely hypothetical, and the rate constants have yet to be directly measured. In this work, we investigate the relaxation dynamics of the IS in the optical pumping cycle in a broad temperature range. We measure a 24.0(3)-nanosecond relaxation time from IS to the ground state at room temperature, which approximately doubles at low temperatures. Simulations reveal how spin populations and ground-state polarization evolve with varying excitation rates. Accordingly, we optimize optically detected magnetic resonance pulse sequences to account for the effects of IS relaxation. This considerably enhances spin manipulation efficiency, allowing substantial optimization of the quantum sensor’s sensitivity based on boron vacancies.</w:t>
      </w:r>
    </w:p>
    <w:p>
      <w:pPr>
        <w:spacing w:before="120" w:after="120"/>
      </w:pPr>
      <w:r>
        <w:rPr>
          <w:sz w:val="18"/>
        </w:rPr>
        <w:t>——————————————————————————————————————————————————————————————————————</w:t>
      </w:r>
    </w:p>
    <w:p>
      <w:pPr>
        <w:spacing w:before="160" w:after="40" w:line="240" w:lineRule="auto"/>
      </w:pPr>
      <w:r>
        <w:rPr>
          <w:b/>
        </w:rPr>
        <w:t xml:space="preserve">[457] </w:t>
      </w:r>
      <w:hyperlink r:id="rId682">
        <w:r>
          <w:rPr>
            <w:color w:val="1155CC"/>
            <w:u w:val="single"/>
          </w:rPr>
          <w:t>保存的非编码序列 CNS11是17类免疫细胞的转录总控制区</w:t>
        </w:r>
      </w:hyperlink>
    </w:p>
    <w:p>
      <w:pPr>
        <w:spacing w:before="0" w:after="80"/>
      </w:pPr>
      <w:r>
        <w:rPr>
          <w:i/>
          <w:sz w:val="20"/>
        </w:rPr>
        <w:t>EN: The conserved noncoding sequence CNS11 is a master control region for Rorc transcription in type 17 immune cells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83">
        <w:r>
          <w:rPr>
            <w:color w:val="1155CC"/>
            <w:u w:val="single"/>
          </w:rPr>
          <w:t>10.1126/sciadv.adz6964</w:t>
        </w:r>
      </w:hyperlink>
    </w:p>
    <w:p>
      <w:pPr>
        <w:spacing w:before="0" w:after="120"/>
      </w:pPr>
      <w:r>
        <w:rPr>
          <w:b/>
        </w:rPr>
        <w:t xml:space="preserve">Notes: </w:t>
      </w:r>
      <w:r>
        <w:t>abstract_source=crossref</w:t>
      </w:r>
    </w:p>
    <w:p>
      <w:pPr>
        <w:spacing w:before="0" w:after="80" w:lineRule="auto" w:line="276"/>
      </w:pPr>
      <w:r>
        <w:rPr>
          <w:b/>
        </w:rPr>
        <w:t xml:space="preserve">摘要（ZH）: </w:t>
      </w:r>
      <w:r>
        <w:t>抗体酸受体 - 相关孤儿受体 (ROR-T) 是17型免疫细胞(包括T helter 17 (T H 17) 细胞、3组原生淋巴细胞(ILC3s)、ROR-T + 监管 T (T reg) 细胞和ROR-at + T 细胞)的总抄录系数。 虽然关于 Rorc 表达式的跨监管机制特点很好,但CIS-监管机制,特别是内生淋巴细胞,仍被部分理解。 在这里,我们确定CNS11是Rarc 的必修元素。 在 T H 17 单元格中, CNS11 是 Rarc 的必修元素。</w:t>
      </w:r>
    </w:p>
    <w:p>
      <w:pPr>
        <w:spacing w:before="0" w:after="200" w:lineRule="auto" w:line="276"/>
      </w:pPr>
      <w:r>
        <w:rPr>
          <w:b/>
        </w:rPr>
        <w:t xml:space="preserve">Abstract (EN): </w:t>
      </w:r>
      <w:r>
        <w:t>Retinoic acid receptor–related orphan receptor γt (RORγt) is the master transcription factor for type 17 immune cells, including T helper 17 (T</w:t>
      </w:r>
      <w:r>
        <w:t xml:space="preserve"> </w:t>
      </w:r>
      <w:r>
        <w:t>H</w:t>
      </w:r>
      <w:r>
        <w:t xml:space="preserve"> </w:t>
      </w:r>
      <w:r>
        <w:t>17) cells, group 3 innate lymphoid cells (ILC3s), RORγt</w:t>
      </w:r>
      <w:r>
        <w:t xml:space="preserve"> </w:t>
      </w:r>
      <w:r>
        <w:t>+</w:t>
      </w:r>
      <w:r>
        <w:t xml:space="preserve"> </w:t>
      </w:r>
      <w:r>
        <w:t>regulatory T (T</w:t>
      </w:r>
      <w:r>
        <w:t xml:space="preserve"> </w:t>
      </w:r>
      <w:r>
        <w:t>reg</w:t>
      </w:r>
      <w:r>
        <w:t xml:space="preserve"> </w:t>
      </w:r>
      <w:r>
        <w:t>) cells, and RORγt</w:t>
      </w:r>
      <w:r>
        <w:t xml:space="preserve"> </w:t>
      </w:r>
      <w:r>
        <w:t>+</w:t>
      </w:r>
      <w:r>
        <w:t xml:space="preserve"> </w:t>
      </w:r>
      <w:r>
        <w:t>γδT cells. While trans-regulatory mechanisms governing</w:t>
      </w:r>
      <w:r>
        <w:t xml:space="preserve"> </w:t>
      </w:r>
      <w:r>
        <w:t>Rorc</w:t>
      </w:r>
      <w:r>
        <w:t xml:space="preserve"> </w:t>
      </w:r>
      <w:r>
        <w:t>expression are well characterized, cis-regulatory mechanisms, particularly in innate lymphocytes, remain partially understood. Here, we identify CNS11 as an essential cis-regulatory element of</w:t>
      </w:r>
      <w:r>
        <w:t xml:space="preserve"> </w:t>
      </w:r>
      <w:r>
        <w:t>Rorc</w:t>
      </w:r>
      <w:r>
        <w:t xml:space="preserve"> </w:t>
      </w:r>
      <w:r>
        <w:t>. In T</w:t>
      </w:r>
      <w:r>
        <w:t xml:space="preserve"> </w:t>
      </w:r>
      <w:r>
        <w:t>H</w:t>
      </w:r>
      <w:r>
        <w:t xml:space="preserve"> </w:t>
      </w:r>
      <w:r>
        <w:t>17 cells, CNS11 was dispensable for induction but critical for maintaining RORγt expression. In contrast, CNS11 deletion blocked ILC3 progenitor induction, abolishing secondary lymphoid organ formation. CNS11 deletion also abolished the development of RORγt</w:t>
      </w:r>
      <w:r>
        <w:t xml:space="preserve"> </w:t>
      </w:r>
      <w:r>
        <w:t>+</w:t>
      </w:r>
      <w:r>
        <w:t xml:space="preserve"> </w:t>
      </w:r>
      <w:r>
        <w:t>T</w:t>
      </w:r>
      <w:r>
        <w:t xml:space="preserve"> </w:t>
      </w:r>
      <w:r>
        <w:t>reg</w:t>
      </w:r>
      <w:r>
        <w:t xml:space="preserve"> </w:t>
      </w:r>
      <w:r>
        <w:t>, RORγt</w:t>
      </w:r>
      <w:r>
        <w:t xml:space="preserve"> </w:t>
      </w:r>
      <w:r>
        <w:t>+</w:t>
      </w:r>
      <w:r>
        <w:t xml:space="preserve"> </w:t>
      </w:r>
      <w:r>
        <w:t>γδT, and RORγt</w:t>
      </w:r>
      <w:r>
        <w:t xml:space="preserve"> </w:t>
      </w:r>
      <w:r>
        <w:t>+</w:t>
      </w:r>
      <w:r>
        <w:t xml:space="preserve"> </w:t>
      </w:r>
      <w:r>
        <w:t>antigen-presenting cells. Mechanistically, CNS11 functioned through a RORγt-dependent feed-forward loop with cell type–specific cofactors: cooperating with RORγt and runt-related transcription factor 3 to direct ILC3 development and with RORγt and/or c-MAF to sustain RORγt expression in T</w:t>
      </w:r>
      <w:r>
        <w:t xml:space="preserve"> </w:t>
      </w:r>
      <w:r>
        <w:t>H</w:t>
      </w:r>
      <w:r>
        <w:t xml:space="preserve"> </w:t>
      </w:r>
      <w:r>
        <w:t>17, RORγt</w:t>
      </w:r>
      <w:r>
        <w:t xml:space="preserve"> </w:t>
      </w:r>
      <w:r>
        <w:t>+</w:t>
      </w:r>
      <w:r>
        <w:t xml:space="preserve"> </w:t>
      </w:r>
      <w:r>
        <w:t>T</w:t>
      </w:r>
      <w:r>
        <w:t xml:space="preserve"> </w:t>
      </w:r>
      <w:r>
        <w:t>reg</w:t>
      </w:r>
      <w:r>
        <w:t xml:space="preserve"> </w:t>
      </w:r>
      <w:r>
        <w:t>, and RORγt</w:t>
      </w:r>
      <w:r>
        <w:t xml:space="preserve"> </w:t>
      </w:r>
      <w:r>
        <w:t>+</w:t>
      </w:r>
      <w:r>
        <w:t xml:space="preserve"> </w:t>
      </w:r>
      <w:r>
        <w:t>γδT cells. Our study reveals CNS11 as a key transcription factor binding hub and master control region for</w:t>
      </w:r>
      <w:r>
        <w:t xml:space="preserve"> </w:t>
      </w:r>
      <w:r>
        <w:t>Rorc</w:t>
      </w:r>
      <w:r>
        <w:t xml:space="preserve"> </w:t>
      </w:r>
      <w:r>
        <w:t>transcription in distinct lymphocytes.</w:t>
      </w:r>
    </w:p>
    <w:p>
      <w:pPr>
        <w:spacing w:before="120" w:after="120"/>
      </w:pPr>
      <w:r>
        <w:rPr>
          <w:sz w:val="18"/>
        </w:rPr>
        <w:t>——————————————————————————————————————————————————————————————————————</w:t>
      </w:r>
    </w:p>
    <w:p>
      <w:pPr>
        <w:spacing w:before="160" w:after="40" w:line="240" w:lineRule="auto"/>
      </w:pPr>
      <w:r>
        <w:rPr>
          <w:b/>
        </w:rPr>
        <w:t xml:space="preserve">[458] </w:t>
      </w:r>
      <w:hyperlink r:id="rId684">
        <w:r>
          <w:rPr>
            <w:color w:val="1155CC"/>
            <w:u w:val="single"/>
          </w:rPr>
          <w:t>热力机会假设:扁鱼物种的代位温度不敏感</w:t>
        </w:r>
      </w:hyperlink>
    </w:p>
    <w:p>
      <w:pPr>
        <w:spacing w:before="0" w:after="80"/>
      </w:pPr>
      <w:r>
        <w:rPr>
          <w:i/>
          <w:sz w:val="20"/>
        </w:rPr>
        <w:t>EN: The thermodynamic opportunities hypothesis: Metabolic temperature insensitivity across flatfish species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85">
        <w:r>
          <w:rPr>
            <w:color w:val="1155CC"/>
            <w:u w:val="single"/>
          </w:rPr>
          <w:t>10.1126/sciadv.adz0425</w:t>
        </w:r>
      </w:hyperlink>
    </w:p>
    <w:p>
      <w:pPr>
        <w:spacing w:before="0" w:after="120"/>
      </w:pPr>
      <w:r>
        <w:rPr>
          <w:b/>
        </w:rPr>
        <w:t xml:space="preserve">Notes: </w:t>
      </w:r>
      <w:r>
        <w:t>abstract_source=crossref</w:t>
      </w:r>
    </w:p>
    <w:p>
      <w:pPr>
        <w:spacing w:before="0" w:after="80" w:lineRule="auto" w:line="276"/>
      </w:pPr>
      <w:r>
        <w:rPr>
          <w:b/>
        </w:rPr>
        <w:t xml:space="preserve">摘要（ZH）: </w:t>
      </w:r>
      <w:r>
        <w:t>这项研究提出了广泛存在的代谢理论挑战,它表明,由于全动物代谢率对基本生化反应的动能产生的普遍影响,整个动物代谢率随着温度的上升而上升。在这里,我们表明,从极到赤道,各扁鱼物种的代谢率基本是无差异的,这表明根据生态和演化而不是热力制约,对不同特定的热灵敏度的解释。这里提出的解释是,热水提供了一个热力动力机会,而不是一项任务,在食肉动物和食肉动物相互作用需要时,代谢率会升级。 弗拉特鱼类不需要代谢性升级,因为它们依赖能够减轻热带水域更大食用强度的伪装。</w:t>
      </w:r>
    </w:p>
    <w:p>
      <w:pPr>
        <w:spacing w:before="0" w:after="200" w:lineRule="auto" w:line="276"/>
      </w:pPr>
      <w:r>
        <w:rPr>
          <w:b/>
        </w:rPr>
        <w:t xml:space="preserve">Abstract (EN): </w:t>
      </w:r>
      <w:r>
        <w:t>This study challenges widely held metabolic theory, which suggests that whole-animal metabolic rates increase with temperature because of its universal effects on the kinetics of the underlying biochemical reactions. Here, we show that metabolic rates across flatfish species are largely invariant from poles to the equator, which points to an explanation for interspecific thermal sensitivity based on ecology and evolution rather than thermodynamic constraints. The explanation proposed here is that warm water provides a thermodynamic opportunity, not a mandate, for metabolic rate escalation when required for predator-prey interactions. Flatfish do not require metabolic escalation because of their reliance on camouflage that mitigates the greater predation intensity in tropical waters. These findings have strong implications for models attempting to diagnose the response of organisms to climate change and for macroecological patterns more generally.</w:t>
      </w:r>
    </w:p>
    <w:p>
      <w:pPr>
        <w:spacing w:before="120" w:after="120"/>
      </w:pPr>
      <w:r>
        <w:rPr>
          <w:sz w:val="18"/>
        </w:rPr>
        <w:t>——————————————————————————————————————————————————————————————————————</w:t>
      </w:r>
    </w:p>
    <w:p>
      <w:pPr>
        <w:spacing w:before="160" w:after="40" w:line="240" w:lineRule="auto"/>
      </w:pPr>
      <w:r>
        <w:rPr>
          <w:b/>
        </w:rPr>
        <w:t xml:space="preserve">[459] </w:t>
      </w:r>
      <w:hyperlink r:id="rId686">
        <w:r>
          <w:rPr>
            <w:color w:val="1155CC"/>
            <w:u w:val="single"/>
          </w:rPr>
          <w:t>明确定义的预防乙型流感嗜血杆菌的半合成甘基糖蛋白疫苗的临床前期发展b</w:t>
        </w:r>
      </w:hyperlink>
    </w:p>
    <w:p>
      <w:pPr>
        <w:spacing w:before="0" w:after="80"/>
      </w:pPr>
      <w:r>
        <w:rPr>
          <w:i/>
          <w:sz w:val="20"/>
        </w:rPr>
        <w:t>EN: Preclinical development of a well-defined semisynthetic glycoconjugate vaccine against Haemophilus influenzae type b</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87">
        <w:r>
          <w:rPr>
            <w:color w:val="1155CC"/>
            <w:u w:val="single"/>
          </w:rPr>
          <w:t>10.1126/sciadv.aea8116</w:t>
        </w:r>
      </w:hyperlink>
    </w:p>
    <w:p>
      <w:pPr>
        <w:spacing w:before="0" w:after="120"/>
      </w:pPr>
      <w:r>
        <w:rPr>
          <w:b/>
        </w:rPr>
        <w:t xml:space="preserve">Notes: </w:t>
      </w:r>
      <w:r>
        <w:t>abstract_source=crossref</w:t>
      </w:r>
    </w:p>
    <w:p>
      <w:pPr>
        <w:spacing w:before="0" w:after="80" w:lineRule="auto" w:line="276"/>
      </w:pPr>
      <w:r>
        <w:rPr>
          <w:b/>
        </w:rPr>
        <w:t xml:space="preserve">摘要（ZH）: </w:t>
      </w:r>
      <w:r>
        <w:t>疫苗是预防细菌感染的最有效方法; 确定最佳机道是发展第三代乙型流感嗜血杆菌(Hib)共生疫苗的一个重要步骤; 全面了解Hib 寡叶沙酸盐链链长度与免疫活动之间的关系仍然难以全面了解; 合成了一系列不同长度的Hib 薄膜聚氨酯(CPS)寡叶沙酸盐衍生物,以建立碳水化合物结构功能关系; 对寡叶果酸盐进行胶囊微阵列检查和免疫学评估,发现四甲酸四(由四个反复出现的非焦酸单位组成)是CP的主要免疫性昆虫。</w:t>
      </w:r>
    </w:p>
    <w:p>
      <w:pPr>
        <w:spacing w:before="0" w:after="200" w:lineRule="auto" w:line="276"/>
      </w:pPr>
      <w:r>
        <w:rPr>
          <w:b/>
        </w:rPr>
        <w:t xml:space="preserve">Abstract (EN): </w:t>
      </w:r>
      <w:r>
        <w:t>Vaccines are the most effective method for preventing bacterial infections. Identification of the best hapten is an essential step in the development of third-generation</w:t>
      </w:r>
      <w:r>
        <w:t xml:space="preserve"> </w:t>
      </w:r>
      <w:r>
        <w:t>Haemophilus influenzae</w:t>
      </w:r>
      <w:r>
        <w:t xml:space="preserve"> </w:t>
      </w:r>
      <w:r>
        <w:t>type b (Hib) conjugate vaccines. A comprehensive understanding of the relationship between Hib oligosaccharide chain length and immunological activities remains elusive. A series of Hib capsular polysaccharide (CPS) oligosaccharide derivatives of different lengths were synthesized to establish carbohydrate structure-function relationships. Glycan microarray screening and immunological evaluation of oligosaccharides revealed that tetramer</w:t>
      </w:r>
      <w:r>
        <w:rPr>
          <w:vertAlign w:val="subscript"/>
        </w:rPr>
        <w:t>4</w:t>
      </w:r>
      <w:r>
        <w:t>, comprising four repeated disaccharide units, is the key immunogenic epitope of CPS. The investigation into the influence of carrier proteins, adjuvants, and vaccination dose on immunogenicity demonstrated that an equivalent dose of glycoconjugate</w:t>
      </w:r>
      <w:r>
        <w:rPr>
          <w:vertAlign w:val="subscript"/>
        </w:rPr>
        <w:t>4</w:t>
      </w:r>
      <w:r>
        <w:t>-TT without adjuvant can induce a similar immune response as a licensed Hib vaccine (MINHAI Hib). Adjuvant-free</w:t>
      </w:r>
      <w:r>
        <w:rPr>
          <w:vertAlign w:val="subscript"/>
        </w:rPr>
        <w:t>4</w:t>
      </w:r>
      <w:r>
        <w:t>-TT glycoconjugates can induce both a humoral and a cellular immune response as efficiently as licensed Hib vaccine. This formulation exhibited protective efficacy in a mouse septic infection model through effective pathogen clearance from the circulation to the liver-resident macrophage Kupffer cells and sinusoidal endothelial cells in a mouse septic infection model. In conclusion, a well-defined semisynthetic glycoconjugate vaccine candidate</w:t>
      </w:r>
      <w:r>
        <w:rPr>
          <w:vertAlign w:val="subscript"/>
        </w:rPr>
        <w:t>4</w:t>
      </w:r>
      <w:r>
        <w:t>-TT was developed with a more straightforward and adaptable manufacturing process and demonstrated excellent efficacy comparable to licensed Hib vaccine, providing a rationale for further evaluation in clinical trials.</w:t>
      </w:r>
    </w:p>
    <w:p>
      <w:pPr>
        <w:spacing w:before="120" w:after="120"/>
      </w:pPr>
      <w:r>
        <w:rPr>
          <w:sz w:val="18"/>
        </w:rPr>
        <w:t>——————————————————————————————————————————————————————————————————————</w:t>
      </w:r>
    </w:p>
    <w:p>
      <w:pPr>
        <w:spacing w:before="160" w:after="40" w:line="240" w:lineRule="auto"/>
      </w:pPr>
      <w:r>
        <w:rPr>
          <w:b/>
        </w:rPr>
        <w:t xml:space="preserve">[460] </w:t>
      </w:r>
      <w:hyperlink r:id="rId688">
        <w:r>
          <w:rPr>
            <w:color w:val="1155CC"/>
            <w:u w:val="single"/>
          </w:rPr>
          <w:t>长寿金质小白鼠的不代新陈代谢抗体</w:t>
        </w:r>
      </w:hyperlink>
    </w:p>
    <w:p>
      <w:pPr>
        <w:spacing w:before="0" w:after="80"/>
      </w:pPr>
      <w:r>
        <w:rPr>
          <w:i/>
          <w:sz w:val="20"/>
        </w:rPr>
        <w:t>EN: Immunometabolic resistors of aging in long-lived golden spiny mice</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89">
        <w:r>
          <w:rPr>
            <w:color w:val="1155CC"/>
            <w:u w:val="single"/>
          </w:rPr>
          <w:t>10.1126/sciadv.aec9991</w:t>
        </w:r>
      </w:hyperlink>
    </w:p>
    <w:p>
      <w:pPr>
        <w:spacing w:before="0" w:after="120"/>
      </w:pPr>
      <w:r>
        <w:rPr>
          <w:b/>
        </w:rPr>
        <w:t xml:space="preserve">Notes: </w:t>
      </w:r>
      <w:r>
        <w:t>abstract_source=crossref</w:t>
      </w:r>
    </w:p>
    <w:p>
      <w:pPr>
        <w:spacing w:before="0" w:after="80" w:lineRule="auto" w:line="276"/>
      </w:pPr>
      <w:r>
        <w:rPr>
          <w:b/>
        </w:rPr>
        <w:t xml:space="preserve">摘要（ZH）: </w:t>
      </w:r>
      <w:r>
        <w:t>在进化规模上与实验室小鼠密切相关的长寿命长的野性野性小鼠可以识别耐老化的休眠路径。 脊椎小鼠(Acomys)以其特殊的再生能力而闻名于世,但是它们对于老龄化的适应力还不得而知。 在这里,我们报告说,在非无病原体的环境下长大的金质小鼠(Acomys rusitsatus ),在无病原体的环境中长大,抗功能衰减,与姐妹物种(东脊椎小鼠(Acomys dimididimatos)相比,其免疫性代谢器官的耐久性降低,其修复能力更大。</w:t>
      </w:r>
    </w:p>
    <w:p>
      <w:pPr>
        <w:spacing w:before="0" w:after="200" w:lineRule="auto" w:line="276"/>
      </w:pPr>
      <w:r>
        <w:rPr>
          <w:b/>
        </w:rPr>
        <w:t xml:space="preserve">Abstract (EN): </w:t>
      </w:r>
      <w:r>
        <w:t>Long-lived wild rodents closely related to laboratory mice on the evolutionary scale may allow identification of dormant pathways that resist aging. Spiny mice (</w:t>
      </w:r>
      <w:r>
        <w:t xml:space="preserve"> </w:t>
      </w:r>
      <w:r>
        <w:t>Acomys</w:t>
      </w:r>
      <w:r>
        <w:t xml:space="preserve"> </w:t>
      </w:r>
      <w:r>
        <w:t>) are known for their exceptional regenerative capacity, but their resilience to aging is unknown. Here, we report that aged golden spiny mice (</w:t>
      </w:r>
      <w:r>
        <w:t xml:space="preserve"> </w:t>
      </w:r>
      <w:r>
        <w:t>Acomys russatus</w:t>
      </w:r>
      <w:r>
        <w:t xml:space="preserve"> </w:t>
      </w:r>
      <w:r>
        <w:t>), reared in a non–pathogen-free environment, resist functional decline, have a greater repair capacity with reduced senescence in immune-metabolic organs compared to their sister species, eastern spiny mice (</w:t>
      </w:r>
      <w:r>
        <w:t xml:space="preserve"> </w:t>
      </w:r>
      <w:r>
        <w:t>Acomys dimidiatus</w:t>
      </w:r>
      <w:r>
        <w:t xml:space="preserve"> </w:t>
      </w:r>
      <w:r>
        <w:t>). Aged</w:t>
      </w:r>
      <w:r>
        <w:t xml:space="preserve"> </w:t>
      </w:r>
      <w:r>
        <w:t>A. russatus</w:t>
      </w:r>
      <w:r>
        <w:t xml:space="preserve"> </w:t>
      </w:r>
      <w:r>
        <w:t>maintains transcriptional integrity akin to young mice, highlighting experimental checkpoints for inflammation and mortality. We identified that elevated levels of clusterin in</w:t>
      </w:r>
      <w:r>
        <w:t xml:space="preserve"> </w:t>
      </w:r>
      <w:r>
        <w:t>A. russatus</w:t>
      </w:r>
      <w:r>
        <w:t xml:space="preserve"> </w:t>
      </w:r>
      <w:r>
        <w:t>macrophages restrain inflammaging and enhance health span in aged mice. Thus,</w:t>
      </w:r>
      <w:r>
        <w:t xml:space="preserve"> </w:t>
      </w:r>
      <w:r>
        <w:t>A. russatus</w:t>
      </w:r>
      <w:r>
        <w:t xml:space="preserve"> </w:t>
      </w:r>
      <w:r>
        <w:t>biology reveals therapeutically actionable targets that may enhance or maintain function during aging.</w:t>
      </w:r>
    </w:p>
    <w:p>
      <w:pPr>
        <w:spacing w:before="120" w:after="120"/>
      </w:pPr>
      <w:r>
        <w:rPr>
          <w:sz w:val="18"/>
        </w:rPr>
        <w:t>——————————————————————————————————————————————————————————————————————</w:t>
      </w:r>
    </w:p>
    <w:p>
      <w:pPr>
        <w:spacing w:before="160" w:after="40" w:line="240" w:lineRule="auto"/>
      </w:pPr>
      <w:r>
        <w:rPr>
          <w:b/>
        </w:rPr>
        <w:t xml:space="preserve">[461] </w:t>
      </w:r>
      <w:hyperlink r:id="rId690">
        <w:r>
          <w:rPr>
            <w:color w:val="1155CC"/>
            <w:u w:val="single"/>
          </w:rPr>
          <w:t>与挥挥挥发充电碳酸盐熔化捆绑的上层人文低速度层</w:t>
        </w:r>
      </w:hyperlink>
    </w:p>
    <w:p>
      <w:pPr>
        <w:spacing w:before="0" w:after="80"/>
      </w:pPr>
      <w:r>
        <w:rPr>
          <w:i/>
          <w:sz w:val="20"/>
        </w:rPr>
        <w:t>EN: Upper mantle low-velocity layer tied to volatile-charged carbonate melts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91">
        <w:r>
          <w:rPr>
            <w:color w:val="1155CC"/>
            <w:u w:val="single"/>
          </w:rPr>
          <w:t>10.1126/sciadv.aec1018</w:t>
        </w:r>
      </w:hyperlink>
    </w:p>
    <w:p>
      <w:pPr>
        <w:spacing w:before="0" w:after="120"/>
      </w:pPr>
      <w:r>
        <w:rPr>
          <w:b/>
        </w:rPr>
        <w:t xml:space="preserve">Notes: </w:t>
      </w:r>
      <w:r>
        <w:t>abstract_source=crossref</w:t>
      </w:r>
    </w:p>
    <w:p>
      <w:pPr>
        <w:spacing w:before="0" w:after="80" w:lineRule="auto" w:line="276"/>
      </w:pPr>
      <w:r>
        <w:rPr>
          <w:b/>
        </w:rPr>
        <w:t xml:space="preserve">摘要（ZH）: </w:t>
      </w:r>
      <w:r>
        <w:t>最近的地球物理观测表明地球深处存在小量、碳酸盐含量高的熔化。 然而,这种微小熔化碎片通过基本固态岩石迁移并产生大规模地球物理异常的机制仍然不明确。 在这里,我们的高压实验表明,在H2O和NaCl存在的情况下,碳酸盐含量高的熔化会起到超级扩散的作用,完全湿化和涂层周围地壳矿物的表面。这种完美的湿化甚至能够让微量的熔化(0.02至0.08卷)形成完全相连的网络。 这种连通性有利于有效的熔化迁移和化学交换,推动地表和行星之间的全球材料循环利用。</w:t>
      </w:r>
    </w:p>
    <w:p>
      <w:pPr>
        <w:spacing w:before="0" w:after="200" w:lineRule="auto" w:line="276"/>
      </w:pPr>
      <w:r>
        <w:rPr>
          <w:b/>
        </w:rPr>
        <w:t xml:space="preserve">Abstract (EN): </w:t>
      </w:r>
      <w:r>
        <w:t>Recent geophysical observations indicate the presence of small-volume, carbonate-rich melts in Earth’s deep interior. However, the mechanisms by which such minute melt fractions migrate through largely solid rocks and generate large-scale geophysical anomalies have remained unclear. Here, our high-pressure experiments demonstrate that, in the presence of H</w:t>
      </w:r>
      <w:r>
        <w:rPr>
          <w:vertAlign w:val="subscript"/>
        </w:rPr>
        <w:t>2</w:t>
      </w:r>
      <w:r>
        <w:t>O and NaCl, carbonate-rich melts act as super-spreaders, completely wetting and coating the surfaces of surrounding mantle minerals. This perfect wetting enables even trace amounts of melt (0.02 to 0.08 vol%) to form fully interconnected networks. Such connectivity facilitates efficient melt migration and chemical exchange, driving global material recycling between the surface and planetary interior.</w:t>
      </w:r>
    </w:p>
    <w:p>
      <w:pPr>
        <w:spacing w:before="120" w:after="120"/>
      </w:pPr>
      <w:r>
        <w:rPr>
          <w:sz w:val="18"/>
        </w:rPr>
        <w:t>——————————————————————————————————————————————————————————————————————</w:t>
      </w:r>
    </w:p>
    <w:p>
      <w:pPr>
        <w:spacing w:before="160" w:after="40" w:line="240" w:lineRule="auto"/>
      </w:pPr>
      <w:r>
        <w:rPr>
          <w:b/>
        </w:rPr>
        <w:t xml:space="preserve">[462] </w:t>
      </w:r>
      <w:hyperlink r:id="rId692">
        <w:r>
          <w:rPr>
            <w:color w:val="1155CC"/>
            <w:u w:val="single"/>
          </w:rPr>
          <w:t>方案规制的中度误差便利了丝虫Bombyx mori的二分式精子生产。</w:t>
        </w:r>
      </w:hyperlink>
    </w:p>
    <w:p>
      <w:pPr>
        <w:spacing w:before="0" w:after="80"/>
      </w:pPr>
      <w:r>
        <w:rPr>
          <w:i/>
          <w:sz w:val="20"/>
        </w:rPr>
        <w:t>EN: Programmed meiotic errors facilitate dichotomous sperm production in the silkworm, Bombyx mori</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693">
        <w:r>
          <w:rPr>
            <w:color w:val="1155CC"/>
            <w:u w:val="single"/>
          </w:rPr>
          <w:t>10.1073/pnas.2520991123</w:t>
        </w:r>
      </w:hyperlink>
    </w:p>
    <w:p>
      <w:pPr>
        <w:spacing w:before="0" w:after="120"/>
      </w:pPr>
      <w:r>
        <w:rPr>
          <w:b/>
        </w:rPr>
        <w:t xml:space="preserve">Notes: </w:t>
      </w:r>
      <w:r>
        <w:t>abstract_source=crossref</w:t>
      </w:r>
    </w:p>
    <w:p>
      <w:pPr>
        <w:spacing w:before="0" w:after="80" w:lineRule="auto" w:line="276"/>
      </w:pPr>
      <w:r>
        <w:rPr>
          <w:b/>
        </w:rPr>
        <w:t xml:space="preserve">摘要（ZH）: </w:t>
      </w:r>
      <w:r>
        <w:t>线虫病的目标通常是产生杂交调子(卵子或精子),不这样做对生育能力来说是灾难性的。然而,Lepidopteran(moths和蝴蝶)雄性(moths和蝴蝶)产生两种精子形态:核(eupyrene)精子和(apyrene)精子,这两种精子对于授精都是必不可少的。两种精子的生成类型在微微微差异还不清楚,我们对于和苯丙烯精子产生之间的分子差异的了解在所有系统中都非常有限。经确认,产生苯丙烯精子所需的唯一因素是性致命性(Sxl ) 。这里,我们通过对细胞学分析表明,在基因中存在几种关键差异。</w:t>
      </w:r>
    </w:p>
    <w:p>
      <w:pPr>
        <w:spacing w:before="0" w:after="200" w:lineRule="auto" w:line="276"/>
      </w:pPr>
      <w:r>
        <w:rPr>
          <w:b/>
        </w:rPr>
        <w:t xml:space="preserve">Abstract (EN): </w:t>
      </w:r>
      <w:r>
        <w:t>The goal of meiosis is typically to produce haploid gametes (eggs or sperm). Failure to do so is catastrophic for fertility. However, Lepidopteran (moths and butterflies) males produce two sperm morphs: nucleated (eupyrene) sperm and anucleated (apyrene) sperm, both of which are essential for fertilization. The meiotic differences in the two types of spermatogenesis are unclear, and our knowledge of the molecular differences between eupyrene and apyrene spermatogenesis is extremely limited in all systems. The only factor identified as being required for apyrene spermatogenesis is</w:t>
      </w:r>
      <w:r>
        <w:t xml:space="preserve"> </w:t>
      </w:r>
      <w:r>
        <w:t>Sex-lethal</w:t>
      </w:r>
      <w:r>
        <w:t xml:space="preserve"> </w:t>
      </w:r>
      <w:r>
        <w:t>(</w:t>
      </w:r>
      <w:r>
        <w:t xml:space="preserve"> </w:t>
      </w:r>
      <w:r>
        <w:t>Sxl</w:t>
      </w:r>
      <w:r>
        <w:t xml:space="preserve"> </w:t>
      </w:r>
      <w:r>
        <w:t>). Here, we show through cytological analysis of meiotic events that there are several key differences in the genesis of apyrene and eupyrene sperm. Specifically, during meiosis I, apyrene spermatocytes fail to decondense and pair their chromosomes during meiotic prophase I. Telomeres fail to localize to the nuclear periphery, and full-length synaptonemal complex does not form. We also find evidence of an abnormal second cell division during apyrene meiosis. RNA sequencing of both eupyrene- and apyrene-producing testes reveals distinct changes in transcriptional programs, including down-regulation of a myriad of cell division genes during apyrene meiosis. By comparing wildtype and</w:t>
      </w:r>
      <w:r>
        <w:t xml:space="preserve"> </w:t>
      </w:r>
      <w:r>
        <w:t>Sxl</w:t>
      </w:r>
      <w:r>
        <w:t xml:space="preserve"> </w:t>
      </w:r>
      <w:r>
        <w:t>-knockout apyrene testes, we found that</w:t>
      </w:r>
      <w:r>
        <w:t xml:space="preserve"> </w:t>
      </w:r>
      <w:r>
        <w:t>Sxl</w:t>
      </w:r>
      <w:r>
        <w:t xml:space="preserve"> </w:t>
      </w:r>
      <w:r>
        <w:t>is not required for regulating the expression of the cell division genes but instead may play a role in blocking hormone signaling from altering testis cell identity. Together, our findings reveal significant insights into two converging molecular pathways that promote the formation of dimorphic sperm in Lepidoptera.</w:t>
      </w:r>
    </w:p>
    <w:p>
      <w:pPr>
        <w:spacing w:before="120" w:after="120"/>
      </w:pPr>
      <w:r>
        <w:rPr>
          <w:sz w:val="18"/>
        </w:rPr>
        <w:t>——————————————————————————————————————————————————————————————————————</w:t>
      </w:r>
    </w:p>
    <w:p>
      <w:pPr>
        <w:spacing w:before="160" w:after="40" w:line="240" w:lineRule="auto"/>
      </w:pPr>
      <w:r>
        <w:rPr>
          <w:b/>
        </w:rPr>
        <w:t xml:space="preserve">[463] </w:t>
      </w:r>
      <w:hyperlink r:id="rId694">
        <w:r>
          <w:rPr>
            <w:color w:val="1155CC"/>
            <w:u w:val="single"/>
          </w:rPr>
          <w:t>非洲以外的国家不支持全球生物多样性灾难</w:t>
        </w:r>
      </w:hyperlink>
    </w:p>
    <w:p>
      <w:pPr>
        <w:spacing w:before="0" w:after="80"/>
      </w:pPr>
      <w:r>
        <w:rPr>
          <w:i/>
          <w:sz w:val="20"/>
        </w:rPr>
        <w:t>EN: Out of Africa comes no support for global biodiversity catastrophes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95">
        <w:r>
          <w:rPr>
            <w:color w:val="1155CC"/>
            <w:u w:val="single"/>
          </w:rPr>
          <w:t>10.1126/sciadv.aee6950</w:t>
        </w:r>
      </w:hyperlink>
    </w:p>
    <w:p>
      <w:pPr>
        <w:spacing w:before="0" w:after="120"/>
      </w:pPr>
      <w:r>
        <w:rPr>
          <w:b/>
        </w:rPr>
        <w:t xml:space="preserve">Notes: </w:t>
      </w:r>
      <w:r>
        <w:t>abstract_source=crossref</w:t>
      </w:r>
    </w:p>
    <w:p>
      <w:pPr>
        <w:spacing w:before="0" w:after="80" w:lineRule="auto" w:line="276"/>
      </w:pPr>
      <w:r>
        <w:rPr>
          <w:b/>
        </w:rPr>
        <w:t xml:space="preserve">摘要（ZH）: </w:t>
      </w:r>
      <w:r>
        <w:t>《生命地球指数》和不断变化的生物多样性完整性或健康地球界限的迭代是不适当、误导性的,并将损害实地养护努力。</w:t>
      </w:r>
    </w:p>
    <w:p>
      <w:pPr>
        <w:spacing w:before="0" w:after="200" w:lineRule="auto" w:line="276"/>
      </w:pPr>
      <w:r>
        <w:rPr>
          <w:b/>
        </w:rPr>
        <w:t xml:space="preserve">Abstract (EN): </w:t>
      </w:r>
      <w:r>
        <w:t>The Living Planet Index and the ever-changing iterations of planetary boundaries for biodiversity integrity or health are inappropriate, misleading, and will harm on-the-ground conservation efforts.</w:t>
      </w:r>
    </w:p>
    <w:p>
      <w:pPr>
        <w:spacing w:before="120" w:after="120"/>
      </w:pPr>
      <w:r>
        <w:rPr>
          <w:sz w:val="18"/>
        </w:rPr>
        <w:t>——————————————————————————————————————————————————————————————————————</w:t>
      </w:r>
    </w:p>
    <w:p>
      <w:pPr>
        <w:spacing w:before="160" w:after="40" w:line="240" w:lineRule="auto"/>
      </w:pPr>
      <w:r>
        <w:rPr>
          <w:b/>
        </w:rPr>
        <w:t xml:space="preserve">[464] </w:t>
      </w:r>
      <w:hyperlink r:id="rId696">
        <w:r>
          <w:rPr>
            <w:color w:val="1155CC"/>
            <w:u w:val="single"/>
          </w:rPr>
          <w:t>单心机体中锚定点的几何偏好 Stentor coeruus</w:t>
        </w:r>
      </w:hyperlink>
    </w:p>
    <w:p>
      <w:pPr>
        <w:spacing w:before="0" w:after="80"/>
      </w:pPr>
      <w:r>
        <w:rPr>
          <w:i/>
          <w:sz w:val="20"/>
        </w:rPr>
        <w:t>EN: Geometrical preference of anchoring sites in the unicellular organism Stentor coeruleus</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697">
        <w:r>
          <w:rPr>
            <w:color w:val="1155CC"/>
            <w:u w:val="single"/>
          </w:rPr>
          <w:t>10.1073/pnas.2518816123</w:t>
        </w:r>
      </w:hyperlink>
    </w:p>
    <w:p>
      <w:pPr>
        <w:spacing w:before="0" w:after="120"/>
      </w:pPr>
      <w:r>
        <w:rPr>
          <w:b/>
        </w:rPr>
        <w:t xml:space="preserve">Notes: </w:t>
      </w:r>
      <w:r>
        <w:t>abstract_source=crossref</w:t>
      </w:r>
    </w:p>
    <w:p>
      <w:pPr>
        <w:spacing w:before="0" w:after="80" w:lineRule="auto" w:line="276"/>
      </w:pPr>
      <w:r>
        <w:rPr>
          <w:b/>
        </w:rPr>
        <w:t xml:space="preserve">摘要（ZH）: </w:t>
      </w:r>
      <w:r>
        <w:t>动物依靠周围几何结构的视觉信息进行导航。即使微观规模,各种微小沉积物也形成微生物生境的复杂结构。微生物的移动受到碰撞和与周围结构的流体动力相互作用的被动影响。然而,微环境几何对缺乏视觉的未冰状生物的行为变化的影响仍然不明确。在这里,我们开发了几何结构化的室室,以调查游泳仙子恒星的定点偏好。我们的实验显示,S. coeroulus对缺乏视觉的未冰状生物的行为变化的影响仍然不清楚。</w:t>
      </w:r>
    </w:p>
    <w:p>
      <w:pPr>
        <w:spacing w:before="0" w:after="200" w:lineRule="auto" w:line="276"/>
      </w:pPr>
      <w:r>
        <w:rPr>
          <w:b/>
        </w:rPr>
        <w:t xml:space="preserve">Abstract (EN): </w:t>
      </w:r>
      <w:r>
        <w:t>Organisms often inhabit environments comprising complex structures across various scales. Animals rely on visual information from surrounding geometrical structures for navigation. Even at the microscale, various microsediments form complex structures in microbial habitats. The movement of microorganisms is passively affected by collisions and hydrodynamic interactions with surrounding structures. However, the influence of microenvironmental geometry on behavioral changes of unicellular organisms that lack visual perception remains unclear. Here, we developed geometrically structured chambers to investigate anchoring site preferences in the swimming ciliate</w:t>
      </w:r>
      <w:r>
        <w:t xml:space="preserve"> </w:t>
      </w:r>
      <w:r>
        <w:t>Stentor coeruleus</w:t>
      </w:r>
      <w:r>
        <w:t xml:space="preserve"> </w:t>
      </w:r>
      <w:r>
        <w:t>. Our experiments revealed that</w:t>
      </w:r>
      <w:r>
        <w:t xml:space="preserve"> </w:t>
      </w:r>
      <w:r>
        <w:t>S. coeruleus</w:t>
      </w:r>
      <w:r>
        <w:t xml:space="preserve"> </w:t>
      </w:r>
      <w:r>
        <w:t>preferentially anchored in narrow regions characterized by specific geometrical features, including corner angle, depth, and curvature at the corner end. Before anchoring, free-swimming</w:t>
      </w:r>
      <w:r>
        <w:t xml:space="preserve"> </w:t>
      </w:r>
      <w:r>
        <w:t>S. coeruleus</w:t>
      </w:r>
      <w:r>
        <w:t xml:space="preserve"> </w:t>
      </w:r>
      <w:r>
        <w:t>changed its behavior to move along the boundary wall of the chambers, accompanied by Ca</w:t>
      </w:r>
      <w:r>
        <w:t xml:space="preserve"> </w:t>
      </w:r>
      <w:r>
        <w:t>2+</w:t>
      </w:r>
      <w:r>
        <w:t xml:space="preserve"> </w:t>
      </w:r>
      <w:r>
        <w:t>-induced asymmetrical body deformation. To further investigate how</w:t>
      </w:r>
      <w:r>
        <w:t xml:space="preserve"> </w:t>
      </w:r>
      <w:r>
        <w:t>S. coeruleus</w:t>
      </w:r>
      <w:r>
        <w:t xml:space="preserve"> </w:t>
      </w:r>
      <w:r>
        <w:t>moves along the wall continuously, we conducted a hydrodynamic simulation and revealed that the asymmetric morphology causes asymmetric propulsive forces, explaining wall-following behavior through physical interactions with a wall. Thus, morphological change near a wall causes wall-following behavior, facilitating the identification of these narrow anchoring sites. Our findings indicate that environmental geometry drives behavioral transitions in</w:t>
      </w:r>
      <w:r>
        <w:t xml:space="preserve"> </w:t>
      </w:r>
      <w:r>
        <w:t>S. coeruleus</w:t>
      </w:r>
      <w:r>
        <w:t xml:space="preserve"> </w:t>
      </w:r>
      <w:r>
        <w:t>through simple biophysical processes, enabling spatial selection without visual cues. Overall, these results suggest that microgeometry plays a key role in shaping ecological niches for unicellular microorganisms.</w:t>
      </w:r>
    </w:p>
    <w:p>
      <w:pPr>
        <w:spacing w:before="120" w:after="120"/>
      </w:pPr>
      <w:r>
        <w:rPr>
          <w:sz w:val="18"/>
        </w:rPr>
        <w:t>——————————————————————————————————————————————————————————————————————</w:t>
      </w:r>
    </w:p>
    <w:p>
      <w:pPr>
        <w:spacing w:before="160" w:after="40" w:line="240" w:lineRule="auto"/>
      </w:pPr>
      <w:r>
        <w:rPr>
          <w:b/>
        </w:rPr>
        <w:t xml:space="preserve">[465] </w:t>
      </w:r>
      <w:hyperlink r:id="rId698">
        <w:r>
          <w:rPr>
            <w:color w:val="1155CC"/>
            <w:u w:val="single"/>
          </w:rPr>
          <w:t>3D Anderson 古典天梯波的本地化</w:t>
        </w:r>
      </w:hyperlink>
    </w:p>
    <w:p>
      <w:pPr>
        <w:spacing w:before="0" w:after="80"/>
      </w:pPr>
      <w:r>
        <w:rPr>
          <w:i/>
          <w:sz w:val="20"/>
        </w:rPr>
        <w:t>EN: 3D Anderson localization of classical scalar waves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699">
        <w:r>
          <w:rPr>
            <w:color w:val="1155CC"/>
            <w:u w:val="single"/>
          </w:rPr>
          <w:t>10.1126/sciadv.aed1319</w:t>
        </w:r>
      </w:hyperlink>
    </w:p>
    <w:p>
      <w:pPr>
        <w:spacing w:before="0" w:after="120"/>
      </w:pPr>
      <w:r>
        <w:rPr>
          <w:b/>
        </w:rPr>
        <w:t xml:space="preserve">Notes: </w:t>
      </w:r>
      <w:r>
        <w:t>abstract_source=crossref</w:t>
      </w:r>
    </w:p>
    <w:p>
      <w:pPr>
        <w:spacing w:before="0" w:after="80" w:lineRule="auto" w:line="276"/>
      </w:pPr>
      <w:r>
        <w:rPr>
          <w:b/>
        </w:rPr>
        <w:t xml:space="preserve">摘要（ZH）: </w:t>
      </w:r>
      <w:r>
        <w:t>1958年首次预测的安德森本地化是最引人入胜、最引人注目的波浪现象之一。 实验性地探索三维(3D)无序系统(对于古典波浪(灯光或声音)仍然非常积极地追求的三维(3D)扰动系统)的悬浮迁移的停止,从没有在3D元材料的最新进展的启发下证明,由软金属珠悬浮构成的局部共振超声波裂变是3D Anderson需要的革新。 通过报告两组独立的时间和位置解析超声波实验,我们提出了安德森在扩散和本地化之间发生转变的明确证据,acc。</w:t>
      </w:r>
    </w:p>
    <w:p>
      <w:pPr>
        <w:spacing w:before="0" w:after="200" w:lineRule="auto" w:line="276"/>
      </w:pPr>
      <w:r>
        <w:rPr>
          <w:b/>
        </w:rPr>
        <w:t xml:space="preserve">Abstract (EN): </w:t>
      </w:r>
      <w:r>
        <w:t>Anderson localization, first predicted in 1958, is one of the most fascinating and remarkable wave phenomena. The experimental search for this halt of diffusive transport in three-dimensional (3D) disordered systems, which is still very actively pursued for classical waves (light or sound), has never been demonstrated for the fundamental case of scalar waves. Inspired by recent advances in 3D metamaterials, we show that a locally resonant ultrasonic metafluid consisting of a suspension of soft metallic beads is the innovation needed for 3D Anderson localization of scalar acoustic waves to be definitively observed. By reporting two independent sets of time- and position-resolved ultrasonic experiments, we present clear evidence of Anderson transitions between diffusion and localization, accurately determining the mobility edges and the localization phase diagram.</w:t>
      </w:r>
    </w:p>
    <w:p>
      <w:pPr>
        <w:spacing w:before="120" w:after="120"/>
      </w:pPr>
      <w:r>
        <w:rPr>
          <w:sz w:val="18"/>
        </w:rPr>
        <w:t>——————————————————————————————————————————————————————————————————————</w:t>
      </w:r>
    </w:p>
    <w:p>
      <w:pPr>
        <w:spacing w:before="160" w:after="40" w:line="240" w:lineRule="auto"/>
      </w:pPr>
      <w:r>
        <w:rPr>
          <w:b/>
        </w:rPr>
        <w:t xml:space="preserve">[466] </w:t>
      </w:r>
      <w:hyperlink r:id="rId700">
        <w:r>
          <w:rPr>
            <w:color w:val="1155CC"/>
            <w:u w:val="single"/>
          </w:rPr>
          <w:t>用于逻辑驱动精确诊断的基于DNA的分子变压器</w:t>
        </w:r>
      </w:hyperlink>
    </w:p>
    <w:p>
      <w:pPr>
        <w:spacing w:before="0" w:after="80"/>
      </w:pPr>
      <w:r>
        <w:rPr>
          <w:i/>
          <w:sz w:val="20"/>
        </w:rPr>
        <w:t>EN: DNA framework–based molecular transformer for logic-driven precision diagnostics</w:t>
      </w:r>
    </w:p>
    <w:p>
      <w:pPr>
        <w:spacing w:before="0" w:after="120"/>
      </w:pPr>
      <w:r>
        <w:rPr>
          <w:b/>
        </w:rPr>
        <w:t xml:space="preserve">Source: </w:t>
      </w:r>
      <w:r>
        <w:t>AAAS: Science Advances: Table of Contents</w:t>
      </w:r>
      <w:r>
        <w:t xml:space="preserve">    </w:t>
      </w:r>
      <w:r>
        <w:rPr>
          <w:b/>
        </w:rPr>
        <w:t xml:space="preserve">Pub date: </w:t>
      </w:r>
      <w:r>
        <w:t>2026-02-25 08:00:00+00:00</w:t>
      </w:r>
      <w:r>
        <w:t xml:space="preserve">    </w:t>
      </w:r>
      <w:r>
        <w:rPr>
          <w:b/>
        </w:rPr>
        <w:t xml:space="preserve">DOI: </w:t>
      </w:r>
      <w:hyperlink r:id="rId701">
        <w:r>
          <w:rPr>
            <w:color w:val="1155CC"/>
            <w:u w:val="single"/>
          </w:rPr>
          <w:t>10.1126/sciadv.aeb5612</w:t>
        </w:r>
      </w:hyperlink>
    </w:p>
    <w:p>
      <w:pPr>
        <w:spacing w:before="0" w:after="120"/>
      </w:pPr>
      <w:r>
        <w:rPr>
          <w:b/>
        </w:rPr>
        <w:t xml:space="preserve">Notes: </w:t>
      </w:r>
      <w:r>
        <w:t>abstract_source=crossref</w:t>
      </w:r>
    </w:p>
    <w:p>
      <w:pPr>
        <w:spacing w:before="0" w:after="80" w:lineRule="auto" w:line="276"/>
      </w:pPr>
      <w:r>
        <w:rPr>
          <w:b/>
        </w:rPr>
        <w:t xml:space="preserve">摘要（ZH）: </w:t>
      </w:r>
      <w:r>
        <w:t>精密诊断要求将各种生物标志信息进行逻辑整合,但分子异质性和不一致的识别动因学妨碍了有力的逻辑分析。为了克服这一点,我们开发了通用分子变异器,将DNA四面形框架(DTFs)作为可编程的脚架。这个系统将包括蛋白质和可变长核核酸在内的多种生物标志转换成统一的22核核酸DNA序列,使信息维度和识别动能标准化。这些统一序列是三个基本原理(AND、OR和INHITITIT)的输入要素,三个基本原理(AND、OR和INHITITI)的输入,使可编程分子决策成为可能。在金芯平台上整合的DTF变异器和逻辑系统在统计上实现了重大歧视(AND、OR和INHITITI) 。</w:t>
      </w:r>
    </w:p>
    <w:p>
      <w:pPr>
        <w:spacing w:before="0" w:after="200" w:lineRule="auto" w:line="276"/>
      </w:pPr>
      <w:r>
        <w:rPr>
          <w:b/>
        </w:rPr>
        <w:t xml:space="preserve">Abstract (EN): </w:t>
      </w:r>
      <w:r>
        <w:t>Precision diagnostics requires logical integration of diverse biomarker information, but molecular heterogeneity and inconsistent identification kinetics hinder robust logic analysis. To overcome this, we develop a universal molecular transformer using DNA tetrahedral frameworks (DTFs) as programmable scaffolds. This system converts diverse biomarkers including proteins and variable-length nucleic acids into uniform 22-nucleotide DNA sequences, normalizing information dimensionality and identification kinetics. These uniform sequences serve as inputs for three fundamentals Boolean logic gates (AND, OR, and INHIBIT), enabling programmable molecular decision-making. Integrated on a gold-chip platform, the DTF transformer and logic system achieved statistically significant discrimination (</w:t>
      </w:r>
      <w:r>
        <w:t xml:space="preserve"> </w:t>
      </w:r>
      <w:r>
        <w:t>P</w:t>
      </w:r>
      <w:r>
        <w:t xml:space="preserve"> </w:t>
      </w:r>
      <w:r>
        <w:t>&amp;lt; 0.0001) among patients with prostate cancer, patients with benign prostatic hyperplasia, and healthy individuals using only two biomarkers (prostate-specific antigen and ALU115). By unifying signal transformation for Boolean logic computation, we resolve the critical challenges in molecular heterogeneity and establish a versatile platform for next-generation precision diagnostics.</w:t>
      </w:r>
    </w:p>
    <w:p>
      <w:pPr>
        <w:spacing w:before="120" w:after="120"/>
      </w:pPr>
      <w:r>
        <w:rPr>
          <w:sz w:val="18"/>
        </w:rPr>
        <w:t>——————————————————————————————————————————————————————————————————————</w:t>
      </w:r>
    </w:p>
    <w:p>
      <w:pPr>
        <w:spacing w:before="160" w:after="40" w:line="240" w:lineRule="auto"/>
      </w:pPr>
      <w:r>
        <w:rPr>
          <w:b/>
        </w:rPr>
        <w:t xml:space="preserve">[467] </w:t>
      </w:r>
      <w:hyperlink r:id="rId702">
        <w:r>
          <w:rPr>
            <w:color w:val="1155CC"/>
            <w:u w:val="single"/>
          </w:rPr>
          <w:t>通过冷冻-EM解冻一种尤卡利病毒的成熟途径</w:t>
        </w:r>
      </w:hyperlink>
    </w:p>
    <w:p>
      <w:pPr>
        <w:spacing w:before="0" w:after="80"/>
      </w:pPr>
      <w:r>
        <w:rPr>
          <w:i/>
          <w:sz w:val="20"/>
        </w:rPr>
        <w:t>EN: Unraveling the maturation pathway of a eukaryotic virus through cryo-EM</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703">
        <w:r>
          <w:rPr>
            <w:color w:val="1155CC"/>
            <w:u w:val="single"/>
          </w:rPr>
          <w:t>10.1073/pnas.2420493123</w:t>
        </w:r>
      </w:hyperlink>
    </w:p>
    <w:p>
      <w:pPr>
        <w:spacing w:before="0" w:after="120"/>
      </w:pPr>
      <w:r>
        <w:rPr>
          <w:b/>
        </w:rPr>
        <w:t xml:space="preserve">Notes: </w:t>
      </w:r>
      <w:r>
        <w:t>abstract_source=crossref</w:t>
      </w:r>
    </w:p>
    <w:p>
      <w:pPr>
        <w:spacing w:before="0" w:after="80" w:lineRule="auto" w:line="276"/>
      </w:pPr>
      <w:r>
        <w:rPr>
          <w:b/>
        </w:rPr>
        <w:t xml:space="preserve">摘要（ZH）: </w:t>
      </w:r>
      <w:r>
        <w:t>病毒自发是一个基本的生物过程,涉及大规模结构重组,推动功能激活并导致感染性。了解从最初的先发型组装到成熟的病毒,对于理解病毒生命周期和发展抗病毒疗法至关重要。然而,由于中间国家的短暂性和难以捉摸的性质,捕捉这些步骤一直具有挑战性。非渗透性T=4,含有SSRNA的Nudaurelia Apensis omega病毒(NV)是一个非常容易获得的示范系统,它展示了一种电子病毒的成熟过程。在毛发期间,外直径粒子从482 (pH 7.6)到428 (pH 5.0)都有可能模拟毛发体。在毛发期间,外径粒子从482 (pH 7.6)到428 (pH 5.0)都具有挑战性。</w:t>
      </w:r>
    </w:p>
    <w:p>
      <w:pPr>
        <w:spacing w:before="0" w:after="200" w:lineRule="auto" w:line="276"/>
      </w:pPr>
      <w:r>
        <w:rPr>
          <w:b/>
        </w:rPr>
        <w:t xml:space="preserve">Abstract (EN): </w:t>
      </w:r>
      <w:r>
        <w:t>Virus maturation is a fundamental biological process involving large-scale structural reorganizations that drive functional activation and lead to infectivity. Understanding the steps from the initial procapsid assembly to mature virions is essential, both for comprehending viral life cycles and for developing antiviral therapies. However, capturing these steps has been challenging due to the transient and elusive nature of intermediate states. The nonenveloped, T = 4, ssRNA-containing,</w:t>
      </w:r>
      <w:r>
        <w:t xml:space="preserve"> </w:t>
      </w:r>
      <w:r>
        <w:t>Nudaurelia capensis</w:t>
      </w:r>
      <w:r>
        <w:t xml:space="preserve"> </w:t>
      </w:r>
      <w:r>
        <w:t>omega virus (NωV) is a highly accessible model system that exemplifies the maturation process of a eukaryotic virus. During maturation, the particle shrinks in outer diameter from 482 Å (pH 7.6) to 428 Å (pH 5.0). It is possible to mimic the maturation process in vitro by lowering the pH of a population of procapsids produced in heterologous systems. Indeed, by controlling the pH in vitro, it is possible to produce homogenous populations of intermediate NωV virus-like particles (VLPs) that occur too fleetingly to be observed in vivo. Here, we report structural models, based on cryoelectron microscopy (cryo-EM), of five intermediates in the NωV maturation process. The structures of the intermediate particles reveal unique, quaternary position-dependent trajectories and refolding of subunit N and C-terminal regions, including the formation of the autocatalytic cleavage site at N570. The detailed structures reported here, coupled with previously determined structures of the procapsids and mature particles, allow the maturation pathway to be described in detail for a eukaryotic virus.</w:t>
      </w:r>
    </w:p>
    <w:p>
      <w:pPr>
        <w:spacing w:before="120" w:after="120"/>
      </w:pPr>
      <w:r>
        <w:rPr>
          <w:sz w:val="18"/>
        </w:rPr>
        <w:t>——————————————————————————————————————————————————————————————————————</w:t>
      </w:r>
    </w:p>
    <w:p>
      <w:pPr>
        <w:spacing w:before="160" w:after="40" w:line="240" w:lineRule="auto"/>
      </w:pPr>
      <w:r>
        <w:rPr>
          <w:b/>
        </w:rPr>
        <w:t xml:space="preserve">[468] </w:t>
      </w:r>
      <w:hyperlink r:id="rId704">
        <w:r>
          <w:rPr>
            <w:color w:val="1155CC"/>
            <w:u w:val="single"/>
          </w:rPr>
          <w:t>利用冷冻PRISM在细胞提取物中获取骨质结构:无净化的冷冻EM方法揭示出新的结构状态。</w:t>
        </w:r>
      </w:hyperlink>
    </w:p>
    <w:p>
      <w:pPr>
        <w:spacing w:before="0" w:after="80"/>
      </w:pPr>
      <w:r>
        <w:rPr>
          <w:i/>
          <w:sz w:val="20"/>
        </w:rPr>
        <w:t>EN: Capturing ribosomal structures in cellular extracts with cryoPRISM: A purification-free cryoEM approach reveals novel structural states</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705">
        <w:r>
          <w:rPr>
            <w:color w:val="1155CC"/>
            <w:u w:val="single"/>
          </w:rPr>
          <w:t>10.1073/pnas.2521210123</w:t>
        </w:r>
      </w:hyperlink>
    </w:p>
    <w:p>
      <w:pPr>
        <w:spacing w:before="0" w:after="120"/>
      </w:pPr>
      <w:r>
        <w:rPr>
          <w:b/>
        </w:rPr>
        <w:t xml:space="preserve">Notes: </w:t>
      </w:r>
      <w:r>
        <w:t>abstract_source=crossref</w:t>
      </w:r>
    </w:p>
    <w:p>
      <w:pPr>
        <w:spacing w:before="0" w:after="80" w:lineRule="auto" w:line="276"/>
      </w:pPr>
      <w:r>
        <w:rPr>
          <w:b/>
        </w:rPr>
        <w:t xml:space="preserve">摘要（ZH）: </w:t>
      </w:r>
      <w:r>
        <w:t>通过单一粒子低温电子显微显微镜(cryoEM)对血清进行结构分析,传统上依靠纯化或重组的样本,其中颗粒往往通过遗传、药理学或生化化学扰动被困在理想状态中,尽管信息丰富,但这种体外方法往往不能完全反映细胞结构状态和相关蛋白因素的多样性。相反,现场的冷冻电子摄影保存了细胞环境,但受到低量的吞吸附和适度分辨率的限制。在这里,我们介绍了低温PRISM(从子细胞混合物中不含净化性血清素成像),这是一种快速的外活性工作流程,包括细胞分解、振动和图像分析方法,用于直接从细胞中对骨质结构进行高分辨率分析。</w:t>
      </w:r>
    </w:p>
    <w:p>
      <w:pPr>
        <w:spacing w:before="0" w:after="200" w:lineRule="auto" w:line="276"/>
      </w:pPr>
      <w:r>
        <w:rPr>
          <w:b/>
        </w:rPr>
        <w:t xml:space="preserve">Abstract (EN): </w:t>
      </w:r>
      <w:r>
        <w:t>Structural analyses of ribosomes by single particle cryogenic electron microscopy (cryoEM) have traditionally relied on purified or reconstituted samples, with particles often trapped in desired states using genetic, pharmacological, or biochemical perturbations. While informative, such in vitro methods often fail to capture the full diversity of structural states and associated protein factors present in cells. In contrast, in situ cryoelectron tomography preserves cellular context but is limited by low throughput and modest resolution. Here, we present cryoPRISM (purification-free ribosome imaging from subcellular mixtures), a rapid ex vivo workflow encompassing cell lysis, vitrification, and image analysis methods for high-resolution analyses of ribosomal structures directly from cell lysates. Applying cryoPRISM in</w:t>
      </w:r>
      <w:r>
        <w:t xml:space="preserve"> </w:t>
      </w:r>
      <w:r>
        <w:t>Escherichia coli</w:t>
      </w:r>
      <w:r>
        <w:t xml:space="preserve"> </w:t>
      </w:r>
      <w:r>
        <w:t>, we resolved more than 20 distinct ribosomal states spanning assembly, translation initiation, elongation, trans-translation, and quiescence, including a novel configuration of EF-G bound to idle ribosomes with the ribosome hibernation factor ribosome-associated inhibitor A. Given its speed, accessibility, and ability to preserve native interactions and structural heterogeneity, we anticipate that cryoPRISM will be broadly applicable for uncovering ribosomal biology across diverse organisms and conditions.</w:t>
      </w:r>
    </w:p>
    <w:p>
      <w:pPr>
        <w:spacing w:before="120" w:after="120"/>
      </w:pPr>
      <w:r>
        <w:rPr>
          <w:sz w:val="18"/>
        </w:rPr>
        <w:t>——————————————————————————————————————————————————————————————————————</w:t>
      </w:r>
    </w:p>
    <w:p>
      <w:pPr>
        <w:spacing w:before="160" w:after="40" w:line="240" w:lineRule="auto"/>
      </w:pPr>
      <w:r>
        <w:rPr>
          <w:b/>
        </w:rPr>
        <w:t xml:space="preserve">[469] </w:t>
      </w:r>
      <w:hyperlink r:id="rId706">
        <w:r>
          <w:rPr>
            <w:color w:val="1155CC"/>
            <w:u w:val="single"/>
          </w:rPr>
          <w:t>通过两光高维干扰有效评价光量模块</w:t>
        </w:r>
      </w:hyperlink>
    </w:p>
    <w:p>
      <w:pPr>
        <w:spacing w:before="0" w:after="80"/>
      </w:pPr>
      <w:r>
        <w:rPr>
          <w:i/>
          <w:sz w:val="20"/>
        </w:rPr>
        <w:t>EN: Efficient evaluation of optical quantum modules via two-photon high-dimensional interference</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707">
        <w:r>
          <w:rPr>
            <w:color w:val="1155CC"/>
            <w:u w:val="single"/>
          </w:rPr>
          <w:t>10.1073/pnas.2515503123</w:t>
        </w:r>
      </w:hyperlink>
    </w:p>
    <w:p>
      <w:pPr>
        <w:spacing w:before="0" w:after="120"/>
      </w:pPr>
      <w:r>
        <w:rPr>
          <w:b/>
        </w:rPr>
        <w:t xml:space="preserve">Notes: </w:t>
      </w:r>
      <w:r>
        <w:t>abstract_source=crossref</w:t>
      </w:r>
    </w:p>
    <w:p>
      <w:pPr>
        <w:spacing w:before="0" w:after="80" w:lineRule="auto" w:line="276"/>
      </w:pPr>
      <w:r>
        <w:rPr>
          <w:b/>
        </w:rPr>
        <w:t xml:space="preserve">摘要（ZH）: </w:t>
      </w:r>
      <w:r>
        <w:t>量子信息技术的快速进步增加了对精确测试和校准量子模块的需求,特别是在光量子电路中,因为光量子电路模块的可靠性直接影响到系统性能。为了满足这一需求,我们提议了基于高维Hong-Ou-Mandel干扰的双光子量子模块评价方法。我们的方法使用多度自由光子编码,以便对光量子模块进行快速和准确的评价。与量子过程造影和直接忠诚估计等传统方法相比,我们的方法不仅简化了执行过程,而且大大减少了所需的测量资源。 值得注意的是,资源需求作为系统维度尺度,在数量尺度上仍然是不变的。</w:t>
      </w:r>
    </w:p>
    <w:p>
      <w:pPr>
        <w:spacing w:before="0" w:after="200" w:lineRule="auto" w:line="276"/>
      </w:pPr>
      <w:r>
        <w:rPr>
          <w:b/>
        </w:rPr>
        <w:t xml:space="preserve">Abstract (EN): </w:t>
      </w:r>
      <w:r>
        <w:t>The rapid advancement of quantum information technology has increased the demand for precise testing and calibration of quantum modules, especially in optical quantum circuits where module reliability directly impacts system performance. To address this need, we propose a two-photon quantum module evaluation method based on high-dimensional Hong–Ou–Mandel interference. Our method uses multi-degree-of-freedom photon encoding to enable rapid and accurate evaluation of optical quantum modules. Compared to traditional methods such as quantum process tomography and direct fidelity estimation, our method not only simplifies implementation but also significantly minimizes the measurement resources required. Notably, the resource demands remain invariant as the system dimensionality scales, ensuring efficient evaluation even in high-dimensional quantum systems. We validated this method on a programmable silicon photonic chip, demonstrating its ability to accurately evaluate optical quantum module performance while significantly reducing resource consumption. This quantum module evaluation method holds promise for broader applications in the field of optical quantum information technologies.</w:t>
      </w:r>
    </w:p>
    <w:p>
      <w:pPr>
        <w:spacing w:before="120" w:after="120"/>
      </w:pPr>
      <w:r>
        <w:rPr>
          <w:sz w:val="18"/>
        </w:rPr>
        <w:t>——————————————————————————————————————————————————————————————————————</w:t>
      </w:r>
    </w:p>
    <w:p>
      <w:pPr>
        <w:spacing w:before="160" w:after="40" w:line="240" w:lineRule="auto"/>
      </w:pPr>
      <w:r>
        <w:rPr>
          <w:b/>
        </w:rPr>
        <w:t xml:space="preserve">[470] </w:t>
      </w:r>
      <w:hyperlink r:id="rId708">
        <w:r>
          <w:rPr>
            <w:color w:val="1155CC"/>
            <w:u w:val="single"/>
          </w:rPr>
          <w:t>在美援署削减后,我们可以在更公平的数据基础设施和更强有力的研究完整性的基础上,创建一个人口和健康调查方案。</w:t>
        </w:r>
      </w:hyperlink>
    </w:p>
    <w:p>
      <w:pPr>
        <w:spacing w:before="0" w:after="80"/>
      </w:pPr>
      <w:r>
        <w:rPr>
          <w:i/>
          <w:sz w:val="20"/>
        </w:rPr>
        <w:t>EN: In the wake of USAID cuts, we can create a Demographic and Health Survey Program founded on more equitable data infrastructure and stronger research integrity</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709">
        <w:r>
          <w:rPr>
            <w:color w:val="1155CC"/>
            <w:u w:val="single"/>
          </w:rPr>
          <w:t>10.1073/pnas.2513242123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[471] </w:t>
      </w:r>
      <w:hyperlink r:id="rId710">
        <w:r>
          <w:rPr>
            <w:color w:val="1155CC"/>
            <w:u w:val="single"/>
          </w:rPr>
          <w:t>通过1毫RNA稳定,通过Neurexin 1 mRNA稳定,对甲状腺素形成进行调节。</w:t>
        </w:r>
      </w:hyperlink>
    </w:p>
    <w:p>
      <w:pPr>
        <w:spacing w:before="0" w:after="80"/>
      </w:pPr>
      <w:r>
        <w:rPr>
          <w:i/>
          <w:sz w:val="20"/>
        </w:rPr>
        <w:t>EN: Neuronal TDP-43 regulates myelin formation via neurexin 1 mRNA stabilization</w:t>
      </w:r>
    </w:p>
    <w:p>
      <w:pPr>
        <w:spacing w:before="0" w:after="120"/>
      </w:pPr>
      <w:r>
        <w:rPr>
          <w:b/>
        </w:rPr>
        <w:t xml:space="preserve">Source: </w:t>
      </w:r>
      <w:r>
        <w:t>Proceedings of the National Academy of Sciences: Keyword search for query</w:t>
      </w:r>
      <w:r>
        <w:t xml:space="preserve">    </w:t>
      </w:r>
      <w:r>
        <w:rPr>
          <w:b/>
        </w:rPr>
        <w:t xml:space="preserve">Pub date: </w:t>
      </w:r>
      <w:r>
        <w:t>2026-02-25 08:00:00+00:00</w:t>
      </w:r>
      <w:r>
        <w:t xml:space="preserve">    </w:t>
      </w:r>
      <w:r>
        <w:rPr>
          <w:b/>
        </w:rPr>
        <w:t xml:space="preserve">DOI: </w:t>
      </w:r>
      <w:hyperlink r:id="rId711">
        <w:r>
          <w:rPr>
            <w:color w:val="1155CC"/>
            <w:u w:val="single"/>
          </w:rPr>
          <w:t>10.1073/pnas.2513642123</w:t>
        </w:r>
      </w:hyperlink>
    </w:p>
    <w:p>
      <w:pPr>
        <w:spacing w:before="0" w:after="120"/>
      </w:pPr>
      <w:r>
        <w:rPr>
          <w:b/>
        </w:rPr>
        <w:t xml:space="preserve">Notes: </w:t>
      </w:r>
      <w:r>
        <w:t>abstract_source=crossref</w:t>
      </w:r>
    </w:p>
    <w:p>
      <w:pPr>
        <w:spacing w:before="0" w:after="80" w:lineRule="auto" w:line="276"/>
      </w:pPr>
      <w:r>
        <w:rPr>
          <w:b/>
        </w:rPr>
        <w:t xml:space="preserve">摘要（ZH）: </w:t>
      </w:r>
      <w:r>
        <w:t>TAR DNA结合蛋白43(TDP-43)是一个重要的病理蛋白,与ALS和FTLD有不可分割的联系。在这项研究中,我们研究了神经神经-43TDP-43在神经-寡头催化细胞相互作用中的作用,使用神经-特定TDP-43击打(TDP-43cKO)小鼠。神经-43的耗竭引起低射,这得到免疫物理化学和超结构分析的证实。此外,电物理分析揭示了导扰动。TDP-43cKO鼠的低光化通过神经元TDP-43补充恢复。具体神经元TDP-43转录分析揭示了神经-43。</w:t>
      </w:r>
    </w:p>
    <w:p>
      <w:pPr>
        <w:spacing w:before="0" w:after="200" w:lineRule="auto" w:line="276"/>
      </w:pPr>
      <w:r>
        <w:rPr>
          <w:b/>
        </w:rPr>
        <w:t xml:space="preserve">Abstract (EN): </w:t>
      </w:r>
      <w:r>
        <w:t>Amyotrophic lateral sclerosis (ALS) and frontotemporal lobar degeneration (FTLD) develop as spatial pathologies in which neurons and glial cells are interconnected. TAR DNA-binding protein 43 (TDP-43) is a major pathological protein that is inextricably associated with ALS and FTLD. In this study, we investigated the roles of neuronal TDP-43 in neuron–oligodendrocyte interactions using neuron-specific TDP-43 knockout (TDP-43cKO) mice. TDP-43 depletion in neurons induced hypomyelination, which was confirmed by immunohistochemistry and ultrastructural analysis. In addition, conduction disturbance was revealed by electrophysiological analysis. The hypomyelination of TDP-43cKO mouse was restored by cytoplasmic TDP-43 supplementation in neurons. Neuron-specific transcriptome analysis revealed that neurexin 1 (NRXN1) is the regulatory target of TDP-43, which promotes myelin formation. The hypomyelination of TDP-43cKO mice was also restored by NRXN1b supplementation in neurons. We further confirmed that TDP-43 stabilizes</w:t>
      </w:r>
      <w:r>
        <w:t xml:space="preserve"> </w:t>
      </w:r>
      <w:r>
        <w:t>Nrxn1</w:t>
      </w:r>
      <w:r>
        <w:t xml:space="preserve"> </w:t>
      </w:r>
      <w:r>
        <w:t>mRNA by binding to the</w:t>
      </w:r>
      <w:r>
        <w:t xml:space="preserve"> </w:t>
      </w:r>
      <w:r>
        <w:t>Nrxn1</w:t>
      </w:r>
      <w:r>
        <w:t xml:space="preserve"> </w:t>
      </w:r>
      <w:r>
        <w:t>3’untranslated region (3’UTR). Although TDP-43cKO exhibited impaired recognition memory, the supplementation of NRXN1 in the hippocampus recovered the memory disturbances. In conclusion, this study demonstrates the neuron–oligodendrocyte interaction mediated by neuronal TDP-43 via NRXN1 mRNA stabilization. These findings shed light on neuron–oligodendrocyte interaction in the disease mechanisms of ALS/FTLD.</w:t>
      </w:r>
    </w:p>
    <w:p>
      <w:pPr>
        <w:spacing w:before="120" w:after="120"/>
      </w:pPr>
      <w:r>
        <w:rPr>
          <w:sz w:val="18"/>
        </w:rPr>
        <w:t>——————————————————————————————————————————————————————————————————————</w:t>
      </w:r>
    </w:p>
    <w:p>
      <w:pPr>
        <w:spacing w:before="160" w:after="40" w:line="240" w:lineRule="auto"/>
      </w:pPr>
      <w:r>
        <w:rPr>
          <w:b/>
        </w:rPr>
        <w:t xml:space="preserve">[472] </w:t>
      </w:r>
      <w:hyperlink r:id="rId712">
        <w:r>
          <w:rPr>
            <w:color w:val="1155CC"/>
            <w:u w:val="single"/>
          </w:rPr>
          <w:t>Pictet-Spingler 和1H-Azocine-Bridged NiII Porphyrin Dimers的阻燃剂和1H-Azepine-Azepine和1H-Azocine-Bridged NiII Porphyrin Dimers合成</w:t>
        </w:r>
      </w:hyperlink>
    </w:p>
    <w:p>
      <w:pPr>
        <w:spacing w:before="0" w:after="80"/>
      </w:pPr>
      <w:r>
        <w:rPr>
          <w:i/>
          <w:sz w:val="20"/>
        </w:rPr>
        <w:t>EN: Pictet‐Spengler Synthesis of Fused‐Azepine‐ and 1H‐Azocine‐Bridged NiII Porphyrin Dimers</w:t>
      </w:r>
    </w:p>
    <w:p>
      <w:pPr>
        <w:spacing w:before="0" w:after="120"/>
      </w:pPr>
      <w:r>
        <w:rPr>
          <w:b/>
        </w:rPr>
        <w:t xml:space="preserve">Source: </w:t>
      </w:r>
      <w:r>
        <w:t>Wiley: Angewandte Chemie International Edition: Table of Contents</w:t>
      </w:r>
      <w:r>
        <w:t xml:space="preserve">    </w:t>
      </w:r>
      <w:r>
        <w:rPr>
          <w:b/>
        </w:rPr>
        <w:t xml:space="preserve">Pub date: </w:t>
      </w:r>
      <w:r>
        <w:t>2026-02-25 08:55:55+00:00</w:t>
      </w:r>
      <w:r>
        <w:t xml:space="preserve">    </w:t>
      </w:r>
      <w:r>
        <w:rPr>
          <w:b/>
        </w:rPr>
        <w:t xml:space="preserve">DOI: </w:t>
      </w:r>
      <w:hyperlink r:id="rId713">
        <w:r>
          <w:rPr>
            <w:color w:val="1155CC"/>
            <w:u w:val="single"/>
          </w:rPr>
          <w:t>10.1002/anie.7602426</w:t>
        </w:r>
      </w:hyperlink>
    </w:p>
    <w:p>
      <w:pPr>
        <w:spacing w:before="0" w:after="120"/>
      </w:pPr>
      <w:r>
        <w:rPr>
          <w:b/>
        </w:rPr>
        <w:t xml:space="preserve">Notes: </w:t>
      </w:r>
      <w:r>
        <w:t>abstract_source=pubmed</w:t>
      </w:r>
    </w:p>
    <w:p>
      <w:pPr>
        <w:spacing w:before="0" w:after="80" w:lineRule="auto" w:line="276"/>
      </w:pPr>
      <w:r>
        <w:rPr>
          <w:b/>
        </w:rPr>
        <w:t xml:space="preserve">摘要（ZH）: </w:t>
      </w:r>
      <w:r>
        <w:t>Pictet-Spymer 3Ni和4Ni 3Ni 3Ni 3Ni 3Ni和 4Ni 3Ni 3Ni 3Ni 3Ni 3Ni 3Ni 3Ni 与 Fecl3 和 2,3-二氯-5,5,6-dicano-1,4-苯丙酮(DQ)的循环,提供了43%产量的甲基-乙基苯用二甲基二苯用二硝基二硝基甲烷,但4Ni 的类似氧化导致94%的二甲基丙烯基苯基二硝基苯并二硝基二硝基苯并二硝基苯并二硝基二硝基苯并二硝基苯并二硝基苯基二硝基苯基苯并二硝基二硝基苯并二硝基苯基苯基苯并二硝基苯并二硝基苯并二硝基苯基苯并二硝基苯基苯基二硝基苯基苯基二硝基二硝基苯基二硝基苯基苯基苯基</w:t>
      </w:r>
    </w:p>
    <w:p>
      <w:pPr>
        <w:spacing w:before="0" w:after="200" w:lineRule="auto" w:line="276"/>
      </w:pPr>
      <w:r>
        <w:rPr>
          <w:b/>
        </w:rPr>
        <w:t xml:space="preserve">Abstract (EN): </w:t>
      </w:r>
      <w:r>
        <w:t>Pictet-Spengler cyclization of meso-amino and meso, meso'-diamino β-β'-linked NiII porphyrin dimers 1Ni and 2Ni with paraformaldehyde gave fused azepine-bridged NiII porphyrin dimers 3Ni and 4Ni, respectively. Oxidation of 3Ni with FeCl3 and 2,3-dichloro-5,6-dicyano-1,4-benzoquinone (DDQ) provided additionally meso-tertbuylphenyl-fused dimer 5Ni in 43% yield but the similar oxidation of 4Ni led to the formation of singly meso-tertbuylphenyl-fused dimer 6Ni in 94% yield. Fused 1H-azocine-bridged NiII porphyrin dimer 8Ni was synthesized by the similar Pictet-Spengler cyclization of meso-amino β-meso' linked NiII porphyrin dimer 7Ni. 3Ni and 4Ni were converted to the corresponding free bases and ZnII complexes, which display fairly red-shifted absorption bands and fluorescence in the near infrared (NIR) region.</w:t>
      </w:r>
    </w:p>
    <w:p>
      <w:pPr>
        <w:spacing w:before="120" w:after="120"/>
      </w:pPr>
      <w:r>
        <w:rPr>
          <w:sz w:val="18"/>
        </w:rPr>
        <w:t>——————————————————————————————————————————————————————————————————————</w:t>
      </w:r>
    </w:p>
    <w:p>
      <w:pPr>
        <w:spacing w:before="160" w:after="40" w:line="240" w:lineRule="auto"/>
      </w:pPr>
      <w:r>
        <w:rPr>
          <w:b/>
        </w:rPr>
        <w:t xml:space="preserve">[473] </w:t>
      </w:r>
      <w:hyperlink r:id="rId714">
        <w:r>
          <w:rPr>
            <w:color w:val="1155CC"/>
            <w:u w:val="single"/>
          </w:rPr>
          <w:t>用于多形态纳米纳氏体库的代谢液氨基硫化物的阶段工程</w:t>
        </w:r>
      </w:hyperlink>
    </w:p>
    <w:p>
      <w:pPr>
        <w:spacing w:before="0" w:after="80"/>
      </w:pPr>
      <w:r>
        <w:rPr>
          <w:i/>
          <w:sz w:val="20"/>
        </w:rPr>
        <w:t>EN: Phase Engineering on Metastable Lanthanoid Sulfides for Polymorphic Nanocrystal Library</w:t>
      </w:r>
    </w:p>
    <w:p>
      <w:pPr>
        <w:spacing w:before="0" w:after="120"/>
      </w:pPr>
      <w:r>
        <w:rPr>
          <w:b/>
        </w:rPr>
        <w:t xml:space="preserve">Source: </w:t>
      </w:r>
      <w:r>
        <w:t>Wiley: Angewandte Chemie International Edition: Table of Contents</w:t>
      </w:r>
      <w:r>
        <w:t xml:space="preserve">    </w:t>
      </w:r>
      <w:r>
        <w:rPr>
          <w:b/>
        </w:rPr>
        <w:t xml:space="preserve">Pub date: </w:t>
      </w:r>
      <w:r>
        <w:t>2026-02-25 08:56:06+00:00</w:t>
      </w:r>
      <w:r>
        <w:t xml:space="preserve">    </w:t>
      </w:r>
      <w:r>
        <w:rPr>
          <w:b/>
        </w:rPr>
        <w:t xml:space="preserve">DOI: </w:t>
      </w:r>
      <w:hyperlink r:id="rId715">
        <w:r>
          <w:rPr>
            <w:color w:val="1155CC"/>
            <w:u w:val="single"/>
          </w:rPr>
          <w:t>10.1002/anie.9692519</w:t>
        </w:r>
      </w:hyperlink>
    </w:p>
    <w:p>
      <w:pPr>
        <w:spacing w:before="0" w:after="120"/>
      </w:pPr>
      <w:r>
        <w:rPr>
          <w:b/>
        </w:rPr>
        <w:t xml:space="preserve">Notes: </w:t>
      </w:r>
      <w:r>
        <w:t>abstract_source=pubmed</w:t>
      </w:r>
    </w:p>
    <w:p>
      <w:pPr>
        <w:spacing w:before="0" w:after="80" w:lineRule="auto" w:line="276"/>
      </w:pPr>
      <w:r>
        <w:rPr>
          <w:b/>
        </w:rPr>
        <w:t xml:space="preserve">摘要（ZH）: </w:t>
      </w:r>
      <w:r>
        <w:t>以稀土(RE)为基础的纳米rystal(NCs)具有丰富的元素组成和独特的电子配置,对于许多重要应用而言,很有希望,然而,精确的生成仍然是合成的瓶颈,仅限于极低减排潜力、强氧化性强、僵硬的兼容性,特别是在热动力稳定对等系统以外的阶段多样性。我们在这里确定了一种过渡性金属凝固稳定战略,用于对lanthanid(Ln)硫化NCs进行分阶段选择性合成,包括单临床(m)、正交苯基(o)和三角(t)晶体系统。我们通过将耐用能源的结合,进一步从数量上揭示了元框架的阶段控制的形态和结构模式演变过程。</w:t>
      </w:r>
    </w:p>
    <w:p>
      <w:pPr>
        <w:spacing w:before="0" w:after="200" w:lineRule="auto" w:line="276"/>
      </w:pPr>
      <w:r>
        <w:rPr>
          <w:b/>
        </w:rPr>
        <w:t xml:space="preserve">Abstract (EN): </w:t>
      </w:r>
      <w:r>
        <w:t>Rare earth (RE)-based nanocrystals (NCs) with rich elemental composition and unique electron configuration are promising for a wide range of important applications. However, their precise creation remains to be a synthetic bottleneck, limited to the ultralow reduction potential, strong oxophilicity, rigid compatibility and in particular regarding phase diversity beyond the thermodynamically stable counterparts. Here we define a transition metal cation-stabilized strategy for the phase-selective synthesis of lanthanoid (Ln) sulfide NCs including monoclinic (m), orthorhombic (o), and trigonal (t) crystal systems. We further quantitatively reveal the phase-controlled morphological and structural motif evolution processes of the metastable frameworks, via a combination of lattice energy-dependent thermodynamic control and facet adsorption-induced kinetic control. An extension of the proposed mechanism constructs phase-designed t/m-homojunction and t/o-heterostructure Ln sulfide NCs with multidimensionality and tunable composition, structures, and interfaces. This generalizable phase-engineering protocol provides guiding principle and synthetic methodology for a RE-based polymorphic nanocrystal library that is otherwise inaccessible by conventional approaches.</w:t>
      </w:r>
    </w:p>
    <w:p>
      <w:pPr>
        <w:spacing w:before="120" w:after="120"/>
      </w:pPr>
      <w:r>
        <w:rPr>
          <w:sz w:val="18"/>
        </w:rPr>
        <w:t>——————————————————————————————————————————————————————————————————————</w:t>
      </w:r>
    </w:p>
    <w:p>
      <w:pPr>
        <w:spacing w:before="160" w:after="40" w:line="240" w:lineRule="auto"/>
      </w:pPr>
      <w:r>
        <w:rPr>
          <w:b/>
        </w:rPr>
        <w:t xml:space="preserve">[474] </w:t>
      </w:r>
      <w:hyperlink r:id="rId716">
        <w:r>
          <w:rPr>
            <w:color w:val="1155CC"/>
            <w:u w:val="single"/>
          </w:rPr>
          <w:t>来自N2和CO2的光化催化铀尿合成</w:t>
        </w:r>
      </w:hyperlink>
    </w:p>
    <w:p>
      <w:pPr>
        <w:spacing w:before="0" w:after="80"/>
      </w:pPr>
      <w:r>
        <w:rPr>
          <w:i/>
          <w:sz w:val="20"/>
        </w:rPr>
        <w:t>EN: Chiral Mesostructured Mo Doped Bi2WO6 Drives Photocatalytic Urea Synthesis From N2 and CO2</w:t>
      </w:r>
    </w:p>
    <w:p>
      <w:pPr>
        <w:spacing w:before="0" w:after="120"/>
      </w:pPr>
      <w:r>
        <w:rPr>
          <w:b/>
        </w:rPr>
        <w:t xml:space="preserve">Source: </w:t>
      </w:r>
      <w:r>
        <w:t>Wiley: Angewandte Chemie International Edition: Table of Contents</w:t>
      </w:r>
      <w:r>
        <w:t xml:space="preserve">    </w:t>
      </w:r>
      <w:r>
        <w:rPr>
          <w:b/>
        </w:rPr>
        <w:t xml:space="preserve">Pub date: </w:t>
      </w:r>
      <w:r>
        <w:t>2026-02-25 08:57:46+00:00</w:t>
      </w:r>
      <w:r>
        <w:t xml:space="preserve">    </w:t>
      </w:r>
      <w:r>
        <w:rPr>
          <w:b/>
        </w:rPr>
        <w:t xml:space="preserve">DOI: </w:t>
      </w:r>
      <w:hyperlink r:id="rId717">
        <w:r>
          <w:rPr>
            <w:color w:val="1155CC"/>
            <w:u w:val="single"/>
          </w:rPr>
          <w:t>10.1002/anie.202525892</w:t>
        </w:r>
      </w:hyperlink>
    </w:p>
    <w:p>
      <w:pPr>
        <w:spacing w:before="0" w:after="120"/>
      </w:pPr>
      <w:r>
        <w:rPr>
          <w:b/>
        </w:rPr>
        <w:t xml:space="preserve">Notes: </w:t>
      </w:r>
      <w:r>
        <w:t>abstract_source=pubmed</w:t>
      </w:r>
    </w:p>
    <w:p>
      <w:pPr>
        <w:spacing w:before="0" w:after="80" w:lineRule="auto" w:line="276"/>
      </w:pPr>
      <w:r>
        <w:rPr>
          <w:b/>
        </w:rPr>
        <w:t xml:space="preserve">摘要（ZH）: </w:t>
      </w:r>
      <w:r>
        <w:t>通过光催化N2和二氧化碳减排直接合成尿素,为减少二氧化碳排放和减少工业和农业生产尿素的能源消耗提供了可持续的办法,然而,由于高能源屏障,N2和CO2的共减少和随后的C-N联动,尿素的高产量受到限制,因此,我们提议通过光催化N2和C-N联动,使尿素通过光催化N2和CO2的光催化N2和CO2减少直接合成(PNCR),为减少二氧化碳排放和减少工业和农业生产尿素生产中的尿素消耗量提供了可持续办法,但将尿素的高产量因高能源屏障而受到限制,因此,我们提议,手性中间结构的Moped Bi2WO6 (CMB) 的旋转两极分化,通过管理平行电子旋转调整,促进光生载体分离和转移,从而增强C-N的形成,从而推动N2WO6的吸收和激活。</w:t>
      </w:r>
    </w:p>
    <w:p>
      <w:pPr>
        <w:spacing w:before="0" w:after="200" w:lineRule="auto" w:line="276"/>
      </w:pPr>
      <w:r>
        <w:rPr>
          <w:b/>
        </w:rPr>
        <w:t xml:space="preserve">Abstract (EN): </w:t>
      </w:r>
      <w:r>
        <w:t>Direct synthesis of urea through photocatalytic N2 and CO2 reduction (PNCR) offers a sustainable approach to mitigate CO2 emissions and reduce energy consumption from urea production for industry and agriculture. However, achieving high yield of urea is limited by the high energy barrier for co-reduction of N2 and CO2 with subsequent C-N coupling. Herein, we propose that the spin polarization of chiral mesostructured Mo doped Bi2WO6 (CMMB) can facilitate the formation of triplet 3NOH by regulating the parallel electron spin alignment and promote the separation and transfer of photogenerated carriers, leading to enhanced C-N formation. The incorporation of Mo sites into Bi2WO6 promotes the adsorption and activation of N2. A state-of-the-art urea yield was achieved without additives via PNCR on CMMB, surpassing the best-reported inorganic catalyst by a significant margin. This study provides an effective strategy for designing catalyst structures for the green synthesis of organonitrogen compounds.</w:t>
      </w:r>
    </w:p>
    <w:p>
      <w:pPr>
        <w:spacing w:before="120" w:after="120"/>
      </w:pPr>
      <w:r>
        <w:rPr>
          <w:sz w:val="18"/>
        </w:rPr>
        <w:t>——————————————————————————————————————————————————————————————————————</w:t>
      </w:r>
    </w:p>
    <w:p>
      <w:pPr>
        <w:spacing w:before="160" w:after="40" w:line="240" w:lineRule="auto"/>
      </w:pPr>
      <w:r>
        <w:rPr>
          <w:b/>
        </w:rPr>
        <w:t xml:space="preserve">[475] </w:t>
      </w:r>
      <w:hyperlink r:id="rId718">
        <w:r>
          <w:rPr>
            <w:color w:val="1155CC"/>
            <w:u w:val="single"/>
          </w:rPr>
          <w:t>高效环极极极极化电光聚苯乙烯二氟化混合物中的合作结构层面和集群</w:t>
        </w:r>
      </w:hyperlink>
    </w:p>
    <w:p>
      <w:pPr>
        <w:spacing w:before="0" w:after="80"/>
      </w:pPr>
      <w:r>
        <w:rPr>
          <w:i/>
          <w:sz w:val="20"/>
        </w:rPr>
        <w:t>EN: A Cooperative Structural Dimension and Clusters Chirality in Antimony Halide Hybrids for Efficient Circularly Polarized Electroluminescence</w:t>
      </w:r>
    </w:p>
    <w:p>
      <w:pPr>
        <w:spacing w:before="0" w:after="120"/>
      </w:pPr>
      <w:r>
        <w:rPr>
          <w:b/>
        </w:rPr>
        <w:t xml:space="preserve">Source: </w:t>
      </w:r>
      <w:r>
        <w:t>Wiley: Angewandte Chemie International Edition: Table of Contents</w:t>
      </w:r>
      <w:r>
        <w:t xml:space="preserve">    </w:t>
      </w:r>
      <w:r>
        <w:rPr>
          <w:b/>
        </w:rPr>
        <w:t xml:space="preserve">Pub date: </w:t>
      </w:r>
      <w:r>
        <w:t>2026-02-25 08:59:29+00:00</w:t>
      </w:r>
      <w:r>
        <w:t xml:space="preserve">    </w:t>
      </w:r>
      <w:r>
        <w:rPr>
          <w:b/>
        </w:rPr>
        <w:t xml:space="preserve">DOI: </w:t>
      </w:r>
      <w:hyperlink r:id="rId719">
        <w:r>
          <w:rPr>
            <w:color w:val="1155CC"/>
            <w:u w:val="single"/>
          </w:rPr>
          <w:t>10.1002/anie.8742316</w:t>
        </w:r>
      </w:hyperlink>
    </w:p>
    <w:p>
      <w:pPr>
        <w:spacing w:before="0" w:after="120"/>
      </w:pPr>
      <w:r>
        <w:rPr>
          <w:b/>
        </w:rPr>
        <w:t xml:space="preserve">Notes: </w:t>
      </w:r>
      <w:r>
        <w:t>abstract_source=pubmed</w:t>
      </w:r>
    </w:p>
    <w:p>
      <w:pPr>
        <w:spacing w:before="0" w:after="80" w:lineRule="auto" w:line="276"/>
      </w:pPr>
      <w:r>
        <w:rPr>
          <w:b/>
        </w:rPr>
        <w:t xml:space="preserve">摘要（ZH）: </w:t>
      </w:r>
      <w:r>
        <w:t>为克服这一限制,我们通过将手性金属卤化物集聚体纳入0D框架,在0D框架内引入了集束水平的体力战略。在这里,我们合理设计和合成了一对对应的卤化物(III)混合体[(R,R)/(S,S)(PPH2)2C4]2 [Sb4Cl16] (R/S-DPPB-Sb) [R/S-DPPB-Sb] 中,这些抗生素呈现亮亮性。</w:t>
      </w:r>
    </w:p>
    <w:p>
      <w:pPr>
        <w:spacing w:before="0" w:after="200" w:lineRule="auto" w:line="276"/>
      </w:pPr>
      <w:r>
        <w:rPr>
          <w:b/>
        </w:rPr>
        <w:t xml:space="preserve">Abstract (EN): </w:t>
      </w:r>
      <w:r>
        <w:t>Chiral metal-halide materials often suffer from inherent trade-off between photoluminescence efficiency and chiroptical asymmetry (g value); low-dimensional structures typically deliver high emission efficiency but small g values, whereas higher-dimensional counterparts afford larger g values at the cost of reduced luminescence efficiency. To overcome this limitation, we introduce a cluster-level chirality strategy in a 0D framework by incorporating chiral metal halide clusters. Herein, we rationally design and synthesize a pair of enantiomeric antimony(III) halide hybrids, [(R,R)/(S,S)(PPh2)2C4]2[Sb4Cl16] (R/S-DPPB-Sb) in which bulky chiral phosphonium cations template previously unreported isolated [Sb4Cl16]4- clusters assembled into a helical lattice. These enantiomers exhibit bright self-trapped excitons emission at 625 nm with photoluminescence quantum yields above 40%, along with strong circularly polarized luminescence (glum ≈ ±7 × 10-3), among the highest reported to date for chiral Antimony-based hybrids. Remarkably, we further demonstrate circularly polarized LEDs using R/S-DPPB-Sb as the emitter, achieving an external quantum efficiency of 1.48% and a notable CP-EL dissymmetry factor (|gEL| &gt; 9 × 10-3). The strong chiroptical response originates from the pronounced distortion of the [Sb4Cl16]4- clusters and their helical supramolecular packing. This work establishes antimony halide clusters as a promising chiral emitter and provides a viable route toward high-performance, lead-free CPLEDs.</w:t>
      </w:r>
    </w:p>
    <w:p>
      <w:pPr>
        <w:spacing w:before="120" w:after="120"/>
      </w:pPr>
      <w:r>
        <w:rPr>
          <w:sz w:val="18"/>
        </w:rPr>
        <w:t>——————————————————————————————————————————————————————————————————————</w:t>
      </w:r>
    </w:p>
    <w:p>
      <w:pPr>
        <w:spacing w:before="160" w:after="40" w:line="240" w:lineRule="auto"/>
      </w:pPr>
      <w:r>
        <w:rPr>
          <w:b/>
        </w:rPr>
        <w:t xml:space="preserve">[476] </w:t>
      </w:r>
      <w:hyperlink r:id="rId720">
        <w:r>
          <w:rPr>
            <w:color w:val="1155CC"/>
            <w:u w:val="single"/>
          </w:rPr>
          <w:t>通过操纵 LigandShell 硬度, 推进 Pt1Ag18 纳米集束的线性和非线性光学属性</w:t>
        </w:r>
      </w:hyperlink>
    </w:p>
    <w:p>
      <w:pPr>
        <w:spacing w:before="0" w:after="80"/>
      </w:pPr>
      <w:r>
        <w:rPr>
          <w:i/>
          <w:sz w:val="20"/>
        </w:rPr>
        <w:t>EN: Boosting Linear and Nonlinear Optical Properties of Pt1Ag18 Nanoclusters by Manipulating Ligand‐Shell Rigidity</w:t>
      </w:r>
    </w:p>
    <w:p>
      <w:pPr>
        <w:spacing w:before="0" w:after="120"/>
      </w:pPr>
      <w:r>
        <w:rPr>
          <w:b/>
        </w:rPr>
        <w:t xml:space="preserve">Source: </w:t>
      </w:r>
      <w:r>
        <w:t>Wiley: Angewandte Chemie International Edition: Table of Contents</w:t>
      </w:r>
      <w:r>
        <w:t xml:space="preserve">    </w:t>
      </w:r>
      <w:r>
        <w:rPr>
          <w:b/>
        </w:rPr>
        <w:t xml:space="preserve">Pub date: </w:t>
      </w:r>
      <w:r>
        <w:t>2026-02-25 09:01:19+00:00</w:t>
      </w:r>
      <w:r>
        <w:t xml:space="preserve">    </w:t>
      </w:r>
      <w:r>
        <w:rPr>
          <w:b/>
        </w:rPr>
        <w:t xml:space="preserve">DOI: </w:t>
      </w:r>
      <w:hyperlink r:id="rId721">
        <w:r>
          <w:rPr>
            <w:color w:val="1155CC"/>
            <w:u w:val="single"/>
          </w:rPr>
          <w:t>10.1002/anie.5033273</w:t>
        </w:r>
      </w:hyperlink>
    </w:p>
    <w:p>
      <w:pPr>
        <w:spacing w:before="0" w:after="120"/>
      </w:pPr>
      <w:r>
        <w:rPr>
          <w:b/>
        </w:rPr>
        <w:t xml:space="preserve">Notes: </w:t>
      </w:r>
      <w:r>
        <w:t>abstract_source=pubmed</w:t>
      </w:r>
    </w:p>
    <w:p>
      <w:pPr>
        <w:spacing w:before="0" w:after="80" w:lineRule="auto" w:line="276"/>
      </w:pPr>
      <w:r>
        <w:rPr>
          <w:b/>
        </w:rPr>
        <w:t xml:space="preserve">摘要（ZH）: </w:t>
      </w:r>
      <w:r>
        <w:t>Ligaged 保护性金属纳米集群展示了新型分子类光学特性,然而,表层悬浮层如何调节非线性光学行为仍然没有得到足够理解。在这里,我们展示了一种离线和工程战略,通过对离线和贝壳的僵硬性和电子核心相互作用进行受控调控的调控,对Pt1Ag18(DPPP)6(SR)xCl8-x]2+纳米集群进行调控。我们准备了一套[Pt1Ag18(DPPP)6xCl8-x]2+纳米集群(SR =1-damantanethixol 或2-氟硫酚;X = 0-8),以便逐步将软体3D笼1-dmantanethiligands 和s与平板电镀2-氟硫醇离子进行调制。我们制作了一套[Pt1Ag18(DPPP)6(DP)6xCl8-xxxx]2+纳米聚集束(Nammmmmmmmulation),导致抑制非辐射化环境,从而受抑制</w:t>
      </w:r>
    </w:p>
    <w:p>
      <w:pPr>
        <w:spacing w:before="0" w:after="200" w:lineRule="auto" w:line="276"/>
      </w:pPr>
      <w:r>
        <w:rPr>
          <w:b/>
        </w:rPr>
        <w:t xml:space="preserve">Abstract (EN): </w:t>
      </w:r>
      <w:r>
        <w:t>Ligand-protected metal nanoclusters exhibit novel molecular-like optical properties, yet how surface ligands regulate nonlinear optical behavior remains insufficiently understood. Here, we demonstrate a ligand-engineering strategy to modulate both linear and nonlinear optical responses of Pt1Ag18 nanoclusters through controlled tuning of ligand-shell rigidity and electron-core interactions. we prepared a family of [Pt1Ag18(DPPP)6(SR)xCl8-x]2+ nanoclusters (SR = 1-adamantanethiol or 2-fluorothiophenol; x = 0-8), enabling progressive substitution of flexible 3D cage 1-adamantanethiol ligands with planar electron-donating 2-fluorothiophenol ligands. Increasing fluorinated thiolate content strengthens ligand-metal coupling and rigidifies the ligand environment, leading to suppressed nonradiative decay and markedly enhanced one-photon absorption, photoluminescence quantum yield, and two-photon absorption/two-photon excited photoluminescence cross-sections. Nonlinear optical measurements (700-1000 nm femtosecond excitation) reveal that resonance effects and ligand rigidity jointly govern multiphoton excitation efficiency. Furthermore, introducing bulky counterions induces additional rigidification, achieving substantial amplification of both one- and two-photon luminescence. Supported by TD-DFT calculations, this work establishes a structure-property relationship linking ligand geometry and charge-transfer character to nonlinear optical performance. These findings outline a generalizable ligand-shell design strategy for tuning optical responses in atomically precise metal nanoclusters and offer promising candidates for multiphoton bioimaging and photonic applications.</w:t>
      </w:r>
    </w:p>
    <w:p>
      <w:pPr>
        <w:spacing w:before="120" w:after="120"/>
      </w:pPr>
      <w:r>
        <w:rPr>
          <w:sz w:val="18"/>
        </w:rPr>
        <w:t>——————————————————————————————————————————————————————————————————————</w:t>
      </w:r>
    </w:p>
    <w:p>
      <w:pPr>
        <w:spacing w:before="160" w:after="40" w:line="240" w:lineRule="auto"/>
      </w:pPr>
      <w:r>
        <w:rPr>
          <w:b/>
        </w:rPr>
        <w:t xml:space="preserve">[477] </w:t>
      </w:r>
      <w:hyperlink r:id="rId722">
        <w:r>
          <w:rPr>
            <w:color w:val="1155CC"/>
            <w:u w:val="single"/>
          </w:rPr>
          <w:t>用于高效水分分离的单原子合金的磷酸 Anion-Engineered MXene</w:t>
        </w:r>
      </w:hyperlink>
    </w:p>
    <w:p>
      <w:pPr>
        <w:spacing w:before="0" w:after="80"/>
      </w:pPr>
      <w:r>
        <w:rPr>
          <w:i/>
          <w:sz w:val="20"/>
        </w:rPr>
        <w:t>EN: Phosphate Anion‐Engineered MXene for Efficient Water Dissociation on Single‐Atom Alloy</w:t>
      </w:r>
    </w:p>
    <w:p>
      <w:pPr>
        <w:spacing w:before="0" w:after="120"/>
      </w:pPr>
      <w:r>
        <w:rPr>
          <w:b/>
        </w:rPr>
        <w:t xml:space="preserve">Source: </w:t>
      </w:r>
      <w:r>
        <w:t>Wiley: Angewandte Chemie International Edition: Table of Contents</w:t>
      </w:r>
      <w:r>
        <w:t xml:space="preserve">    </w:t>
      </w:r>
      <w:r>
        <w:rPr>
          <w:b/>
        </w:rPr>
        <w:t xml:space="preserve">Pub date: </w:t>
      </w:r>
      <w:r>
        <w:t>2026-02-25 09:01:22+00:00</w:t>
      </w:r>
      <w:r>
        <w:t xml:space="preserve">    </w:t>
      </w:r>
      <w:r>
        <w:rPr>
          <w:b/>
        </w:rPr>
        <w:t xml:space="preserve">DOI: </w:t>
      </w:r>
      <w:hyperlink r:id="rId723">
        <w:r>
          <w:rPr>
            <w:color w:val="1155CC"/>
            <w:u w:val="single"/>
          </w:rPr>
          <w:t>10.1002/anie.202524246</w:t>
        </w:r>
      </w:hyperlink>
    </w:p>
    <w:p>
      <w:pPr>
        <w:spacing w:before="0" w:after="120"/>
      </w:pPr>
      <w:r>
        <w:rPr>
          <w:b/>
        </w:rPr>
        <w:t xml:space="preserve">Notes: </w:t>
      </w:r>
      <w:r>
        <w:t>abstract_source=pubmed</w:t>
      </w:r>
    </w:p>
    <w:p>
      <w:pPr>
        <w:spacing w:before="0" w:after="80" w:lineRule="auto" w:line="276"/>
      </w:pPr>
      <w:r>
        <w:rPr>
          <w:b/>
        </w:rPr>
        <w:t xml:space="preserve">摘要（ZH）: </w:t>
      </w:r>
      <w:r>
        <w:t>催化器支持对于高效水分解不可或缺,因为催化器支持在通过改变催化剂的电子结构间接加强催化活动或直接参与催化反应间接加强催化活动方面发挥着关键作用。 最近,由于MXene的地表电子状态丰富,使得各种催化剂能够进行各种电子改造,但是它与反应器或产品直接互动以加速水分解过程中催化动力的潜力尚未开发。我们在这里报告我们的调查结果,即磷酸Anion工程的MXene能够大大加速单原子合金(Ru-Cu)的水分解,实现创纪录的746个质量特定活动。</w:t>
      </w:r>
    </w:p>
    <w:p>
      <w:pPr>
        <w:spacing w:before="0" w:after="200" w:lineRule="auto" w:line="276"/>
      </w:pPr>
      <w:r>
        <w:rPr>
          <w:b/>
        </w:rPr>
        <w:t xml:space="preserve">Abstract (EN): </w:t>
      </w:r>
      <w:r>
        <w:t>Catalyst supports are indispensable for efficient water dissociation since they play key roles in either indirectly enhancing catalysis activity by modifying electronic structures of catalysts or directly participating in catalytic reaction. MXene has recently emerged as a promising catalyst support for water dissociation by virtue of its rich surface electronic states that enable various electronic modifications of catalysts, but its potential of directly interacting with reactants or products to accelerate catalytic dynamics in water dissociation remains unexplored. Here we report our finding that phosphate anion-engineered MXene is capable of significantly accelerating water dissociation on single-atom ruthenium-copper (Ru-Cu) alloy, achieving a record-high mass-specific activity of 746 L gRu -1 min-1 under light conditions at room temperature. This is mainly enabled by the accelerated hydrogen spillover effect, which results from the phosphate anion-induced electronic modification of titanium sites on MXene following the light-enhanced activation of ammonia borane and water molecules on Ru-Cu active sites. This underlying mechanism is elucidated by a combination of in situ spectroscopic characterizations and density function theory calculations. This work unveils a previously unrecognized catalytic role of MXene-based supports and offers a new design strategy for enhancing water dissociation through tailored support-catalyst-reactant interactions.</w:t>
      </w:r>
    </w:p>
    <w:p>
      <w:pPr>
        <w:spacing w:before="120" w:after="120"/>
      </w:pPr>
      <w:r>
        <w:rPr>
          <w:sz w:val="18"/>
        </w:rPr>
        <w:t>——————————————————————————————————————————————————————————————————————</w:t>
      </w:r>
    </w:p>
    <w:p>
      <w:pPr>
        <w:spacing w:before="160" w:after="40" w:line="240" w:lineRule="auto"/>
      </w:pPr>
      <w:r>
        <w:rPr>
          <w:b/>
        </w:rPr>
        <w:t xml:space="preserve">[478] </w:t>
      </w:r>
      <w:hyperlink r:id="rId724">
        <w:r>
          <w:rPr>
            <w:color w:val="1155CC"/>
            <w:u w:val="single"/>
          </w:rPr>
          <w:t>合成、水晶结构以及奇拉尔(18,15)碳纳米体的直立分辨率(18,15)</w:t>
        </w:r>
      </w:hyperlink>
    </w:p>
    <w:p>
      <w:pPr>
        <w:spacing w:before="0" w:after="80"/>
      </w:pPr>
      <w:r>
        <w:rPr>
          <w:i/>
          <w:sz w:val="20"/>
        </w:rPr>
        <w:t>EN: Synthesis, Crystal Structure, and Enantiomeric Resolution of a Chiral (18,15) Carbon Nanobelt</w:t>
      </w:r>
    </w:p>
    <w:p>
      <w:pPr>
        <w:spacing w:before="0" w:after="120"/>
      </w:pPr>
      <w:r>
        <w:rPr>
          <w:b/>
        </w:rPr>
        <w:t xml:space="preserve">Source: </w:t>
      </w:r>
      <w:r>
        <w:t>Wiley: Angewandte Chemie International Edition: Table of Contents</w:t>
      </w:r>
      <w:r>
        <w:t xml:space="preserve">    </w:t>
      </w:r>
      <w:r>
        <w:rPr>
          <w:b/>
        </w:rPr>
        <w:t xml:space="preserve">Pub date: </w:t>
      </w:r>
      <w:r>
        <w:t>2026-02-25 09:03:21+00:00</w:t>
      </w:r>
      <w:r>
        <w:t xml:space="preserve">    </w:t>
      </w:r>
      <w:r>
        <w:rPr>
          <w:b/>
        </w:rPr>
        <w:t xml:space="preserve">DOI: </w:t>
      </w:r>
      <w:hyperlink r:id="rId725">
        <w:r>
          <w:rPr>
            <w:color w:val="1155CC"/>
            <w:u w:val="single"/>
          </w:rPr>
          <w:t>10.1002/anie.5390746</w:t>
        </w:r>
      </w:hyperlink>
    </w:p>
    <w:p>
      <w:pPr>
        <w:spacing w:before="0" w:after="120"/>
      </w:pPr>
      <w:r>
        <w:rPr>
          <w:b/>
        </w:rPr>
        <w:t xml:space="preserve">Notes: </w:t>
      </w:r>
      <w:r>
        <w:t>abstract_source=pubmed</w:t>
      </w:r>
    </w:p>
    <w:p>
      <w:pPr>
        <w:spacing w:before="0" w:after="80" w:lineRule="auto" w:line="276"/>
      </w:pPr>
      <w:r>
        <w:rPr>
          <w:b/>
        </w:rPr>
        <w:t xml:space="preserve">摘要（ZH）: </w:t>
      </w:r>
      <w:r>
        <w:t>奇拉尔碳纳米管(CNTs)显示出在电子和光学应用方面的巨大潜力,然而,单神经碳纳米管的选择性合成仍是一项重大挑战,此外,迄今为止尚未报告构成手性碳纳米管混凝土部分的抗阳性手性碳纳米带。在这里,我们介绍了一个手性(18,15)碳纳米带的首次合成和成功的对应分辨率,代表了相应的(18,15)CNT的侧壁部分。单晶体X射线分解分析明确证实了其皮带形状结构和存在一对对对应体。两种对应体都成功地被隔离了,进一步的研究揭示了显著的脊椎特性。</w:t>
      </w:r>
    </w:p>
    <w:p>
      <w:pPr>
        <w:spacing w:before="0" w:after="200" w:lineRule="auto" w:line="276"/>
      </w:pPr>
      <w:r>
        <w:rPr>
          <w:b/>
        </w:rPr>
        <w:t xml:space="preserve">Abstract (EN): </w:t>
      </w:r>
      <w:r>
        <w:t>Chiral carbon nanotubes (CNTs) show significant potential for applications in electronics and optics, yet the selective synthesis of single-chirality CNTs remains a major challenge. Furthermore, enantiopure chiral carbon nanobelts, which constitute conjugated segments of chiral CNTs, have not been reported to date. Here, we present the first synthesis and successful enantiomeric resolution of a chiral (18,15) carbon nanobelt, representing a sidewall segment of the corresponding (18,15) CNT. Single-crystal x-ray diffraction analysis unambiguously confirms its belt-shaped structure and the presence of a pair of enantiomers. Both enantiomers have been successfully isolated, and further studies reveal notable chiroptical properties.</w:t>
      </w:r>
    </w:p>
    <w:p>
      <w:pPr>
        <w:spacing w:before="120" w:after="120"/>
      </w:pPr>
      <w:r>
        <w:rPr>
          <w:sz w:val="18"/>
        </w:rPr>
        <w:t>——————————————————————————————————————————————————————————————————————</w:t>
      </w:r>
    </w:p>
    <w:p>
      <w:pPr>
        <w:spacing w:before="160" w:after="40" w:line="240" w:lineRule="auto"/>
      </w:pPr>
      <w:r>
        <w:rPr>
          <w:b/>
        </w:rPr>
        <w:t xml:space="preserve">[479] </w:t>
      </w:r>
      <w:hyperlink r:id="rId726">
        <w:r>
          <w:rPr>
            <w:color w:val="1155CC"/>
            <w:u w:val="single"/>
          </w:rPr>
          <w:t>[ASAP]通过金属-大型合作制成的铀氢裂变综合体的二硝基裂变和氢化</w:t>
        </w:r>
      </w:hyperlink>
    </w:p>
    <w:p>
      <w:pPr>
        <w:spacing w:before="0" w:after="80"/>
      </w:pPr>
      <w:r>
        <w:rPr>
          <w:i/>
          <w:sz w:val="20"/>
        </w:rPr>
        <w:t>EN: [ASAP] Dinitrogen Cleavage and Hydrogenation by a Uranium Hydride Complex Enabled through Metal–Ligand Cooperativity</w:t>
      </w:r>
    </w:p>
    <w:p>
      <w:pPr>
        <w:spacing w:before="0" w:after="120"/>
      </w:pPr>
      <w:r>
        <w:rPr>
          <w:b/>
        </w:rPr>
        <w:t xml:space="preserve">Source: </w:t>
      </w:r>
      <w:r>
        <w:t>Journal of the American Chemical Society: Latest Articles (ACS Publications)</w:t>
      </w:r>
      <w:r>
        <w:t xml:space="preserve">    </w:t>
      </w:r>
      <w:r>
        <w:rPr>
          <w:b/>
        </w:rPr>
        <w:t xml:space="preserve">Pub date: </w:t>
      </w:r>
      <w:r>
        <w:t>2026-02-25 09:09:20+00:00</w:t>
      </w:r>
      <w:r>
        <w:t xml:space="preserve">    </w:t>
      </w:r>
      <w:r>
        <w:rPr>
          <w:b/>
        </w:rPr>
        <w:t xml:space="preserve">DOI: </w:t>
      </w:r>
      <w:hyperlink r:id="rId727">
        <w:r>
          <w:rPr>
            <w:color w:val="1155CC"/>
            <w:u w:val="single"/>
          </w:rPr>
          <w:t>10.1021/jacs.6c00478</w:t>
        </w:r>
      </w:hyperlink>
    </w:p>
    <w:p>
      <w:pPr>
        <w:spacing w:before="0" w:after="120"/>
      </w:pPr>
      <w:r>
        <w:rPr>
          <w:b/>
        </w:rPr>
        <w:t xml:space="preserve">Notes: </w:t>
      </w:r>
      <w:r>
        <w:t>abstract_source=pubmed</w:t>
      </w:r>
    </w:p>
    <w:p>
      <w:pPr>
        <w:spacing w:before="0" w:after="80" w:lineRule="auto" w:line="276"/>
      </w:pPr>
      <w:r>
        <w:rPr>
          <w:b/>
        </w:rPr>
        <w:t xml:space="preserve">摘要（ZH）: </w:t>
      </w:r>
      <w:r>
        <w:t>Dinicrogen 分裂和氢化金属氢氢化化合物的氢分分离和氢化与酶和工业二硝基固化(N2)有关,但仅限于几个例子。这里,我们报告用一个针刺液离离子-NON)IV(4-HDIpp)}(微克-H){(6-Dipp)UIV(NON-Dipp)}}),1.在这个综合体中,共有六种电子和两个质子储存在双(ailido)xanthene的双侧臂和由两个铀(IV)中心稳定起来的连接氢化氢化氢化合物中。</w:t>
      </w:r>
    </w:p>
    <w:p>
      <w:pPr>
        <w:spacing w:before="0" w:after="200" w:lineRule="auto" w:line="276"/>
      </w:pPr>
      <w:r>
        <w:rPr>
          <w:b/>
        </w:rPr>
        <w:t xml:space="preserve">Abstract (EN): </w:t>
      </w:r>
      <w:r>
        <w:t>Dinitrogen cleavage and hydrogenation by metal hydride complexes are relevant to both enzymatic and industrial dinitrogen (N2) fixation but remain limited to a few examples. Here, we report the cleavage and functionalization of N2 mediated by a pincer ligand-supported diuranium(IV) hydride complex [{(Dipp-NON)UIV(η4-HDipp)}(μ-H){(η6-Dipp)UIV(NON-Dipp)}], 1. In this complex, a total of six electrons and two protons are stored in two flanking arms of the bis(anilido)xanthene scaffolds and in the bridging hydride, which are stabilized by two uranium(IV) centers. The reaction of complex 1 with dinitrogen results in concomitant N2 cleavage and functionalization, affording the bis-imido complex [{(Dipp2-NON)UIV}2(μ-NH)2], 3, via an unprecedented cooperative metal-ligand pathway and without involving a change of the uranium oxidation state during the overall transformation.</w:t>
      </w:r>
    </w:p>
    <w:p>
      <w:pPr>
        <w:spacing w:before="120" w:after="120"/>
      </w:pPr>
      <w:r>
        <w:rPr>
          <w:sz w:val="18"/>
        </w:rPr>
        <w:t>——————————————————————————————————————————————————————————————————————</w:t>
      </w:r>
    </w:p>
    <w:p>
      <w:pPr>
        <w:spacing w:before="160" w:after="40" w:line="240" w:lineRule="auto"/>
      </w:pPr>
      <w:r>
        <w:rPr>
          <w:b/>
        </w:rPr>
        <w:t xml:space="preserve">[480] </w:t>
      </w:r>
      <w:hyperlink r:id="rId728">
        <w:r>
          <w:rPr>
            <w:color w:val="1155CC"/>
            <w:u w:val="single"/>
          </w:rPr>
          <w:t>Engineering Proton " Hubs " 工程动态质子,用于超脉冲导电导框架</w:t>
        </w:r>
      </w:hyperlink>
    </w:p>
    <w:p>
      <w:pPr>
        <w:spacing w:before="0" w:after="80"/>
      </w:pPr>
      <w:r>
        <w:rPr>
          <w:i/>
          <w:sz w:val="20"/>
        </w:rPr>
        <w:t>EN: Engineering Dynamic Proton “Hubs” in Hydrogen‐Bonded Frameworks for Superprotonic Conductivity</w:t>
      </w:r>
    </w:p>
    <w:p>
      <w:pPr>
        <w:spacing w:before="0" w:after="120"/>
      </w:pPr>
      <w:r>
        <w:rPr>
          <w:b/>
        </w:rPr>
        <w:t xml:space="preserve">Source: </w:t>
      </w:r>
      <w:r>
        <w:t>Wiley: Angewandte Chemie International Edition: Table of Contents</w:t>
      </w:r>
      <w:r>
        <w:t xml:space="preserve">    </w:t>
      </w:r>
      <w:r>
        <w:rPr>
          <w:b/>
        </w:rPr>
        <w:t xml:space="preserve">Pub date: </w:t>
      </w:r>
      <w:r>
        <w:t>2026-02-25 09:14:18+00:00</w:t>
      </w:r>
      <w:r>
        <w:t xml:space="preserve">    </w:t>
      </w:r>
      <w:r>
        <w:rPr>
          <w:b/>
        </w:rPr>
        <w:t xml:space="preserve">DOI: </w:t>
      </w:r>
      <w:hyperlink r:id="rId729">
        <w:r>
          <w:rPr>
            <w:color w:val="1155CC"/>
            <w:u w:val="single"/>
          </w:rPr>
          <w:t>10.1002/anie.202525282</w:t>
        </w:r>
      </w:hyperlink>
    </w:p>
    <w:p>
      <w:pPr>
        <w:spacing w:before="0" w:after="120"/>
      </w:pPr>
      <w:r>
        <w:rPr>
          <w:b/>
        </w:rPr>
        <w:t xml:space="preserve">Notes: </w:t>
      </w:r>
      <w:r>
        <w:t>abstract_source=pubmed</w:t>
      </w:r>
    </w:p>
    <w:p>
      <w:pPr>
        <w:spacing w:before="0" w:after="80" w:lineRule="auto" w:line="276"/>
      </w:pPr>
      <w:r>
        <w:rPr>
          <w:b/>
        </w:rPr>
        <w:t xml:space="preserve">摘要（ZH）: </w:t>
      </w:r>
      <w:r>
        <w:t>模拟生物学中的协同质子传导对于合成材料来说仍然是一项艰巨的挑战。在这里,我们报告在氢氧化有机框架(HOF)内,由工程动态质子“体体”采取的战略方法。这些中枢是由铵和磺酸盐组群之间电荷辅助氢联结形成的超分子二级建筑单元(SSBUs),它们被编为指导质子运输的框架。由此形成的氢氟酸氢化合物HOF,BPDS_NH4, 显示0.21 Scm-1(90°C,90%的RH)具有高度竞争性质子传导性。特殊性由质子枢纽的双重功能决定:高电荷密度和水益性为溶解质质组群(H+(H2O)n)的车辆运输铺设高速公路,而密质子(H+(H2O)n),而密度、衰弱。</w:t>
      </w:r>
    </w:p>
    <w:p>
      <w:pPr>
        <w:spacing w:before="0" w:after="200" w:lineRule="auto" w:line="276"/>
      </w:pPr>
      <w:r>
        <w:rPr>
          <w:b/>
        </w:rPr>
        <w:t xml:space="preserve">Abstract (EN): </w:t>
      </w:r>
      <w:r>
        <w:t>Mimicking the synergistic proton conduction in biology remains a formidable challenge for synthetic materials. Here, we report a strategic approach by engineering dynamic proton "hubs" within hydrogen-bonded organic frameworks (HOFs). These hubs are supramolecular secondary building units (SSBUs) formed by charge-assisted hydrogen bonds between ammonium and sulfonate groups, which are programmed into the frameworks to direct proton traffic. The resulting ammonium-sulfonate HOF, BPDS_NH4, exhibits a highly competitive proton conductivity of 0.21 S cm-1 (90°C, 90% RH). The exceptional performance is governed by the dual function of the proton hubs: their high charge density and hydrophilicity create a highway for vehicular transport of solvated proton clusters (H+(H2O)n), while the dense, dynamic H-bonded network within each hub serves as a confined arena for ultrafast Grotthuss hopping. These processes are synergistically coupled, as verified by activation energy analysis and H/D isotope effect. This work establishes the construction of supramolecular proton hubs as a versatile blueprint for the rational design of advanced proton-conducting materials.</w:t>
      </w:r>
    </w:p>
    <w:p>
      <w:pPr>
        <w:spacing w:before="120" w:after="120"/>
      </w:pPr>
      <w:r>
        <w:rPr>
          <w:sz w:val="18"/>
        </w:rPr>
        <w:t>——————————————————————————————————————————————————————————————————————</w:t>
      </w:r>
    </w:p>
    <w:p>
      <w:pPr>
        <w:spacing w:before="160" w:after="40" w:line="240" w:lineRule="auto"/>
      </w:pPr>
      <w:r>
        <w:rPr>
          <w:b/>
        </w:rPr>
        <w:t xml:space="preserve">[481] </w:t>
      </w:r>
      <w:hyperlink r:id="rId730">
        <w:r>
          <w:rPr>
            <w:color w:val="1155CC"/>
            <w:u w:val="single"/>
          </w:rPr>
          <w:t>[ASAP] 奇差对单纤维和三联裂变的影响:光子管理分子潮流</w:t>
        </w:r>
      </w:hyperlink>
    </w:p>
    <w:p>
      <w:pPr>
        <w:spacing w:before="0" w:after="80"/>
      </w:pPr>
      <w:r>
        <w:rPr>
          <w:i/>
          <w:sz w:val="20"/>
        </w:rPr>
        <w:t>EN: [ASAP] The Impact of Chirality on Singlet Fission and Triplet Fusion: A Molecular Twist for Photon Management</w:t>
      </w:r>
    </w:p>
    <w:p>
      <w:pPr>
        <w:spacing w:before="0" w:after="120"/>
      </w:pPr>
      <w:r>
        <w:rPr>
          <w:b/>
        </w:rPr>
        <w:t xml:space="preserve">Source: </w:t>
      </w:r>
      <w:r>
        <w:t>ACS Energy Letters: Latest Articles (ACS Publications)</w:t>
      </w:r>
      <w:r>
        <w:t xml:space="preserve">    </w:t>
      </w:r>
      <w:r>
        <w:rPr>
          <w:b/>
        </w:rPr>
        <w:t xml:space="preserve">Pub date: </w:t>
      </w:r>
      <w:r>
        <w:t>2026-02-25 09:22:36+00:00</w:t>
      </w:r>
      <w:r>
        <w:t xml:space="preserve">    </w:t>
      </w:r>
      <w:r>
        <w:rPr>
          <w:b/>
        </w:rPr>
        <w:t xml:space="preserve">DOI: </w:t>
      </w:r>
      <w:hyperlink r:id="rId731">
        <w:r>
          <w:rPr>
            <w:color w:val="1155CC"/>
            <w:u w:val="single"/>
          </w:rPr>
          <w:t>10.1021/acsenergylett.6c00073</w:t>
        </w:r>
      </w:hyperlink>
    </w:p>
    <w:p>
      <w:pPr>
        <w:spacing w:before="0" w:after="120"/>
      </w:pPr>
      <w:r>
        <w:rPr>
          <w:b/>
        </w:rPr>
        <w:t xml:space="preserve">Notes: </w:t>
      </w:r>
      <w:r>
        <w:t>abstract_source=openalex; must_have_abstract=True</w:t>
      </w:r>
    </w:p>
    <w:p>
      <w:pPr>
        <w:spacing w:before="0" w:after="80" w:lineRule="auto" w:line="276"/>
      </w:pPr>
      <w:r>
        <w:rPr>
          <w:b/>
        </w:rPr>
        <w:t xml:space="preserve">摘要（ZH）: </w:t>
      </w:r>
      <w:r>
        <w:t>最近,在对有机半导体的特性产生深刻影响方面,偏振性已成为一种新手段,用于旋转式电子应用。 然而,到目前为止,对手工业结构 — — 财产关系 — — 仍缺乏明确的机械性理解,特别是光子相异转换过程,如单子激素裂变和三重聚变。 从这个角度讲,我们强调最近调查这些过程的手力结构的工作。 我们讨论了手力能影响这种转换过程的各种方法,并提出了如何利用它改进光子对能源应用和量子信息科学的管理的方法。</w:t>
      </w:r>
    </w:p>
    <w:p>
      <w:pPr>
        <w:spacing w:before="0" w:after="200" w:lineRule="auto" w:line="276"/>
      </w:pPr>
      <w:r>
        <w:rPr>
          <w:b/>
        </w:rPr>
        <w:t xml:space="preserve">Abstract (EN): </w:t>
      </w:r>
      <w:r>
        <w:t>Chirality has recently emerged as a new means to profoundly impact the properties of organic semiconductors for spin-optoelectronic applications. Yet, a clear mechanistic understanding of chiral structure–property relationships remains absent to date, particularly for photon interconversion processes such as singlet exciton fission and triplet fusion. In this perspective, we highlight recent work that investigates chiral structures for these processes. We discuss the various ways in which chirality can impact such conversion processes and suggest ways to leverage it to improve photon management for both energy applications and quantum information science.</w:t>
      </w:r>
    </w:p>
    <w:p>
      <w:pPr>
        <w:spacing w:before="120" w:after="120"/>
      </w:pPr>
      <w:r>
        <w:rPr>
          <w:sz w:val="18"/>
        </w:rPr>
        <w:t>——————————————————————————————————————————————————————————————————————</w:t>
      </w:r>
    </w:p>
    <w:p>
      <w:pPr>
        <w:spacing w:before="160" w:after="40" w:line="240" w:lineRule="auto"/>
      </w:pPr>
      <w:r>
        <w:rPr>
          <w:b/>
        </w:rPr>
        <w:t xml:space="preserve">[482] </w:t>
      </w:r>
      <w:hyperlink r:id="rId732">
        <w:r>
          <w:rPr>
            <w:color w:val="1155CC"/>
            <w:u w:val="single"/>
          </w:rPr>
          <w:t>一种二维多元金属-高性能微子超强电容器和固态锂电池的组织框架</w:t>
        </w:r>
      </w:hyperlink>
    </w:p>
    <w:p>
      <w:pPr>
        <w:spacing w:before="0" w:after="80"/>
      </w:pPr>
      <w:r>
        <w:rPr>
          <w:i/>
          <w:sz w:val="20"/>
        </w:rPr>
        <w:t>EN: A Quinoidal Two‐Dimensional Metal–Organic Framework for High‐Performance Micro‐Supercapacitors and Solid‐State Lithium Batteries</w:t>
      </w:r>
    </w:p>
    <w:p>
      <w:pPr>
        <w:spacing w:before="0" w:after="120"/>
      </w:pPr>
      <w:r>
        <w:rPr>
          <w:b/>
        </w:rPr>
        <w:t xml:space="preserve">Source: </w:t>
      </w:r>
      <w:r>
        <w:t>Wiley: Angewandte Chemie International Edition: Table of Contents</w:t>
      </w:r>
      <w:r>
        <w:t xml:space="preserve">    </w:t>
      </w:r>
      <w:r>
        <w:rPr>
          <w:b/>
        </w:rPr>
        <w:t xml:space="preserve">Pub date: </w:t>
      </w:r>
      <w:r>
        <w:t>2026-02-25 09:22:42+00:00</w:t>
      </w:r>
      <w:r>
        <w:t xml:space="preserve">    </w:t>
      </w:r>
      <w:r>
        <w:rPr>
          <w:b/>
        </w:rPr>
        <w:t xml:space="preserve">DOI: </w:t>
      </w:r>
      <w:hyperlink r:id="rId733">
        <w:r>
          <w:rPr>
            <w:color w:val="1155CC"/>
            <w:u w:val="single"/>
          </w:rPr>
          <w:t>10.1002/anie.202525047</w:t>
        </w:r>
      </w:hyperlink>
    </w:p>
    <w:p>
      <w:pPr>
        <w:spacing w:before="0" w:after="120"/>
      </w:pPr>
      <w:r>
        <w:rPr>
          <w:b/>
        </w:rPr>
        <w:t xml:space="preserve">Notes: </w:t>
      </w:r>
      <w:r>
        <w:t>abstract_source=pubmed</w:t>
      </w:r>
    </w:p>
    <w:p>
      <w:pPr>
        <w:spacing w:before="0" w:after="80" w:lineRule="auto" w:line="276"/>
      </w:pPr>
      <w:r>
        <w:rPr>
          <w:b/>
        </w:rPr>
        <w:t xml:space="preserve">摘要（ZH）: </w:t>
      </w:r>
      <w:r>
        <w:t>二维(2D)金属-有机框架(MOFs)结合了红氧化物活性联系器(MOFs),为微型能源储存提供了密集充电点和开离路径。我们报告有来自p-azaquinodime 的Qididal dicarboxylate ligand,AQM-H2L,产自p-azaquinodime 乙烷,形成Cu2+和Zn2+节点的晶体框架。基于库的MOF(AQM-AQM-H2L-Cu)的展品层(&gt;14 o-ocropace),由二核的Cu-carboxylate器和同质的AQM链接器制成,它们缩小了带宽度,并引入了Cu2+/Cu+假电容器。除尘纳米表(5 nm)保留了晶度和极佳的加工性。它们结合成了石制胶片,提供了29.6 mFcm-2和18.1 Fcm-2和18.1 Fcm-3,达到2.6</w:t>
      </w:r>
    </w:p>
    <w:p>
      <w:pPr>
        <w:spacing w:before="0" w:after="200" w:lineRule="auto" w:line="276"/>
      </w:pPr>
      <w:r>
        <w:rPr>
          <w:b/>
        </w:rPr>
        <w:t xml:space="preserve">Abstract (EN): </w:t>
      </w:r>
      <w:r>
        <w:t>Two-dimensional (2D) metal-organic frameworks (MOFs) integrating redox-active linkers enable dense charge sites and open ion pathways for microscale energy storage. We report a quinoidal dicarboxylate ligand, AQM-H2L, derived from p-azaquinodimethane, forming crystalline frameworks with Cu2+ and Zn2+ nodes. The Cu-based MOF (AQM-AQM-H2L-Cu) exhibits layered sheets (&gt;14 Å spacing) constructed from dinuclear Cu-carboxylate units and conjugated AQM linkers, which narrow the bandgap and introduce Cu2+/Cu+ pseudocapacitance. Exfoliated nanosheets (∼5 nm) retain crystallinity and excellent processability. Integrated into graphene films, they deliver areal and volumetric capacitances of 29.6 mF cm-2 and 18.1 F cm-3, achieving 2.6 mWh cm-3 energy density at 160 mW cm-3. As ionic fillers (1 wt%) in PEO solid polymer electrolytes, the nanosheets markedly enhance LiFePO4 cell performance, affording 169.8 mAh g-1 at 0.2 C and 93% retention after 400 cycles. This work establishes quinoidal linkers as a compact and robust design motif for ionically active 2D frameworks toward high-performance miniature and solid-state energy devices.</w:t>
      </w:r>
    </w:p>
    <w:p>
      <w:pPr>
        <w:spacing w:before="120" w:after="120"/>
      </w:pPr>
      <w:r>
        <w:rPr>
          <w:sz w:val="18"/>
        </w:rPr>
        <w:t>——————————————————————————————————————————————————————————————————————</w:t>
      </w:r>
    </w:p>
    <w:p>
      <w:pPr>
        <w:spacing w:before="160" w:after="40" w:line="240" w:lineRule="auto"/>
      </w:pPr>
      <w:r>
        <w:rPr>
          <w:b/>
        </w:rPr>
        <w:t xml:space="preserve">[483] </w:t>
      </w:r>
      <w:hyperlink r:id="rId734">
        <w:r>
          <w:rPr>
            <w:color w:val="1155CC"/>
            <w:u w:val="single"/>
          </w:rPr>
          <w:t>[ASAP]通过双重规模法为减少氮氧化氧化物选择性催化分析而调整中间反应变化:在硅挥发中同步反射红外红外Fourier变形光谱和密度功能功能理论研究</w:t>
        </w:r>
      </w:hyperlink>
    </w:p>
    <w:p>
      <w:pPr>
        <w:spacing w:before="0" w:after="80"/>
      </w:pPr>
      <w:r>
        <w:rPr>
          <w:i/>
          <w:sz w:val="20"/>
        </w:rPr>
        <w:t>EN: [ASAP] Modulating Intermediate Reactivity for Nitrogen Oxide Selective Catalytic Reduction through Dual Scaling Laws: A Synergetic In Situ Diffuse Reflectance Infrared Fourier Transform Spectroscopy and Density Functional Theory Study</w:t>
      </w:r>
    </w:p>
    <w:p>
      <w:pPr>
        <w:spacing w:before="0" w:after="120"/>
      </w:pPr>
      <w:r>
        <w:rPr>
          <w:b/>
        </w:rPr>
        <w:t xml:space="preserve">Source: </w:t>
      </w:r>
      <w:r>
        <w:t>Journal of the American Chemical Society: Latest Articles (ACS Publications)</w:t>
      </w:r>
      <w:r>
        <w:t xml:space="preserve">    </w:t>
      </w:r>
      <w:r>
        <w:rPr>
          <w:b/>
        </w:rPr>
        <w:t xml:space="preserve">Pub date: </w:t>
      </w:r>
      <w:r>
        <w:t>2026-02-25 09:41:59+00:00</w:t>
      </w:r>
      <w:r>
        <w:t xml:space="preserve">    </w:t>
      </w:r>
      <w:r>
        <w:rPr>
          <w:b/>
        </w:rPr>
        <w:t xml:space="preserve">DOI: </w:t>
      </w:r>
      <w:hyperlink r:id="rId735">
        <w:r>
          <w:rPr>
            <w:color w:val="1155CC"/>
            <w:u w:val="single"/>
          </w:rPr>
          <w:t>10.1021/jacs.6c00844</w:t>
        </w:r>
      </w:hyperlink>
    </w:p>
    <w:p>
      <w:pPr>
        <w:spacing w:before="0" w:after="120"/>
      </w:pPr>
      <w:r>
        <w:rPr>
          <w:b/>
        </w:rPr>
        <w:t xml:space="preserve">Notes: </w:t>
      </w:r>
      <w:r>
        <w:t>abstract_source=pubmed</w:t>
      </w:r>
    </w:p>
    <w:p>
      <w:pPr>
        <w:spacing w:before="0" w:after="80" w:lineRule="auto" w:line="276"/>
      </w:pPr>
      <w:r>
        <w:rPr>
          <w:b/>
        </w:rPr>
        <w:t xml:space="preserve">摘要（ZH）: </w:t>
      </w:r>
      <w:r>
        <w:t>减少氮氧化物(NOx)是减轻空气污染的可行方法,但它在多种催化方面继续构成重大挑战,要求从原子学角度深入了解过渡性金属催化剂如何调节反应。在本研究中,我们将现场扩散反射红外红外红外红外红外红外红外红外红外光变光谱仪(DRIFTS)与密度功能理论(DFT)的计算结合起来,以发现NOx在锰基催化剂上选择性催化作用减少(SCR)的机械原则。我们的实验-理论框架捕捉了NOx中间体的序列,在计算和测量的IR签字之间达成了强烈协议,从而得以详细测绘在Mn活性地点的电源再分配和轨道相互作用。我们发现了不同的再活动比例。</w:t>
      </w:r>
    </w:p>
    <w:p>
      <w:pPr>
        <w:spacing w:before="0" w:after="200" w:lineRule="auto" w:line="276"/>
      </w:pPr>
      <w:r>
        <w:rPr>
          <w:b/>
        </w:rPr>
        <w:t xml:space="preserve">Abstract (EN): </w:t>
      </w:r>
      <w:r>
        <w:t>Nitrogen oxide (NOx) abatement offers a viable way to mitigate air pollution, yet it continues to pose significant challenges in heterogeneous catalysis, calling for atomistic insights into how transition metal catalysts modulate reactivity. In this study, we integrate in situ diffuse reflectance infrared Fourier transform spectroscopy (DRIFTS) with density functional theory (DFT) calculations to uncover the mechanistic principles underlying NOx selective catalytic reduction (SCR) on manganese-based catalysts. Our experimental-theoretical framework captures a sequence of NOx intermediates with strong agreement between computed and measured IR signatures, enabling detailed mapping of charge redistribution and orbital interactions at Mn active sites. We discovered distinct reactivity scaling laws for intermediates with Mn3+ and Mn4+: a Sabatier-type volcano trend for Mn3+-bound intermediates and a linear relationship for Mn4+-containing systems. Moreover, we identified a unifying electronic descriptor, defined as the Fermi-level corrected energy of Mn 3d orbitals with a maximal overlap to NOx O 2p orbitals, that quantitatively connects these dual regimes. This descriptor is consistent with ligand field theory and further captures the dynamic interplay of NOx adsorbates, demonstrating that the symmetry and alignment of transition-metal 3d orbitals govern both charge distribution and chemical reactivity. Since multivalence is a ubiquitous feature of transition metal catalysts, the dual scaling laws discovered in this work could provide a generally valid framework. These findings not only establish a mechanistic foundation for understanding valence-dependent SCR reaction pathways but also suggest a broader framework with predictive power for catalyst design based on electronic structure engineering.</w:t>
      </w:r>
    </w:p>
    <w:p>
      <w:pPr>
        <w:spacing w:before="120" w:after="120"/>
      </w:pPr>
      <w:r>
        <w:rPr>
          <w:sz w:val="18"/>
        </w:rPr>
        <w:t>——————————————————————————————————————————————————————————————————————</w:t>
      </w:r>
    </w:p>
    <w:p>
      <w:pPr>
        <w:spacing w:before="160" w:after="40" w:line="240" w:lineRule="auto"/>
      </w:pPr>
      <w:r>
        <w:rPr>
          <w:b/>
        </w:rPr>
        <w:t xml:space="preserve">[484] </w:t>
      </w:r>
      <w:hyperlink r:id="rId736">
        <w:r>
          <w:rPr>
            <w:color w:val="1155CC"/>
            <w:u w:val="single"/>
          </w:rPr>
          <w:t>[ASAP]无定形硅-光上隔热的溴化酸现场建筑,由热生核熔化的两维二维多元固态NMR相干光谱分析解决</w:t>
        </w:r>
      </w:hyperlink>
    </w:p>
    <w:p>
      <w:pPr>
        <w:spacing w:before="0" w:after="80"/>
      </w:pPr>
      <w:r>
        <w:rPr>
          <w:i/>
          <w:sz w:val="20"/>
        </w:rPr>
        <w:t>EN: [ASAP] Interfacial Brønsted Acid Site Architectures on Amorphous Silica–Alumina Resolved by Heteronuclear-Filtered Two-Dimensional Solid-State NMR Correlation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2026-02-25 10:00:35+00:00</w:t>
      </w:r>
      <w:r>
        <w:t xml:space="preserve">    </w:t>
      </w:r>
      <w:r>
        <w:rPr>
          <w:b/>
        </w:rPr>
        <w:t xml:space="preserve">DOI: </w:t>
      </w:r>
      <w:hyperlink r:id="rId737">
        <w:r>
          <w:rPr>
            <w:color w:val="1155CC"/>
            <w:u w:val="single"/>
          </w:rPr>
          <w:t>10.1021/jacs.5c20339</w:t>
        </w:r>
      </w:hyperlink>
    </w:p>
    <w:p>
      <w:pPr>
        <w:spacing w:before="0" w:after="120"/>
      </w:pPr>
      <w:r>
        <w:rPr>
          <w:b/>
        </w:rPr>
        <w:t xml:space="preserve">Notes: </w:t>
      </w:r>
      <w:r>
        <w:t>abstract_source=pubmed</w:t>
      </w:r>
    </w:p>
    <w:p>
      <w:pPr>
        <w:spacing w:before="0" w:after="80" w:lineRule="auto" w:line="276"/>
      </w:pPr>
      <w:r>
        <w:rPr>
          <w:b/>
        </w:rPr>
        <w:t xml:space="preserve">摘要（ZH）: </w:t>
      </w:r>
      <w:r>
        <w:t>光化硅铝(ASAs)是广泛使用的催化剂,分布着布伦斯特酸场地,在众多工业环境中开发了独特的催化特性,虽然在原子一级深入了解其结构,特别是其间地,是合理设计的关键,但由于氢氧基的多样性和非界面信号的压倒性干扰造成光谱复杂性,这些场地很难定性。在这里,我们采用了27Al-过滤的1H-1H二-二-二-二-二-二-二-二-二-二-二-二-二-二-二-二-二-二-二-二-NMRMR(F-DQ/SQ)光谱法方法,结合DFT计算,在固态界面有选择地探测氢氧基。</w:t>
      </w:r>
    </w:p>
    <w:p>
      <w:pPr>
        <w:spacing w:before="0" w:after="200" w:lineRule="auto" w:line="276"/>
      </w:pPr>
      <w:r>
        <w:rPr>
          <w:b/>
        </w:rPr>
        <w:t xml:space="preserve">Abstract (EN): </w:t>
      </w:r>
      <w:r>
        <w:t>Amorphous silica-aluminas (ASAs) are widely used catalysts, with a distribution of Brønsted acid sites (BAS), that yield unique catalytic properties exploited in numerous industrial settings. While having atomic-level insight into their structures, in particular their interfacial sites, would be key to enable rational design, these sites are notoriously difficult to characterize due to spectral complexity arising from a diversity of hydroxyls and the overwhelming interference from noninterfacial signals. Herein, we introduce a 27Al-filtered 1H-1H double-quantum/single-quantum NMR (f-DQ/SQ) spectroscopy method integrated with DFT calculations to probe hydroxyls at solid-state interfaces selectively. Combined with probe molecule (acetone and TMP) adsorption experiments, this approach unequivocally demonstrates that hydrothermal post-treatment increases BAS density in ASA. Dynamic-nuclear-polarization-enhanced 29Si-{27Al} D/J-based correlation experiments corroborate the rearrangement process at the silica-alumina interface, while the heteronuclear-filtered 1H-1H DQ/SQ NMR reveals that the increase in BAS density originates from the formation of specific pseudobridged silanol (PBS) pairs─a distinction imperceptible in conventional 1H or 1H-{27Al} correlation NMR. PBS pairs constitute ca. 73% of the total PBS population, estimated by a semiquantitative analysis combining 27Al-filtered experiments and spin-dynamics simulations. Through a time-dependent 1H-1H f-DQ/SQ variant, we quantified key interatomic distances (∼2 Å for H-H and ∼4.1 Å for H-Al) within these PBS motifs. Constrained DFT calculations ultimately identify a vicinal-silanol-derived configuration as the most stable PBS structure, being 294 kJ/mol lower in relative energy, thereby resolving the atomic-scale origin of augmented acidity in hydrothermally treated ASAs.</w:t>
      </w:r>
    </w:p>
    <w:p>
      <w:pPr>
        <w:spacing w:before="120" w:after="120"/>
      </w:pPr>
      <w:r>
        <w:rPr>
          <w:sz w:val="18"/>
        </w:rPr>
        <w:t>——————————————————————————————————————————————————————————————————————</w:t>
      </w:r>
    </w:p>
    <w:p>
      <w:pPr>
        <w:spacing w:before="160" w:after="40" w:line="240" w:lineRule="auto"/>
      </w:pPr>
      <w:r>
        <w:rPr>
          <w:b/>
        </w:rPr>
        <w:t xml:space="preserve">[485] </w:t>
      </w:r>
      <w:hyperlink r:id="rId738">
        <w:r>
          <w:rPr>
            <w:color w:val="1155CC"/>
            <w:u w:val="single"/>
          </w:rPr>
          <w:t>活细胞中含有急性和慢性应激反应颗粒的Catecoolamiine 病媒相互作用的电化学剖析</w:t>
        </w:r>
      </w:hyperlink>
    </w:p>
    <w:p>
      <w:pPr>
        <w:spacing w:before="0" w:after="80"/>
      </w:pPr>
      <w:r>
        <w:rPr>
          <w:i/>
          <w:sz w:val="20"/>
        </w:rPr>
        <w:t>EN: Two‐Nanosensor Electrochemical Profiling of Catecholamine Vesicle Interactions With Acute and Chronic Stress Granules in Living Cells</w:t>
      </w:r>
    </w:p>
    <w:p>
      <w:pPr>
        <w:spacing w:before="0" w:after="120"/>
      </w:pPr>
      <w:r>
        <w:rPr>
          <w:b/>
        </w:rPr>
        <w:t xml:space="preserve">Source: </w:t>
      </w:r>
      <w:r>
        <w:t>Wiley: Angewandte Chemie International Edition: Table of Contents</w:t>
      </w:r>
      <w:r>
        <w:t xml:space="preserve">    </w:t>
      </w:r>
      <w:r>
        <w:rPr>
          <w:b/>
        </w:rPr>
        <w:t xml:space="preserve">Pub date: </w:t>
      </w:r>
      <w:r>
        <w:t>2026-02-25 10:02:36+00:00</w:t>
      </w:r>
      <w:r>
        <w:t xml:space="preserve">    </w:t>
      </w:r>
      <w:r>
        <w:rPr>
          <w:b/>
        </w:rPr>
        <w:t xml:space="preserve">DOI: </w:t>
      </w:r>
      <w:hyperlink r:id="rId739">
        <w:r>
          <w:rPr>
            <w:color w:val="1155CC"/>
            <w:u w:val="single"/>
          </w:rPr>
          <w:t>10.1002/anie.202525900</w:t>
        </w:r>
      </w:hyperlink>
    </w:p>
    <w:p>
      <w:pPr>
        <w:spacing w:before="0" w:after="120"/>
      </w:pPr>
      <w:r>
        <w:rPr>
          <w:b/>
        </w:rPr>
        <w:t xml:space="preserve">Notes: </w:t>
      </w:r>
      <w:r>
        <w:t>abstract_source=pubmed</w:t>
      </w:r>
    </w:p>
    <w:p>
      <w:pPr>
        <w:spacing w:before="0" w:after="80" w:lineRule="auto" w:line="276"/>
      </w:pPr>
      <w:r>
        <w:rPr>
          <w:b/>
        </w:rPr>
        <w:t xml:space="preserve">摘要（ZH）: </w:t>
      </w:r>
      <w:r>
        <w:t>压力颗粒(SGs)是动态的、无膜膜的凝聚凝聚物,它们聚集于应应应应应应应应应应应应应应应应应应的神经降解性疾病,并日益与神经降解性疾病(NDD)病理相关联,然而,压力颗粒与其他细胞性器官相互作用的分子和功能机制仍然不太为人所知。这里,我们提出了一个双纳米电化学战略,允许在单细胞分辨率时对在SGs和输卵管中的活性氧物种(ROS)进行定量区分。我们采用这一方法,区分了急性和慢性SGs在乙型氯胺酮细胞中的细胞内影响。慢性SG是长期的白化压力引起的,含有高水平的ROS,以及明显增加的甲酸胺储量,可能通过ROS媒介来测量。</w:t>
      </w:r>
    </w:p>
    <w:p>
      <w:pPr>
        <w:spacing w:before="0" w:after="200" w:lineRule="auto" w:line="276"/>
      </w:pPr>
      <w:r>
        <w:rPr>
          <w:b/>
        </w:rPr>
        <w:t xml:space="preserve">Abstract (EN): </w:t>
      </w:r>
      <w:r>
        <w:t>Stress granules (SGs) are dynamic, membrane-less condensates that assemble in response to stress and have been increasingly linked to neurodegenerative disease (NDD) pathology. However, the molecular and functional mechanisms by which stress granules interact with other cellular organelles remain poorly understood. Here, we present a two-nanosensor electrochemical strategy that enables quantitative discrimination of reactive oxygen species (ROS) in SGs and catecholamines in vesicles at single-cell resolution. Using this approach, we distinguished the intracellular effects of acute and chronic SGs in catecholaminergic cells. Chronic SGs induced by prolonged cisplatin stress, contained elevated ROS levels and markedly increased catecholamine storage per vesicle, likely through ROS-mediated homotypic vesicle fusion. In contrast, acute SGs induced by arsenite exhibited negligible effects. We further demonstrate that chronic SGs exhibit features of aged SGs, such as slow ROS release and enhanced redox activity. These results uncover a redox-coupled SG-vesicle interplay modulated by SG aging and identify chronic SGs as endogenous redox-active condensates that may contribute to neurotransmitter dysregulation and neurodegeneration.</w:t>
      </w:r>
    </w:p>
    <w:p>
      <w:pPr>
        <w:spacing w:before="120" w:after="120"/>
      </w:pPr>
      <w:r>
        <w:rPr>
          <w:sz w:val="18"/>
        </w:rPr>
        <w:t>——————————————————————————————————————————————————————————————————————</w:t>
      </w:r>
    </w:p>
    <w:p>
      <w:pPr>
        <w:spacing w:before="160" w:after="40" w:line="240" w:lineRule="auto"/>
      </w:pPr>
      <w:r>
        <w:rPr>
          <w:b/>
        </w:rPr>
        <w:t xml:space="preserve">[486] </w:t>
      </w:r>
      <w:hyperlink r:id="rId740">
        <w:r>
          <w:rPr>
            <w:color w:val="1155CC"/>
            <w:u w:val="single"/>
          </w:rPr>
          <w:t>OnSite 生成活性地表氯中间体在海水中生成的 Alkenes 产生的氯氢化合物的电合成</w:t>
        </w:r>
      </w:hyperlink>
    </w:p>
    <w:p>
      <w:pPr>
        <w:spacing w:before="0" w:after="80"/>
      </w:pPr>
      <w:r>
        <w:rPr>
          <w:i/>
          <w:sz w:val="20"/>
        </w:rPr>
        <w:t>EN: Electrosynthesis of Chlorohydrins From Alkenes in Seawater Enabled by On‐Site Generated Active Surface Chlorine Intermediate</w:t>
      </w:r>
    </w:p>
    <w:p>
      <w:pPr>
        <w:spacing w:before="0" w:after="120"/>
      </w:pPr>
      <w:r>
        <w:rPr>
          <w:b/>
        </w:rPr>
        <w:t xml:space="preserve">Source: </w:t>
      </w:r>
      <w:r>
        <w:t>Wiley: Angewandte Chemie International Edition: Table of Contents</w:t>
      </w:r>
      <w:r>
        <w:t xml:space="preserve">    </w:t>
      </w:r>
      <w:r>
        <w:rPr>
          <w:b/>
        </w:rPr>
        <w:t xml:space="preserve">Pub date: </w:t>
      </w:r>
      <w:r>
        <w:t>2026-02-25 10:39:39+00:00</w:t>
      </w:r>
      <w:r>
        <w:t xml:space="preserve">    </w:t>
      </w:r>
      <w:r>
        <w:rPr>
          <w:b/>
        </w:rPr>
        <w:t xml:space="preserve">DOI: </w:t>
      </w:r>
      <w:hyperlink r:id="rId741">
        <w:r>
          <w:rPr>
            <w:color w:val="1155CC"/>
            <w:u w:val="single"/>
          </w:rPr>
          <w:t>10.1002/anie.4054670</w:t>
        </w:r>
      </w:hyperlink>
    </w:p>
    <w:p>
      <w:pPr>
        <w:spacing w:before="0" w:after="120"/>
      </w:pPr>
      <w:r>
        <w:rPr>
          <w:b/>
        </w:rPr>
        <w:t xml:space="preserve">Notes: </w:t>
      </w:r>
      <w:r>
        <w:t>abstract_source=pubmed</w:t>
      </w:r>
    </w:p>
    <w:p>
      <w:pPr>
        <w:spacing w:before="0" w:after="80" w:lineRule="auto" w:line="276"/>
      </w:pPr>
      <w:r>
        <w:rPr>
          <w:b/>
        </w:rPr>
        <w:t xml:space="preserve">摘要（ZH）: </w:t>
      </w:r>
      <w:r>
        <w:t>氯氢是有机合成中必不可少的中间体,在药物发现、绿色催化和生物活性分子制造中发挥着关键作用。然而,常规氯氢合成通常需要苛刻的条件,造成安全风险和缺乏选择性。在这里,我们制定了直接有效的电催化战略,以合成全球每年生产超过2亿公吨的商品藻类中的氯氢,全球每年生产量超过2亿公吨。 利用RusnNbOx多氧化物催化剂,环己烷直接转化成纳氏溶液中的2-氯环己醇,其法拉地效率为96.1 ×3%,选择性为98.2 +0.4%,1.6 V比可逆氢电极。这一方法适用于其他烷类,如苯乙烯和环球开放。</w:t>
      </w:r>
    </w:p>
    <w:p>
      <w:pPr>
        <w:spacing w:before="0" w:after="200" w:lineRule="auto" w:line="276"/>
      </w:pPr>
      <w:r>
        <w:rPr>
          <w:b/>
        </w:rPr>
        <w:t xml:space="preserve">Abstract (EN): </w:t>
      </w:r>
      <w:r>
        <w:t>Chlorohydrins are essential intermediates in organic synthesis, playing a critical role in drug discovery, green catalysis, and bioactive molecule manufacturing. However, conventional chlorohydrin synthesis usually requires harsh conditions, which create safety risks and poor selectivity. Here we develop a direct and efficient electrocatalytic strategy for synthesizing chlorohydrins from commodity alkenes, which are globally produced at over 200 million metric tons annually. Utilizing a RuSnNbOx polymetallic oxide catalyst, cyclohexene is directly converted to 2-chlorocyclohexanol in NaCl solution with a Faradaic efficiency of 96.1 ± 3% and selectivity of 98.2 ± 0.4% at 1.6 V versus reversible hydrogen electrode. This approach is generalizable to other alkenes, such as styrene and cyclopentene, yielding 2-chloro-1-phenylethanol and 2-chlorocyclopentanol with uncompromised Faradaic efficiency. Mechanistic investigations reveal that the adsorbed active chlorine species, electrogenerated via Cl- oxidation on the RuSnNbOx anode, serve as key intermediates for direct alkene chlorination. Notably, this electrosynthesis method is further upscaled to gram-level in acidic seawater, delivering 3.01 g of 2-chlorocyclohexanol and 0.87 g of 2-chloro-1-phenylethanol. This work provides a sustainable and scalable alternative to conventional chlorohydrin production and offers insights into designing efficient electrolysis for related transformations.</w:t>
      </w:r>
    </w:p>
    <w:p>
      <w:pPr>
        <w:spacing w:before="120" w:after="120"/>
      </w:pPr>
      <w:r>
        <w:rPr>
          <w:sz w:val="18"/>
        </w:rPr>
        <w:t>——————————————————————————————————————————————————————————————————————</w:t>
      </w:r>
    </w:p>
    <w:p>
      <w:pPr>
        <w:spacing w:before="160" w:after="40" w:line="240" w:lineRule="auto"/>
      </w:pPr>
      <w:r>
        <w:rPr>
          <w:b/>
        </w:rPr>
        <w:t xml:space="preserve">[487] </w:t>
      </w:r>
      <w:hyperlink r:id="rId742">
        <w:r>
          <w:rPr>
            <w:color w:val="1155CC"/>
            <w:u w:val="single"/>
          </w:rPr>
          <w:t>由单一燃料脉冲产生的 " 双窗口时间规划 " 自动自动封闭Loop化学反应网络</w:t>
        </w:r>
      </w:hyperlink>
    </w:p>
    <w:p>
      <w:pPr>
        <w:spacing w:before="0" w:after="80"/>
      </w:pPr>
      <w:r>
        <w:rPr>
          <w:i/>
          <w:sz w:val="20"/>
        </w:rPr>
        <w:t>EN: A Closed‐Loop Chemical Reaction Network for Autonomous, Dual‐Window Temporal Programming From a Single Fuel Pulse</w:t>
      </w:r>
    </w:p>
    <w:p>
      <w:pPr>
        <w:spacing w:before="0" w:after="120"/>
      </w:pPr>
      <w:r>
        <w:rPr>
          <w:b/>
        </w:rPr>
        <w:t xml:space="preserve">Source: </w:t>
      </w:r>
      <w:r>
        <w:t>Wiley: Angewandte Chemie International Edition: Table of Contents</w:t>
      </w:r>
      <w:r>
        <w:t xml:space="preserve">    </w:t>
      </w:r>
      <w:r>
        <w:rPr>
          <w:b/>
        </w:rPr>
        <w:t xml:space="preserve">Pub date: </w:t>
      </w:r>
      <w:r>
        <w:t>2026-02-25 11:53:21+00:00</w:t>
      </w:r>
      <w:r>
        <w:t xml:space="preserve">    </w:t>
      </w:r>
      <w:r>
        <w:rPr>
          <w:b/>
        </w:rPr>
        <w:t xml:space="preserve">DOI: </w:t>
      </w:r>
      <w:hyperlink r:id="rId743">
        <w:r>
          <w:rPr>
            <w:color w:val="1155CC"/>
            <w:u w:val="single"/>
          </w:rPr>
          <w:t>10.1002/anie.202524255</w:t>
        </w:r>
      </w:hyperlink>
    </w:p>
    <w:p>
      <w:pPr>
        <w:spacing w:before="0" w:after="120"/>
      </w:pPr>
      <w:r>
        <w:rPr>
          <w:b/>
        </w:rPr>
        <w:t xml:space="preserve">Notes: </w:t>
      </w:r>
      <w:r>
        <w:t>abstract_source=pubmed</w:t>
      </w:r>
    </w:p>
    <w:p>
      <w:pPr>
        <w:spacing w:before="0" w:after="80" w:lineRule="auto" w:line="276"/>
      </w:pPr>
      <w:r>
        <w:rPr>
          <w:b/>
        </w:rPr>
        <w:t xml:space="preserve">摘要（ZH）: </w:t>
      </w:r>
      <w:r>
        <w:t>生活系统通常将单一瞬态输入转换为多阶段行动程序。 类似这一点, 我们报告了一个基于N- 苯二甲基- 氨- 甲基乙基- N- 甲基硫基甲酸酯(DTC)的闭环化学燃料反应网络(CRN), 这个网络将一个燃料脉冲(dithiotreitol (DTT))转换成两个暂时分离的凝胶窗口, 然后重新切换到同一个分子前体, 使得在简单再加油时能够连续自动循环。 程序化的进程Sol1  Gel1  索尔2  Gel2   Sol2  Sol1  Sol1 由一个等级运动环境强制实施, 它既可以关上大门,也可以关闭循环。 时间窗口是可编程的: pH 调出每个凝胶相的开始和寿命, 同时将燃料减少强度有选择地调整第一个窗口。 实验和建模 t</w:t>
      </w:r>
    </w:p>
    <w:p>
      <w:pPr>
        <w:spacing w:before="0" w:after="200" w:lineRule="auto" w:line="276"/>
      </w:pPr>
      <w:r>
        <w:rPr>
          <w:b/>
        </w:rPr>
        <w:t xml:space="preserve">Abstract (EN): </w:t>
      </w:r>
      <w:r>
        <w:t>Living systems routinely translate single transient inputs into multi-phase programs of action. To emulate this, we report a closed-loop chemically fueled reaction network (CRN) based on N-benzoyl-l-cysteine methyl ester-N-methylpiperazine dithiocarbamate (DTC) that converts one fuel pulse (dithiothreitol (DTT)) into two temporally separated gel windows and then resets to the same molecular precursor, enabling continuous autonomous cycling upon simple refueling. The programmed progression Sol1 → Gel1 → Sol2 → Gel2 → Sol1 is enforced by a hierarchical kinetic landscape, which both gates time and closes the loop. The time windows are programmable: pH tunes the onset and lifetime of each gel phase, while fuel reducing strength selectively modulates the first window. Experiments and modeling together confirm dual transients per pulse, molecular-level reset, and cycle fidelity over &gt;7 iterations. By coupling closed-loop chemistry with temporal gating, this work lifts fuel-driven materials beyond the single-event paradigm, delivering a durable, resettable, and programmable platform for life-like dissipative functions.</w:t>
      </w:r>
    </w:p>
    <w:p>
      <w:pPr>
        <w:spacing w:before="120" w:after="120"/>
      </w:pPr>
      <w:r>
        <w:rPr>
          <w:sz w:val="18"/>
        </w:rPr>
        <w:t>——————————————————————————————————————————————————————————————————————</w:t>
      </w:r>
    </w:p>
    <w:p>
      <w:pPr>
        <w:spacing w:before="160" w:after="40" w:line="240" w:lineRule="auto"/>
      </w:pPr>
      <w:r>
        <w:rPr>
          <w:b/>
        </w:rPr>
        <w:t xml:space="preserve">[488] </w:t>
      </w:r>
      <w:hyperlink r:id="rId744">
        <w:r>
          <w:rPr>
            <w:color w:val="1155CC"/>
            <w:u w:val="single"/>
          </w:rPr>
          <w:t>建筑像珊瑚- 碳化,多规模生物制造</w:t>
        </w:r>
      </w:hyperlink>
    </w:p>
    <w:p>
      <w:pPr>
        <w:spacing w:before="0" w:after="80"/>
      </w:pPr>
      <w:r>
        <w:rPr>
          <w:i/>
          <w:sz w:val="20"/>
        </w:rPr>
        <w:t>EN: Building like a Coral—Parallelized, Multiscale Biofabrication</w:t>
      </w:r>
    </w:p>
    <w:p>
      <w:pPr>
        <w:spacing w:before="0" w:after="120"/>
      </w:pPr>
      <w:r>
        <w:rPr>
          <w:b/>
        </w:rPr>
        <w:t xml:space="preserve">Source: </w:t>
      </w:r>
      <w:r>
        <w:t>Wiley: Advanced Materials: Table of Contents</w:t>
      </w:r>
      <w:r>
        <w:t xml:space="preserve">    </w:t>
      </w:r>
      <w:r>
        <w:rPr>
          <w:b/>
        </w:rPr>
        <w:t xml:space="preserve">Pub date: </w:t>
      </w:r>
      <w:r>
        <w:t>2026-02-25 11:59:14+00:00</w:t>
      </w:r>
      <w:r>
        <w:t xml:space="preserve">    </w:t>
      </w:r>
      <w:r>
        <w:rPr>
          <w:b/>
        </w:rPr>
        <w:t xml:space="preserve">DOI: </w:t>
      </w:r>
      <w:hyperlink r:id="rId745">
        <w:r>
          <w:rPr>
            <w:color w:val="1155CC"/>
            <w:u w:val="single"/>
          </w:rPr>
          <w:t>10.1002/adma.202520519</w:t>
        </w:r>
      </w:hyperlink>
    </w:p>
    <w:p>
      <w:pPr>
        <w:spacing w:before="0" w:after="120"/>
      </w:pPr>
      <w:r>
        <w:rPr>
          <w:b/>
        </w:rPr>
        <w:t xml:space="preserve">Notes: </w:t>
      </w:r>
      <w:r>
        <w:t>abstract_source=pubmed</w:t>
      </w:r>
    </w:p>
    <w:p>
      <w:pPr>
        <w:spacing w:before="0" w:after="80" w:lineRule="auto" w:line="276"/>
      </w:pPr>
      <w:r>
        <w:rPr>
          <w:b/>
        </w:rPr>
        <w:t xml:space="preserve">摘要（ZH）: </w:t>
      </w:r>
      <w:r>
        <w:t>珊瑚通过建立这些生态系统,解决了物质科学方面的重大挑战,产生了坚硬、坚固和内在循环的骨骼材料,在能源和建筑资源稀少或能动地耗尽合成的情况下,产生了坚硬、坚固和内在的骨骼材料。 了解珊瑚骨骼材料的进展是由于其特殊的机械特性、潜在的生物兼容性,以及在冷水珊瑚的情况下,由于这些物质在黑暗、低温和有限的能源条件下合成的能力,这些自然、可持续的过程为开发提供了令人鼓舞的蓝图。</w:t>
      </w:r>
    </w:p>
    <w:p>
      <w:pPr>
        <w:spacing w:before="0" w:after="200" w:lineRule="auto" w:line="276"/>
      </w:pPr>
      <w:r>
        <w:rPr>
          <w:b/>
        </w:rPr>
        <w:t xml:space="preserve">Abstract (EN): </w:t>
      </w:r>
      <w:r>
        <w:t>Visible from space or residing in the depths of the ocean, scleractinian corals engineer vast ecosystems supporting high biodiversity and providing essential ecosystem services. By creating these ecosystems, corals address significant challenges in material science, generating skeletal materials that are stiff, strong, and inherently circular-even in conditions where energy and building resources can be scarce or energetically expensive to synthesize. Understanding coral skeletal materials has progressed due to their exceptional mechanical properties, potential biocompatibility, and, in case of cold-water corals, their ability to be synthesized in darkness, at low temperature, and with limited energy resources. These natural, sustainable processes offer inspiring blueprints for the development of transformative new materials, which may drive radical innovations across biomedical and engineering applications. In this perspective, we synthesize the current state of knowledge on the biomineralization process of corals, including the two prevailing viewpoints-biologically controlled vs. physicochemical controlled biomineralization. We then recast coral growth as a multiscale, parallelized biofabrication process, that can catalyse the development of next-generation materials technologies. These insights outline pathways to sustainable, self-organising, and energy-efficient manufacturing with broad relevance to structural materials, biomaterials, and regenerative engineering. Ultimately, we strive to answer: "How to build like a coral?"</w:t>
      </w:r>
    </w:p>
    <w:p>
      <w:pPr>
        <w:spacing w:before="120" w:after="120"/>
      </w:pPr>
      <w:r>
        <w:rPr>
          <w:sz w:val="18"/>
        </w:rPr>
        <w:t>——————————————————————————————————————————————————————————————————————</w:t>
      </w:r>
    </w:p>
    <w:p>
      <w:pPr>
        <w:spacing w:before="160" w:after="40" w:line="240" w:lineRule="auto"/>
      </w:pPr>
      <w:r>
        <w:rPr>
          <w:b/>
        </w:rPr>
        <w:t xml:space="preserve">[489] </w:t>
      </w:r>
      <w:hyperlink r:id="rId746">
        <w:r>
          <w:rPr>
            <w:color w:val="1155CC"/>
            <w:u w:val="single"/>
          </w:rPr>
          <w:t>引人参观的Naphthalene Bisimide液体水晶中多彩光光发活性</w:t>
        </w:r>
      </w:hyperlink>
    </w:p>
    <w:p>
      <w:pPr>
        <w:spacing w:before="0" w:after="80"/>
      </w:pPr>
      <w:r>
        <w:rPr>
          <w:i/>
          <w:sz w:val="20"/>
        </w:rPr>
        <w:t>EN: Guest‐Induced Activation of Multicolor Photoluminescence in Naphthalene Bisimide Liquid Crystals</w:t>
      </w:r>
    </w:p>
    <w:p>
      <w:pPr>
        <w:spacing w:before="0" w:after="120"/>
      </w:pPr>
      <w:r>
        <w:rPr>
          <w:b/>
        </w:rPr>
        <w:t xml:space="preserve">Source: </w:t>
      </w:r>
      <w:r>
        <w:t>Wiley: Advanced Materials: Table of Contents</w:t>
      </w:r>
      <w:r>
        <w:t xml:space="preserve">    </w:t>
      </w:r>
      <w:r>
        <w:rPr>
          <w:b/>
        </w:rPr>
        <w:t xml:space="preserve">Pub date: </w:t>
      </w:r>
      <w:r>
        <w:t>2026-02-25 12:03:46+00:00</w:t>
      </w:r>
      <w:r>
        <w:t xml:space="preserve">    </w:t>
      </w:r>
      <w:r>
        <w:rPr>
          <w:b/>
        </w:rPr>
        <w:t xml:space="preserve">DOI: </w:t>
      </w:r>
      <w:hyperlink r:id="rId747">
        <w:r>
          <w:rPr>
            <w:color w:val="1155CC"/>
            <w:u w:val="single"/>
          </w:rPr>
          <w:t>10.1002/adma.202520184</w:t>
        </w:r>
      </w:hyperlink>
    </w:p>
    <w:p>
      <w:pPr>
        <w:spacing w:before="0" w:after="120"/>
      </w:pPr>
      <w:r>
        <w:rPr>
          <w:b/>
        </w:rPr>
        <w:t xml:space="preserve">Notes: </w:t>
      </w:r>
      <w:r>
        <w:t>abstract_source=pubmed</w:t>
      </w:r>
    </w:p>
    <w:p>
      <w:pPr>
        <w:spacing w:before="0" w:after="80" w:lineRule="auto" w:line="276"/>
      </w:pPr>
      <w:r>
        <w:rPr>
          <w:b/>
        </w:rPr>
        <w:t xml:space="preserve">摘要（ZH）: </w:t>
      </w:r>
      <w:r>
        <w:t>由于大多数现有先进材料系统都存在于不切实际的解决方案或难以处理的晶体中,因此在可加工材料中实现可处理材料的颜色和寿命不易排放方面仍具有挑战性,因为大多数现有先进材料系统都存在于不切实际的溶液或难以处理的晶体中,液体晶体(LCs)因其可处理性而是一个很有希望的平台,尽管先前的工作主要控制了外部含氟磷涂料的排放颜色。在这项工作中,我们提出了一个超分子战略,通过嵌入富电子客人来激活和调制氯化萘双硫化物(NBI)的光光照明(PL)颜色和寿命,为充电转移(CT)互动提供了合适的环境。</w:t>
      </w:r>
    </w:p>
    <w:p>
      <w:pPr>
        <w:spacing w:before="0" w:after="200" w:lineRule="auto" w:line="276"/>
      </w:pPr>
      <w:r>
        <w:rPr>
          <w:b/>
        </w:rPr>
        <w:t xml:space="preserve">Abstract (EN): </w:t>
      </w:r>
      <w:r>
        <w:t>Achieving color- and lifetime-tunable emission in processable materials remains challenging, as most of the available advanced materials systems exist only in impractical solutions or hard-to-process crystals. Liquid crystals (LCs) represent a promising platform due to their processability, though previous work has mainly controlled emission color by external fluorophore doping. In this work, we present a supramolecular strategy to activate and tune both photoluminescence (PL) color and lifetime in naphthalene bisimide (NBI) LCs by embedding electron-rich guests. The electron-deficient NBIs form columnar hexagonal mesophases stabilized by nanosegregation of aromatic cores and aliphatic side chains, providing a suitable environment for charge-transfer (CT) interactions. Incorporating electron-rich polycyclic aromatics, carbazole derivatives, or square-planar Pt(II) complexes yields emissive CT states with tunable emission from visible to near-infrared (511-685 nm), covering short-lived fluorescence to long-lived delayed luminescence of coexisting thermally activated delayed fluorescence (TADF) and room-temperature phosphorescence (RTP). Co-assembling two complementary NBI hosts with one guest enables an energy-transfer cascade that simultaneously supports green and red dual emission of fluorescence and TADF. This additive-induced activation and host-mixing approach greatly broadens the luminescence range accessible in LCs, combining tunable photophysical properties with intrinsic processability for next-generation optical encoding and security labeling technologies.</w:t>
      </w:r>
    </w:p>
    <w:p>
      <w:pPr>
        <w:spacing w:before="120" w:after="120"/>
      </w:pPr>
      <w:r>
        <w:rPr>
          <w:sz w:val="18"/>
        </w:rPr>
        <w:t>——————————————————————————————————————————————————————————————————————</w:t>
      </w:r>
    </w:p>
    <w:p>
      <w:pPr>
        <w:spacing w:before="160" w:after="40" w:line="240" w:lineRule="auto"/>
      </w:pPr>
      <w:r>
        <w:rPr>
          <w:b/>
        </w:rPr>
        <w:t xml:space="preserve">[490] </w:t>
      </w:r>
      <w:hyperlink r:id="rId748">
        <w:r>
          <w:rPr>
            <w:color w:val="1155CC"/>
            <w:u w:val="single"/>
          </w:rPr>
          <w:t>[ASAP] FragNet:具有四级可解释性的分子财产预测图形神经网络</w:t>
        </w:r>
      </w:hyperlink>
    </w:p>
    <w:p>
      <w:pPr>
        <w:spacing w:before="0" w:after="80"/>
      </w:pPr>
      <w:r>
        <w:rPr>
          <w:i/>
          <w:sz w:val="20"/>
        </w:rPr>
        <w:t>EN: [ASAP] FragNet: A Graph Neural Network for Molecular Property Prediction with Four Levels of Interpretability</w:t>
      </w:r>
    </w:p>
    <w:p>
      <w:pPr>
        <w:spacing w:before="0" w:after="120"/>
      </w:pPr>
      <w:r>
        <w:rPr>
          <w:b/>
        </w:rPr>
        <w:t xml:space="preserve">Source: </w:t>
      </w:r>
      <w:r>
        <w:t>Journal of the American Chemical Society: Latest Articles (ACS Publications)</w:t>
      </w:r>
      <w:r>
        <w:t xml:space="preserve">    </w:t>
      </w:r>
      <w:r>
        <w:rPr>
          <w:b/>
        </w:rPr>
        <w:t xml:space="preserve">Pub date: </w:t>
      </w:r>
      <w:r>
        <w:t>2026-02-25 12:15:13+00:00</w:t>
      </w:r>
      <w:r>
        <w:t xml:space="preserve">    </w:t>
      </w:r>
      <w:r>
        <w:rPr>
          <w:b/>
        </w:rPr>
        <w:t xml:space="preserve">DOI: </w:t>
      </w:r>
      <w:hyperlink r:id="rId749">
        <w:r>
          <w:rPr>
            <w:color w:val="1155CC"/>
            <w:u w:val="single"/>
          </w:rPr>
          <w:t>10.1021/jacs.5c22620</w:t>
        </w:r>
      </w:hyperlink>
    </w:p>
    <w:p>
      <w:pPr>
        <w:spacing w:before="0" w:after="120"/>
      </w:pPr>
      <w:r>
        <w:rPr>
          <w:b/>
        </w:rPr>
        <w:t xml:space="preserve">Notes: </w:t>
      </w:r>
      <w:r>
        <w:t>abstract_source=pubmed</w:t>
      </w:r>
    </w:p>
    <w:p>
      <w:pPr>
        <w:spacing w:before="0" w:after="80" w:lineRule="auto" w:line="276"/>
      </w:pPr>
      <w:r>
        <w:rPr>
          <w:b/>
        </w:rPr>
        <w:t xml:space="preserve">摘要（ZH）: </w:t>
      </w:r>
      <w:r>
        <w:t>分子财产预测在当代各种科学领域,例如药物研制和能源储存材料的设计等,是必不可少的。虽然有许多用于此目的的机器学习模型,但那些在提供预测的可解释性的同时达到高度准确性同时又能提供预测可解释性的模型并不常见。我们提出了一个图形神经网络,它不仅与主要模型的预测灵敏度相匹配,而且还能对四种分子子结构进行深入了解。这一模型有助于确定哪些原子、联结、分子碎片和碎片之间的连接对于预测特定分子特性十分重要。了解碎片之间联系的重要性对于具有子结构的分子来说尤其重要。</w:t>
      </w:r>
    </w:p>
    <w:p>
      <w:pPr>
        <w:spacing w:before="0" w:after="200" w:lineRule="auto" w:line="276"/>
      </w:pPr>
      <w:r>
        <w:rPr>
          <w:b/>
        </w:rPr>
        <w:t xml:space="preserve">Abstract (EN): </w:t>
      </w:r>
      <w:r>
        <w:t>Molecular property prediction is essential in a variety of contemporary scientific fields, such as drug development and the design of energy storage materials. Although there are many machine learning models available for this purpose, those that achieve high accuracy while also offering the interpretability of predictions are uncommon. We present a graph neural network that not only matches the prediction accuracies of leading models but also provides insights into four levels of molecular substructures. This model helps identify which atoms, bonds, molecular fragments, and connections among fragments are significant for predicting a specific molecular property. Understanding the importance of connections between fragments is particularly valuable for molecules with substructures that do not connect through standard bonds. The model additionally can quantify the impact of specific fragments on the prediction, allowing for the identification of fragments that may improve or degrade a property value. These interpretable features are essential for deriving scientific insights from the model's learned relationships between molecular structures and properties.</w:t>
      </w:r>
    </w:p>
    <w:p>
      <w:pPr>
        <w:spacing w:before="120" w:after="120"/>
      </w:pPr>
      <w:r>
        <w:rPr>
          <w:sz w:val="18"/>
        </w:rPr>
        <w:t>——————————————————————————————————————————————————————————————————————</w:t>
      </w:r>
    </w:p>
    <w:p>
      <w:pPr>
        <w:spacing w:before="160" w:after="40" w:line="240" w:lineRule="auto"/>
      </w:pPr>
      <w:r>
        <w:rPr>
          <w:b/>
        </w:rPr>
        <w:t xml:space="preserve">[491] </w:t>
      </w:r>
      <w:hyperlink r:id="rId750">
        <w:r>
          <w:rPr>
            <w:color w:val="1155CC"/>
            <w:u w:val="single"/>
          </w:rPr>
          <w:t>[ASAP] 中立的二氧化二氮-含异丙积聚物</w:t>
        </w:r>
      </w:hyperlink>
    </w:p>
    <w:p>
      <w:pPr>
        <w:spacing w:before="0" w:after="80"/>
      </w:pPr>
      <w:r>
        <w:rPr>
          <w:i/>
          <w:sz w:val="20"/>
        </w:rPr>
        <w:t>EN: [ASAP] Neutral Diboron-Containing Heterocumulenes</w:t>
      </w:r>
    </w:p>
    <w:p>
      <w:pPr>
        <w:spacing w:before="0" w:after="120"/>
      </w:pPr>
      <w:r>
        <w:rPr>
          <w:b/>
        </w:rPr>
        <w:t xml:space="preserve">Source: </w:t>
      </w:r>
      <w:r>
        <w:t>Journal of the American Chemical Society: Latest Articles (ACS Publications)</w:t>
      </w:r>
      <w:r>
        <w:t xml:space="preserve">    </w:t>
      </w:r>
      <w:r>
        <w:rPr>
          <w:b/>
        </w:rPr>
        <w:t xml:space="preserve">Pub date: </w:t>
      </w:r>
      <w:r>
        <w:t>2026-02-25 12:21:00+00:00</w:t>
      </w:r>
      <w:r>
        <w:t xml:space="preserve">    </w:t>
      </w:r>
      <w:r>
        <w:rPr>
          <w:b/>
        </w:rPr>
        <w:t xml:space="preserve">DOI: </w:t>
      </w:r>
      <w:hyperlink r:id="rId751">
        <w:r>
          <w:rPr>
            <w:color w:val="1155CC"/>
            <w:u w:val="single"/>
          </w:rPr>
          <w:t>10.1021/jacs.6c01168</w:t>
        </w:r>
      </w:hyperlink>
    </w:p>
    <w:p>
      <w:pPr>
        <w:spacing w:before="0" w:after="120"/>
      </w:pPr>
      <w:r>
        <w:rPr>
          <w:b/>
        </w:rPr>
        <w:t xml:space="preserve">Notes: </w:t>
      </w:r>
      <w:r>
        <w:t>abstract_source=pubmed</w:t>
      </w:r>
    </w:p>
    <w:p>
      <w:pPr>
        <w:spacing w:before="0" w:after="80" w:lineRule="auto" w:line="276"/>
      </w:pPr>
      <w:r>
        <w:rPr>
          <w:b/>
        </w:rPr>
        <w:t xml:space="preserve">摘要（ZH）: </w:t>
      </w:r>
      <w:r>
        <w:t>最近,由于含有丙烯含丙烯的丙烯积囊的开发具有令人感兴趣的特性,而且有可能无法用于所有碳系统,因此引起了相当大的兴趣。虽然倍数保质保质保质保质种的化学作用已经确立,但涉及B-B多重债券的碳素系统仍然极为罕见。我们在此报告两个中性乙烯积蓄的合成、特征描述和反应,这两个中性乙烯的合成、特征描述和反应以其围绕非对称的B(sp)b(sp)b(sp2)(sp2)单位建造的氯化萘结构为显著特征。值得注意的是,可以通过改变所支持的离心体(ligands)的接收能力,来调整这些积聚的地貌。X射线差异分析显示,由N-herocyccyccarbene(NHC)支持的结构显示弯曲结构。</w:t>
      </w:r>
    </w:p>
    <w:p>
      <w:pPr>
        <w:spacing w:before="0" w:after="200" w:lineRule="auto" w:line="276"/>
      </w:pPr>
      <w:r>
        <w:rPr>
          <w:b/>
        </w:rPr>
        <w:t xml:space="preserve">Abstract (EN): </w:t>
      </w:r>
      <w:r>
        <w:t>The development of boron-containing heterocumulenes has attracted considerable recent interest owing to their intriguing properties and potential for applications unavailable in all-carbon systems. While the chemistry of multiply bonded boron species has been well established, cumulene systems involving B-B multiple bonds remain extremely rare. Herein we report the syntheses, characterizations and reactivities of two neutral heterocumulenes, notable for their CNBB architectures built around unsymmetrical B(sp)═B(sp2) units. Remarkably, the geometries of these cumulenes can be tailored by changing the π-acceptor ability of the supported ligands. X-ray diffraction analysis revealed that the cumulene supported by an N-heterocyclic carbene (NHC) exhibits a bent structure, whereas the cumulene stabilized by the more π-acidic (cyclic)(alkyl)(amino)carbene (cAAC) displays a nearly linear configuration. Notably, these cumulenes exhibit divergent reactivity toward the cleavage of homoatomic element-element bonds in bis(catecholato)diboron (B2cat2) and diphenyl diselenide (PhSeSePh), affording benzodioxadiborane derivatives and selenoboranes, respectively. Furthermore, the reaction with bromopentafluorobenzene (C6F5Br) involves the formal addition of the C(sp2)-Br bond across the unsaturated B-B bond of the CNBB units. Their potential as supporting ligands was also demonstrated through the formation of stable complexes with CuBr and CuI, where the metal centers are ligated by the B2 units.</w:t>
      </w:r>
    </w:p>
    <w:p>
      <w:pPr>
        <w:spacing w:before="120" w:after="120"/>
      </w:pPr>
      <w:r>
        <w:rPr>
          <w:sz w:val="18"/>
        </w:rPr>
        <w:t>——————————————————————————————————————————————————————————————————————</w:t>
      </w:r>
    </w:p>
    <w:p>
      <w:pPr>
        <w:spacing w:before="160" w:after="40" w:line="240" w:lineRule="auto"/>
      </w:pPr>
      <w:r>
        <w:rPr>
          <w:b/>
        </w:rPr>
        <w:t xml:space="preserve">[492] </w:t>
      </w:r>
      <w:hyperlink r:id="rId752">
        <w:r>
          <w:rPr>
            <w:color w:val="1155CC"/>
            <w:u w:val="single"/>
          </w:rPr>
          <w:t>高可极可极化嵌入式界面与高有机血压交点光化催化器</w:t>
        </w:r>
      </w:hyperlink>
    </w:p>
    <w:p>
      <w:pPr>
        <w:spacing w:before="0" w:after="80"/>
      </w:pPr>
      <w:r>
        <w:rPr>
          <w:i/>
          <w:sz w:val="20"/>
        </w:rPr>
        <w:t>EN: Highly Polarizable Embedded Interfaces Toward Superior Organic Heterojunction Photocatalysts</w:t>
      </w:r>
    </w:p>
    <w:p>
      <w:pPr>
        <w:spacing w:before="0" w:after="120"/>
      </w:pPr>
      <w:r>
        <w:rPr>
          <w:b/>
        </w:rPr>
        <w:t xml:space="preserve">Source: </w:t>
      </w:r>
      <w:r>
        <w:t>Wiley: Angewandte Chemie International Edition: Table of Contents</w:t>
      </w:r>
      <w:r>
        <w:t xml:space="preserve">    </w:t>
      </w:r>
      <w:r>
        <w:rPr>
          <w:b/>
        </w:rPr>
        <w:t xml:space="preserve">Pub date: </w:t>
      </w:r>
      <w:r>
        <w:t>2026-02-25 12:23:35+00:00</w:t>
      </w:r>
      <w:r>
        <w:t xml:space="preserve">    </w:t>
      </w:r>
      <w:r>
        <w:rPr>
          <w:b/>
        </w:rPr>
        <w:t xml:space="preserve">DOI: </w:t>
      </w:r>
      <w:hyperlink r:id="rId753">
        <w:r>
          <w:rPr>
            <w:color w:val="1155CC"/>
            <w:u w:val="single"/>
          </w:rPr>
          <w:t>10.1002/anie.3278432</w:t>
        </w:r>
      </w:hyperlink>
    </w:p>
    <w:p>
      <w:pPr>
        <w:spacing w:before="0" w:after="120"/>
      </w:pPr>
      <w:r>
        <w:rPr>
          <w:b/>
        </w:rPr>
        <w:t xml:space="preserve">Notes: </w:t>
      </w:r>
      <w:r>
        <w:t>abstract_source=pubmed</w:t>
      </w:r>
    </w:p>
    <w:p>
      <w:pPr>
        <w:spacing w:before="0" w:after="80" w:lineRule="auto" w:line="276"/>
      </w:pPr>
      <w:r>
        <w:rPr>
          <w:b/>
        </w:rPr>
        <w:t xml:space="preserve">摘要（ZH）: </w:t>
      </w:r>
      <w:r>
        <w:t>有机光伏催化剂(OPCs)具有巨大的能源转换和环境净化潜力,但经常受到低效率的异质分解和快速电荷重组的影响,特别是在无序的捐赠者/接受者/接受者(D/A)接口(D/A)接口中,限制其光催化性能。在这里,我们提议了一项嵌入界面战略,涉及在OPC散装热中D/A接口中一个高度可极化的名为Y6CO-S的分子在D/A接口中,以扩大当地电场,加强分子订购,提高洞转移效率,延长洞洞极寿命,从而推动光催化活动。具体来说,优化的PM6:PYF-T-o:Y6CO-S纳米粒子(NPs)实现了显著的光催化性平均质量/区域单位化物(H)</w:t>
      </w:r>
    </w:p>
    <w:p>
      <w:pPr>
        <w:spacing w:before="0" w:after="200" w:lineRule="auto" w:line="276"/>
      </w:pPr>
      <w:r>
        <w:rPr>
          <w:b/>
        </w:rPr>
        <w:t xml:space="preserve">Abstract (EN): </w:t>
      </w:r>
      <w:r>
        <w:t>Organic photovoltaic catalysts (OPCs) hold great potential for energy conversion and environmental purification yet often suffer from inefficient exciton dissociation and rapid charge recombination, particularly at disordered donor/acceptor (D/A) interfaces, limiting their photocatalytic performance. Herein, we propose an embedded interface strategy that involves a highly polarizable molecule named Y6CO-S at the D/A interface within OPC bulk heterojunction (BHJ) to amplify the local electric field and enhance molecular ordering, improving hole transfer efficiency and prolonging hole polaron lifetime, and thereby boosting photocatalytic activity. Specifically, the optimized PM6:PYF-T-o:Y6CO-S nanoparticles (NPs) achieve remarkable photocatalytic sacrificial average mass-united/area-united hydrogen evolution rates of 263.8-1974.7 mmol h- 1 g- 1 and 42.7-182.4 mmol h-1 m-2 at varied NP concentrations under simulated sunlight (AM 1.5G, 100 mW cm-2) for 10 h along with high external quantum efficiencies of &gt;10% across the visible to near-infrared region, 36%-47% exceeding those of the binary PM6:PYF-T-o system without Y6CO-S embedded interface and representing one of the highest performances reported to date for photocatalysts. This work demonstrates the significant potential of embedded interface strategy in developing high‑performance heterojunction OPCs as well as other optoelectronic applications.</w:t>
      </w:r>
    </w:p>
    <w:p>
      <w:pPr>
        <w:spacing w:before="120" w:after="120"/>
      </w:pPr>
      <w:r>
        <w:rPr>
          <w:sz w:val="18"/>
        </w:rPr>
        <w:t>——————————————————————————————————————————————————————————————————————</w:t>
      </w:r>
    </w:p>
    <w:p>
      <w:pPr>
        <w:spacing w:before="160" w:after="40" w:line="240" w:lineRule="auto"/>
      </w:pPr>
      <w:r>
        <w:rPr>
          <w:b/>
        </w:rPr>
        <w:t xml:space="preserve">[493] </w:t>
      </w:r>
      <w:hyperlink r:id="rId754">
        <w:r>
          <w:rPr>
            <w:color w:val="1155CC"/>
            <w:u w:val="single"/>
          </w:rPr>
          <w:t>宽带纳米成像与多式MIRNA分析机视像成像</w:t>
        </w:r>
      </w:hyperlink>
    </w:p>
    <w:p>
      <w:pPr>
        <w:spacing w:before="0" w:after="80"/>
      </w:pPr>
      <w:r>
        <w:rPr>
          <w:i/>
          <w:sz w:val="20"/>
        </w:rPr>
        <w:t>EN: Broadband Nanocavity Imaging with Machine Vision for Multiplex miRNA Assays</w:t>
      </w:r>
    </w:p>
    <w:p>
      <w:pPr>
        <w:spacing w:before="0" w:after="120"/>
      </w:pPr>
      <w:r>
        <w:rPr>
          <w:b/>
        </w:rPr>
        <w:t xml:space="preserve">Source: </w:t>
      </w:r>
      <w:r>
        <w:t>Wiley: Advanced Materials: Table of Contents</w:t>
      </w:r>
      <w:r>
        <w:t xml:space="preserve">    </w:t>
      </w:r>
      <w:r>
        <w:rPr>
          <w:b/>
        </w:rPr>
        <w:t xml:space="preserve">Pub date: </w:t>
      </w:r>
      <w:r>
        <w:t>2026-02-25 12:28:13+00:00</w:t>
      </w:r>
      <w:r>
        <w:t xml:space="preserve">    </w:t>
      </w:r>
      <w:r>
        <w:rPr>
          <w:b/>
        </w:rPr>
        <w:t xml:space="preserve">DOI: </w:t>
      </w:r>
      <w:hyperlink r:id="rId755">
        <w:r>
          <w:rPr>
            <w:color w:val="1155CC"/>
            <w:u w:val="single"/>
          </w:rPr>
          <w:t>10.1002/adma.202522938</w:t>
        </w:r>
      </w:hyperlink>
    </w:p>
    <w:p>
      <w:pPr>
        <w:spacing w:before="0" w:after="120"/>
      </w:pPr>
      <w:r>
        <w:rPr>
          <w:b/>
        </w:rPr>
        <w:t xml:space="preserve">Notes: </w:t>
      </w:r>
      <w:r>
        <w:t>abstract_source=pubmed</w:t>
      </w:r>
    </w:p>
    <w:p>
      <w:pPr>
        <w:spacing w:before="0" w:after="80" w:lineRule="auto" w:line="276"/>
      </w:pPr>
      <w:r>
        <w:rPr>
          <w:b/>
        </w:rPr>
        <w:t xml:space="preserve">摘要（ZH）: </w:t>
      </w:r>
      <w:r>
        <w:t>由于微RNAs(miRNAs)的短长度、丰度低和序列同质性,特别是在复杂的生物矩阵中,由于这些微RNAs(miRNAs)的短长度、低丰度和序列等同性,因此仍然具有挑战性。本文件介绍了一种方法,将分布式的Bragg反射器(DBR)混合的银纳米粒子(AgNP)的纳米孔径与用于自动图像读取的深学习实例分解结合起来。A549肺癌细胞提取物应用到A549,该实验物直接量化了内生 miR-191、miR-25和MIR-130a,而没有浓缩或放大。纳米浓缩浓缩浓缩浓缩浓缩浓缩集中场和偏好辐射衰变,加强收集和抑制量点(QD)闪烁,而Mask R-CNN能够进行强健的、高通量计和分类。该系统实现了“原子LOD”(%10-17 mol/)。</w:t>
      </w:r>
    </w:p>
    <w:p>
      <w:pPr>
        <w:spacing w:before="0" w:after="200" w:lineRule="auto" w:line="276"/>
      </w:pPr>
      <w:r>
        <w:rPr>
          <w:b/>
        </w:rPr>
        <w:t xml:space="preserve">Abstract (EN): </w:t>
      </w:r>
      <w:r>
        <w:t>Sensitive and multiplexed quantification of microRNAs (miRNAs) remains challenging due to their short length, low abundance, and sequence homology, particularly in complex biological matrices. This paper presents an approach that combines a distributed Bragg reflector (DBR)-coupled silver nanoparticle (AgNP) gap nanocavity with deep learning instance segmentation for automated image readout. Applied to A549 lung cancer cell extracts, the assay directly quantifies endogenous miR-191, miR-25, and miR-130a without enrichment or amplification. The nanocavity concentrates fields and favors radiative decay, enhancing collection and suppressing quantum dot (QD) blinking, while Mask R-CNN enables robust, high-throughput counting and classification. The system achieves an attomolar LOD (∼10-17 mol/L), a linear dynamic range spanning five orders of magnitude, and &gt;99% correct identification across spectrally encoded channels. These results establish an AI-enabled nanophotonic biosensing platform that is sensitive, specific, robust, and scalable for multiplexed miRNA analysis in research and clinically relevant matrices.</w:t>
      </w:r>
    </w:p>
    <w:p>
      <w:pPr>
        <w:spacing w:before="120" w:after="120"/>
      </w:pPr>
      <w:r>
        <w:rPr>
          <w:sz w:val="18"/>
        </w:rPr>
        <w:t>——————————————————————————————————————————————————————————————————————</w:t>
      </w:r>
    </w:p>
    <w:p>
      <w:pPr>
        <w:spacing w:before="160" w:after="40" w:line="240" w:lineRule="auto"/>
      </w:pPr>
      <w:r>
        <w:rPr>
          <w:b/>
        </w:rPr>
        <w:t xml:space="preserve">[494] </w:t>
      </w:r>
      <w:hyperlink r:id="rId756">
        <w:r>
          <w:rPr>
            <w:color w:val="1155CC"/>
            <w:u w:val="single"/>
          </w:rPr>
          <w:t>铁磁层氧化氧化物热血结构中不平等的反极流离失所现象</w:t>
        </w:r>
      </w:hyperlink>
    </w:p>
    <w:p>
      <w:pPr>
        <w:spacing w:before="0" w:after="80"/>
      </w:pPr>
      <w:r>
        <w:rPr>
          <w:i/>
          <w:sz w:val="20"/>
        </w:rPr>
        <w:t>EN: Engineering Unequal Antipolar Displacement in Ferromagnetic Layered Oxide Heterostructures</w:t>
      </w:r>
    </w:p>
    <w:p>
      <w:pPr>
        <w:spacing w:before="0" w:after="120"/>
      </w:pPr>
      <w:r>
        <w:rPr>
          <w:b/>
        </w:rPr>
        <w:t xml:space="preserve">Source: </w:t>
      </w:r>
      <w:r>
        <w:t>Wiley: Advanced Materials: Table of Contents</w:t>
      </w:r>
      <w:r>
        <w:t xml:space="preserve">    </w:t>
      </w:r>
      <w:r>
        <w:rPr>
          <w:b/>
        </w:rPr>
        <w:t xml:space="preserve">Pub date: </w:t>
      </w:r>
      <w:r>
        <w:t>2026-02-25 12:32:40+00:00</w:t>
      </w:r>
      <w:r>
        <w:t xml:space="preserve">    </w:t>
      </w:r>
      <w:r>
        <w:rPr>
          <w:b/>
        </w:rPr>
        <w:t xml:space="preserve">DOI: </w:t>
      </w:r>
      <w:hyperlink r:id="rId757">
        <w:r>
          <w:rPr>
            <w:color w:val="1155CC"/>
            <w:u w:val="single"/>
          </w:rPr>
          <w:t>10.1002/adma.202513458</w:t>
        </w:r>
      </w:hyperlink>
    </w:p>
    <w:p>
      <w:pPr>
        <w:spacing w:before="0" w:after="120"/>
      </w:pPr>
      <w:r>
        <w:rPr>
          <w:b/>
        </w:rPr>
        <w:t xml:space="preserve">Notes: </w:t>
      </w:r>
      <w:r>
        <w:t>abstract_source=pubmed</w:t>
      </w:r>
    </w:p>
    <w:p>
      <w:pPr>
        <w:spacing w:before="0" w:after="80" w:lineRule="auto" w:line="276"/>
      </w:pPr>
      <w:r>
        <w:rPr>
          <w:b/>
        </w:rPr>
        <w:t xml:space="preserve">摘要（ZH）: </w:t>
      </w:r>
      <w:r>
        <w:t>电离层工程为调整单阶段材料中往往难以实现的突发功能提供了多用途途径,在这项工作中,重点是由绝缘和铁磁性双倍倍倍式保温系统La2NiMnO6和Sm2NiMnO6构成的超纬度,它们构成了一种有趣的模型系统。这些层结构预计将具有拉离子和Sm离子的不平等反极迁移特征;当与奇异的周期堆叠结合时,这一结构元体预计将产生极地行为。各自的超纬体以原子精度增长,并展示了强大的铁磁力,这得到了内部磁度测量和同步器测量的证实。扫描传输电子显微镜,同时进行第一原则计算。</w:t>
      </w:r>
    </w:p>
    <w:p>
      <w:pPr>
        <w:spacing w:before="0" w:after="200" w:lineRule="auto" w:line="276"/>
      </w:pPr>
      <w:r>
        <w:rPr>
          <w:b/>
        </w:rPr>
        <w:t xml:space="preserve">Abstract (EN): </w:t>
      </w:r>
      <w:r>
        <w:t>Heterostructure engineering provides a versatile route for tailoring emergent functionalities that are often difficult to realize in single-phase materials. In this work, the focus is on superlattices composed of the insulating and ferromagnetic double perovskites La2NiMnO6 and Sm2NiMnO6, which constitute an intriguing model system. These layered structures are predicted to feature unequal antipolar displacements of the La and Sm ions; when combined with odd periodicity stacking, this structural motif is expected to give rise to polar behavior. The respective superlattices are grown with atomic precision and display robust ferromagnetism, as confirmed by in-house magnetometry and synchrotron measurements. Scanning transmission electron microscopy combined with first-principles calculations confirms the presence of the predicted unequal antipolar displacements, paving the way for the realization of hybrid improper ferroelectricity in such oxide heterostructures.</w:t>
      </w:r>
    </w:p>
    <w:p>
      <w:pPr>
        <w:spacing w:before="120" w:after="120"/>
      </w:pPr>
      <w:r>
        <w:rPr>
          <w:sz w:val="18"/>
        </w:rPr>
        <w:t>——————————————————————————————————————————————————————————————————————</w:t>
      </w:r>
    </w:p>
    <w:p>
      <w:pPr>
        <w:spacing w:before="160" w:after="40" w:line="240" w:lineRule="auto"/>
      </w:pPr>
      <w:r>
        <w:rPr>
          <w:b/>
        </w:rPr>
        <w:t xml:space="preserve">[495] </w:t>
      </w:r>
      <w:hyperlink r:id="rId758">
        <w:r>
          <w:rPr>
            <w:color w:val="1155CC"/>
            <w:u w:val="single"/>
          </w:rPr>
          <w:t>与金枪鱼分地形边缘州和平板带实现碘化因</w:t>
        </w:r>
      </w:hyperlink>
    </w:p>
    <w:p>
      <w:pPr>
        <w:spacing w:before="0" w:after="80"/>
      </w:pPr>
      <w:r>
        <w:rPr>
          <w:i/>
          <w:sz w:val="20"/>
        </w:rPr>
        <w:t>EN: Realization of Iodinene with Tunable Topological Edge States and Flat Bands</w:t>
      </w:r>
    </w:p>
    <w:p>
      <w:pPr>
        <w:spacing w:before="0" w:after="120"/>
      </w:pPr>
      <w:r>
        <w:rPr>
          <w:b/>
        </w:rPr>
        <w:t xml:space="preserve">Source: </w:t>
      </w:r>
      <w:r>
        <w:t>Wiley: Advanced Materials: Table of Contents</w:t>
      </w:r>
      <w:r>
        <w:t xml:space="preserve">    </w:t>
      </w:r>
      <w:r>
        <w:rPr>
          <w:b/>
        </w:rPr>
        <w:t xml:space="preserve">Pub date: </w:t>
      </w:r>
      <w:r>
        <w:t>2026-02-25 13:16:58+00:00</w:t>
      </w:r>
      <w:r>
        <w:t xml:space="preserve">    </w:t>
      </w:r>
      <w:r>
        <w:rPr>
          <w:b/>
        </w:rPr>
        <w:t xml:space="preserve">DOI: </w:t>
      </w:r>
      <w:hyperlink r:id="rId759">
        <w:r>
          <w:rPr>
            <w:color w:val="1155CC"/>
            <w:u w:val="single"/>
          </w:rPr>
          <w:t>10.1002/adma.202521003</w:t>
        </w:r>
      </w:hyperlink>
    </w:p>
    <w:p>
      <w:pPr>
        <w:spacing w:before="0" w:after="120"/>
      </w:pPr>
      <w:r>
        <w:rPr>
          <w:b/>
        </w:rPr>
        <w:t xml:space="preserve">Notes: </w:t>
      </w:r>
      <w:r>
        <w:t>abstract_source=pubmed</w:t>
      </w:r>
    </w:p>
    <w:p>
      <w:pPr>
        <w:spacing w:before="0" w:after="80" w:lineRule="auto" w:line="276"/>
      </w:pPr>
      <w:r>
        <w:rPr>
          <w:b/>
        </w:rPr>
        <w:t xml:space="preserve">摘要（ZH）: </w:t>
      </w:r>
      <w:r>
        <w:t>卤素以其二原子分子结构著称,通常不形成扩展的共价材料。因此,卤素2D元素材料的开发对于基础研究和实践应用都具有重要意义。在这里,我们报告单层碘薄片的实现情况,即碘,具有多种异国特性。我们使用角溶解光分光分光光谱、扫描隧道显微镜和第一原则计算方法,显示碘是2D表层水晶线绝缘体状态的宿主,这是以前仅在3D材料中观察到的长期搜索的表层状态。此外,碘在环境条件下非常稳定。通过应用48%的抗拉菌株,我们发现两个几乎固定的带,有强大的表层边缘状态。</w:t>
      </w:r>
    </w:p>
    <w:p>
      <w:pPr>
        <w:spacing w:before="0" w:after="200" w:lineRule="auto" w:line="276"/>
      </w:pPr>
      <w:r>
        <w:rPr>
          <w:b/>
        </w:rPr>
        <w:t xml:space="preserve">Abstract (EN): </w:t>
      </w:r>
      <w:r>
        <w:t>Halogens, known for their diatomic molecular structures, typically do not form extended covalent materials. The development of 2D elemental materials from halogens is therefore significant for both fundamental research and practical applications. Here, we report the realization of a monolayer iodine sheet, namely iodinene, with multiple exotic properties. Using angle-resolved photoemission spectroscopy, scanning tunneling microscopy, and first-principles calculations, we show that iodinene hosts 2D topological crystalline insulator states, a long-sought topological state previously observed only in 3D materials. Moreover, iodinene is exceptionally stable under ambient conditions. By applying a tensile strain of 48%, we realize two nearly flat bands with robust topological edge states in between, paving the way for the design and fabrication of tunable topological and spintronic devices.</w:t>
      </w:r>
    </w:p>
    <w:p>
      <w:pPr>
        <w:spacing w:before="120" w:after="120"/>
      </w:pPr>
      <w:r>
        <w:rPr>
          <w:sz w:val="18"/>
        </w:rPr>
        <w:t>——————————————————————————————————————————————————————————————————————</w:t>
      </w:r>
    </w:p>
    <w:p>
      <w:pPr>
        <w:spacing w:before="160" w:after="40" w:line="240" w:lineRule="auto"/>
      </w:pPr>
      <w:r>
        <w:rPr>
          <w:b/>
        </w:rPr>
        <w:t xml:space="preserve">[496] </w:t>
      </w:r>
      <w:hyperlink r:id="rId760">
        <w:r>
          <w:rPr>
            <w:color w:val="1155CC"/>
            <w:u w:val="single"/>
          </w:rPr>
          <w:t>照片Driven CuI 协调稳定Ultralow-Overtroluge MgCO2 电池I3-Ultralow-Overtriven MgCO2 电池</w:t>
        </w:r>
      </w:hyperlink>
    </w:p>
    <w:p>
      <w:pPr>
        <w:spacing w:before="0" w:after="80"/>
      </w:pPr>
      <w:r>
        <w:rPr>
          <w:i/>
          <w:sz w:val="20"/>
        </w:rPr>
        <w:t>EN: Photo‐Driven Cu‐I Coordination Stabilizes I3− for Ultralow‐Overpotential Mg‐CO2 Batteries</w:t>
      </w:r>
    </w:p>
    <w:p>
      <w:pPr>
        <w:spacing w:before="0" w:after="120"/>
      </w:pPr>
      <w:r>
        <w:rPr>
          <w:b/>
        </w:rPr>
        <w:t xml:space="preserve">Source: </w:t>
      </w:r>
      <w:r>
        <w:t>Wiley: Angewandte Chemie International Edition: Table of Contents</w:t>
      </w:r>
      <w:r>
        <w:t xml:space="preserve">    </w:t>
      </w:r>
      <w:r>
        <w:rPr>
          <w:b/>
        </w:rPr>
        <w:t xml:space="preserve">Pub date: </w:t>
      </w:r>
      <w:r>
        <w:t>2026-02-25 13:24:26+00:00</w:t>
      </w:r>
      <w:r>
        <w:t xml:space="preserve">    </w:t>
      </w:r>
      <w:r>
        <w:rPr>
          <w:b/>
        </w:rPr>
        <w:t xml:space="preserve">DOI: </w:t>
      </w:r>
      <w:hyperlink r:id="rId761">
        <w:r>
          <w:rPr>
            <w:color w:val="1155CC"/>
            <w:u w:val="single"/>
          </w:rPr>
          <w:t>10.1002/anie.2935372</w:t>
        </w:r>
      </w:hyperlink>
    </w:p>
    <w:p>
      <w:pPr>
        <w:spacing w:before="0" w:after="120"/>
      </w:pPr>
      <w:r>
        <w:rPr>
          <w:b/>
        </w:rPr>
        <w:t xml:space="preserve">Notes: </w:t>
      </w:r>
      <w:r>
        <w:t>abstract_source=pubmed</w:t>
      </w:r>
    </w:p>
    <w:p>
      <w:pPr>
        <w:spacing w:before="0" w:after="80" w:lineRule="auto" w:line="276"/>
      </w:pPr>
      <w:r>
        <w:rPr>
          <w:b/>
        </w:rPr>
        <w:t xml:space="preserve">摘要（ZH）: </w:t>
      </w:r>
      <w:r>
        <w:t>Mg-CO2电池通过将高能量密度与CO2价值化相结合,为下一代能源储存提供了一个极好的机会,通过将高能量密度与CO2价值化相结合,使下一代能源储存成为极好的机会。在各种战略中,使用红氧化调解器已成为一种强有力的方法,可以动态直接电化学途径,提高二氧化碳转化效率。然而,常规的红氧化调解器在运作条件下不稳定,严重损害长期性能。我们在此报告,一个光活的2,3,6,7,10,11-六氢氧三苯乙烯-Cu-I3(HHTP-Cu-I3)(HTP-Cu-I3)(HTP-Cu-I3)(HTP-Cu-I3)排出电综合体,通过形成强大的Cu-I协调稳定I3(Cu-I),解决常规的红氧化调解器固有的不稳定性。在轻光化后,Cu(II)将光向Cu(I)排出电加速。</w:t>
      </w:r>
    </w:p>
    <w:p>
      <w:pPr>
        <w:spacing w:before="0" w:after="200" w:lineRule="auto" w:line="276"/>
      </w:pPr>
      <w:r>
        <w:rPr>
          <w:b/>
        </w:rPr>
        <w:t xml:space="preserve">Abstract (EN): </w:t>
      </w:r>
      <w:r>
        <w:t>Mg-CO2 batteries present a compelling opportunity for next-generation energy storage by combining high energy density with CO2 valorization. Among various strategies, the use of redox mediators has emerged as a powerful approach to dynamically direct electrochemical pathways and boost CO2 conversion efficiency. However, conventional redox mediators suffer from poor stability under operating conditions, which severely undermines long-term performance. Here, we report a light-activated 2,3,6,7,10,11-hexahydroxytriphenylene-Cu-I3 (HHTP-Cu-I3) charge-transfer complex that addresses the intrinsic instability of conventional redox mediators by forming robust Cu-I coordination to stabilize I3 -. Upon light illumination, Cu(II) undergoes photoreduction to Cu(I) releasing electrons that accelerate CO2 activation, whereas I- is simultaneously oxidized to I3 -, facilitating efficient electron shuttling and regulating product formation. This dynamic modulation switches the reaction pathway from thermodynamically favored MgCO3 to electrochemically preferred MgC2O4 by lowering the energy barrier for C2O4 2- incorporation into MgC2O4. As a result, the system achieves an ultralow overpotential of 0.027 V and a record-high energy conversion efficiency of 97.2%. Furthermore, the versatility of this strategy is demonstrated by its successful application in photoassisted Li-O2 batteries, delivering enhanced performance.</w:t>
      </w:r>
    </w:p>
    <w:p>
      <w:pPr>
        <w:spacing w:before="120" w:after="120"/>
      </w:pPr>
      <w:r>
        <w:rPr>
          <w:sz w:val="18"/>
        </w:rPr>
        <w:t>——————————————————————————————————————————————————————————————————————</w:t>
      </w:r>
    </w:p>
    <w:p>
      <w:pPr>
        <w:spacing w:before="160" w:after="40" w:line="240" w:lineRule="auto"/>
      </w:pPr>
      <w:r>
        <w:rPr>
          <w:b/>
        </w:rPr>
        <w:t xml:space="preserve">[497] </w:t>
      </w:r>
      <w:hyperlink r:id="rId762">
        <w:r>
          <w:rPr>
            <w:color w:val="1155CC"/>
            <w:u w:val="single"/>
          </w:rPr>
          <w:t>光电蒸发两台传输器 — 用于国际光学遥感显示器的One idiode Perovskite像素</w:t>
        </w:r>
      </w:hyperlink>
    </w:p>
    <w:p>
      <w:pPr>
        <w:spacing w:before="0" w:after="80"/>
      </w:pPr>
      <w:r>
        <w:rPr>
          <w:i/>
          <w:sz w:val="20"/>
        </w:rPr>
        <w:t>EN: Photovoltage‐Driven Two‐Transistor–One‐Diode Perovskite Pixels for In‐Cell Optical Sensing Displays</w:t>
      </w:r>
    </w:p>
    <w:p>
      <w:pPr>
        <w:spacing w:before="0" w:after="120"/>
      </w:pPr>
      <w:r>
        <w:rPr>
          <w:b/>
        </w:rPr>
        <w:t xml:space="preserve">Source: </w:t>
      </w:r>
      <w:r>
        <w:t>Wiley: Advanced Materials: Table of Contents</w:t>
      </w:r>
      <w:r>
        <w:t xml:space="preserve">    </w:t>
      </w:r>
      <w:r>
        <w:rPr>
          <w:b/>
        </w:rPr>
        <w:t xml:space="preserve">Pub date: </w:t>
      </w:r>
      <w:r>
        <w:t>2026-02-25 13:30:28+00:00</w:t>
      </w:r>
      <w:r>
        <w:t xml:space="preserve">    </w:t>
      </w:r>
      <w:r>
        <w:rPr>
          <w:b/>
        </w:rPr>
        <w:t xml:space="preserve">DOI: </w:t>
      </w:r>
      <w:hyperlink r:id="rId763">
        <w:r>
          <w:rPr>
            <w:color w:val="1155CC"/>
            <w:u w:val="single"/>
          </w:rPr>
          <w:t>10.1002/adma.202522776</w:t>
        </w:r>
      </w:hyperlink>
    </w:p>
    <w:p>
      <w:pPr>
        <w:spacing w:before="0" w:after="120"/>
      </w:pPr>
      <w:r>
        <w:rPr>
          <w:b/>
        </w:rPr>
        <w:t xml:space="preserve">Notes: </w:t>
      </w:r>
      <w:r>
        <w:t>abstract_source=pubmed</w:t>
      </w:r>
    </w:p>
    <w:p>
      <w:pPr>
        <w:spacing w:before="0" w:after="80" w:lineRule="auto" w:line="276"/>
      </w:pPr>
      <w:r>
        <w:rPr>
          <w:b/>
        </w:rPr>
        <w:t xml:space="preserve">摘要（ZH）: </w:t>
      </w:r>
      <w:r>
        <w:t>细胞内光学显示器对于下一代交互式电子而言至关重要,然而,常规建筑依赖单独的光释放二极管和光检测器,限制像素密度和效率,在单二极管内实现这两个功能本身就很困难,因为光发需要强大的异音再融合,而光检测则从高效的载体分离中受益。在这里,我们通过稳定中子准二维级和用氟酸消毒器抑制非辐射性损失,以及通过设计高移动性运输层和透光性(二型)透光/电子传输层热质连接,协助光电操作下的异子分离,实现了稳定的双模式操作。</w:t>
      </w:r>
    </w:p>
    <w:p>
      <w:pPr>
        <w:spacing w:before="0" w:after="200" w:lineRule="auto" w:line="276"/>
      </w:pPr>
      <w:r>
        <w:rPr>
          <w:b/>
        </w:rPr>
        <w:t xml:space="preserve">Abstract (EN): </w:t>
      </w:r>
      <w:r>
        <w:t>In-cell optical sensing displays are essential for next-generation interactive electronics, yet conventional architectures rely on separate light-emitting diodes (LEDs) and photodetectors (PDs), limiting pixel density and efficiency. Achieving both functions within a single diode is intrinsically difficult because electroluminescence requires strong excitonic recombination, whereas photodetection benefits from efficient carrier separation. Here, we realize stable dual-mode operation by stabilizing intermediate-n quasi-2D phases and suppressing non-radiative losses with a fluorinated acid passivator, and by engineering high-mobility transport layers with a dissociative (type-II) perovskite/electron transport layer heterojunction to assist exciton dissociation under photovoltaic operation. The resulting bifunctional diode enables an opto-dynamic random-access memory (opto-DRAM) pixel, a two-transistor-one-diode (2T1D) architecture conceptually analogous to a two-transistor-one-capacitor (2T1C) DRAM gain-cell, where photovoltage-driven rather than photocurrent-driven detection enables self-amplified sensing when coupled to thin-film transistors. The sky-blue PeLED achieves an external quantum efficiency of 20.4% at 100 cd m-2 and a record power efficiency of 41.8 lm W-1, while as the coupled sensing pixel it exhibits a maximum responsivity of 4.17 × 104 A W-1 and a specific detectivity of 6.46 × 1013 Jones. Monolithic integration yields an active-matrix display capable of switchable emission and imaging functions offering a scalable platform for compact, energy-efficient, and multifunctional optoelectronics.</w:t>
      </w:r>
    </w:p>
    <w:p>
      <w:pPr>
        <w:spacing w:before="120" w:after="120"/>
      </w:pPr>
      <w:r>
        <w:rPr>
          <w:sz w:val="18"/>
        </w:rPr>
        <w:t>——————————————————————————————————————————————————————————————————————</w:t>
      </w:r>
    </w:p>
    <w:p>
      <w:pPr>
        <w:spacing w:before="160" w:after="40" w:line="240" w:lineRule="auto"/>
      </w:pPr>
      <w:r>
        <w:rPr>
          <w:b/>
        </w:rPr>
        <w:t xml:space="preserve">[498] </w:t>
      </w:r>
      <w:hyperlink r:id="rId764">
        <w:r>
          <w:rPr>
            <w:color w:val="1155CC"/>
            <w:u w:val="single"/>
          </w:rPr>
          <w:t>[ASAP] pH 控制控制器在红ox- 活性梯子聚合器中排离本地化</w:t>
        </w:r>
      </w:hyperlink>
    </w:p>
    <w:p>
      <w:pPr>
        <w:spacing w:before="0" w:after="80"/>
      </w:pPr>
      <w:r>
        <w:rPr>
          <w:i/>
          <w:sz w:val="20"/>
        </w:rPr>
        <w:t>EN: [ASAP] pH Controls Charge Localization in Redox-Active Ladder Polymers</w:t>
      </w:r>
    </w:p>
    <w:p>
      <w:pPr>
        <w:spacing w:before="0" w:after="120"/>
      </w:pPr>
      <w:r>
        <w:rPr>
          <w:b/>
        </w:rPr>
        <w:t xml:space="preserve">Source: </w:t>
      </w:r>
      <w:r>
        <w:t>Journal of the American Chemical Society: Latest Articles (ACS Publications)</w:t>
      </w:r>
      <w:r>
        <w:t xml:space="preserve">    </w:t>
      </w:r>
      <w:r>
        <w:rPr>
          <w:b/>
        </w:rPr>
        <w:t xml:space="preserve">Pub date: </w:t>
      </w:r>
      <w:r>
        <w:t>2026-02-25 13:32:02+00:00</w:t>
      </w:r>
      <w:r>
        <w:t xml:space="preserve">    </w:t>
      </w:r>
      <w:r>
        <w:rPr>
          <w:b/>
        </w:rPr>
        <w:t xml:space="preserve">DOI: </w:t>
      </w:r>
      <w:hyperlink r:id="rId765">
        <w:r>
          <w:rPr>
            <w:color w:val="1155CC"/>
            <w:u w:val="single"/>
          </w:rPr>
          <w:t>10.1021/jacs.5c19318</w:t>
        </w:r>
      </w:hyperlink>
    </w:p>
    <w:p>
      <w:pPr>
        <w:spacing w:before="0" w:after="120"/>
      </w:pPr>
      <w:r>
        <w:rPr>
          <w:b/>
        </w:rPr>
        <w:t xml:space="preserve">Notes: </w:t>
      </w:r>
      <w:r>
        <w:t>abstract_source=pubmed</w:t>
      </w:r>
    </w:p>
    <w:p>
      <w:pPr>
        <w:spacing w:before="0" w:after="80" w:lineRule="auto" w:line="276"/>
      </w:pPr>
      <w:r>
        <w:rPr>
          <w:b/>
        </w:rPr>
        <w:t xml:space="preserve">摘要（ZH）: </w:t>
      </w:r>
      <w:r>
        <w:t>有机混合电离电子操作聚合物(OMIEC)是用于晶体管、能源储存和生物电子应用的多种活性材料,为满足这些技术的各种需求,OMIEC的化学结构设计的目的往往是修改附加电荷的本地化,调节前沿轨道的能能,改变电荷的转移程度,以充电补偿物种。这里,我们表明,通过电化学特征学、操作学等组合,由电解器的pH从根本上调节OMIEC的红氧化行为,即使在原先假定质子不参与红氧化工艺的基本条件下,也处于中性状态。</w:t>
      </w:r>
    </w:p>
    <w:p>
      <w:pPr>
        <w:spacing w:before="0" w:after="200" w:lineRule="auto" w:line="276"/>
      </w:pPr>
      <w:r>
        <w:rPr>
          <w:b/>
        </w:rPr>
        <w:t xml:space="preserve">Abstract (EN): </w:t>
      </w:r>
      <w:r>
        <w:t>Organic mixed ionic-electronic conducting polymers (OMIECs) are versatile active materials for applications in transistors, energy storage, and bioelectronics. To meet the varied demands of these technologies, the chemical structure of an OMIEC is often designed with the goal of modifying the localization of added charge, modulating the energetics of frontier orbitals, and altering the degree of charge transfer to charge compensating species. Here, we show that the redox behavior of the archetypal ladder OMIEC, poly(benzimidazobenzophenanthroline) (BBL), is fundamentally modulated by the pH of the electrolyte, even under neutral to basic conditions where protons were previously assumed to not participate in redox processes. Through a combination of electrochemical characterization, operando Raman spectroscopy, ab initio simulations and electrochemical modeling with a multicomponent regular solution framework, we untangle BBL's redox mechanism. Our results reveal the competitive formation of proton-coupled and salt cation-coupled redox states, each possessing distinct characteristics. Notably, we find that proton-coupled redox dominates at neutral pHs, challenging the prevailing view that BBL is reduced to its salt-compensated bipolaronic form in this pH regime. Using a modified Pourbaix diagram, we illustrate how the balance between a proton-coupled and salt cation-coupled form of BBL can be continuously tuned via pH and applied potential. These findings highlight the complexity of multiphase coexistence and nontrivial effect of pH in controlling the redox properties of n-type ladder OMIECs, paving the way to understand and ultimately control a wide range of aqueous electrochemical reactions.</w:t>
      </w:r>
    </w:p>
    <w:p>
      <w:pPr>
        <w:spacing w:before="120" w:after="120"/>
      </w:pPr>
      <w:r>
        <w:rPr>
          <w:sz w:val="18"/>
        </w:rPr>
        <w:t>——————————————————————————————————————————————————————————————————————</w:t>
      </w:r>
    </w:p>
    <w:p>
      <w:pPr>
        <w:spacing w:before="160" w:after="40" w:line="240" w:lineRule="auto"/>
      </w:pPr>
      <w:r>
        <w:rPr>
          <w:b/>
        </w:rPr>
        <w:t xml:space="preserve">[499] </w:t>
      </w:r>
      <w:hyperlink r:id="rId766">
        <w:r>
          <w:rPr>
            <w:color w:val="1155CC"/>
            <w:u w:val="single"/>
          </w:rPr>
          <w:t>当地荷兰人阶段 摄导氧气路径机制 能够耐久 PEM 电解</w:t>
        </w:r>
      </w:hyperlink>
    </w:p>
    <w:p>
      <w:pPr>
        <w:spacing w:before="0" w:after="80"/>
      </w:pPr>
      <w:r>
        <w:rPr>
          <w:i/>
          <w:sz w:val="20"/>
        </w:rPr>
        <w:t>EN: Local Hollandite Phase Inducing Oxygen Path Mechanism Enables Durable PEM Electrolysis</w:t>
      </w:r>
    </w:p>
    <w:p>
      <w:pPr>
        <w:spacing w:before="0" w:after="120"/>
      </w:pPr>
      <w:r>
        <w:rPr>
          <w:b/>
        </w:rPr>
        <w:t xml:space="preserve">Source: </w:t>
      </w:r>
      <w:r>
        <w:t>Wiley: Advanced Materials: Table of Contents</w:t>
      </w:r>
      <w:r>
        <w:t xml:space="preserve">    </w:t>
      </w:r>
      <w:r>
        <w:rPr>
          <w:b/>
        </w:rPr>
        <w:t xml:space="preserve">Pub date: </w:t>
      </w:r>
      <w:r>
        <w:t>2026-02-25 13:34:38+00:00</w:t>
      </w:r>
      <w:r>
        <w:t xml:space="preserve">    </w:t>
      </w:r>
      <w:r>
        <w:rPr>
          <w:b/>
        </w:rPr>
        <w:t xml:space="preserve">DOI: </w:t>
      </w:r>
      <w:hyperlink r:id="rId767">
        <w:r>
          <w:rPr>
            <w:color w:val="1155CC"/>
            <w:u w:val="single"/>
          </w:rPr>
          <w:t>10.1002/adma.202521163</w:t>
        </w:r>
      </w:hyperlink>
    </w:p>
    <w:p>
      <w:pPr>
        <w:spacing w:before="0" w:after="120"/>
      </w:pPr>
      <w:r>
        <w:rPr>
          <w:b/>
        </w:rPr>
        <w:t xml:space="preserve">Notes: </w:t>
      </w:r>
      <w:r>
        <w:t>abstract_source=pubmed</w:t>
      </w:r>
    </w:p>
    <w:p>
      <w:pPr>
        <w:spacing w:before="0" w:after="80" w:lineRule="auto" w:line="276"/>
      </w:pPr>
      <w:r>
        <w:rPr>
          <w:b/>
        </w:rPr>
        <w:t xml:space="preserve">摘要（ZH）: </w:t>
      </w:r>
      <w:r>
        <w:t>绿色氢生产迫切需要大规模质子交换式水电解解器(PEMWES),但是,由于在阳极中使用高载,其开发在很大程度上受到阻碍。虽然存在高活性高的不固定的IrOx催化剂,但它们通常遵循拉特氧机制(lattice ), 或受高潜能超强限制的吸附性进化机制(adsorbate faltive) 。 氧化物路径机制(OPM)通过促成直接的 *OO联动,提供了一个有希望的替代方案,但是,在纯的IrOx系统中,由于相邻的Ir原子相距遥远,它的激活仍然具有挑战性。</w:t>
      </w:r>
    </w:p>
    <w:p>
      <w:pPr>
        <w:spacing w:before="0" w:after="200" w:lineRule="auto" w:line="276"/>
      </w:pPr>
      <w:r>
        <w:rPr>
          <w:b/>
        </w:rPr>
        <w:t xml:space="preserve">Abstract (EN): </w:t>
      </w:r>
      <w:r>
        <w:t>Large-scale proton-exchange-membrane water electrolyzers (PEMWEs) are urgently needed for green hydrogen production, however, their development is largely hindered by the use of high-loading iridium in the anode. While amorphous IrOx catalysts with high activity exist, they typically follow either the lattice oxygen mechanism compromising stability, or the adsorbate evolution mechanism suffering from a high overpotential limit. Oxide path mechanism (OPM) offers a promising alternative by enabling direct *O─*O coupling, but its activation in the pure IrOx system remains challenging given the long distance between adjacent Ir atoms. Herein, we report a class of (La)IrOx porous amorphous catalyst with OPM pathway, featuring local unconventional hollandite phase and abundant water molecules inside its lattice tunnels. We demonstrate that such a unique short-range ordered structure can induce shortened Ir-Iredge distance and highly-active Ir≥5+ species, both contributing to desirable OPM for greatly enhanced catalytic performances. The as-assembled PEMWE achieves a cell voltage of 1.62 V at 1 A cm-2 with a low loading of 0.2 mgIr cm-2, and can operate stably over 500 h at industry-level current density. The accelerated stress test further validates its durability advantage at even lower 0.1 mgIr cm-2 loading, which validates its potential as a viable anode solution for durable low-iridium PEMWEs.</w:t>
      </w:r>
    </w:p>
    <w:p>
      <w:pPr>
        <w:spacing w:before="120" w:after="120"/>
      </w:pPr>
      <w:r>
        <w:rPr>
          <w:sz w:val="18"/>
        </w:rPr>
        <w:t>——————————————————————————————————————————————————————————————————————</w:t>
      </w:r>
    </w:p>
    <w:p>
      <w:pPr>
        <w:spacing w:before="160" w:after="40" w:line="240" w:lineRule="auto"/>
      </w:pPr>
      <w:r>
        <w:rPr>
          <w:b/>
        </w:rPr>
        <w:t xml:space="preserve">[500] </w:t>
      </w:r>
      <w:hyperlink r:id="rId768">
        <w:r>
          <w:rPr>
            <w:color w:val="1155CC"/>
            <w:u w:val="single"/>
          </w:rPr>
          <w:t>[ASAP]将阻力透光镜中的双重诱导与Perovskite光伏中的电离损失联系起来</w:t>
        </w:r>
      </w:hyperlink>
    </w:p>
    <w:p>
      <w:pPr>
        <w:spacing w:before="0" w:after="80"/>
      </w:pPr>
      <w:r>
        <w:rPr>
          <w:i/>
          <w:sz w:val="20"/>
        </w:rPr>
        <w:t>EN: [ASAP] Linking Double Inductance in Impedance Spectroscopy to Ionic Losses in Perovskite Photovoltaics</w:t>
      </w:r>
    </w:p>
    <w:p>
      <w:pPr>
        <w:spacing w:before="0" w:after="120"/>
      </w:pPr>
      <w:r>
        <w:rPr>
          <w:b/>
        </w:rPr>
        <w:t xml:space="preserve">Source: </w:t>
      </w:r>
      <w:r>
        <w:t>ACS Energy Letters: Latest Articles (ACS Publications)</w:t>
      </w:r>
      <w:r>
        <w:t xml:space="preserve">    </w:t>
      </w:r>
      <w:r>
        <w:rPr>
          <w:b/>
        </w:rPr>
        <w:t xml:space="preserve">Pub date: </w:t>
      </w:r>
      <w:r>
        <w:t>2026-02-25 13:44:12+00:00</w:t>
      </w:r>
      <w:r>
        <w:t xml:space="preserve">    </w:t>
      </w:r>
      <w:r>
        <w:rPr>
          <w:b/>
        </w:rPr>
        <w:t xml:space="preserve">DOI: </w:t>
      </w:r>
      <w:hyperlink r:id="rId769">
        <w:r>
          <w:rPr>
            <w:color w:val="1155CC"/>
            <w:u w:val="single"/>
          </w:rPr>
          <w:t>10.1021/acsenergylett.5c03788</w:t>
        </w:r>
      </w:hyperlink>
    </w:p>
    <w:p>
      <w:pPr>
        <w:spacing w:before="0" w:after="120"/>
      </w:pPr>
      <w:r>
        <w:rPr>
          <w:b/>
        </w:rPr>
        <w:t xml:space="preserve">Notes: </w:t>
      </w:r>
      <w:r>
        <w:t>abstract_source=openalex; must_have_abstract=True</w:t>
      </w:r>
    </w:p>
    <w:p>
      <w:pPr>
        <w:spacing w:before="0" w:after="80" w:lineRule="auto" w:line="276"/>
      </w:pPr>
      <w:r>
        <w:rPr>
          <w:b/>
        </w:rPr>
        <w:t xml:space="preserve">摘要（ZH）: </w:t>
      </w:r>
      <w:r>
        <w:t>除了重组过程之外,在全息太阳能电池中,造成离离子导致效率损失的一个主要原因,就是收税失败,这与短电路电流密度明显下降、当前电压歇斯泰的出现(斜斜坡约0V)以及阻力测量中的负能力效应有关。 这项工作提供了一个物理模型,区分移动离子引发的退化路径,从而能够统一解释电反应。 多元低频阻力区域的一个中心特征是双重电导反应,作为离子驱动降解的指纹,同时在重组和充电收集中采取联合行动。 抽取的时间常数揭示了它们之间的相互作用是如何重塑阻力的。</w:t>
      </w:r>
    </w:p>
    <w:p>
      <w:pPr>
        <w:spacing w:before="0" w:after="200" w:lineRule="auto" w:line="276"/>
      </w:pPr>
      <w:r>
        <w:rPr>
          <w:b/>
        </w:rPr>
        <w:t xml:space="preserve">Abstract (EN): </w:t>
      </w:r>
      <w:r>
        <w:t>Beyond recombination processes, a major contributor to ion-induced efficiency losses in perovskite solar cells is charge collection failures, associated with a pronounced reduction in short-circuit current density, the appearance of current–voltage hysteresis with steep slope around 0 V, and negative capacitance effects in impedance measurements. This work presents a physical model that differentiates degradation pathways induced by mobile ions, enabling a unified interpretation of electrical responses. A central feature in the multifaceted low-frequency impedance region is the double inductor response, serving as a fingerprint of ion-driven degradation with combined action in recombination and charge collection. Extracted time constants reveal how their interplay reshapes impedance responses and current–voltage curves during aging, which serve as unequivocal markers of the dominant factors affecting operational stability. Our results establish the double-inductor behavior as a key spectroscopic signature of device degradation, adding a new feature to the catalogue of anomalous phenomena in perovskite devices.</w:t>
      </w:r>
    </w:p>
    <w:p>
      <w:pPr>
        <w:spacing w:before="120" w:after="120"/>
      </w:pPr>
      <w:r>
        <w:rPr>
          <w:sz w:val="18"/>
        </w:rPr>
        <w:t>——————————————————————————————————————————————————————————————————————</w:t>
      </w:r>
    </w:p>
    <w:p>
      <w:pPr>
        <w:spacing w:before="160" w:after="40" w:line="240" w:lineRule="auto"/>
      </w:pPr>
      <w:r>
        <w:rPr>
          <w:b/>
        </w:rPr>
        <w:t xml:space="preserve">[501] </w:t>
      </w:r>
      <w:hyperlink r:id="rId770">
        <w:r>
          <w:rPr>
            <w:color w:val="1155CC"/>
            <w:u w:val="single"/>
          </w:rPr>
          <w:t>[ASAP] 进入27%的时代:Perovskite太阳能电池单声道实用设计规则</w:t>
        </w:r>
      </w:hyperlink>
    </w:p>
    <w:p>
      <w:pPr>
        <w:spacing w:before="0" w:after="80"/>
      </w:pPr>
      <w:r>
        <w:rPr>
          <w:i/>
          <w:sz w:val="20"/>
        </w:rPr>
        <w:t>EN: [ASAP] Entering the 27% Era: Practical Design Rules for Single-Junction Perovskite Solar Cells</w:t>
      </w:r>
    </w:p>
    <w:p>
      <w:pPr>
        <w:spacing w:before="0" w:after="120"/>
      </w:pPr>
      <w:r>
        <w:rPr>
          <w:b/>
        </w:rPr>
        <w:t xml:space="preserve">Source: </w:t>
      </w:r>
      <w:r>
        <w:t>ACS Energy Letters: Latest Articles (ACS Publications)</w:t>
      </w:r>
      <w:r>
        <w:t xml:space="preserve">    </w:t>
      </w:r>
      <w:r>
        <w:rPr>
          <w:b/>
        </w:rPr>
        <w:t xml:space="preserve">Pub date: </w:t>
      </w:r>
      <w:r>
        <w:t>2026-02-25 14:16:05+00:00</w:t>
      </w:r>
      <w:r>
        <w:t xml:space="preserve">    </w:t>
      </w:r>
      <w:r>
        <w:rPr>
          <w:b/>
        </w:rPr>
        <w:t xml:space="preserve">DOI: </w:t>
      </w:r>
      <w:hyperlink r:id="rId771">
        <w:r>
          <w:rPr>
            <w:color w:val="1155CC"/>
            <w:u w:val="single"/>
          </w:rPr>
          <w:t>10.1021/acsenergylett.6c00205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[502] </w:t>
      </w:r>
      <w:hyperlink r:id="rId772">
        <w:r>
          <w:rPr>
            <w:color w:val="1155CC"/>
            <w:u w:val="single"/>
          </w:rPr>
          <w:t>通过稳定倒转的Perovskite太阳能电池的多氢积质多质电池,在NiOx上强有力吸收自组单层自组单层</w:t>
        </w:r>
      </w:hyperlink>
    </w:p>
    <w:p>
      <w:pPr>
        <w:spacing w:before="0" w:after="80"/>
      </w:pPr>
      <w:r>
        <w:rPr>
          <w:i/>
          <w:sz w:val="20"/>
        </w:rPr>
        <w:t>EN: Robust Adsorption of Self‐Assembled Monolayer on NiOx via Multiple Hydrogen Bonds for Stable Inverted Perovskite Solar Cells</w:t>
      </w:r>
    </w:p>
    <w:p>
      <w:pPr>
        <w:spacing w:before="0" w:after="120"/>
      </w:pPr>
      <w:r>
        <w:rPr>
          <w:b/>
        </w:rPr>
        <w:t xml:space="preserve">Source: </w:t>
      </w:r>
      <w:r>
        <w:t>Wiley: Advanced Materials: Table of Contents</w:t>
      </w:r>
      <w:r>
        <w:t xml:space="preserve">    </w:t>
      </w:r>
      <w:r>
        <w:rPr>
          <w:b/>
        </w:rPr>
        <w:t xml:space="preserve">Pub date: </w:t>
      </w:r>
      <w:r>
        <w:t>2026-02-25 14:25:23+00:00</w:t>
      </w:r>
      <w:r>
        <w:t xml:space="preserve">    </w:t>
      </w:r>
      <w:r>
        <w:rPr>
          <w:b/>
        </w:rPr>
        <w:t xml:space="preserve">DOI: </w:t>
      </w:r>
      <w:hyperlink r:id="rId773">
        <w:r>
          <w:rPr>
            <w:color w:val="1155CC"/>
            <w:u w:val="single"/>
          </w:rPr>
          <w:t>10.1002/adma.72638</w:t>
        </w:r>
      </w:hyperlink>
    </w:p>
    <w:p>
      <w:pPr>
        <w:spacing w:before="0" w:after="120"/>
      </w:pPr>
      <w:r>
        <w:rPr>
          <w:b/>
        </w:rPr>
        <w:t xml:space="preserve">Notes: </w:t>
      </w:r>
      <w:r>
        <w:t>abstract_source=pubmed</w:t>
      </w:r>
    </w:p>
    <w:p>
      <w:pPr>
        <w:spacing w:before="0" w:after="80" w:lineRule="auto" w:line="276"/>
      </w:pPr>
      <w:r>
        <w:rPr>
          <w:b/>
        </w:rPr>
        <w:t xml:space="preserve">摘要（ZH）: </w:t>
      </w:r>
      <w:r>
        <w:t>自组装分子(SAMs)作为洞运输层可以显著地改善设备性能,目前功率转换效率超过27%,然而,在金属氧化亚层上,SAMs不统一且吸附不力,导致在掩埋的界面发生严重的非辐射再组合,这仍然是长期操作和热稳定性的关键瓶颈。在这项研究中,七氟丁二烯(HHA)或七氟丁二烯二酰胺(HM)被引入MeO4PACz,以调整其在NiOx表面的吸附。HM和MeO4PACz之间的多种氢化和多氢化相互作用,因此SAMs采用了相对于NiOx表面大约60°的倾斜方向。这种配置增加了NOx表面的吸附。</w:t>
      </w:r>
    </w:p>
    <w:p>
      <w:pPr>
        <w:spacing w:before="0" w:after="200" w:lineRule="auto" w:line="276"/>
      </w:pPr>
      <w:r>
        <w:rPr>
          <w:b/>
        </w:rPr>
        <w:t xml:space="preserve">Abstract (EN): </w:t>
      </w:r>
      <w:r>
        <w:t>In inverted perovskite solar cells, self-assembled molecules (SAMs) employed as hole-transport layers can significantly improve device performance, with power conversion efficiencies currently exceeding 27%. However, the non-uniform and weak adsorption of SAMs on metal oxide substrates leads to severe non-radiative recombination at the buried interface, which remains a critical bottleneck for long-term operational and thermal stability. In this study, heptafluorobutyramide (HA) or heptafluorobutylimidamide (HM) is introduced into MeO‑4PACz to tailor its adsorption on the NiOx surface. Leveraging multiple hydrogen‑bonding interactions between HM and MeO‑4PACz, the resulting SAMs adopt an inclined orientation of approximately 60° relative to the NiOx surface. This configuration increases the proportion of Ni3 + on the substrate and raises the surface coverage from 0.912 to 1.236. It also effectively passivates undercoordinated Pb defects at the buried interface, enhances interfacial uniformity, and suppresses non‑radiative recombination. Using a vacuum‑flash processing method, HM‑optimized devices achieve a champion efficiency of 26.99% (certified steady‑state efficiency 26.62%) and reach 20.36% on a large‑area module with an active area of 809.69 cm2. Moreover, small-area devices retained 92% and 87% of their initial efficiency after 1500 h of maximum power point tracking at 25°C and 60°C, respectively.</w:t>
      </w:r>
    </w:p>
    <w:p>
      <w:pPr>
        <w:spacing w:before="120" w:after="120"/>
      </w:pPr>
      <w:r>
        <w:rPr>
          <w:sz w:val="18"/>
        </w:rPr>
        <w:t>——————————————————————————————————————————————————————————————————————</w:t>
      </w:r>
    </w:p>
    <w:p>
      <w:pPr>
        <w:spacing w:before="160" w:after="40" w:line="240" w:lineRule="auto"/>
      </w:pPr>
      <w:r>
        <w:rPr>
          <w:b/>
        </w:rPr>
        <w:t xml:space="preserve">[503] </w:t>
      </w:r>
      <w:hyperlink r:id="rId774">
        <w:r>
          <w:rPr>
            <w:color w:val="1155CC"/>
            <w:u w:val="single"/>
          </w:rPr>
          <w:t>先进能源材料研究:可持续能源未来的关键(Adv. Energy Matter. 8/2026)</w:t>
        </w:r>
      </w:hyperlink>
    </w:p>
    <w:p>
      <w:pPr>
        <w:spacing w:before="0" w:after="80"/>
      </w:pPr>
      <w:r>
        <w:rPr>
          <w:i/>
          <w:sz w:val="20"/>
        </w:rPr>
        <w:t>EN: Advanced Energy Materials Research: Key to Sustainable Energy Future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775">
        <w:r>
          <w:rPr>
            <w:color w:val="1155CC"/>
            <w:u w:val="single"/>
          </w:rPr>
          <w:t>10.1002/aenm.70742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[504] </w:t>
      </w:r>
      <w:hyperlink r:id="rId776">
        <w:r>
          <w:rPr>
            <w:color w:val="1155CC"/>
            <w:u w:val="single"/>
          </w:rPr>
          <w:t>极强增强电化学动力学和高抗力液-S电池FES1x的三功能PZPP(Adv. Energy Matter. 8/2026)</w:t>
        </w:r>
      </w:hyperlink>
    </w:p>
    <w:p>
      <w:pPr>
        <w:spacing w:before="0" w:after="80"/>
      </w:pPr>
      <w:r>
        <w:rPr>
          <w:i/>
          <w:sz w:val="20"/>
        </w:rPr>
        <w:t>EN: Trifunctional P‐Doping of FeS1‐x for Greatly Enhanced Electrochemical Kinetics and Highly Resilient Li‐S Batteries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777">
        <w:r>
          <w:rPr>
            <w:color w:val="1155CC"/>
            <w:u w:val="single"/>
          </w:rPr>
          <w:t>10.1002/aenm.70744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[505] </w:t>
      </w:r>
      <w:hyperlink r:id="rId778">
        <w:r>
          <w:rPr>
            <w:color w:val="1155CC"/>
            <w:u w:val="single"/>
          </w:rPr>
          <w:t>《固态锂-硫电池的现状和未来前景:对反应和接口工程的侧重》(Adv. Energy Matter. 8/2026)</w:t>
        </w:r>
      </w:hyperlink>
    </w:p>
    <w:p>
      <w:pPr>
        <w:spacing w:before="0" w:after="80"/>
      </w:pPr>
      <w:r>
        <w:rPr>
          <w:i/>
          <w:sz w:val="20"/>
        </w:rPr>
        <w:t>EN: Current Status and Future Prospects of Solid‐State Lithium–Sulfur Batteries: A Focus on Reaction and Interface Engineering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779">
        <w:r>
          <w:rPr>
            <w:color w:val="1155CC"/>
            <w:u w:val="single"/>
          </w:rPr>
          <w:t>10.1002/aenm.70743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[506] </w:t>
      </w:r>
      <w:hyperlink r:id="rId780">
        <w:r>
          <w:rPr>
            <w:color w:val="1155CC"/>
            <w:u w:val="single"/>
          </w:rPr>
          <w:t>用于可再充电 Zincir电池的经修改的二功能电动催化剂:促进活动和周期寿命(Adv. Energy Matter. 8/2026)</w:t>
        </w:r>
      </w:hyperlink>
    </w:p>
    <w:p>
      <w:pPr>
        <w:spacing w:before="0" w:after="80"/>
      </w:pPr>
      <w:r>
        <w:rPr>
          <w:i/>
          <w:sz w:val="20"/>
        </w:rPr>
        <w:t>EN: Atomic Layer Deposition‐Modified Bifunctional Electrocatalysts for Rechargeable Zinc‐Air Batteries: Boosting Activity and Cycle Life (Adv. Energy Mater. 8/2026)</w:t>
      </w:r>
    </w:p>
    <w:p>
      <w:pPr>
        <w:spacing w:before="0" w:after="120"/>
      </w:pPr>
      <w:r>
        <w:rPr>
          <w:b/>
        </w:rPr>
        <w:t xml:space="preserve">Source: </w:t>
      </w:r>
      <w:r>
        <w:t>Wiley: Advanced Energy Materials: Table of Contents</w:t>
      </w:r>
      <w:r>
        <w:t xml:space="preserve">    </w:t>
      </w:r>
      <w:r>
        <w:rPr>
          <w:b/>
        </w:rPr>
        <w:t xml:space="preserve">Pub date: </w:t>
      </w:r>
      <w:r>
        <w:t>2026-02-25 14:37:39+00:00</w:t>
      </w:r>
      <w:r>
        <w:t xml:space="preserve">    </w:t>
      </w:r>
      <w:r>
        <w:rPr>
          <w:b/>
        </w:rPr>
        <w:t xml:space="preserve">DOI: </w:t>
      </w:r>
      <w:hyperlink r:id="rId781">
        <w:r>
          <w:rPr>
            <w:color w:val="1155CC"/>
            <w:u w:val="single"/>
          </w:rPr>
          <w:t>10.1002/aenm.70741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[507] </w:t>
      </w:r>
      <w:hyperlink r:id="rId782">
        <w:r>
          <w:rPr>
            <w:color w:val="1155CC"/>
            <w:u w:val="single"/>
          </w:rPr>
          <w:t>[ASAP] 用于增强后光亮和活性成像的五氯-氰制脚架的工程中分子包装</w:t>
        </w:r>
      </w:hyperlink>
    </w:p>
    <w:p>
      <w:pPr>
        <w:spacing w:before="0" w:after="80"/>
      </w:pPr>
      <w:r>
        <w:rPr>
          <w:i/>
          <w:sz w:val="20"/>
        </w:rPr>
        <w:t>EN: [ASAP] Engineering Intermolecular Packing of Quinoid-Cyanine Scaffolds for Enhanced Afterglow Brightness and Activatable Imaging</w:t>
      </w:r>
    </w:p>
    <w:p>
      <w:pPr>
        <w:spacing w:before="0" w:after="120"/>
      </w:pPr>
      <w:r>
        <w:rPr>
          <w:b/>
        </w:rPr>
        <w:t xml:space="preserve">Source: </w:t>
      </w:r>
      <w:r>
        <w:t>Journal of the American Chemical Society: Latest Articles (ACS Publications)</w:t>
      </w:r>
      <w:r>
        <w:t xml:space="preserve">    </w:t>
      </w:r>
      <w:r>
        <w:rPr>
          <w:b/>
        </w:rPr>
        <w:t xml:space="preserve">Pub date: </w:t>
      </w:r>
      <w:r>
        <w:t>2026-02-25 15:24:06+00:00</w:t>
      </w:r>
      <w:r>
        <w:t xml:space="preserve">    </w:t>
      </w:r>
      <w:r>
        <w:rPr>
          <w:b/>
        </w:rPr>
        <w:t xml:space="preserve">DOI: </w:t>
      </w:r>
      <w:hyperlink r:id="rId783">
        <w:r>
          <w:rPr>
            <w:color w:val="1155CC"/>
            <w:u w:val="single"/>
          </w:rPr>
          <w:t>10.1021/jacs.6c01078</w:t>
        </w:r>
      </w:hyperlink>
    </w:p>
    <w:p>
      <w:pPr>
        <w:spacing w:before="0" w:after="120"/>
      </w:pPr>
      <w:r>
        <w:rPr>
          <w:b/>
        </w:rPr>
        <w:t xml:space="preserve">Notes: </w:t>
      </w:r>
      <w:r>
        <w:t>abstract_source=pubmed</w:t>
      </w:r>
    </w:p>
    <w:p>
      <w:pPr>
        <w:spacing w:before="0" w:after="80" w:lineRule="auto" w:line="276"/>
      </w:pPr>
      <w:r>
        <w:rPr>
          <w:b/>
        </w:rPr>
        <w:t xml:space="preserve">摘要（ZH）: </w:t>
      </w:r>
      <w:r>
        <w:t>与常规多构件系统相比,可自我维持的后光分子(SAMs)结合了照片敏感度、高能中间形成和基于单个分子的后光源生成,降低了系统复杂性,避免了分子间转移,从而提高了简单性和效率。然而,可自我维持的后光谱系统往往受到严重的分子间相互作用的影响,导致聚合引起的排气效应和抑制的摄影敏化能力,最终导致一个受损的后光信号。为了解决这些问题,我们设计了自我维持的q。</w:t>
      </w:r>
    </w:p>
    <w:p>
      <w:pPr>
        <w:spacing w:before="0" w:after="200" w:lineRule="auto" w:line="276"/>
      </w:pPr>
      <w:r>
        <w:rPr>
          <w:b/>
        </w:rPr>
        <w:t xml:space="preserve">Abstract (EN): </w:t>
      </w:r>
      <w:r>
        <w:t>Afterglow luminescence imaging produces long-lasting light emission after excitation ceases, enabling autofluorescence-free imaging with ultrahigh sensitivity. Compared to conventional multicomponent systems, self-sustaining afterglow molecules (SAMs) integrate photosensitization, high-energy intermediate formation, and afterglow generation based on an individual molecule, reducing system complexity and avoiding intermolecular energy transfer, thereby improving simplicity and efficiency. However, self-sustaining afterglow systems often suffer from severe intermolecular interactions, leading to an aggregation-caused quenching (ACQ) effect and suppressed photosensitization capability, ultimately resulting in a compromised afterglow signal. To address these issues, we design self-sustaining quinoid-cyanine-based afterglow scaffolds (QCAs) by incorporating steric hindrance groups to suppress intermolecular interactions and alleviate ACQ. This chemical engineering approach enhances both 1O2 generation and fluorescence, yielding a remarkable 1566-fold increase in afterglow intensity. Theoretical studies confirm that the steric hindrance groups increase the intermolecular distance, yielding looser molecular packing and interactions. Additionally, we introduce a phenylboronic acid moiety into the optimized scaffold to cage the quinone moiety, enabling ONOO--activatable afterglow imaging. The probe enables specific in vivo afterglow imaging of subcutaneous tumors with an ultrahigh signal-to-background ratio (SBR) of 426. Finally, by functionalizing the probe with a blood-brain barrier (BBB)-permeating angiopep-2 peptide, the probe achieves a discriminative detection of mice with Parkinson's disease (PD) from healthy controls with an imaging contrast of 6.5, which is inaccessible with fluorescence imaging. This study presents a systematic chemical engineering strategy for designing SAMs that mitigate intermolecular quenching and enable activatable afterglow luminescence.</w:t>
      </w:r>
    </w:p>
    <w:p>
      <w:pPr>
        <w:spacing w:before="120" w:after="120"/>
      </w:pPr>
      <w:r>
        <w:rPr>
          <w:sz w:val="18"/>
        </w:rPr>
        <w:t>——————————————————————————————————————————————————————————————————————</w:t>
      </w:r>
    </w:p>
    <w:p>
      <w:pPr>
        <w:spacing w:before="160" w:after="40" w:line="240" w:lineRule="auto"/>
      </w:pPr>
      <w:r>
        <w:rPr>
          <w:b/>
        </w:rPr>
        <w:t xml:space="preserve">[508] </w:t>
      </w:r>
      <w:hyperlink r:id="rId784">
        <w:r>
          <w:rPr>
            <w:color w:val="1155CC"/>
            <w:u w:val="single"/>
          </w:rPr>
          <w:t>[ASAP] 核磁共振谱光谱分析的双功能双功能苯丙拉拉尼-利辛 Oligopoptide 能够进行分辨和相对配置分析</w:t>
        </w:r>
      </w:hyperlink>
    </w:p>
    <w:p>
      <w:pPr>
        <w:spacing w:before="0" w:after="80"/>
      </w:pPr>
      <w:r>
        <w:rPr>
          <w:i/>
          <w:sz w:val="20"/>
        </w:rPr>
        <w:t>EN: [ASAP] A Bifunctional Phenylalanine–Lysine Oligopeptide Enabling Both Chiral Differentiation and Relative Configuration Analysis by Nuclear Magnetic Resonance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2026-02-25 15:24:43+00:00</w:t>
      </w:r>
      <w:r>
        <w:t xml:space="preserve">    </w:t>
      </w:r>
      <w:r>
        <w:rPr>
          <w:b/>
        </w:rPr>
        <w:t xml:space="preserve">DOI: </w:t>
      </w:r>
      <w:hyperlink r:id="rId785">
        <w:r>
          <w:rPr>
            <w:color w:val="1155CC"/>
            <w:u w:val="single"/>
          </w:rPr>
          <w:t>10.1021/jacs.5c22161</w:t>
        </w:r>
      </w:hyperlink>
    </w:p>
    <w:p>
      <w:pPr>
        <w:spacing w:before="0" w:after="120"/>
      </w:pPr>
      <w:r>
        <w:rPr>
          <w:b/>
        </w:rPr>
        <w:t xml:space="preserve">Notes: </w:t>
      </w:r>
      <w:r>
        <w:t>abstract_source=openalex</w:t>
      </w:r>
    </w:p>
    <w:p>
      <w:pPr>
        <w:spacing w:before="0" w:after="80" w:lineRule="auto" w:line="276"/>
      </w:pPr>
      <w:r>
        <w:rPr>
          <w:b/>
        </w:rPr>
        <w:t xml:space="preserve">摘要（ZH）: </w:t>
      </w:r>
      <w:r>
        <w:t>在这项研究中,我们证明,结合溶剂对齐和手性区分的双功能剂可以简化NMR的结构性和立体化学分析。但同时诱发对应差异的对齐介质仍然很少见,特别是在蛋白溶剂和化学多元分子中。在本研究中,我们证明,作为双功能介质的单状纤维化聚(FK) &lt;sub&gt;4 &lt;/sub&gt; /sub&gt;自我集合。当组装(FK)&lt;sub&gt;4 &lt;/sub&gt;时,溶剂环境对齐,同时为强健的对应对称差异提供足够的分子间相互作用。 (FK)&lt;sub&gt;4&gt;/sub&gt;支持多种阳性化合物(氨酸、碳水化合物、有机酸和药物)的对齐化。</w:t>
      </w:r>
    </w:p>
    <w:p>
      <w:pPr>
        <w:spacing w:before="0" w:after="200" w:lineRule="auto" w:line="276"/>
      </w:pPr>
      <w:r>
        <w:rPr>
          <w:b/>
        </w:rPr>
        <w:t xml:space="preserve">Abstract (EN): </w:t>
      </w:r>
      <w:r>
        <w:t>Bifunctional agents that integrate solvent alignment and chiral differentiation could streamline NMR-based structural and stereochemical analysis. Yet alignment media that simultaneously induce enantiodifferentiation remain rare, particularly in protic solvents and across chemically diverse molecules. In this study, we demonstrate that the amphiphilic oligopeptide (FK)&lt;sub&gt;4&lt;/sub&gt; self-assembles into β-sheet fibrils that serve as such a bifunctional medium. Upon assembly, (FK)&lt;sub&gt;4&lt;/sub&gt; weakly aligns the solvent environment while providing sufficient intermolecular interactions for robust enantiomeric differentiation. (FK)&lt;sub&gt;4&lt;/sub&gt; supports the enantiodifferentiation of diverse chiral compounds (amino acids, carbohydrates, organic acids, and pharmaceuticals) across multiple nuclei (&lt;sup&gt;1&lt;/sup&gt;H, &lt;sup&gt;13&lt;/sup&gt;C, and &lt;sup&gt;19&lt;/sup&gt;F), yielding well-resolved resonance bifurcations for accurate enantiopurity quantification through integration. The bifunction of (FK)&lt;sub&gt;4&lt;/sub&gt; extends to water and protic organic solvents, allowing both residual chemical shift anisotropies (RCSAs) measurements and enantiodifferentiation in the same sample. This dual functionality enables a streamlined postsynthesis analysis workflow for simultaneous determination of enantiomeric composition and relative configuration in racemic reaction products. Integrating structural elucidation and chiral analysis, (FK)&lt;sub&gt;4&lt;/sub&gt; offers a perspective on extending anisotropic NMR techniques to stereochemical differentiation with the potential to facilitate absolute configuration elucidation.</w:t>
      </w:r>
    </w:p>
    <w:p>
      <w:pPr>
        <w:spacing w:before="120" w:after="120"/>
      </w:pPr>
      <w:r>
        <w:rPr>
          <w:sz w:val="18"/>
        </w:rPr>
        <w:t>——————————————————————————————————————————————————————————————————————</w:t>
      </w:r>
    </w:p>
    <w:p>
      <w:pPr>
        <w:spacing w:before="160" w:after="40" w:line="240" w:lineRule="auto"/>
      </w:pPr>
      <w:r>
        <w:rPr>
          <w:b/>
        </w:rPr>
        <w:t xml:space="preserve">[509] </w:t>
      </w:r>
      <w:hyperlink r:id="rId786">
        <w:r>
          <w:rPr>
            <w:color w:val="1155CC"/>
            <w:u w:val="single"/>
          </w:rPr>
          <w:t>[ASAP]通过固态NMR对Zeolite酸点的Assorbate诱导动态结构和催化微环境的透视</w:t>
        </w:r>
      </w:hyperlink>
    </w:p>
    <w:p>
      <w:pPr>
        <w:spacing w:before="0" w:after="80"/>
      </w:pPr>
      <w:r>
        <w:rPr>
          <w:i/>
          <w:sz w:val="20"/>
        </w:rPr>
        <w:t>EN: [ASAP] Insights into Adsorbate-Induced Dynamic Structures and Catalytic Microenvironments of Zeolite Acid Sites via Solid-State NMR</w:t>
      </w:r>
    </w:p>
    <w:p>
      <w:pPr>
        <w:spacing w:before="0" w:after="120"/>
      </w:pPr>
      <w:r>
        <w:rPr>
          <w:b/>
        </w:rPr>
        <w:t xml:space="preserve">Source: </w:t>
      </w:r>
      <w:r>
        <w:t>Journal of the American Chemical Society: Latest Articles (ACS Publications)</w:t>
      </w:r>
      <w:r>
        <w:t xml:space="preserve">    </w:t>
      </w:r>
      <w:r>
        <w:rPr>
          <w:b/>
        </w:rPr>
        <w:t xml:space="preserve">Pub date: </w:t>
      </w:r>
      <w:r>
        <w:t>2026-02-25 15:28:55+00:00</w:t>
      </w:r>
      <w:r>
        <w:t xml:space="preserve">    </w:t>
      </w:r>
      <w:r>
        <w:rPr>
          <w:b/>
        </w:rPr>
        <w:t xml:space="preserve">DOI: </w:t>
      </w:r>
      <w:hyperlink r:id="rId787">
        <w:r>
          <w:rPr>
            <w:color w:val="1155CC"/>
            <w:u w:val="single"/>
          </w:rPr>
          <w:t>10.1021/jacs.6c01162</w:t>
        </w:r>
      </w:hyperlink>
    </w:p>
    <w:p>
      <w:pPr>
        <w:spacing w:before="0" w:after="120"/>
      </w:pPr>
      <w:r>
        <w:rPr>
          <w:b/>
        </w:rPr>
        <w:t xml:space="preserve">Notes: </w:t>
      </w:r>
      <w:r>
        <w:t>abstract_source=pubmed</w:t>
      </w:r>
    </w:p>
    <w:p>
      <w:pPr>
        <w:spacing w:before="0" w:after="80" w:lineRule="auto" w:line="276"/>
      </w:pPr>
      <w:r>
        <w:rPr>
          <w:b/>
        </w:rPr>
        <w:t xml:space="preserve">摘要（ZH）: </w:t>
      </w:r>
      <w:r>
        <w:t>苯乙烯是基本固态酸催化剂,其催化性能取决于酸场地的性质,其催化性能取决于其酸场地的性质。在公约中,这些场地被视为静态的、预先确定的结构性元素,其特征为酸类型(Brønsted/Lewis)、强度和僵硬框架内的空间分布等量度。但新出现的见解显示,酸场地是动态和适应性实体。它们的本地结构和化学特性可以不断由热分子改变,特别是由反应剂、中间体和产品占据孔状的工作催化剂。这种吸附性引起的结构重组决定了催化的关键步骤,包括反应吸附和活化、中间稳定,从而决定了最终的活动和脉冲。</w:t>
      </w:r>
    </w:p>
    <w:p>
      <w:pPr>
        <w:spacing w:before="0" w:after="200" w:lineRule="auto" w:line="276"/>
      </w:pPr>
      <w:r>
        <w:rPr>
          <w:b/>
        </w:rPr>
        <w:t xml:space="preserve">Abstract (EN): </w:t>
      </w:r>
      <w:r>
        <w:t>Zeolites are essential solid acid catalysts whose catalytic performance is determined by the nature of their acid sites. Conventionally, these sites are viewed as static, predetermined structural motifs, characterized by metrics such as acid type (Brønsted/Lewis), strength, and spatial distribution within a rigid framework. Emerging insights, however, reveal that acid sites are dynamic and adaptive entities. Their local structure and chemical properties can be continuously reshaped by guest molecules, particularly in working catalysts where pores are occupied by reactants, intermediates, and products. This adsorbate-induced structural reconfiguration governs key steps in catalysis, including reactant adsorption and activation, intermediate stabilization, and thus ultimate activity and selectivity. Solid-state nuclear magnetic resonance (SSNMR) spectroscopy stands out as a unique and powerful technique for resolving these dynamic processes by translating subtle host-guest interactions into atomic-scale observables. This Perspective highlights recent SSNMR advances that uncover dynamic coordination states, map adaptive catalytic microenvironments, and establish direct correlations between these dynamic features and catalytic performance. These insights are reshaping fundamental understanding in zeolite chemistry and opening new avenues for the rational design of zeolite catalysts. We conclude by outlining key challenges and future opportunities for SSNMR in advancing the molecular-level understanding and optimization of catalysts under realistic reaction conditions.</w:t>
      </w:r>
    </w:p>
    <w:p>
      <w:pPr>
        <w:spacing w:before="120" w:after="120"/>
      </w:pPr>
      <w:r>
        <w:rPr>
          <w:sz w:val="18"/>
        </w:rPr>
        <w:t>——————————————————————————————————————————————————————————————————————</w:t>
      </w:r>
    </w:p>
    <w:p>
      <w:pPr>
        <w:spacing w:before="160" w:after="40" w:line="240" w:lineRule="auto"/>
      </w:pPr>
      <w:r>
        <w:rPr>
          <w:b/>
        </w:rPr>
        <w:t xml:space="preserve">[510] </w:t>
      </w:r>
      <w:hyperlink r:id="rId788">
        <w:r>
          <w:rPr>
            <w:color w:val="1155CC"/>
            <w:u w:val="single"/>
          </w:rPr>
          <w:t>[ASAP] 改进极地-可开电的利波-苯丙帕底线-新苯丙胺聚苯乙烯模型,以活体和活体方式使内生子外向和增强 mRNA的交付</w:t>
        </w:r>
      </w:hyperlink>
    </w:p>
    <w:p>
      <w:pPr>
        <w:spacing w:before="0" w:after="80"/>
      </w:pPr>
      <w:r>
        <w:rPr>
          <w:i/>
          <w:sz w:val="20"/>
        </w:rPr>
        <w:t>EN: [ASAP] Hydrophobic Refinement of Polarity-Switchable Lipo-Xenopeptides Modulates Endosomal Escape and Enhances mRNA Delivery In Vitro and In Vivo</w:t>
      </w:r>
    </w:p>
    <w:p>
      <w:pPr>
        <w:spacing w:before="0" w:after="120"/>
      </w:pPr>
      <w:r>
        <w:rPr>
          <w:b/>
        </w:rPr>
        <w:t xml:space="preserve">Source: </w:t>
      </w:r>
      <w:r>
        <w:t>Journal of the American Chemical Society: Latest Articles (ACS Publications)</w:t>
      </w:r>
      <w:r>
        <w:t xml:space="preserve">    </w:t>
      </w:r>
      <w:r>
        <w:rPr>
          <w:b/>
        </w:rPr>
        <w:t xml:space="preserve">Pub date: </w:t>
      </w:r>
      <w:r>
        <w:t>2026-02-25 16:07:54+00:00</w:t>
      </w:r>
      <w:r>
        <w:t xml:space="preserve">    </w:t>
      </w:r>
      <w:r>
        <w:rPr>
          <w:b/>
        </w:rPr>
        <w:t xml:space="preserve">DOI: </w:t>
      </w:r>
      <w:hyperlink r:id="rId789">
        <w:r>
          <w:rPr>
            <w:color w:val="1155CC"/>
            <w:u w:val="single"/>
          </w:rPr>
          <w:t>10.1021/jacs.5c19141</w:t>
        </w:r>
      </w:hyperlink>
    </w:p>
    <w:p>
      <w:pPr>
        <w:spacing w:before="0" w:after="120"/>
      </w:pPr>
      <w:r>
        <w:rPr>
          <w:b/>
        </w:rPr>
        <w:t xml:space="preserve">Notes: </w:t>
      </w:r>
      <w:r>
        <w:t>abstract_source=openalex</w:t>
      </w:r>
    </w:p>
    <w:p>
      <w:pPr>
        <w:spacing w:before="0" w:after="80" w:lineRule="auto" w:line="276"/>
      </w:pPr>
      <w:r>
        <w:rPr>
          <w:b/>
        </w:rPr>
        <w:t xml:space="preserve">摘要（ZH）: </w:t>
      </w:r>
      <w:r>
        <w:t>在目前的化学演进方法中,基于U型状(LAF &lt; sub&gt;2 &lt;/supp&gt; &lt; supp &lt; sub &gt;1 &gt; &lt;/sub &gt; &gt; &lt;/sub &gt; &gt; &gt; 、LAF &lt; sub &gt; &lt; sub &gt; &lt; sub &gt; &lt; supp &gt; &lt; supp &gt; &gt;2 &lt;/sub &gt; &gt; 或捆绑(LAF &lt; sub &gt; &lt; sub &gt; &lt; sub &gt; &lt;/sub &gt; 或捆绑 (LAF &lt; sub &gt; &lt; sub &gt; &lt;/sub &gt; &lt; sub &lt; sub &lt; sub &gt; &lt; /sub &gt; ))的三种高效异异异异异异异异异异异异异异异异异异异异异异异异异异异异异异异异异异异异异异异异异异异异异异异异异异异异异异异异异异异异异异异异异物(log &lt; log &lt; i &gt; &lt; D/i &gt; &lt; i &gt; &lt; roso</w:t>
      </w:r>
    </w:p>
    <w:p>
      <w:pPr>
        <w:spacing w:before="0" w:after="200" w:lineRule="auto" w:line="276"/>
      </w:pPr>
      <w:r>
        <w:rPr>
          <w:b/>
        </w:rPr>
        <w:t xml:space="preserve">Abstract (EN): </w:t>
      </w:r>
      <w:r>
        <w:t>Double pH-responsive lipo-xenopeptides combine polar oligoamino acids (OAAs) such as succinoyl tetraethylene pentamine (Stp) with apolar lipoamino fatty acid (LAF) domains. The resulting potent mRNA carriers undergo a profound shift in their polarity upon endosomal protonation. In the current chemical evolution approach, three top-performing xenopeptides based on a U-shaped (LAF&lt;sub&gt;2&lt;/sub&gt;Stp&lt;sub&gt;1&lt;/sub&gt;, LAF&lt;sub&gt;4&lt;/sub&gt;Stp&lt;sub&gt;2&lt;/sub&gt;) or bundle (LAF&lt;sub&gt;4&lt;/sub&gt;Stp&lt;sub&gt;1&lt;/sub&gt;) topology were modified by replacing Stp with a variety of hydrophobized OAAs. Octanol/water distribution (log &lt;i&gt;D&lt;/i&gt;) was determined by a novel label-free mass spectrometry-based method. At neutral pH, the new xenopeptide analogues displayed an up to 85-fold higher hydrophobicity (log &lt;i&gt;D&lt;/i&gt;&lt;sub&gt;7.4&lt;/sub&gt; &gt; 2) than Stp-based carriers, with a sharp pH-responsive decrease at endosomal pH (log &lt;i&gt;D&lt;/i&gt;&lt;sub&gt;5.5&lt;/sub&gt; -1). Transfection efficacies were influenced by the amine count of the OAAs, with tetraethylene pentamine outperforming the OAAs with fewer amines. For both topologies, a strong correlation between mRNA expression and endosomal escape, as quantified by calcein release, was found. For U-shaped carriers (LAF/OAA = 2:1), lipophilic OAAs improved endosomal escape and mRNA transfection efficiency. In contrast, for bundle carriers (LAF/OAA = 4:1), lipophilic OAA incorporation did not further enhance endosomal escape or transfection. Mechanistic studies revealed that LAF-xenopeptide polyplexes can adopt both endosomal pH-dependent and pH-independent cytosolic entry mechanisms, with hydrophobization accelerating expression kinetics and enhancing pH-independent entry. Optimized U-shaped xenopeptides were identified with improved mRNA transfection in tumor cells, a dendritic cell line, and low-passage human colon carcinoma cells. In vivo, enhanced mRNA expression was found upon either intramuscular or intravenous administration in several organs and tumor tissue.</w:t>
      </w:r>
    </w:p>
    <w:p>
      <w:pPr>
        <w:spacing w:before="120" w:after="120"/>
      </w:pPr>
      <w:r>
        <w:rPr>
          <w:sz w:val="18"/>
        </w:rPr>
        <w:t>——————————————————————————————————————————————————————————————————————</w:t>
      </w:r>
    </w:p>
    <w:p>
      <w:pPr>
        <w:spacing w:before="160" w:after="40" w:line="240" w:lineRule="auto"/>
      </w:pPr>
      <w:r>
        <w:rPr>
          <w:b/>
        </w:rPr>
        <w:t xml:space="preserve">[511] </w:t>
      </w:r>
      <w:hyperlink r:id="rId790">
        <w:r>
          <w:rPr>
            <w:color w:val="1155CC"/>
            <w:u w:val="single"/>
          </w:rPr>
          <w:t>[ASAP] 通过金属N-热环环碳化合物连接的导导两维金属-有机框架</w:t>
        </w:r>
      </w:hyperlink>
    </w:p>
    <w:p>
      <w:pPr>
        <w:spacing w:before="0" w:after="80"/>
      </w:pPr>
      <w:r>
        <w:rPr>
          <w:i/>
          <w:sz w:val="20"/>
        </w:rPr>
        <w:t>EN: [ASAP] Conductive Two-Dimensional Metal–Organic Frameworks Connected through Metal N-Heterocyclic Carbene Complexes</w:t>
      </w:r>
    </w:p>
    <w:p>
      <w:pPr>
        <w:spacing w:before="0" w:after="120"/>
      </w:pPr>
      <w:r>
        <w:rPr>
          <w:b/>
        </w:rPr>
        <w:t xml:space="preserve">Source: </w:t>
      </w:r>
      <w:r>
        <w:t>Journal of the American Chemical Society: Latest Articles (ACS Publications)</w:t>
      </w:r>
      <w:r>
        <w:t xml:space="preserve">    </w:t>
      </w:r>
      <w:r>
        <w:rPr>
          <w:b/>
        </w:rPr>
        <w:t xml:space="preserve">Pub date: </w:t>
      </w:r>
      <w:r>
        <w:t>2026-02-25 16:08:48+00:00</w:t>
      </w:r>
      <w:r>
        <w:t xml:space="preserve">    </w:t>
      </w:r>
      <w:r>
        <w:rPr>
          <w:b/>
        </w:rPr>
        <w:t xml:space="preserve">DOI: </w:t>
      </w:r>
      <w:hyperlink r:id="rId791">
        <w:r>
          <w:rPr>
            <w:color w:val="1155CC"/>
            <w:u w:val="single"/>
          </w:rPr>
          <w:t>10.1021/jacs.5c21368</w:t>
        </w:r>
      </w:hyperlink>
    </w:p>
    <w:p>
      <w:pPr>
        <w:spacing w:before="0" w:after="120"/>
      </w:pPr>
      <w:r>
        <w:rPr>
          <w:b/>
        </w:rPr>
        <w:t xml:space="preserve">Notes: </w:t>
      </w:r>
      <w:r>
        <w:t>abstract_source=openalex</w:t>
      </w:r>
    </w:p>
    <w:p>
      <w:pPr>
        <w:spacing w:before="0" w:after="80" w:lineRule="auto" w:line="276"/>
      </w:pPr>
      <w:r>
        <w:rPr>
          <w:b/>
        </w:rPr>
        <w:t xml:space="preserve">摘要（ZH）: </w:t>
      </w:r>
      <w:r>
        <w:t>两维导导导金属-有机框架(2D cMOFs)因其独特的交融和堆叠层结构而引起广泛关注,然而,这些二维电导管的连接仅限于二亚胺、二酚或二硫酚金属复合体,在这项工作中,我们使用银和铜&lt;i&gt;N &lt;/i&gt;-热循环碳氢化合物(NHC)复合体作为建造2D 电导框架的连接体。获得的材料显示出高晶体性、统一的一维通道和极佳的稳定性。重要的是,这些电导和离子导值分别高达10 &lt; sup&gt;-3 &lt;/sup &gt; 和10 &lt; sup&gt;-4 &lt;/sup&gt; Sm &lt; psup&gt;-1 &lt;/sup&gt;。这些CMOFs可以作为钠金属阳极的人工固体电解相,有效地指导了钠阳极的导线。</w:t>
      </w:r>
    </w:p>
    <w:p>
      <w:pPr>
        <w:spacing w:before="0" w:after="200" w:lineRule="auto" w:line="276"/>
      </w:pPr>
      <w:r>
        <w:rPr>
          <w:b/>
        </w:rPr>
        <w:t xml:space="preserve">Abstract (EN): </w:t>
      </w:r>
      <w:r>
        <w:t>Two-dimensional conductive metal-organic frameworks (2D cMOFs) have attracted widespread attention owing to their distinct conjugation and stacked layered structures. However, the linkages of these 2D cMOFs are limited to diamine, diphenol, or dithiophenol metal complexes. In this work, we employed silver and copper &lt;i&gt;N&lt;/i&gt;-heterocyclic carbene (NHC) complexes as linkages for the construction of 2D cMOFs. The obtained materials exhibit high crystallinity, uniform one-dimensional channels, and excellent stability. Significantly, these cMOFs show electronic conductivity and ionic conductivity values as high as 10&lt;sup&gt;-3&lt;/sup&gt; and 10&lt;sup&gt;-4&lt;/sup&gt; S cm&lt;sup&gt;-1&lt;/sup&gt;, respectively. The cMOFs can serve as an artificial solid electrolyte interphase on a sodium metal anode, effectively guiding the uniform nucleation of sodium ions and inhibiting the growth of sodium dendrites. Moreover, full cells incorporating the MOFs interlayer demonstrated remarkable cycling stability, retaining 92% capacity after 830 cycles at 2 C. This work not only expands the structural diversity of 2D cMOFs but also provides a new design strategy for functional 2D crystalline organic polymers.</w:t>
      </w:r>
    </w:p>
    <w:p>
      <w:pPr>
        <w:spacing w:before="120" w:after="120"/>
      </w:pPr>
      <w:r>
        <w:rPr>
          <w:sz w:val="18"/>
        </w:rPr>
        <w:t>——————————————————————————————————————————————————————————————————————</w:t>
      </w:r>
    </w:p>
    <w:p>
      <w:pPr>
        <w:spacing w:before="160" w:after="40" w:line="240" w:lineRule="auto"/>
      </w:pPr>
      <w:r>
        <w:rPr>
          <w:b/>
        </w:rPr>
        <w:t xml:space="preserve">[512] </w:t>
      </w:r>
      <w:hyperlink r:id="rId792">
        <w:r>
          <w:rPr>
            <w:color w:val="1155CC"/>
            <w:u w:val="single"/>
          </w:rPr>
          <w:t>[ASAP] 癌症细胞衰减用于生物合成的纳米粒子Protein Corona</w:t>
        </w:r>
      </w:hyperlink>
    </w:p>
    <w:p>
      <w:pPr>
        <w:spacing w:before="0" w:after="80"/>
      </w:pPr>
      <w:r>
        <w:rPr>
          <w:i/>
          <w:sz w:val="20"/>
        </w:rPr>
        <w:t>EN: [ASAP] Cancer Cells Degrade the Nanoparticle Protein Corona for Biosynthesis</w:t>
      </w:r>
    </w:p>
    <w:p>
      <w:pPr>
        <w:spacing w:before="0" w:after="120"/>
      </w:pPr>
      <w:r>
        <w:rPr>
          <w:b/>
        </w:rPr>
        <w:t xml:space="preserve">Source: </w:t>
      </w:r>
      <w:r>
        <w:t>Journal of the American Chemical Society: Latest Articles (ACS Publications)</w:t>
      </w:r>
      <w:r>
        <w:t xml:space="preserve">    </w:t>
      </w:r>
      <w:r>
        <w:rPr>
          <w:b/>
        </w:rPr>
        <w:t xml:space="preserve">Pub date: </w:t>
      </w:r>
      <w:r>
        <w:t>2026-02-25 16:59:09+00:00</w:t>
      </w:r>
      <w:r>
        <w:t xml:space="preserve">    </w:t>
      </w:r>
      <w:r>
        <w:rPr>
          <w:b/>
        </w:rPr>
        <w:t xml:space="preserve">DOI: </w:t>
      </w:r>
      <w:hyperlink r:id="rId793">
        <w:r>
          <w:rPr>
            <w:color w:val="1155CC"/>
            <w:u w:val="single"/>
          </w:rPr>
          <w:t>10.1021/jacs.5c19355</w:t>
        </w:r>
      </w:hyperlink>
    </w:p>
    <w:p>
      <w:pPr>
        <w:spacing w:before="0" w:after="120"/>
      </w:pPr>
      <w:r>
        <w:rPr>
          <w:b/>
        </w:rPr>
        <w:t xml:space="preserve">Notes: </w:t>
      </w:r>
      <w:r>
        <w:t>abstract_source=pubmed</w:t>
      </w:r>
    </w:p>
    <w:p>
      <w:pPr>
        <w:spacing w:before="0" w:after="80" w:lineRule="auto" w:line="276"/>
      </w:pPr>
      <w:r>
        <w:rPr>
          <w:b/>
        </w:rPr>
        <w:t xml:space="preserve">摘要（ZH）: </w:t>
      </w:r>
      <w:r>
        <w:t>用于携带医疗剂的纳米粒子被施用给病人检测和治疗癌症。血清蛋白在纳米粒子进入血液流后形成纳米粒子表面的蛋白质冠状。蛋白质冠状可以影响纳米粒子的循环、相互作用,并被癌症细胞吸收。蛋白质冠状子一旦在细胞内发生的情况还不清楚。在这里,我们发现癌症细胞对蛋白质冠状体进行代谢,以合成新的大型分子。内化后,纳米粒子及其相关的蛋白质冠状体被贩运到细胞体素中。蛋白性酶将蛋白质冠状转化为淋病中的氨酸。降解后的副产品被用于合成新细胞的大型分子。总计 氨。</w:t>
      </w:r>
    </w:p>
    <w:p>
      <w:pPr>
        <w:spacing w:before="0" w:after="200" w:lineRule="auto" w:line="276"/>
      </w:pPr>
      <w:r>
        <w:rPr>
          <w:b/>
        </w:rPr>
        <w:t xml:space="preserve">Abstract (EN): </w:t>
      </w:r>
      <w:r>
        <w:t>Nanoparticles designed to carry medical agents are administered to patients for the detection and treatment of cancer. Serum proteins form a protein corona on the nanoparticle surface after nanoparticles enter the bloodstream. The protein corona can impact how nanoparticles circulate, interact with, and get taken up by cancer cells. What happens to the protein corona once inside the cells remains unclear. Here, we discovered that cancer cells metabolize the protein corona to synthesize new macromolecules. After internalization, nanoparticles and their associated protein corona are trafficked to cell lysosomes. Proteolytic enzymes degrade the protein corona into amino acids in the lysosomes. The degraded byproducts are utilized for the synthesis of macromolecules for new cells. The total amount of serum proteins entering cells with the nanoparticles is greater than that in solution. Each internalized 55 nm gold nanoparticle transports an amount of protein equivalent to the uptake of over 250 individual proteins from solution. The uptake of nanoparticles creates an abundance of proteins for cells to carry out biosynthesis. These findings reveal that the nanoparticle protein corona serves as a nutrient reservoir for cancer cell metabolism.</w:t>
      </w:r>
    </w:p>
    <w:p>
      <w:pPr>
        <w:spacing w:before="120" w:after="120"/>
      </w:pPr>
      <w:r>
        <w:rPr>
          <w:sz w:val="18"/>
        </w:rPr>
        <w:t>——————————————————————————————————————————————————————————————————————</w:t>
      </w:r>
    </w:p>
    <w:p>
      <w:pPr>
        <w:spacing w:before="160" w:after="40" w:line="240" w:lineRule="auto"/>
      </w:pPr>
      <w:r>
        <w:rPr>
          <w:b/>
        </w:rPr>
        <w:t xml:space="preserve">[513] </w:t>
      </w:r>
      <w:hyperlink r:id="rId794">
        <w:r>
          <w:rPr>
            <w:color w:val="1155CC"/>
            <w:u w:val="single"/>
          </w:rPr>
          <w:t>[ASAP] α-西诺替代碳基化合物的铜-氯化代碳基反正对称</w:t>
        </w:r>
      </w:hyperlink>
    </w:p>
    <w:p>
      <w:pPr>
        <w:spacing w:before="0" w:after="80"/>
      </w:pPr>
      <w:r>
        <w:rPr>
          <w:i/>
          <w:sz w:val="20"/>
        </w:rPr>
        <w:t>EN: [ASAP] Copper-Catalyzed Asymmetric Vinylation of α-Cyano Substituted Carbonyl Compounds</w:t>
      </w:r>
    </w:p>
    <w:p>
      <w:pPr>
        <w:spacing w:before="0" w:after="120"/>
      </w:pPr>
      <w:r>
        <w:rPr>
          <w:b/>
        </w:rPr>
        <w:t xml:space="preserve">Source: </w:t>
      </w:r>
      <w:r>
        <w:t>Journal of the American Chemical Society: Latest Articles (ACS Publications)</w:t>
      </w:r>
      <w:r>
        <w:t xml:space="preserve">    </w:t>
      </w:r>
      <w:r>
        <w:rPr>
          <w:b/>
        </w:rPr>
        <w:t xml:space="preserve">Pub date: </w:t>
      </w:r>
      <w:r>
        <w:t>2026-02-25 17:22:57+00:00</w:t>
      </w:r>
      <w:r>
        <w:t xml:space="preserve">    </w:t>
      </w:r>
      <w:r>
        <w:rPr>
          <w:b/>
        </w:rPr>
        <w:t xml:space="preserve">DOI: </w:t>
      </w:r>
      <w:hyperlink r:id="rId795">
        <w:r>
          <w:rPr>
            <w:color w:val="1155CC"/>
            <w:u w:val="single"/>
          </w:rPr>
          <w:t>10.1021/jacs.5c22210</w:t>
        </w:r>
      </w:hyperlink>
    </w:p>
    <w:p>
      <w:pPr>
        <w:spacing w:before="0" w:after="120"/>
      </w:pPr>
      <w:r>
        <w:rPr>
          <w:b/>
        </w:rPr>
        <w:t xml:space="preserve">Notes: </w:t>
      </w:r>
      <w:r>
        <w:t>abstract_source=pubmed</w:t>
      </w:r>
    </w:p>
    <w:p>
      <w:pPr>
        <w:spacing w:before="0" w:after="80" w:lineRule="auto" w:line="276"/>
      </w:pPr>
      <w:r>
        <w:rPr>
          <w:b/>
        </w:rPr>
        <w:t xml:space="preserve">摘要（ZH）: </w:t>
      </w:r>
      <w:r>
        <w:t>根据(S)-乙酰二-甲苯基酸衍生氨基胺,为Cu-催化的碳基化合物,包括α-烷基替代丙烷基乙酸酯、α-丙基丙烷基酯和α-丙基氨酯,研制了一种有效的丁二烯基甲酸酯,为Cu-催化的乙酰碘与α-丙基碳基化合物(包括α-烷基替代丙烷基乙酸酯、α-丙基-α-烷基乙酸酯、α-乙烯-α氨基烷基烷基酯和α-乙烯基烷基烷基烷基酯)的对应选择性配方配方,在这三个子类的交替中心可以引入多种功能化氯乙烯组。此外,这种反应既适应了α-丙基亚基苯基乙基苯基酯中的简单又功能化烷基亚基亚基苯基酯,这些优势使当前共同子极有价值的政变战略成为极有价值的战略。</w:t>
      </w:r>
    </w:p>
    <w:p>
      <w:pPr>
        <w:spacing w:before="0" w:after="200" w:lineRule="auto" w:line="276"/>
      </w:pPr>
      <w:r>
        <w:rPr>
          <w:b/>
        </w:rPr>
        <w:t xml:space="preserve">Abstract (EN): </w:t>
      </w:r>
      <w:r>
        <w:t>Based on (S)-azetidine-2-carboxylic acid-derived amides, a class of effective ligands has been developed for the Cu-catalyzed enantioselective coupling of vinyl iodides with α-cyano carbonyl compounds, including α-alkyl-substituted cyanoacetates, α-cyano lactams, and α-cyano lactones. This asymmetric transformation affords α-vinyl-α-alkyl cyanoacetates, α-vinyl-α-cyano lactams, and α-vinyl-α-cyano lactones in good to excellent enantioselectivities (up to 99% ee). A wide range of functionalized vinyl groups can be introduced at the quaternary center across these three types of substrates. Furthermore, the reaction accommodates both simple and functionalized alkyl substituents in the α-alkyl-substituted cyanoacetates. These advantages make the current coupling strategy highly valuable for constructing enantioenriched molecules featuring an all-carbon quaternary center bearing versatile and easily modifiable functional groups.</w:t>
      </w:r>
    </w:p>
    <w:p>
      <w:pPr>
        <w:spacing w:before="120" w:after="120"/>
      </w:pPr>
      <w:r>
        <w:rPr>
          <w:sz w:val="18"/>
        </w:rPr>
        <w:t>——————————————————————————————————————————————————————————————————————</w:t>
      </w:r>
    </w:p>
    <w:p>
      <w:pPr>
        <w:spacing w:before="160" w:after="40" w:line="240" w:lineRule="auto"/>
      </w:pPr>
      <w:r>
        <w:rPr>
          <w:b/>
        </w:rPr>
        <w:t xml:space="preserve">[514] </w:t>
      </w:r>
      <w:hyperlink r:id="rId796">
        <w:r>
          <w:rPr>
            <w:color w:val="1155CC"/>
            <w:u w:val="single"/>
          </w:rPr>
          <w:t>[ASAP] 12个以镍为基础的镍金属-组织框架的西图模板大会</w:t>
        </w:r>
      </w:hyperlink>
    </w:p>
    <w:p>
      <w:pPr>
        <w:spacing w:before="0" w:after="80"/>
      </w:pPr>
      <w:r>
        <w:rPr>
          <w:i/>
          <w:sz w:val="20"/>
        </w:rPr>
        <w:t>EN: [ASAP] Covalent-Coordination-Dual-Driven In Situ Modular Assembly of 12-Connected Nickel-Based Metal–Organic Frameworks</w:t>
      </w:r>
    </w:p>
    <w:p>
      <w:pPr>
        <w:spacing w:before="0" w:after="120"/>
      </w:pPr>
      <w:r>
        <w:rPr>
          <w:b/>
        </w:rPr>
        <w:t xml:space="preserve">Source: </w:t>
      </w:r>
      <w:r>
        <w:t>Journal of the American Chemical Society: Latest Articles (ACS Publications)</w:t>
      </w:r>
      <w:r>
        <w:t xml:space="preserve">    </w:t>
      </w:r>
      <w:r>
        <w:rPr>
          <w:b/>
        </w:rPr>
        <w:t xml:space="preserve">Pub date: </w:t>
      </w:r>
      <w:r>
        <w:t>2026-02-25 18:12:53+00:00</w:t>
      </w:r>
      <w:r>
        <w:t xml:space="preserve">    </w:t>
      </w:r>
      <w:r>
        <w:rPr>
          <w:b/>
        </w:rPr>
        <w:t xml:space="preserve">DOI: </w:t>
      </w:r>
      <w:hyperlink r:id="rId797">
        <w:r>
          <w:rPr>
            <w:color w:val="1155CC"/>
            <w:u w:val="single"/>
          </w:rPr>
          <w:t>10.1021/jacs.5c22441</w:t>
        </w:r>
      </w:hyperlink>
    </w:p>
    <w:p>
      <w:pPr>
        <w:spacing w:before="0" w:after="120"/>
      </w:pPr>
      <w:r>
        <w:rPr>
          <w:b/>
        </w:rPr>
        <w:t xml:space="preserve">Notes: </w:t>
      </w:r>
      <w:r>
        <w:t>abstract_source=pubmed</w:t>
      </w:r>
    </w:p>
    <w:p>
      <w:pPr>
        <w:spacing w:before="0" w:after="80" w:lineRule="auto" w:line="276"/>
      </w:pPr>
      <w:r>
        <w:rPr>
          <w:b/>
        </w:rPr>
        <w:t xml:space="preserve">摘要（ZH）: </w:t>
      </w:r>
      <w:r>
        <w:t>金属-有机框架的实际应用往往受到结构稳定性、合成复杂度和可起作用的金枪鱼可捕量之间的权衡的阻碍。这里,我们通过将共价金属债券和金属-金属-金属协调债券的形成结合成一罐反应,展示了高度稳定的12个连接的Ni8-MOF的便地模块组合,将共价金属债券和金属-金属-金属-金属-协调债券合并成一罐式组合体。这一方法利用镍乙酸盐、4-氨基双甲醇和多种芳香藻等质的简单前体,在传统回流条件下建造31个高度晶状的Ni8-MOF(JNU-230-JNU-260)图书馆。我们进一步展示了这一合成战略的可扩展性和可持续性,为使用回收反应溶剂的每批量量生产提供成本,而水晶性不妥协 o</w:t>
      </w:r>
    </w:p>
    <w:p>
      <w:pPr>
        <w:spacing w:before="0" w:after="200" w:lineRule="auto" w:line="276"/>
      </w:pPr>
      <w:r>
        <w:rPr>
          <w:b/>
        </w:rPr>
        <w:t xml:space="preserve">Abstract (EN): </w:t>
      </w:r>
      <w:r>
        <w:t>The practical application of metal-organic frameworks (MOFs) is often hindered by the trade-off among structural stability, synthetic complexity, and functional tunability. Herein, we present a facile in situ modular assembly of highly stable 12-connected Ni8-MOFs by integrating the formation of covalent imine bonds and metal-ligand coordination bonds in a one-pot reaction. This approach utilizes simple precursors of nickel acetate, 4-aminopyrazoles, and diverse aromatic aldehydes to construct a library of 31 highly crystalline Ni8-MOFs (JNU-230-JNU-260) under traditional refluxing conditions. We further demonstrate the scalability and sustainability of this synthetic strategy, affording gram-scale production per batch using recycled reaction solvents, with no compromise in crystallinity or porosity for at least 3 additional batches. Moreover, in situ modular assembly and donor-acceptor regulation enable the formation of JNU-244 as a highly efficient and stable heterogeneous photocatalyst, achieving a yield of up to 99% in a visible-light-driven cross-dehydrogenative coupling reaction with excellent recyclability. This work offers a new platform for the precise and sustainable construction of highly stable, functionally advanced MOFs, highlighting the power of synergistic covalent-coordination-dual driven assembly in materials design.</w:t>
      </w:r>
    </w:p>
    <w:p>
      <w:pPr>
        <w:spacing w:before="120" w:after="120"/>
      </w:pPr>
      <w:r>
        <w:rPr>
          <w:sz w:val="18"/>
        </w:rPr>
        <w:t>——————————————————————————————————————————————————————————————————————</w:t>
      </w:r>
    </w:p>
    <w:p>
      <w:pPr>
        <w:spacing w:before="160" w:after="40" w:line="240" w:lineRule="auto"/>
      </w:pPr>
      <w:r>
        <w:rPr>
          <w:b/>
        </w:rPr>
        <w:t xml:space="preserve">[515] </w:t>
      </w:r>
      <w:hyperlink r:id="rId798">
        <w:r>
          <w:rPr>
            <w:color w:val="1155CC"/>
            <w:u w:val="single"/>
          </w:rPr>
          <w:t>[ASAP] Alkynes终点站的铁加热反Markovnikov Alylzynciting</w:t>
        </w:r>
      </w:hyperlink>
    </w:p>
    <w:p>
      <w:pPr>
        <w:spacing w:before="0" w:after="80"/>
      </w:pPr>
      <w:r>
        <w:rPr>
          <w:i/>
          <w:sz w:val="20"/>
        </w:rPr>
        <w:t>EN: [ASAP] Iron-Catalyzed anti-Markovnikov Allylzincation of Terminal Alkynes</w:t>
      </w:r>
    </w:p>
    <w:p>
      <w:pPr>
        <w:spacing w:before="0" w:after="120"/>
      </w:pPr>
      <w:r>
        <w:rPr>
          <w:b/>
        </w:rPr>
        <w:t xml:space="preserve">Source: </w:t>
      </w:r>
      <w:r>
        <w:t>Journal of the American Chemical Society: Latest Articles (ACS Publications)</w:t>
      </w:r>
      <w:r>
        <w:t xml:space="preserve">    </w:t>
      </w:r>
      <w:r>
        <w:rPr>
          <w:b/>
        </w:rPr>
        <w:t xml:space="preserve">Pub date: </w:t>
      </w:r>
      <w:r>
        <w:t>2026-02-25 19:04:24+00:00</w:t>
      </w:r>
      <w:r>
        <w:t xml:space="preserve">    </w:t>
      </w:r>
      <w:r>
        <w:rPr>
          <w:b/>
        </w:rPr>
        <w:t xml:space="preserve">DOI: </w:t>
      </w:r>
      <w:hyperlink r:id="rId799">
        <w:r>
          <w:rPr>
            <w:color w:val="1155CC"/>
            <w:u w:val="single"/>
          </w:rPr>
          <w:t>10.1021/jacs.5c21100</w:t>
        </w:r>
      </w:hyperlink>
    </w:p>
    <w:p>
      <w:pPr>
        <w:spacing w:before="0" w:after="120"/>
      </w:pPr>
      <w:r>
        <w:rPr>
          <w:b/>
        </w:rPr>
        <w:t xml:space="preserve">Notes: </w:t>
      </w:r>
      <w:r>
        <w:t>abstract_source=pubmed</w:t>
      </w:r>
    </w:p>
    <w:p>
      <w:pPr>
        <w:spacing w:before="0" w:after="80" w:lineRule="auto" w:line="276"/>
      </w:pPr>
      <w:r>
        <w:rPr>
          <w:b/>
        </w:rPr>
        <w:t xml:space="preserve">摘要（ZH）: </w:t>
      </w:r>
      <w:r>
        <w:t>ALkynes终点站的Allmetalization主要受基底电子特性的制约,没有为普通ALkynes的反Markovnikov附加(除终端碳外的副作用)制定有效的战略。在这里,我们报告了一个2-(imino)quinoline 铁催化催化反Markovnikov 的抗Markovnikov 的Allylzyncation Alkynes。这个协议提供抗Markovnikov附加产品、1,4-二二乙基辛基试剂,高产量(高达99%),具有出色的再生和立体选择(主要是&gt;95:5),具有广泛的子基范围和良好的功能群体容忍度。它为1,4,4-二乙基辛基试剂提供了一条直接有效的途径,通过报告的方法无法进入,并应用于聚氯1,4,4-denylzinc试剂的简明合成以及1,4-dienes的合成过程已经应用。</w:t>
      </w:r>
    </w:p>
    <w:p>
      <w:pPr>
        <w:spacing w:before="0" w:after="200" w:lineRule="auto" w:line="276"/>
      </w:pPr>
      <w:r>
        <w:rPr>
          <w:b/>
        </w:rPr>
        <w:t xml:space="preserve">Abstract (EN): </w:t>
      </w:r>
      <w:r>
        <w:t>Allylmetalation of terminal alkynes is predominantly governed by substrate electronic properties, leaving no effective strategy for anti-Markovnikov addition (allyl addition to the terminal carbon) of general terminal alkynes. Herein, we report a 2-(imino)quinoline iron-catalyzed anti-Markovnikov allylzincation of aryl- and alkyl-substituted terminal alkynes. This protocol affords anti-Markovnikov addition products, 1,4-dienylzinc reagents, in high yields (up to 99%) with excellent regio- and stereoselectivities (mostly &gt;95:5), featuring broad substrate scope and good functional group tolerance. It provides a direct, efficient route to 1,4-dienylzinc reagents which are inaccessible via reported methods, and has been applied to the concise synthesis of polysubstituted 1,4-dienes, as well as key intermediates for several natural products. Mechanistic studies reveal that alkyne activation by Fe(0) catalyst and the semiopen steric effect of 2-(imino)quinoline ligands are critical to overcoming electronic biases and achieving the desired selectivity. This work highlights the unique advantages of low-valent iron catalysts in regulating classical organic reaction selectivity and offers an effective method for accessing novel 1,4-dienes.</w:t>
      </w:r>
    </w:p>
    <w:p>
      <w:pPr>
        <w:spacing w:before="120" w:after="120"/>
      </w:pPr>
      <w:r>
        <w:rPr>
          <w:sz w:val="18"/>
        </w:rPr>
        <w:t>——————————————————————————————————————————————————————————————————————</w:t>
      </w:r>
    </w:p>
    <w:p>
      <w:pPr>
        <w:spacing w:before="160" w:after="40" w:line="240" w:lineRule="auto"/>
      </w:pPr>
      <w:r>
        <w:rPr>
          <w:b/>
        </w:rPr>
        <w:t xml:space="preserve">[516] </w:t>
      </w:r>
      <w:hyperlink r:id="rId800">
        <w:r>
          <w:rPr>
            <w:color w:val="1155CC"/>
            <w:u w:val="single"/>
          </w:rPr>
          <w:t>[ASAP] 转基因螺旋流的构成灵活性:它如何运作以及它在何处重要</w:t>
        </w:r>
      </w:hyperlink>
    </w:p>
    <w:p>
      <w:pPr>
        <w:spacing w:before="0" w:after="80"/>
      </w:pPr>
      <w:r>
        <w:rPr>
          <w:i/>
          <w:sz w:val="20"/>
        </w:rPr>
        <w:t>EN: [ASAP] Conformational Flexibility of Transmembrane Helices: How it Works and Where it Matters</w:t>
      </w:r>
    </w:p>
    <w:p>
      <w:pPr>
        <w:spacing w:before="0" w:after="120"/>
      </w:pPr>
      <w:r>
        <w:rPr>
          <w:b/>
        </w:rPr>
        <w:t xml:space="preserve">Source: </w:t>
      </w:r>
      <w:r>
        <w:t>Chemical Reviews: Latest Articles (ACS Publications)</w:t>
      </w:r>
      <w:r>
        <w:t xml:space="preserve">    </w:t>
      </w:r>
      <w:r>
        <w:rPr>
          <w:b/>
        </w:rPr>
        <w:t xml:space="preserve">Pub date: </w:t>
      </w:r>
      <w:r>
        <w:t>2026-02-25 19:24:17+00:00</w:t>
      </w:r>
      <w:r>
        <w:t xml:space="preserve">    </w:t>
      </w:r>
      <w:r>
        <w:rPr>
          <w:b/>
        </w:rPr>
        <w:t xml:space="preserve">DOI: </w:t>
      </w:r>
      <w:hyperlink r:id="rId801">
        <w:r>
          <w:rPr>
            <w:color w:val="1155CC"/>
            <w:u w:val="single"/>
          </w:rPr>
          <w:t>10.1021/acs.chemrev.5c00581</w:t>
        </w:r>
      </w:hyperlink>
    </w:p>
    <w:p>
      <w:pPr>
        <w:spacing w:before="0" w:after="120"/>
      </w:pPr>
      <w:r>
        <w:rPr>
          <w:b/>
        </w:rPr>
        <w:t xml:space="preserve">Notes: </w:t>
      </w:r>
      <w:r>
        <w:t>abstract_source=pubmed</w:t>
      </w:r>
    </w:p>
    <w:p>
      <w:pPr>
        <w:spacing w:before="0" w:after="80" w:lineRule="auto" w:line="276"/>
      </w:pPr>
      <w:r>
        <w:rPr>
          <w:b/>
        </w:rPr>
        <w:t xml:space="preserve">摘要（ZH）: </w:t>
      </w:r>
      <w:r>
        <w:t>在代表不同功能周期不同阶段的不同结构子国家中,发现存在越来越多的多孔和离子膜蛋白蛋白质,许多其构成的转基因螺旋体从局部上偏离了天主教的α-太阳结构,表明功能和/或与功能国之间的结构转换有关,需要具有符合性的灵活性。许多单子蛋白的生物功能也往往取决于其转基因螺旋的高度一致性灵活性。当前研究的重点是螺旋体灵活性的类型和序列依赖性、其不同功能作用及其与膜内脂肪环境的相互作用。这种观点将说明这些问题。</w:t>
      </w:r>
    </w:p>
    <w:p>
      <w:pPr>
        <w:spacing w:before="0" w:after="200" w:lineRule="auto" w:line="276"/>
      </w:pPr>
      <w:r>
        <w:rPr>
          <w:b/>
        </w:rPr>
        <w:t xml:space="preserve">Abstract (EN): </w:t>
      </w:r>
      <w:r>
        <w:t>An increasing number of multipass and oligomeric membrane proteins is found to exist in different structural substates that represent different stages of their functional cycles. Many of their constituent transmembrane helices locally deviate from canonical α-helical structure, suggesting that their conformational flexibility is required for function and/or connected to structural conversions between functional states. Biological functions of many single-pass proteins also often depend on the substantial conformational flexibility of their transmembrane helices. Current research focuses on the types and sequence dependence of helix flexibility, its diverse functional roles, as well as its interplay with the lipid environment within a membrane. This Perspective will illustrate these issues using a number of exemplary cases, including bacteriorhodopsin, ion channels, fusogenic proteins, and intramembrane protease substrates. In addition, we will discuss some methodological aspects, including advanced hydrogen-deuterium exchange analysis that can be useful in investigating the conformational flexibility of TM-helices.</w:t>
      </w:r>
    </w:p>
    <w:p>
      <w:pPr>
        <w:spacing w:before="120" w:after="120"/>
      </w:pPr>
      <w:r>
        <w:rPr>
          <w:sz w:val="18"/>
        </w:rPr>
        <w:t>——————————————————————————————————————————————————————————————————————</w:t>
      </w:r>
    </w:p>
    <w:p>
      <w:pPr>
        <w:spacing w:before="160" w:after="40" w:line="240" w:lineRule="auto"/>
      </w:pPr>
      <w:r>
        <w:rPr>
          <w:b/>
        </w:rPr>
        <w:t xml:space="preserve">[517] </w:t>
      </w:r>
      <w:hyperlink r:id="rId802">
        <w:r>
          <w:rPr>
            <w:color w:val="1155CC"/>
            <w:u w:val="single"/>
          </w:rPr>
          <w:t>[ASAP]奥电氧化中中转奥氧化物的直接实验证据</w:t>
        </w:r>
      </w:hyperlink>
    </w:p>
    <w:p>
      <w:pPr>
        <w:spacing w:before="0" w:after="80"/>
      </w:pPr>
      <w:r>
        <w:rPr>
          <w:i/>
          <w:sz w:val="20"/>
        </w:rPr>
        <w:t>EN: [ASAP] Direct Experimental Evidence of Transient Auδ+ Oxide in Au Electrooxidation</w:t>
      </w:r>
    </w:p>
    <w:p>
      <w:pPr>
        <w:spacing w:before="0" w:after="120"/>
      </w:pPr>
      <w:r>
        <w:rPr>
          <w:b/>
        </w:rPr>
        <w:t xml:space="preserve">Source: </w:t>
      </w:r>
      <w:r>
        <w:t>Journal of the American Chemical Society: Latest Articles (ACS Publications)</w:t>
      </w:r>
      <w:r>
        <w:t xml:space="preserve">    </w:t>
      </w:r>
      <w:r>
        <w:rPr>
          <w:b/>
        </w:rPr>
        <w:t xml:space="preserve">Pub date: </w:t>
      </w:r>
      <w:r>
        <w:t>2026-02-25 20:34:05+00:00</w:t>
      </w:r>
      <w:r>
        <w:t xml:space="preserve">    </w:t>
      </w:r>
      <w:r>
        <w:rPr>
          <w:b/>
        </w:rPr>
        <w:t xml:space="preserve">DOI: </w:t>
      </w:r>
      <w:hyperlink r:id="rId803">
        <w:r>
          <w:rPr>
            <w:color w:val="1155CC"/>
            <w:u w:val="single"/>
          </w:rPr>
          <w:t>10.1021/jacs.5c13087</w:t>
        </w:r>
      </w:hyperlink>
    </w:p>
    <w:p>
      <w:pPr>
        <w:spacing w:before="0" w:after="120"/>
      </w:pPr>
      <w:r>
        <w:rPr>
          <w:b/>
        </w:rPr>
        <w:t xml:space="preserve">Notes: </w:t>
      </w:r>
      <w:r>
        <w:t>abstract_source=pubmed</w:t>
      </w:r>
    </w:p>
    <w:p>
      <w:pPr>
        <w:spacing w:before="0" w:after="80" w:lineRule="auto" w:line="276"/>
      </w:pPr>
      <w:r>
        <w:rPr>
          <w:b/>
        </w:rPr>
        <w:t xml:space="preserve">摘要（ZH）: </w:t>
      </w:r>
      <w:r>
        <w:t>酸性介质中惰性金属的惯性电氧化是电解和能源转换的一个中心议题,因为它与氧进化反应(OER)相关。特别是,传统上假定金电极在与OER相关的高潜力下从金属状态(Au0)直接氧化为三价状态(Au3+)。然而,这一长期模式日益受到近期现场特征研究的挑战。这里我们报告了对可变黄金氧化状态的直接观测(Au,在AU3+形成之前为0 &lt;  &lt; 3。这种物种在0.1 M2SO4的Au(111)上是电化学诱导的,在超高真空下的电极地表面使用半原X射线光电光谱(XPS)观测。</w:t>
      </w:r>
    </w:p>
    <w:p>
      <w:pPr>
        <w:spacing w:before="0" w:after="200" w:lineRule="auto" w:line="276"/>
      </w:pPr>
      <w:r>
        <w:rPr>
          <w:b/>
        </w:rPr>
        <w:t xml:space="preserve">Abstract (EN): </w:t>
      </w:r>
      <w:r>
        <w:t>Anodic electrooxidation of noble metals in acidic media represents a central topic in electrocatalysis and energy conversion due to its relevance for the oxygen evolution reaction (OER). In particular, gold electrodes are traditionally assumed to oxidize directly from the metallic state (Au0) to a trivalent state (Au3+) at high potentials relevant to OER. However, this long-standing paradigm has been increasingly challenged by recent in situ characterization studies. Here we report the direct observation of a metastable gold oxidation state (Auδ+, where 0 &lt; δ &lt; 3) preceding the formation of Au3+. This species is electrochemically induced on Au(111) in 0.1 M H2SO4 and observed at the electrode surface under ultrahigh vacuum (UHV) using quasi-in situ X-ray photoelectron spectroscopy (XPS). Auδ+ manifests a distinct chemical shift in XPS without conforming to a fully evolved Au3+ oxidation state. Atomic-resolution imaging via low-temperature scanning probe microscopy (LT-STM/nc-AFM) revealed that the Auδ+ phase forms an amorphous oxide layer. This study provides evidence of a two-step mechanism for Au electrooxidation accompanying the OER onset. Formation of the Auδ+ surface oxide precedes the formation of the bulk Au3+ oxide responsible for the OER. This mechanism strongly challenges the thermodynamically predicted one-step Au0 → Au3+ oxidation model. The two-step Au-oxidation mechanism parallels the proposed Pt electrooxidation pathway, suggesting a general oxidation mechanism for noble metals.</w:t>
      </w:r>
    </w:p>
    <w:p>
      <w:pPr>
        <w:spacing w:before="120" w:after="120"/>
      </w:pPr>
      <w:r>
        <w:rPr>
          <w:sz w:val="18"/>
        </w:rPr>
        <w:t>——————————————————————————————————————————————————————————————————————</w:t>
      </w:r>
    </w:p>
    <w:p>
      <w:pPr>
        <w:spacing w:before="160" w:after="40" w:line="240" w:lineRule="auto"/>
      </w:pPr>
      <w:r>
        <w:rPr>
          <w:b/>
        </w:rPr>
        <w:t xml:space="preserve">[518] </w:t>
      </w:r>
      <w:hyperlink r:id="rId804">
        <w:r>
          <w:rPr>
            <w:color w:val="1155CC"/>
            <w:u w:val="single"/>
          </w:rPr>
          <w:t>利用极端学习机器对能源生产和消费进行短期预测:以海事组织为基础的综合ELM方法</w:t>
        </w:r>
      </w:hyperlink>
    </w:p>
    <w:p>
      <w:pPr>
        <w:spacing w:before="0" w:after="80"/>
      </w:pPr>
      <w:r>
        <w:rPr>
          <w:i/>
          <w:sz w:val="20"/>
        </w:rPr>
        <w:t>EN: Short-term forecasting of energy production and consumption using extreme learning machine: A comprehensive MIMO based ELM approach</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[519] </w:t>
      </w:r>
      <w:hyperlink r:id="rId805">
        <w:r>
          <w:rPr>
            <w:color w:val="1155CC"/>
            <w:u w:val="single"/>
          </w:rPr>
          <w:t>重新想象部门合并:将零碎的视角合并为一个统一框架</w:t>
        </w:r>
      </w:hyperlink>
    </w:p>
    <w:p>
      <w:pPr>
        <w:spacing w:before="0" w:after="80"/>
      </w:pPr>
      <w:r>
        <w:rPr>
          <w:i/>
          <w:sz w:val="20"/>
        </w:rPr>
        <w:t>EN: Sector coupling reimagined: Synthesizing fragmented perspectives into a unified framework</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[520] </w:t>
      </w:r>
      <w:hyperlink r:id="rId806">
        <w:r>
          <w:rPr>
            <w:color w:val="1155CC"/>
            <w:u w:val="single"/>
          </w:rPr>
          <w:t>含有等效级联水电产出界限的日头市场清盘模式</w:t>
        </w:r>
      </w:hyperlink>
    </w:p>
    <w:p>
      <w:pPr>
        <w:spacing w:before="0" w:after="80"/>
      </w:pPr>
      <w:r>
        <w:rPr>
          <w:i/>
          <w:sz w:val="20"/>
        </w:rPr>
        <w:t>EN: A day-ahead market clearing model embedded with equivalent output bounds of cascaded hydropower</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[521] </w:t>
      </w:r>
      <w:hyperlink r:id="rId807">
        <w:r>
          <w:rPr>
            <w:color w:val="1155CC"/>
            <w:u w:val="single"/>
          </w:rPr>
          <w:t>变换增强的多剂强化多剂强化学习,以根据时间变化的交通流量进行动态电动后勤后勤车队路线安排</w:t>
        </w:r>
      </w:hyperlink>
    </w:p>
    <w:p>
      <w:pPr>
        <w:spacing w:before="0" w:after="80"/>
      </w:pPr>
      <w:r>
        <w:rPr>
          <w:i/>
          <w:sz w:val="20"/>
        </w:rPr>
        <w:t>EN: Transformer-enhanced multi-agent reinforcement learning for dynamic electric logistics Fleet routing under time-varying traffic</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[522] </w:t>
      </w:r>
      <w:hyperlink r:id="rId808">
        <w:r>
          <w:rPr>
            <w:color w:val="1155CC"/>
            <w:u w:val="single"/>
          </w:rPr>
          <w:t>建立完全相互联系的二维微处理器的朝向基本战略</w:t>
        </w:r>
      </w:hyperlink>
    </w:p>
    <w:p>
      <w:pPr>
        <w:spacing w:before="0" w:after="80"/>
      </w:pPr>
      <w:r>
        <w:rPr>
          <w:i/>
          <w:sz w:val="20"/>
        </w:rPr>
        <w:t>EN: A towards-foundry strategy for creating fully interconnected two-dimensional microprocessors</w:t>
      </w:r>
    </w:p>
    <w:p>
      <w:pPr>
        <w:spacing w:before="0" w:after="120"/>
      </w:pPr>
      <w:r>
        <w:rPr>
          <w:b/>
        </w:rPr>
        <w:t xml:space="preserve">Source: </w:t>
      </w:r>
      <w:r>
        <w:t>Nature Electronics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二维(2D)材料可用于建造下一代电子设备。然而,含有基于2D材料的数百个晶晶晶管的大型芯片存在低产量和实验室制造问题。我们在此报告一个基于转让的2D材料创建大型电路的向硬战略。该方法使用六方面测试和重复迭接优化:电路设计、布局设计、材料增长、材料转让、装置制造和芯片探测。我们制造了大约130批样本,用于测试,以提高每个规模的产量,从单晶体管到电路模块到完整的微处理器。我们创建了接近100%的单一晶体管,在/关闭比例超过107个,在/关闭比例超过107个,以及近乎的倒置收益。</w:t>
      </w:r>
    </w:p>
    <w:p>
      <w:pPr>
        <w:spacing w:before="0" w:after="200" w:lineRule="auto" w:line="276"/>
      </w:pPr>
      <w:r>
        <w:rPr>
          <w:b/>
        </w:rPr>
        <w:t xml:space="preserve">Abstract (EN): </w:t>
      </w:r>
      <w:r>
        <w:t>Two-dimensional (2D) materials can be used to build next-generation electronics. However, large-scale chips containing hundreds of transistors based on 2D materials suffer from problems related to low yield and laboratory fabrication. Here we report a towards-foundry strategy to create large-scale circuits based on transferred 2D materials. The approach uses testing and repeated iterative optimization of six aspects: circuit design, layout design, material growth, material transfer, device fabrication and chip probing. We fabricate around 130 batches of samples for testing to improve the yield at each scale, from single transistors to circuit modules to a complete microprocessor. We create single transistors with nearly 100% yield, on/off ratios greater than 107 and inverter gains of approximately 400 on average. The statistical yields for the arithmetic logic unit, control unit and D-latch circuit modules are found to be 96.5%, 79.5% and 61.5%, respectively. The resulting 2D microprocessor exhibits excellent signal integrity and stability, as well as low-energy-consumption characteristics that are superior to those of early Intel central processing units.</w:t>
      </w:r>
    </w:p>
    <w:p>
      <w:pPr>
        <w:spacing w:before="120" w:after="120"/>
      </w:pPr>
      <w:r>
        <w:rPr>
          <w:sz w:val="18"/>
        </w:rPr>
        <w:t>——————————————————————————————————————————————————————————————————————</w:t>
      </w:r>
    </w:p>
    <w:p>
      <w:pPr>
        <w:spacing w:before="160" w:after="40" w:line="240" w:lineRule="auto"/>
      </w:pPr>
      <w:r>
        <w:rPr>
          <w:b/>
        </w:rPr>
        <w:t xml:space="preserve">[523] </w:t>
      </w:r>
      <w:hyperlink r:id="rId809">
        <w:r>
          <w:rPr>
            <w:color w:val="1155CC"/>
            <w:u w:val="single"/>
          </w:rPr>
          <w:t>了解和减轻以地雷为基础的吸附剂在CO2直接空气捕获方面退化的情况</w:t>
        </w:r>
      </w:hyperlink>
    </w:p>
    <w:p>
      <w:pPr>
        <w:spacing w:before="0" w:after="80"/>
      </w:pPr>
      <w:r>
        <w:rPr>
          <w:i/>
          <w:sz w:val="20"/>
        </w:rPr>
        <w:t>EN: Understanding and mitigating degradation in amine-based sorbents for CO2 direct air capture</w:t>
      </w:r>
    </w:p>
    <w:p>
      <w:pPr>
        <w:spacing w:before="0" w:after="120"/>
      </w:pPr>
      <w:r>
        <w:rPr>
          <w:b/>
        </w:rPr>
        <w:t xml:space="preserve">Source: </w:t>
      </w:r>
      <w:r>
        <w:t>Chem</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通过以地雷为基础的吸附剂直接从空气中获取二氧化碳目前受到吸附剂降解的限制,这一审查将降解机制与吸附化学和过程条件联系起来,讨论更耐用材料的设计战略,并概述改进吸附剂寿命的未来方向。</w:t>
      </w:r>
    </w:p>
    <w:p>
      <w:pPr>
        <w:spacing w:before="0" w:after="200" w:lineRule="auto" w:line="276"/>
      </w:pPr>
      <w:r>
        <w:rPr>
          <w:b/>
        </w:rPr>
        <w:t xml:space="preserve">Abstract (EN): </w:t>
      </w:r>
      <w:r>
        <w:t>Direct air capture of CO2 via amine-based sorbents is currently limited by sorbent degradation. This review connects mechanisms of degradation to sorbent chemistry and process conditions, discusses design strategies for more durable materials, and outlines future directions for improving sorbent lifetime.</w:t>
      </w:r>
    </w:p>
    <w:p>
      <w:pPr>
        <w:spacing w:before="120" w:after="120"/>
      </w:pPr>
      <w:r>
        <w:rPr>
          <w:sz w:val="18"/>
        </w:rPr>
        <w:t>——————————————————————————————————————————————————————————————————————</w:t>
      </w:r>
    </w:p>
    <w:p>
      <w:pPr>
        <w:spacing w:before="160" w:after="40" w:line="240" w:lineRule="auto"/>
      </w:pPr>
      <w:r>
        <w:rPr>
          <w:b/>
        </w:rPr>
        <w:t xml:space="preserve">[524] </w:t>
      </w:r>
      <w:hyperlink r:id="rId810">
        <w:r>
          <w:rPr>
            <w:color w:val="1155CC"/>
            <w:u w:val="single"/>
          </w:rPr>
          <w:t>无结构的蛋白仿真蛋白有酶活性</w:t>
        </w:r>
      </w:hyperlink>
    </w:p>
    <w:p>
      <w:pPr>
        <w:spacing w:before="0" w:after="80"/>
      </w:pPr>
      <w:r>
        <w:rPr>
          <w:i/>
          <w:sz w:val="20"/>
        </w:rPr>
        <w:t>EN: Unstructured protein mimics have enzymatic activity</w:t>
      </w:r>
    </w:p>
    <w:p>
      <w:pPr>
        <w:spacing w:before="0" w:after="120"/>
      </w:pPr>
      <w:r>
        <w:rPr>
          <w:b/>
        </w:rPr>
        <w:t xml:space="preserve">Source: </w:t>
      </w:r>
      <w:r>
        <w:t>Chem</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含有充电、极地和疏水单体的随机共聚物保护酶,使其能在非生物环境中发挥作用。这些异性聚合物模仿无结构的蛋白质,在模仿无膜有机物的凝固物的凝固物中模仿无结构的蛋白质。 在最近的一期《自然》中,由许和亚历山大-卡兹领导的一个团队通过选择能够调节其化学微环境的单体来复制酶功能,设计了具有酶活动的异性聚合物。</w:t>
      </w:r>
    </w:p>
    <w:p>
      <w:pPr>
        <w:spacing w:before="0" w:after="200" w:lineRule="auto" w:line="276"/>
      </w:pPr>
      <w:r>
        <w:rPr>
          <w:b/>
        </w:rPr>
        <w:t xml:space="preserve">Abstract (EN): </w:t>
      </w:r>
      <w:r>
        <w:t>Random copolymers containing charged, polar, and hydrophobic monomers protect enzymes so they can function in non-biological environments. These heteropolymers imitate unstructured proteins in coacervates that mimic membraneless organelles. Reporting in a recent issue of Nature, a team led by Xu and Alexander-Katz has designed heteropolymers with enzymatic activity by selecting monomers that modulate their chemical microenvironment to replicate enzymatic functionalities.</w:t>
      </w:r>
    </w:p>
    <w:p>
      <w:pPr>
        <w:spacing w:before="120" w:after="120"/>
      </w:pPr>
      <w:r>
        <w:rPr>
          <w:sz w:val="18"/>
        </w:rPr>
        <w:t>——————————————————————————————————————————————————————————————————————</w:t>
      </w:r>
    </w:p>
    <w:p>
      <w:pPr>
        <w:spacing w:before="160" w:after="40" w:line="240" w:lineRule="auto"/>
      </w:pPr>
      <w:r>
        <w:rPr>
          <w:b/>
        </w:rPr>
        <w:t xml:space="preserve">[525] </w:t>
      </w:r>
      <w:hyperlink r:id="rId811">
        <w:r>
          <w:rPr>
            <w:color w:val="1155CC"/>
            <w:u w:val="single"/>
          </w:rPr>
          <w:t>氢分子介介介质质交换膜,具有近完全的过膜选择性</w:t>
        </w:r>
      </w:hyperlink>
    </w:p>
    <w:p>
      <w:pPr>
        <w:spacing w:before="0" w:after="80"/>
      </w:pPr>
      <w:r>
        <w:rPr>
          <w:i/>
          <w:sz w:val="20"/>
        </w:rPr>
        <w:t>EN: A hydrogen-molecule-mediated proton-exchange membrane with near-complete permselectivity</w:t>
      </w:r>
    </w:p>
    <w:p>
      <w:pPr>
        <w:spacing w:before="0" w:after="120"/>
      </w:pPr>
      <w:r>
        <w:rPr>
          <w:b/>
        </w:rPr>
        <w:t xml:space="preserve">Source: </w:t>
      </w:r>
      <w:r>
        <w:t>Nature Chemical Engineering</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离子交换膜在环境可持续性方面发挥着关键作用,其应用范围从分离到能源储存和转换,但基于聚合物的膜通常在选择性和传导性之间发生权衡,阻碍许多以膜为基础的装置的开发。在这里,我们克服了质子交换膜(PEM)中的这种权衡,使氢分子和电子能够分别通过一个气室和一个固态金属运输,而不是依赖质子导导导体。质子、电子和氢分子之间的快速转换,通过氢进化和三相边界的氧化反应而发生。我们称之为氢分子中间介质的PEM的设计实现了近100%质子选择性b。</w:t>
      </w:r>
    </w:p>
    <w:p>
      <w:pPr>
        <w:spacing w:before="0" w:after="200" w:lineRule="auto" w:line="276"/>
      </w:pPr>
      <w:r>
        <w:rPr>
          <w:b/>
        </w:rPr>
        <w:t xml:space="preserve">Abstract (EN): </w:t>
      </w:r>
      <w:r>
        <w:t>Ion exchange membranes play a critical role in environmental sustainability, with applications ranging from separations to energy storage and conversion. However, polymer-based membranes typically suffer from a trade-off between selectivity and conductivity, hindering the development of many membrane-based devices. Here we overcome this trade-off in a proton-exchange membrane (PEM) by enabling hydrogen molecules and electrons to be transported through a gas chamber and a solid metal, respectively, instead of relying on proton conduction. The facile conversion between protons, electrons and hydrogen molecules occurs via hydrogen evolution and oxidation reactions at the triple-phase boundary. This design, which we term hydrogen-molecule-mediated PEM, achieves nearly 100% proton selectivity by eliminating direct ionic pathways between 2 electrolytes. Benefiting from the rapid diffusion of hydrogen gas, the high electrical conductivity of metals, and the fast kinetics of hydrogen evolution and oxidation reactions, hydrogen-molecule-mediated PEM exhibits exceptionally low area-specific resistance of 0.15 Ω cm2 at pH 0 and 1.05 Ω cm2 at pH 14, comparable to commercial membranes. Finally, we demonstrate its applications in a pH-decoupled Zn-MnO2 rechargeable battery with stable operation for 200 cycles and an electrochemical stack for efficient acid and base generation from seawater.</w:t>
      </w:r>
    </w:p>
    <w:p>
      <w:pPr>
        <w:spacing w:before="120" w:after="120"/>
      </w:pPr>
      <w:r>
        <w:rPr>
          <w:sz w:val="18"/>
        </w:rPr>
        <w:t>——————————————————————————————————————————————————————————————————————</w:t>
      </w:r>
    </w:p>
    <w:p>
      <w:pPr>
        <w:spacing w:before="160" w:after="40" w:line="240" w:lineRule="auto"/>
      </w:pPr>
      <w:r>
        <w:rPr>
          <w:b/>
        </w:rPr>
        <w:t xml:space="preserve">[526] </w:t>
      </w:r>
      <w:hyperlink r:id="rId812">
        <w:r>
          <w:rPr>
            <w:color w:val="1155CC"/>
            <w:u w:val="single"/>
          </w:rPr>
          <w:t>近距离循环再循环、可循环循环的中间增长聚合化能够使可缩缩和经济的准固态半固态锂金属电池</w:t>
        </w:r>
      </w:hyperlink>
    </w:p>
    <w:p>
      <w:pPr>
        <w:spacing w:before="0" w:after="80"/>
      </w:pPr>
      <w:r>
        <w:rPr>
          <w:i/>
          <w:sz w:val="20"/>
        </w:rPr>
        <w:t>EN: Closed-loop recyclable interfacial growth polymerization enables scalable and economical quasi-solid-state lithium metal batteries</w:t>
      </w:r>
    </w:p>
    <w:p>
      <w:pPr>
        <w:spacing w:before="0" w:after="120"/>
      </w:pPr>
      <w:r>
        <w:rPr>
          <w:b/>
        </w:rPr>
        <w:t xml:space="preserve">Source: </w:t>
      </w:r>
      <w:r>
        <w:t>Joule</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常规现场聚合工艺在生产半固态锂电池时面临稳定、成本和扩大的挑战。 这项研究以无机启动器为基础,以稳定和环境友好型的无机启动器为基础,制定了新的战略,为连续生产高性能高成本效益高的电池提供了一条新途径。</w:t>
      </w:r>
    </w:p>
    <w:p>
      <w:pPr>
        <w:spacing w:before="0" w:after="200" w:lineRule="auto" w:line="276"/>
      </w:pPr>
      <w:r>
        <w:rPr>
          <w:b/>
        </w:rPr>
        <w:t xml:space="preserve">Abstract (EN): </w:t>
      </w:r>
      <w:r>
        <w:t>Conventional in situ polymerization processes face challenges with stability, cost, and scaling up when manufacturing quasi-solid-state lithium batteries. This study develops a novel strategy based on inorganic initiators that is stable and environmentally friendly, offering a new pathway for the continuous, cost-effective production of high-performance batteries.</w:t>
      </w:r>
    </w:p>
    <w:p>
      <w:pPr>
        <w:spacing w:before="120" w:after="120"/>
      </w:pPr>
      <w:r>
        <w:rPr>
          <w:sz w:val="18"/>
        </w:rPr>
        <w:t>——————————————————————————————————————————————————————————————————————</w:t>
      </w:r>
    </w:p>
    <w:p>
      <w:pPr>
        <w:spacing w:before="160" w:after="40" w:line="240" w:lineRule="auto"/>
      </w:pPr>
      <w:r>
        <w:rPr>
          <w:b/>
        </w:rPr>
        <w:t xml:space="preserve">[527] </w:t>
      </w:r>
      <w:hyperlink r:id="rId813">
        <w:r>
          <w:rPr>
            <w:color w:val="1155CC"/>
            <w:u w:val="single"/>
          </w:rPr>
          <w:t>建立两维微处理器,采用铸造法</w:t>
        </w:r>
      </w:hyperlink>
    </w:p>
    <w:p>
      <w:pPr>
        <w:spacing w:before="0" w:after="80"/>
      </w:pPr>
      <w:r>
        <w:rPr>
          <w:i/>
          <w:sz w:val="20"/>
        </w:rPr>
        <w:t>EN: Building two-dimensional microprocessors with a foundry-inspired strategy</w:t>
      </w:r>
    </w:p>
    <w:p>
      <w:pPr>
        <w:spacing w:before="0" w:after="120"/>
      </w:pPr>
      <w:r>
        <w:rPr>
          <w:b/>
        </w:rPr>
        <w:t xml:space="preserve">Source: </w:t>
      </w:r>
      <w:r>
        <w:t>Nature Electronics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[528] </w:t>
      </w:r>
      <w:hyperlink r:id="rId814">
        <w:r>
          <w:rPr>
            <w:color w:val="1155CC"/>
            <w:u w:val="single"/>
          </w:rPr>
          <w:t>校正: 作者校正:HMGN1的心心肌重新编程</w:t>
        </w:r>
      </w:hyperlink>
    </w:p>
    <w:p>
      <w:pPr>
        <w:spacing w:before="0" w:after="80"/>
      </w:pPr>
      <w:r>
        <w:rPr>
          <w:i/>
          <w:sz w:val="20"/>
        </w:rPr>
        <w:t>EN: Author Correction: Myocardial reprogramming by HMGN1 underlies heart defects in trisomy 21</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[529] </w:t>
      </w:r>
      <w:hyperlink r:id="rId815">
        <w:r>
          <w:rPr>
            <w:color w:val="1155CC"/>
            <w:u w:val="single"/>
          </w:rPr>
          <w:t>加强用于控制下MRNA交付的脂肪纳米粒子</w:t>
        </w:r>
      </w:hyperlink>
    </w:p>
    <w:p>
      <w:pPr>
        <w:spacing w:before="0" w:after="80"/>
      </w:pPr>
      <w:r>
        <w:rPr>
          <w:i/>
          <w:sz w:val="20"/>
        </w:rPr>
        <w:t>EN: Reinforcing lipid nanoparticles for controlled mRNA delivery</w:t>
      </w:r>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[530] </w:t>
      </w:r>
      <w:hyperlink r:id="rId816">
        <w:r>
          <w:rPr>
            <w:color w:val="1155CC"/>
            <w:u w:val="single"/>
          </w:rPr>
          <w:t>设计单单单单单单体的圆环塑料</w:t>
        </w:r>
      </w:hyperlink>
    </w:p>
    <w:p>
      <w:pPr>
        <w:spacing w:before="0" w:after="80"/>
      </w:pPr>
      <w:r>
        <w:rPr>
          <w:i/>
          <w:sz w:val="20"/>
        </w:rPr>
        <w:t>EN: Designing circular plastics from a single monomer</w:t>
      </w:r>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[531] </w:t>
      </w:r>
      <w:hyperlink r:id="rId817">
        <w:r>
          <w:rPr>
            <w:color w:val="1155CC"/>
            <w:u w:val="single"/>
          </w:rPr>
          <w:t>铝废料直接循环循环</w:t>
        </w:r>
      </w:hyperlink>
    </w:p>
    <w:p>
      <w:pPr>
        <w:spacing w:before="0" w:after="80"/>
      </w:pPr>
      <w:r>
        <w:rPr>
          <w:i/>
          <w:sz w:val="20"/>
        </w:rPr>
        <w:t>EN: Direct upcycling of aluminium scrap</w:t>
      </w:r>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[532] </w:t>
      </w:r>
      <w:hyperlink r:id="rId818">
        <w:r>
          <w:rPr>
            <w:color w:val="1155CC"/>
            <w:u w:val="single"/>
          </w:rPr>
          <w:t>制造强力水文凝胶</w:t>
        </w:r>
      </w:hyperlink>
    </w:p>
    <w:p>
      <w:pPr>
        <w:spacing w:before="0" w:after="80"/>
      </w:pPr>
      <w:r>
        <w:rPr>
          <w:i/>
          <w:sz w:val="20"/>
        </w:rPr>
        <w:t>EN: Making tough hydrogels isotropic</w:t>
      </w:r>
    </w:p>
    <w:p>
      <w:pPr>
        <w:spacing w:before="0" w:after="120"/>
      </w:pPr>
      <w:r>
        <w:rPr>
          <w:b/>
        </w:rPr>
        <w:t xml:space="preserve">Source: </w:t>
      </w:r>
      <w:r>
        <w:t>Nature Reviews Materials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[533] </w:t>
      </w:r>
      <w:hyperlink r:id="rId819">
        <w:r>
          <w:rPr>
            <w:color w:val="1155CC"/>
            <w:u w:val="single"/>
          </w:rPr>
          <w:t>用于治疗生殖条件的、针对内宫的 mRNA-脂状纳米粒子</w:t>
        </w:r>
      </w:hyperlink>
    </w:p>
    <w:p>
      <w:pPr>
        <w:spacing w:before="0" w:after="80"/>
      </w:pPr>
      <w:r>
        <w:rPr>
          <w:i/>
          <w:sz w:val="20"/>
        </w:rPr>
        <w:t>EN: Endometrium-targeted mRNA-lipid nanoparticles for treating reproductive conditions</w:t>
      </w:r>
    </w:p>
    <w:p>
      <w:pPr>
        <w:spacing w:before="0" w:after="120"/>
      </w:pPr>
      <w:r>
        <w:rPr>
          <w:b/>
        </w:rPr>
        <w:t xml:space="preserve">Source: </w:t>
      </w:r>
      <w:r>
        <w:t>Nature Nanotechnology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[534] </w:t>
      </w:r>
      <w:hyperlink r:id="rId820">
        <w:r>
          <w:rPr>
            <w:color w:val="1155CC"/>
            <w:u w:val="single"/>
          </w:rPr>
          <w:t>时间破解的光学和X射线光谱仪揭示的氧化物种驱动水氧化的关键作用</w:t>
        </w:r>
      </w:hyperlink>
    </w:p>
    <w:p>
      <w:pPr>
        <w:spacing w:before="0" w:after="80"/>
      </w:pPr>
      <w:r>
        <w:rPr>
          <w:i/>
          <w:sz w:val="20"/>
        </w:rPr>
        <w:t>EN: Key role of oxidizing species driving water oxidation revealed by time-resolved optical and X-ray spectroscopies</w:t>
      </w:r>
    </w:p>
    <w:p>
      <w:pPr>
        <w:spacing w:before="0" w:after="120"/>
      </w:pPr>
      <w:r>
        <w:rPr>
          <w:b/>
        </w:rPr>
        <w:t xml:space="preserve">Source: </w:t>
      </w:r>
      <w:r>
        <w:t>Nature Materials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氧化状态支持了对电催化剂活跃状态、反应机制以及催化性能的理解。 但是,在复杂的固体液体界面中确定它们具有挑战性。 在这里,我们使用多式光谱来调查极化氧化物(IrOx)电极电极,这是一种水氧化催化剂模型,用以识别潜在依赖的和氧氧化状态。 通过将多种歌伦多分光谱(光学(紫外-可见)、Ir L对子和O K对端X光吸收光谱仪)与电化学质质谱和密度功能理论计算相结合,我们确定了Ir5d波段(对Ir3Ir4Ir5+)电子密度的连续耗竭,然后将电离O2P波段,形成电击。</w:t>
      </w:r>
    </w:p>
    <w:p>
      <w:pPr>
        <w:spacing w:before="0" w:after="200" w:lineRule="auto" w:line="276"/>
      </w:pPr>
      <w:r>
        <w:rPr>
          <w:b/>
        </w:rPr>
        <w:t xml:space="preserve">Abstract (EN): </w:t>
      </w:r>
      <w:r>
        <w:t>Oxidation states underpin the understanding of active states, reaction mechanisms and catalytic performance of electrocatalysts. However, determining them at complex solid–liquid interfaces is challenging. Here we use multimodal spectroscopy to investigate polarized iridium oxide (IrOx) electrodes, a model water oxidation catalyst, to identify potential-dependent iridium and oxygen oxidation states. By integrating multiple operando spectroscopies (optical (ultraviolet–visible), Ir L-edge and O K-edge X-ray absorption spectroscopy) with electrochemistry mass spectrometry and density functional theory calculations, we identify the sequential depletion of electron densities from the Ir5d band (corresponding to Ir3+→Ir4+→Ir5+), followed by electron removal from the O2p band, forming electrophilic oxygen species (O−1) due to enhanced Ir–O covalency and electronic state overlap. Time-resolved measurements reveal distinct lifetimes for Ir5+ and O−1 states under water oxidation conditions, Ir5+ remains unreactive whereas O−1 is consumed at a time constant commensurate with the reaction rate, indicating that O−1 drives the oxygen evolution reaction. These findings demonstrate the necessity of using multiple operando techniques to gain a unified understanding of the evolution of oxidation states and active sites with potential for water oxidation on oxide catalysts.</w:t>
      </w:r>
    </w:p>
    <w:p>
      <w:pPr>
        <w:spacing w:before="120" w:after="120"/>
      </w:pPr>
      <w:r>
        <w:rPr>
          <w:sz w:val="18"/>
        </w:rPr>
        <w:t>——————————————————————————————————————————————————————————————————————</w:t>
      </w:r>
    </w:p>
    <w:p>
      <w:pPr>
        <w:spacing w:before="160" w:after="40" w:line="240" w:lineRule="auto"/>
      </w:pPr>
      <w:r>
        <w:rPr>
          <w:b/>
        </w:rPr>
        <w:t xml:space="preserve">[535] </w:t>
      </w:r>
      <w:hyperlink r:id="rId821">
        <w:r>
          <w:rPr>
            <w:color w:val="1155CC"/>
            <w:u w:val="single"/>
          </w:rPr>
          <w:t>通过量子效应延长寿命</w:t>
        </w:r>
      </w:hyperlink>
    </w:p>
    <w:p>
      <w:pPr>
        <w:spacing w:before="0" w:after="80"/>
      </w:pPr>
      <w:r>
        <w:rPr>
          <w:i/>
          <w:sz w:val="20"/>
        </w:rPr>
        <w:t>EN: Longer lifetimes through quantum effects</w:t>
      </w:r>
    </w:p>
    <w:p>
      <w:pPr>
        <w:spacing w:before="0" w:after="120"/>
      </w:pPr>
      <w:r>
        <w:rPr>
          <w:b/>
        </w:rPr>
        <w:t xml:space="preserve">Source: </w:t>
      </w:r>
      <w:r>
        <w:t>Nature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[536] </w:t>
      </w:r>
      <w:hyperlink r:id="rId822">
        <w:r>
          <w:rPr>
            <w:color w:val="1155CC"/>
            <w:u w:val="single"/>
          </w:rPr>
          <w:t>p-p 轨道混合化使耐久水锌-碘电池得以使用。</w:t>
        </w:r>
      </w:hyperlink>
    </w:p>
    <w:p>
      <w:pPr>
        <w:spacing w:before="0" w:after="80"/>
      </w:pPr>
      <w:r>
        <w:rPr>
          <w:i/>
          <w:sz w:val="20"/>
        </w:rPr>
        <w:t>EN: p-p orbital hybridization enables durable aqueous zinc-iodine batteries</w:t>
      </w:r>
    </w:p>
    <w:p>
      <w:pPr>
        <w:spacing w:before="0" w:after="120"/>
      </w:pPr>
      <w:r>
        <w:rPr>
          <w:b/>
        </w:rPr>
        <w:t xml:space="preserve">Source: </w:t>
      </w:r>
      <w:r>
        <w:t>Chem</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碘宿主材料的p-p-杂交化轨道工程证明能够高效和耐久的AZIBs。通过纳入合理设计的Bi SACs小区块元素,使Bi的6p轨道与5p的碘轨道之间密切互动,目标Bi-NC催化剂有利于快速变异动力学和抑制的聚碘化物穿梭效应,在超高密度为10万个以上周期的16个A-1克以上高度时,产生可忽略不计的容量衰减的特殊耐久性。</w:t>
      </w:r>
    </w:p>
    <w:p>
      <w:pPr>
        <w:spacing w:before="0" w:after="200" w:lineRule="auto" w:line="276"/>
      </w:pPr>
      <w:r>
        <w:rPr>
          <w:b/>
        </w:rPr>
        <w:t xml:space="preserve">Abstract (EN): </w:t>
      </w:r>
      <w:r>
        <w:t>Orbital engineering of p-p hybridization in iodine host materials is demonstrated to enable efficient and durable AZIBs. By incorporating a rationally designed p-block element of Bi SACs with strong interaction between the 6p orbital of Bi and the 5p orbital of iodine, the target Bi-NC catalysts favor rapid redox kinetics and a suppressed polyiodide shuttle effect, delivering exceptional durability with negligible capacity decay at an ultra-high current density of 16 A g−1 over 100,000 cycles.</w:t>
      </w:r>
    </w:p>
    <w:p>
      <w:pPr>
        <w:spacing w:before="120" w:after="120"/>
      </w:pPr>
      <w:r>
        <w:rPr>
          <w:sz w:val="18"/>
        </w:rPr>
        <w:t>——————————————————————————————————————————————————————————————————————</w:t>
      </w:r>
    </w:p>
    <w:p>
      <w:pPr>
        <w:spacing w:before="160" w:after="40" w:line="240" w:lineRule="auto"/>
      </w:pPr>
      <w:r>
        <w:rPr>
          <w:b/>
        </w:rPr>
        <w:t xml:space="preserve">[537] </w:t>
      </w:r>
      <w:hyperlink r:id="rId823">
        <w:r>
          <w:rPr>
            <w:color w:val="1155CC"/>
            <w:u w:val="single"/>
          </w:rPr>
          <w:t>传闻在高音上传播</w:t>
        </w:r>
      </w:hyperlink>
    </w:p>
    <w:p>
      <w:pPr>
        <w:spacing w:before="0" w:after="80"/>
      </w:pPr>
      <w:r>
        <w:rPr>
          <w:i/>
          <w:sz w:val="20"/>
        </w:rPr>
        <w:t>EN: Rumor propagation on hypergraphs</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通过社交媒体平台迅速传播信息和流言,特别是在群体环境中,这促使人们需要更复杂的传言传播模式。传统的对称模式并不考虑群体互动,而这是我们通过提出基于高分的更高层次的传闻模式来解决的限制。我们的模型包含一个基于群体的消灭机制,当知道谣言的高级数据比例超过临界值时,传播器就会成为窒息器。动态有两个截然不同的亚临界行为:指数衰变和权力法衰变,这取决于高分的异质性。有趣的是,在我们分析的一组参数中,我们发现,在同质和异质高分法中,我们发现了连续的阶段转变。</w:t>
      </w:r>
    </w:p>
    <w:p>
      <w:pPr>
        <w:spacing w:before="0" w:after="200" w:lineRule="auto" w:line="276"/>
      </w:pPr>
      <w:r>
        <w:rPr>
          <w:b/>
        </w:rPr>
        <w:t xml:space="preserve">Abstract (EN): </w:t>
      </w:r>
      <w:r>
        <w:t>The rapid spread of information and rumors through social media platforms, especially in group settings, motivates the need for more sophisticated models of rumor propagation. Traditional pairwise models do not account for group interactions, a limitation that we address by proposing a higher-order rumor model based on hypergraphs. Our model incorporates a group-based annihilation mechanism, where a spreader becomes a stifler when the fraction of hyperedges aware of the rumor exceeds a threshold. The dynamics has two distinct subcritical behaviors: exponential and power-law decay, which can coexist depending on the heterogeneity of the hypergraph. Interestingly, in the set of parameters we analysed, we found continuous phase transitions in both homogeneous and heterogeneous hypergraphs. This finding aligns with the literature suggesting that real-world rumor propagation occurs near criticality. Finally, we validated our model using empirical data from Telegram and email cascades, which provides additional evidence and possible explanations for this criticality claim. These results open the door to a more detailed understanding of rumor dynamics in higher-order systems.</w:t>
      </w:r>
    </w:p>
    <w:p>
      <w:pPr>
        <w:spacing w:before="120" w:after="120"/>
      </w:pPr>
      <w:r>
        <w:rPr>
          <w:sz w:val="18"/>
        </w:rPr>
        <w:t>——————————————————————————————————————————————————————————————————————</w:t>
      </w:r>
    </w:p>
    <w:p>
      <w:pPr>
        <w:spacing w:before="160" w:after="40" w:line="240" w:lineRule="auto"/>
      </w:pPr>
      <w:r>
        <w:rPr>
          <w:b/>
        </w:rPr>
        <w:t xml:space="preserve">[538] </w:t>
      </w:r>
      <w:hyperlink r:id="rId824">
        <w:r>
          <w:rPr>
            <w:color w:val="1155CC"/>
            <w:u w:val="single"/>
          </w:rPr>
          <w:t>作者更正: H3.3 沉降抵消胚胎干细胞中染色体染色体H3.1的复制致富-依赖浓缩</w:t>
        </w:r>
      </w:hyperlink>
    </w:p>
    <w:p>
      <w:pPr>
        <w:spacing w:before="0" w:after="80"/>
      </w:pPr>
      <w:r>
        <w:rPr>
          <w:i/>
          <w:sz w:val="20"/>
        </w:rPr>
        <w:t>EN: Author Correction: H3.3 deposition counteracts the replication-dependent enrichment of H3.1 at chromocenters in embryonic stem cells</w:t>
      </w:r>
    </w:p>
    <w:p>
      <w:pPr>
        <w:spacing w:before="0" w:after="120"/>
      </w:pPr>
      <w:r>
        <w:rPr>
          <w:b/>
        </w:rPr>
        <w:t xml:space="preserve">Source: </w:t>
      </w:r>
      <w:r>
        <w:t>Nature Communications</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[539] </w:t>
      </w:r>
      <w:hyperlink r:id="rId825">
        <w:r>
          <w:rPr>
            <w:color w:val="1155CC"/>
            <w:u w:val="single"/>
          </w:rPr>
          <w:t>热粒式TRP频道,作为WNT激活的G蛋白共聚体受体</w:t>
        </w:r>
      </w:hyperlink>
    </w:p>
    <w:p>
      <w:pPr>
        <w:spacing w:before="0" w:after="80"/>
      </w:pPr>
      <w:r>
        <w:rPr>
          <w:i/>
          <w:sz w:val="20"/>
        </w:rPr>
        <w:t>EN: A heteromeric TRP channel that functions as a WNT-activated G protein-coupled receptor</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人类基因组包含大约800 G 蛋白质混合受体(GPCRs) 。 这些受体具有共同的 7 跨式域域结构的特征。 这里, 我们显示 PKD1, 一种11 Transmbrane 蛋白质, 与非canic的瞬态受体潜在受体(TRP) 管道结构(TRP) 具有独特的生化特性。 PKD1 充当WNT 活化受体, 直接与异性Gαi1-3 子单位相联, 以抑制细胞的 CAMP 积累。 PKD1 包含绑定和 G 蛋白质招聘站点, PKD2, 一个连接TRP 频道子单元, 守护者PKD1 与等离子膜作为气相色体运行。 这代表了与古典的 GPPCRC 结构的惊人的偏离, 并扩大了 TRP 频道家族的功能序列。 鉴于e 中的突变, PKD 。</w:t>
      </w:r>
    </w:p>
    <w:p>
      <w:pPr>
        <w:spacing w:before="0" w:after="200" w:lineRule="auto" w:line="276"/>
      </w:pPr>
      <w:r>
        <w:rPr>
          <w:b/>
        </w:rPr>
        <w:t xml:space="preserve">Abstract (EN): </w:t>
      </w:r>
      <w:r>
        <w:t>The human genome contains approximately 800 G protein-coupled receptors (GPCRs), all characterized by a common 7-transmembrane domain architecture. Here, we show that PKD1, an 11-transmembrane protein with a noncanonical transient receptor potential (TRP) channel architecture, functions as a GPCR with unique biochemical properties. PKD1 acts as a WNT-activated receptor, directly coupling to heterotrimeric Gαi1-3 subunits to inhibit cellular cAMP accumulation. While PKD1 contains both ligand-binding and G protein recruitment sites, PKD2, an associating TRP channel subunit, chaperones PKD1 to the plasma membrane to operate as a GPCR. This represents a striking departure from classical GPCR architecture and expands the functional repertoire of the TRP channel family. Given that mutations in either PKD1 or PKD2 are linked to autosomal dominant polycystic kidney disease, a multisystemic disorder marked by elevated cAMP levels, our results provide molecular insights into disease pathogenesis and highlight potential new therapeutic avenues for this debilitating and costly condition.</w:t>
      </w:r>
    </w:p>
    <w:p>
      <w:pPr>
        <w:spacing w:before="120" w:after="120"/>
      </w:pPr>
      <w:r>
        <w:rPr>
          <w:sz w:val="18"/>
        </w:rPr>
        <w:t>——————————————————————————————————————————————————————————————————————</w:t>
      </w:r>
    </w:p>
    <w:p>
      <w:pPr>
        <w:spacing w:before="160" w:after="40" w:line="240" w:lineRule="auto"/>
      </w:pPr>
      <w:r>
        <w:rPr>
          <w:b/>
        </w:rPr>
        <w:t xml:space="preserve">[540] </w:t>
      </w:r>
      <w:hyperlink r:id="rId826">
        <w:r>
          <w:rPr>
            <w:color w:val="1155CC"/>
            <w:u w:val="single"/>
          </w:rPr>
          <w:t>在COVID引起的远程学习期间,STEM在STEM方面的教育差距,以及解决这些差距的潜在战略</w:t>
        </w:r>
      </w:hyperlink>
    </w:p>
    <w:p>
      <w:pPr>
        <w:spacing w:before="0" w:after="80"/>
      </w:pPr>
      <w:r>
        <w:rPr>
          <w:i/>
          <w:sz w:val="20"/>
        </w:rPr>
        <w:t>EN: Educational disparities in STEM during COVID-induced distance learning and a potential strategy to address them</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COVID-19大流行促使学校普遍关闭,迅速过渡到远程学习,引起了对学生成功后果的关切,这项研究利用美国一所公立大学的学生课程记录,探索COVID引起的远程学习期间科学、技术、工程和数学课程的学术成果,我们特别侧重于服务不足和平均学习成果低于平均水平的学生。我们采用预期的缺额回归战略,研究下五分层的成果,比较家庭收入最低或没有父母拥有四年大学学位的学生和同龄学生在远程学习和面对面学习方面的差异。我们展示了远程学习和面对面学习方面的情况。</w:t>
      </w:r>
    </w:p>
    <w:p>
      <w:pPr>
        <w:spacing w:before="0" w:after="200" w:lineRule="auto" w:line="276"/>
      </w:pPr>
      <w:r>
        <w:rPr>
          <w:b/>
        </w:rPr>
        <w:t xml:space="preserve">Abstract (EN): </w:t>
      </w:r>
      <w:r>
        <w:t>The COVID-19 pandemic prompted widespread school closures and a swift transition to distance learning, raising concerns about consequences for student success. This study explores academic outcomes in STEM (Science, Technology, Engineering, and Mathematics) courses during COVID-induced distance learning using student-course records at an U.S. public university. We particularly focus on students from underserved populations and who have below average academic outcomes. Employing an expected shortfall regression strategy, we examine outcomes in the bottom quintile and compare differences between students whose household income were in the lowest bracket or without a parent holding a four-year college degree and peers for whom this was not the case, in distance and in-person learning. We show that during distance learning, students in disadvantaged populations in the lowest quintile had average grade differences of 0.11 and 0.06 points, respectively. We also find that targeted instructional changes in an introductory physics course were associated with narrower achievement gaps. These results suggest that while distance learning posed challenges for underserved students, deliberate strategies to increase interaction may potentially support greater equity in STEM education.</w:t>
      </w:r>
    </w:p>
    <w:p>
      <w:pPr>
        <w:spacing w:before="120" w:after="120"/>
      </w:pPr>
      <w:r>
        <w:rPr>
          <w:sz w:val="18"/>
        </w:rPr>
        <w:t>——————————————————————————————————————————————————————————————————————</w:t>
      </w:r>
    </w:p>
    <w:p>
      <w:pPr>
        <w:spacing w:before="160" w:after="40" w:line="240" w:lineRule="auto"/>
      </w:pPr>
      <w:r>
        <w:rPr>
          <w:b/>
        </w:rPr>
        <w:t xml:space="preserve">[541] </w:t>
      </w:r>
      <w:hyperlink r:id="rId827">
        <w:r>
          <w:rPr>
            <w:color w:val="1155CC"/>
            <w:u w:val="single"/>
          </w:rPr>
          <w:t>通过多基突变扫描,解码交错酶的基质特异景观</w:t>
        </w:r>
      </w:hyperlink>
    </w:p>
    <w:p>
      <w:pPr>
        <w:spacing w:before="0" w:after="80"/>
      </w:pPr>
      <w:r>
        <w:rPr>
          <w:i/>
          <w:sz w:val="20"/>
        </w:rPr>
        <w:t>EN: Decoding the substrate specificity landscape of a promiscuous enzyme through multi-substrate mutational scanning</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基底特殊性是酶功能的一个决定性特征,但其分子基底仍然难以解码和工程。在这里,我们利用酶近距离测序(EP-Seq)系统绘制单点和组合突变如何改变D-氨酸氧化酶(DAOx)的基质偏好,D-氨酸氧化酶(DAOx)的基质偏好来自模型交错酶Rhodotorula Gracilis。我们生成了~40个序列 - 苯型对,让我们得以对具有不同物理化学特性的5个D- 氨酸基亚体的 ~ 6 500 个独特的DAOx 变异体的活动进行剖析。我们的分析显示,基底特异体在整个酶结构中分布。在活动地点附近的变异体会引发强烈的特异性变化,但也带来催化性惩罚,同时引发分突变。</w:t>
      </w:r>
    </w:p>
    <w:p>
      <w:pPr>
        <w:spacing w:before="0" w:after="200" w:lineRule="auto" w:line="276"/>
      </w:pPr>
      <w:r>
        <w:rPr>
          <w:b/>
        </w:rPr>
        <w:t xml:space="preserve">Abstract (EN): </w:t>
      </w:r>
      <w:r>
        <w:t>Substrate specificity is a defining feature of enzyme function, but its molecular underpinnings remain difficult to decode and engineer. Here, we leverage enzyme proximity sequencing (EP-Seq) to systematically map how single-point and combinatorial mutations reshape the substrate preferences of D-amino acid oxidase (DAOx) from Rhodotorula gracilis, a model promiscuous enzyme. We generate ~40,000 sequence–phenotype pairs, enabling us to profile the activities of ~6,500 unique DAOx variants against five D-amino acid substrates with distinct physicochemical properties. Our analysis reveals that substrate-specific mutations are distributed throughout the enzyme structure. Mutations near the active site drive strong specificity shifts but also incur catalytic penalties, while distal mutations subtly rewire intramolecular contacts in order to modulate specificity with minimal loss of activity. We identify and validate positional hotspots that act allosterically to influence specificity, and characterize key variants that acquire exclusive substrate specificity or exhibit up to 230-fold changes in substrate preference. Combining mutations with complementary effects further sharpens substrate discrimination, enabling rational design of highly selective biocatalysts. This work establishes a powerful framework for decoding enzyme specificity and provides foundational datasets to advance AI-guided enzyme engineering.</w:t>
      </w:r>
    </w:p>
    <w:p>
      <w:pPr>
        <w:spacing w:before="120" w:after="120"/>
      </w:pPr>
      <w:r>
        <w:rPr>
          <w:sz w:val="18"/>
        </w:rPr>
        <w:t>——————————————————————————————————————————————————————————————————————</w:t>
      </w:r>
    </w:p>
    <w:p>
      <w:pPr>
        <w:spacing w:before="160" w:after="40" w:line="240" w:lineRule="auto"/>
      </w:pPr>
      <w:r>
        <w:rPr>
          <w:b/>
        </w:rPr>
        <w:t xml:space="preserve">[542] </w:t>
      </w:r>
      <w:hyperlink r:id="rId828">
        <w:r>
          <w:rPr>
            <w:color w:val="1155CC"/>
            <w:u w:val="single"/>
          </w:rPr>
          <w:t>肿瘤相关CD19+大型植物诱发肝细胞癌中的免疫抑制微型环境</w:t>
        </w:r>
      </w:hyperlink>
    </w:p>
    <w:p>
      <w:pPr>
        <w:spacing w:before="0" w:after="80"/>
      </w:pPr>
      <w:r>
        <w:rPr>
          <w:i/>
          <w:sz w:val="20"/>
        </w:rPr>
        <w:t>EN: Tumor-associated CD19+ macrophages induce immunosuppressive microenvironment in hepatocellular carcinoma</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肿瘤相关大型植物群是一个关键组成部分,有助于人类癌症中的免疫抑制微型环境,然而,由于对其不同亚群和不同功能的了解有限,对大型动物群的治疗目标在临床上一直是一个挑战。在这里,我们确定了一种具有临床相关性的CD19+大型植物群,它丰富了多种类型的癌症,特别是肝细胞癌。CD19+大型动物群显示,列入计划的细胞死亡1(PD-L1)和CD73(DP-L1)和CD73, 强化的线粒子氧化作用,以及暴露其免疫抑制功能的减速性发病。我们确定了CD19+大型动物群,将抗CD19红细胞抗原T(CAR-T)细胞作为目标,抑制了HCC肿瘤的生长。我们确定了P。</w:t>
      </w:r>
    </w:p>
    <w:p>
      <w:pPr>
        <w:spacing w:before="0" w:after="200" w:lineRule="auto" w:line="276"/>
      </w:pPr>
      <w:r>
        <w:rPr>
          <w:b/>
        </w:rPr>
        <w:t xml:space="preserve">Abstract (EN): </w:t>
      </w:r>
      <w:r>
        <w:t>Tumor-associated macrophages are a key component that contributes to the immunosuppressive microenvironment in human cancers. However, therapeutic targeting of macrophages has been a challenge in clinic due to the limited understanding of their heterogeneous subpopulations and distinct functions. Here, we identify a clinically relevant CD19+ subpopulation of macrophages that is enriched in many types of cancer, particularly in hepatocellular carcinoma (HCC). The CD19+ macrophages exhibit increased levels of programmed cell death 1 ligand 1 (PD-L1) and CD73, enhanced mitochondrial oxidation, and compromised phagocytosis, indicating their immunosuppressive functions. Targeting CD19+ macrophages with anti-CD19 chimeric antigen receptor T (CAR-T) cells inhibited HCC tumor growth. We identify Paired Box 5 (PAX5) as a primary driver of up-regulated mitochondrial biogenesis in CD19+ macrophages, which depletes cytoplasmic Ca2+, leading to lysosomal deficiency and consequent accumulation of CD73 and PD-L1. Inhibiting CD73 or mitochondrial oxidation enhanced the efficacy of immune checkpoint blockade therapy in treating HCC, suggesting great promise for CD19+ macrophage-targeting therapeutics.</w:t>
      </w:r>
    </w:p>
    <w:p>
      <w:pPr>
        <w:spacing w:before="120" w:after="120"/>
      </w:pPr>
      <w:r>
        <w:rPr>
          <w:sz w:val="18"/>
        </w:rPr>
        <w:t>——————————————————————————————————————————————————————————————————————</w:t>
      </w:r>
    </w:p>
    <w:p>
      <w:pPr>
        <w:spacing w:before="160" w:after="40" w:line="240" w:lineRule="auto"/>
      </w:pPr>
      <w:r>
        <w:rPr>
          <w:b/>
        </w:rPr>
        <w:t xml:space="preserve">[543] </w:t>
      </w:r>
      <w:hyperlink r:id="rId829">
        <w:r>
          <w:rPr>
            <w:color w:val="1155CC"/>
            <w:u w:val="single"/>
          </w:rPr>
          <w:t>超敏感CART细胞消除小鼠的难处理肿瘤</w:t>
        </w:r>
      </w:hyperlink>
    </w:p>
    <w:p>
      <w:pPr>
        <w:spacing w:before="0" w:after="80"/>
      </w:pPr>
      <w:r>
        <w:rPr>
          <w:i/>
          <w:sz w:val="20"/>
        </w:rPr>
        <w:t>EN: Ultra-sensitive CAR T cells eliminate hard-to-treat tumours in mice</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[544] </w:t>
      </w:r>
      <w:hyperlink r:id="rId830">
        <w:r>
          <w:rPr>
            <w:color w:val="1155CC"/>
            <w:u w:val="single"/>
          </w:rPr>
          <w:t>促进能源流动一体化的由IT促成的互操作互操作性:系统审查各项议定书、平台和标准</w:t>
        </w:r>
      </w:hyperlink>
    </w:p>
    <w:p>
      <w:pPr>
        <w:spacing w:before="0" w:after="80"/>
      </w:pPr>
      <w:r>
        <w:rPr>
          <w:i/>
          <w:sz w:val="20"/>
        </w:rPr>
        <w:t>EN: IoT-enabled interoperability for energy-mobility integration: A systematic review of protocols, platforms, and standards</w:t>
      </w:r>
    </w:p>
    <w:p>
      <w:pPr>
        <w:spacing w:before="0" w:after="120"/>
      </w:pPr>
      <w:r>
        <w:rPr>
          <w:b/>
        </w:rPr>
        <w:t xml:space="preserve">Source: </w:t>
      </w:r>
      <w:r>
        <w:t>ScienceDirect Publication: Applied Energy</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[545] </w:t>
      </w:r>
      <w:hyperlink r:id="rId831">
        <w:r>
          <w:rPr>
            <w:color w:val="1155CC"/>
            <w:u w:val="single"/>
          </w:rPr>
          <w:t>这种化合物会增强小鼠的长期记忆——但只对雌鼠</w:t>
        </w:r>
      </w:hyperlink>
    </w:p>
    <w:p>
      <w:pPr>
        <w:spacing w:before="0" w:after="80"/>
      </w:pPr>
      <w:r>
        <w:rPr>
          <w:i/>
          <w:sz w:val="20"/>
        </w:rPr>
        <w:t>EN: This compound enhances long-term memory of mice — but only in females</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[546] </w:t>
      </w:r>
      <w:hyperlink r:id="rId832">
        <w:r>
          <w:rPr>
            <w:color w:val="1155CC"/>
            <w:u w:val="single"/>
          </w:rPr>
          <w:t>世界第一干细胞疗法显示 治疗子宫里脊柱菌的希望</w:t>
        </w:r>
      </w:hyperlink>
    </w:p>
    <w:p>
      <w:pPr>
        <w:spacing w:before="0" w:after="80"/>
      </w:pPr>
      <w:r>
        <w:rPr>
          <w:i/>
          <w:sz w:val="20"/>
        </w:rPr>
        <w:t>EN: World-first stem-cell therapy shows promise for treating spina bifida in the womb</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[547] </w:t>
      </w:r>
      <w:hyperlink r:id="rId833">
        <w:r>
          <w:rPr>
            <w:color w:val="1155CC"/>
            <w:u w:val="single"/>
          </w:rPr>
          <w:t>尼教的爸爸,人类的妈妈:研究揭示了 古代的生育模式</w:t>
        </w:r>
      </w:hyperlink>
    </w:p>
    <w:p>
      <w:pPr>
        <w:spacing w:before="0" w:after="80"/>
      </w:pPr>
      <w:r>
        <w:rPr>
          <w:i/>
          <w:sz w:val="20"/>
        </w:rPr>
        <w:t>EN: Neanderthal dad, human mum: study reveals ancient procreation pattern</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[548] </w:t>
      </w:r>
      <w:hyperlink r:id="rId834">
        <w:r>
          <w:rPr>
            <w:color w:val="1155CC"/>
            <w:u w:val="single"/>
          </w:rPr>
          <w:t>在大鼠接触杀真菌杀菌剂后,对健康的影响持续20代人</w:t>
        </w:r>
      </w:hyperlink>
    </w:p>
    <w:p>
      <w:pPr>
        <w:spacing w:before="0" w:after="80"/>
      </w:pPr>
      <w:r>
        <w:rPr>
          <w:i/>
          <w:sz w:val="20"/>
        </w:rPr>
        <w:t>EN: Health effects linger 20 generations after rats are exposed to fungicide</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[549] </w:t>
      </w:r>
      <w:hyperlink r:id="rId835">
        <w:r>
          <w:rPr>
            <w:color w:val="1155CC"/>
            <w:u w:val="single"/>
          </w:rPr>
          <w:t>联合国创建新的科学自有技术咨询小组:它将做什么?</w:t>
        </w:r>
      </w:hyperlink>
    </w:p>
    <w:p>
      <w:pPr>
        <w:spacing w:before="0" w:after="80"/>
      </w:pPr>
      <w:r>
        <w:rPr>
          <w:i/>
          <w:sz w:val="20"/>
        </w:rPr>
        <w:t>EN: UN creates new scientific AI advisory panel: what will it do?</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[550] </w:t>
      </w:r>
      <w:hyperlink r:id="rId836">
        <w:r>
          <w:rPr>
            <w:color w:val="1155CC"/>
            <w:u w:val="single"/>
          </w:rPr>
          <w:t>为何学术界的禁忌话题,</w:t>
        </w:r>
      </w:hyperlink>
    </w:p>
    <w:p>
      <w:pPr>
        <w:spacing w:before="0" w:after="80"/>
      </w:pPr>
      <w:r>
        <w:rPr>
          <w:i/>
          <w:sz w:val="20"/>
        </w:rPr>
        <w:t>EN: Why an industry career move is a taboo topic in academia</w:t>
      </w:r>
    </w:p>
    <w:p>
      <w:pPr>
        <w:spacing w:before="0" w:after="120"/>
      </w:pPr>
      <w:r>
        <w:rPr>
          <w:b/>
        </w:rPr>
        <w:t xml:space="preserve">Source: </w:t>
      </w:r>
      <w:r>
        <w:t>Nature</w:t>
      </w:r>
      <w:r>
        <w:t xml:space="preserve">    </w:t>
      </w:r>
      <w:r>
        <w:rPr>
          <w:b/>
        </w:rPr>
        <w:t xml:space="preserve">Pub date: </w:t>
      </w:r>
      <w:r>
        <w:t>2026-02-26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[551] </w:t>
      </w:r>
      <w:hyperlink r:id="rId837">
        <w:r>
          <w:rPr>
            <w:color w:val="1155CC"/>
            <w:u w:val="single"/>
          </w:rPr>
          <w:t>中国千年土地碳排放量被过去40年碳汇抵消</w:t>
        </w:r>
      </w:hyperlink>
    </w:p>
    <w:p>
      <w:pPr>
        <w:spacing w:before="0" w:after="80"/>
      </w:pPr>
      <w:r>
        <w:rPr>
          <w:i/>
          <w:sz w:val="20"/>
        </w:rPr>
        <w:t>EN: Millennial land carbon emissions in China offset by carbon sinks of the past four decades</w:t>
      </w:r>
    </w:p>
    <w:p>
      <w:pPr>
        <w:spacing w:before="0" w:after="120"/>
      </w:pPr>
      <w:r>
        <w:rPr>
          <w:b/>
        </w:rPr>
        <w:t xml:space="preserve">Source: </w:t>
      </w:r>
      <w:r>
        <w:t>Nature Communications</w:t>
      </w:r>
      <w:r>
        <w:t xml:space="preserve">    </w:t>
      </w:r>
      <w:r>
        <w:rPr>
          <w:b/>
        </w:rPr>
        <w:t xml:space="preserve">Pub date: </w:t>
      </w:r>
      <w:r>
        <w:t>2026-02-26 00:00:00+00:00</w:t>
      </w:r>
    </w:p>
    <w:p>
      <w:pPr>
        <w:spacing w:before="0" w:after="120"/>
      </w:pPr>
      <w:r>
        <w:rPr>
          <w:b/>
        </w:rPr>
        <w:t xml:space="preserve">Notes: </w:t>
      </w:r>
      <w:r>
        <w:t>abstract_source=nature_html</w:t>
      </w:r>
    </w:p>
    <w:p>
      <w:pPr>
        <w:spacing w:before="0" w:after="80" w:lineRule="auto" w:line="276"/>
      </w:pPr>
      <w:r>
        <w:rPr>
          <w:b/>
        </w:rPr>
        <w:t xml:space="preserve">摘要（ZH）: </w:t>
      </w:r>
      <w:r>
        <w:t>中国经历了巨大的千年气候和人为土地利用变化,但其对土地碳动态的综合影响在很大程度上仍未被审视。 在这里,我们使用由重建气候和土地覆盖压力驱动的土地表面模型来量化851-2022年851—2022年陆地有机碳的短暂变化。 模拟结果显示中国工业化前的千年土地碳动态与全球碳储量和大气二氧化碳波动相一致,如中世纪气候异常的宋朝期间12世纪与土地利用相联系的~284 ppm峰值。 值得注意的是,中国的土地碳排放总量(13 + 0.5 PgC)在1700—1900年期间占全球土地碳排放量的22%,东北和西南中国是其中最大的先锋。</w:t>
      </w:r>
    </w:p>
    <w:p>
      <w:pPr>
        <w:spacing w:before="0" w:after="200" w:lineRule="auto" w:line="276"/>
      </w:pPr>
      <w:r>
        <w:rPr>
          <w:b/>
        </w:rPr>
        <w:t xml:space="preserve">Abstract (EN): </w:t>
      </w:r>
      <w:r>
        <w:t>China experienced substantial millennial-scale climate and anthropogenic land use changes, yet their combined impacts on land carbon dynamics remain largely unexamined. Here, we quantify spatiotemporal changes in terrestrial organic carbon over 851–2022 using a land surface model driven by reconstructed climate and land cover forcings. Simulated results show China’s pre-industrial millennial land carbon dynamics aligned with global carbon stock and atmospheric CO2 fluctuations, such as the ~284 ppm peak in the 12th century linked to land use during the Medieval Climate Anomaly-warmed Song Dynasty. Notably, China’s total land carbon emissions (13 ± 0.5 PgC) accounted for 22% of global land carbon emissions during 1700–1900, with Northeast and Southwest China experiencing the largest historical land carbon losses from intensive deforestation. Nevertheless, the 17.0 ± 1.7 PgC emissions during 851–1980 were fully offset by rapid carbon sinks over 1980–2022, driven by CO2 fertilization and large-scale afforestation. These findings provide insights into China’s historical land carbon dynamics, their underlying drivers, and global implications.</w:t>
      </w:r>
    </w:p>
    <w:p>
      <w:pPr>
        <w:spacing w:before="120" w:after="120"/>
      </w:pPr>
      <w:r>
        <w:rPr>
          <w:sz w:val="18"/>
        </w:rPr>
        <w:t>——————————————————————————————————————————————————————————————————————</w:t>
      </w:r>
    </w:p>
    <w:p>
      <w:pPr>
        <w:spacing w:before="160" w:after="40" w:line="240" w:lineRule="auto"/>
      </w:pPr>
      <w:r>
        <w:rPr>
          <w:b/>
        </w:rPr>
        <w:t xml:space="preserve">[552] </w:t>
      </w:r>
      <w:hyperlink r:id="rId838">
        <w:r>
          <w:rPr>
            <w:color w:val="1155CC"/>
            <w:u w:val="single"/>
          </w:rPr>
          <w:t>通过气压催化剂与生物模拟反应堆的协同作用,对甲烷进行有秩序的、可伸缩的太阳能驱动的干干改造</w:t>
        </w:r>
      </w:hyperlink>
    </w:p>
    <w:p>
      <w:pPr>
        <w:spacing w:before="0" w:after="80"/>
      </w:pPr>
      <w:r>
        <w:rPr>
          <w:i/>
          <w:sz w:val="20"/>
        </w:rPr>
        <w:t>EN: Ordered scalable solar-driven dry reforming of methane via synergy of plasmonic catalysts with biomimetic reactors</w:t>
      </w:r>
    </w:p>
    <w:p>
      <w:pPr>
        <w:spacing w:before="0" w:after="120"/>
      </w:pPr>
      <w:r>
        <w:rPr>
          <w:b/>
        </w:rPr>
        <w:t xml:space="preserve">Source: </w:t>
      </w:r>
      <w:r>
        <w:t>Joule</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由太阳能驱动的甲烷干改革有望同时应对全球能源和环境挑战。 这项工作提出了一个新颖的战略,即利用生物模拟性蝴蝶翅膀激励泡沫泡沫反应堆,将光质元核酸催化剂与生物模拟性蝴蝶机翼泡沫反应堆协同起来,实现甲烷的有条理、可伸缩的太阳能驱动的干燥改革。</w:t>
      </w:r>
    </w:p>
    <w:p>
      <w:pPr>
        <w:spacing w:before="0" w:after="200" w:lineRule="auto" w:line="276"/>
      </w:pPr>
      <w:r>
        <w:rPr>
          <w:b/>
        </w:rPr>
        <w:t xml:space="preserve">Abstract (EN): </w:t>
      </w:r>
      <w:r>
        <w:t>Solar-driven dry reforming of methane holds promise for addressing global energy and environmental challenges simultaneously. This work proposes a novel strategy that synergizes plasmonic meta-nanoalloy catalysts with biomimetic butterfly wing-inspired foam reactors to achieve ordered, scalable solar-driven dry reforming of methane.</w:t>
      </w:r>
    </w:p>
    <w:p>
      <w:pPr>
        <w:spacing w:before="120" w:after="120"/>
      </w:pPr>
      <w:r>
        <w:rPr>
          <w:sz w:val="18"/>
        </w:rPr>
        <w:t>——————————————————————————————————————————————————————————————————————</w:t>
      </w:r>
    </w:p>
    <w:p>
      <w:pPr>
        <w:spacing w:before="160" w:after="40" w:line="240" w:lineRule="auto"/>
      </w:pPr>
      <w:r>
        <w:rPr>
          <w:b/>
        </w:rPr>
        <w:t xml:space="preserve">[553] </w:t>
      </w:r>
      <w:hyperlink r:id="rId839">
        <w:r>
          <w:rPr>
            <w:color w:val="1155CC"/>
            <w:u w:val="single"/>
          </w:rPr>
          <w:t>利用地表改制铜氧化钴催化剂在高容量阴离离交换膜膜电解器中进行商业规模甘油醇的抗冲法化</w:t>
        </w:r>
      </w:hyperlink>
    </w:p>
    <w:p>
      <w:pPr>
        <w:spacing w:before="0" w:after="80"/>
      </w:pPr>
      <w:r>
        <w:rPr>
          <w:i/>
          <w:sz w:val="20"/>
        </w:rPr>
        <w:t>EN: Commercial-scale glycerol valorization using surface-modified copper cobalt oxide catalyst in high-capacity anion exchange membrane electrolyzer</w:t>
      </w:r>
    </w:p>
    <w:p>
      <w:pPr>
        <w:spacing w:before="0" w:after="120"/>
      </w:pPr>
      <w:r>
        <w:rPr>
          <w:b/>
        </w:rPr>
        <w:t xml:space="preserve">Source: </w:t>
      </w:r>
      <w:r>
        <w:t>Joule</w:t>
      </w:r>
      <w:r>
        <w:t xml:space="preserve">    </w:t>
      </w:r>
      <w:r>
        <w:rPr>
          <w:b/>
        </w:rPr>
        <w:t xml:space="preserve">Pub date: </w:t>
      </w:r>
      <w:r>
        <w:t>2026-02-26 00:00:00+00:00</w:t>
      </w:r>
    </w:p>
    <w:p>
      <w:pPr>
        <w:spacing w:before="0" w:after="120"/>
      </w:pPr>
      <w:r>
        <w:rPr>
          <w:b/>
        </w:rPr>
        <w:t xml:space="preserve">Notes: </w:t>
      </w:r>
      <w:r>
        <w:t>abstract_source=rss_cell</w:t>
      </w:r>
    </w:p>
    <w:p>
      <w:pPr>
        <w:spacing w:before="0" w:after="80" w:lineRule="auto" w:line="276"/>
      </w:pPr>
      <w:r>
        <w:rPr>
          <w:b/>
        </w:rPr>
        <w:t xml:space="preserve">摘要（ZH）: </w:t>
      </w:r>
      <w:r>
        <w:t>在这项工作中,我们展示了用于商用规模甘油浓度评估的64 cm 2 比例的阴离交换膜水电解器(AEMWE)电池。关于大型的AEMWE电池应用,我们开发了一种通过共同降水和表面处理大规模生产催化剂的方法。此外,AEMWE系统与H型系统相比,大大增强了甘油浓度评估。开发的大型AEMWE电池可以同时进行甘油浓度评估并直接捕捉纯H2。这项工作提出了一种战略,推动甘油浓度的商业化。</w:t>
      </w:r>
    </w:p>
    <w:p>
      <w:pPr>
        <w:spacing w:before="0" w:after="200" w:lineRule="auto" w:line="276"/>
      </w:pPr>
      <w:r>
        <w:rPr>
          <w:b/>
        </w:rPr>
        <w:t xml:space="preserve">Abstract (EN): </w:t>
      </w:r>
      <w:r>
        <w:t>In this work, we demonstrate a 64 cm2 scale anion exchange membrane water electrolyzer (AEMWE) cell for commercial-scale glycerol valorization. For large-scale AEMWE cell applications, we developed a method to mass-produce catalysts through co-precipitation and surface treatment. In addition, the AEMWE system significantly enhances glycerol valorization compared with the H-type system. The developed large-scale AEMWE cell can simultaneously perform glycerol valorization and directly capture pure H2. This work presents a strategy that advances the commercialization of glycerol valorization.</w:t>
      </w:r>
    </w:p>
    <w:p>
      <w:pPr>
        <w:spacing w:before="120" w:after="120"/>
      </w:pPr>
      <w:r>
        <w:rPr>
          <w:sz w:val="18"/>
        </w:rPr>
        <w:t>——————————————————————————————————————————————————————————————————————</w:t>
      </w:r>
    </w:p>
    <w:p>
      <w:pPr>
        <w:spacing w:before="160" w:after="40" w:line="240" w:lineRule="auto"/>
      </w:pPr>
      <w:r>
        <w:rPr>
          <w:b/>
        </w:rPr>
        <w:t xml:space="preserve">[554] </w:t>
      </w:r>
      <w:hyperlink r:id="rId840">
        <w:r>
          <w:rPr>
            <w:color w:val="1155CC"/>
            <w:u w:val="single"/>
          </w:rPr>
          <w:t>在可操作稳定 Perovskite/Silcon Tandem太阳能电池中,窗口层脱光抗药性</w:t>
        </w:r>
      </w:hyperlink>
    </w:p>
    <w:p>
      <w:pPr>
        <w:spacing w:before="0" w:after="80"/>
      </w:pPr>
      <w:r>
        <w:rPr>
          <w:i/>
          <w:sz w:val="20"/>
        </w:rPr>
        <w:t>EN: Cr–O–In Interlocking for Window Layer Delamination Resistance in Operationally Stable Perovskite/Silicon Tandem Solar Cells</w:t>
      </w:r>
    </w:p>
    <w:p>
      <w:pPr>
        <w:spacing w:before="0" w:after="120"/>
      </w:pPr>
      <w:r>
        <w:rPr>
          <w:b/>
        </w:rPr>
        <w:t xml:space="preserve">Source: </w:t>
      </w:r>
      <w:r>
        <w:t>RSC - Energy Environ. Sci. latest articles</w:t>
      </w:r>
      <w:r>
        <w:t xml:space="preserve">    </w:t>
      </w:r>
      <w:r>
        <w:rPr>
          <w:b/>
        </w:rPr>
        <w:t xml:space="preserve">Pub date: </w:t>
      </w:r>
      <w:r>
        <w:t>2026-02-26 00:00:00+00:00</w:t>
      </w:r>
    </w:p>
    <w:p>
      <w:pPr>
        <w:spacing w:before="0" w:after="120"/>
      </w:pPr>
      <w:r>
        <w:rPr>
          <w:b/>
        </w:rPr>
        <w:t xml:space="preserve">Notes: </w:t>
      </w:r>
      <w:r>
        <w:t>abstract_source=rsc_html</w:t>
      </w:r>
    </w:p>
    <w:p>
      <w:pPr>
        <w:spacing w:before="0" w:after="80" w:lineRule="auto" w:line="276"/>
      </w:pPr>
      <w:r>
        <w:rPr>
          <w:b/>
        </w:rPr>
        <w:t xml:space="preserve">摘要（ZH）: </w:t>
      </w:r>
      <w:r>
        <w:t>Perovskite/硅同步太阳能电池已经取得了显著的效率,但由于运行稳定性差,仍然受到限制,主要原因是顶层窗口层(在单一交点装置中往往微不足道,但又变得至关重要)的更全面/原子储量(ALD)SnOX界面不稳。 这一不稳定性源自低温低温低温低温低温低温低温低温电极过程中的不完全前体反应,以及更远层的氧化性暴露。 在这里,我们引入了通过铬(Cr)扩散而形成、进入透明电极和更远层的交错界面,从而有效地缓解了窗口层的淡化,并建立起了很强的相互接触。 值得注意的是,Cr不会扩散到更远层。</w:t>
      </w:r>
    </w:p>
    <w:p>
      <w:pPr>
        <w:spacing w:before="0" w:after="200" w:lineRule="auto" w:line="276"/>
      </w:pPr>
      <w:r>
        <w:rPr>
          <w:b/>
        </w:rPr>
        <w:t xml:space="preserve">Abstract (EN): </w:t>
      </w:r>
      <w:r>
        <w:t>Perovskite/silicon tandem solar cells have achieved remarkable efficiencies but remain limited by poor operational stability, primarily due to the instability of fullerene/atomic-layer-deposited (ALD) SnOX interfaces in the top window layer–an issue that is often negligible in single-junction devices but becomes critically important in tandems. This instability originates from poor adhesion, incomplete precursor reactions during low-temperature ALD process, and oxidative exposure of the fullerene layer. Here, we introduce a Cr–O–In interlocking interface formed via chromium (Cr) diffusion into the transparent electrode and fullerene layer, which effectively mitigates window layer delamination and establishes robust interfacial contact. Notably, Cr does not diffuse across fullerene layer due to its strong reaction with C60 layer, which effectively immobilizes the metal atoms shortly after deposition and impedes deep diffusion. In addition, this interlocking interface integrates optical transparency, favorable band alignment, and resistance to sputtering, while enabling n-type doping of fullerene layer to enhance electron mobility and suppress across-interface nonradiative recombination. As a result, single-junction 1.67 eV perovskite solar cells achieve a PCE of 23.27% (average PCE of 22.85%), and perovskite/silicon tandems reach 32.77%, with a certified stabilized efficiency of 32.51%, among the highest reported for monolithic perovskite/TOPCon tandems. Moreover, the Cr–O–In ionic interlocking interface enhances long-term operational stability, paving the way toward scalable, industrially applicable tandem photovoltaics.</w:t>
      </w:r>
    </w:p>
    <w:p>
      <w:pPr>
        <w:spacing w:before="120" w:after="120"/>
      </w:pPr>
      <w:r>
        <w:rPr>
          <w:sz w:val="18"/>
        </w:rPr>
        <w:t>——————————————————————————————————————————————————————————————————————</w:t>
      </w:r>
    </w:p>
    <w:p>
      <w:pPr>
        <w:spacing w:before="160" w:after="40" w:line="240" w:lineRule="auto"/>
      </w:pPr>
      <w:r>
        <w:rPr>
          <w:b/>
        </w:rPr>
        <w:t xml:space="preserve">[555] </w:t>
      </w:r>
      <w:hyperlink r:id="rId841">
        <w:r>
          <w:rPr>
            <w:color w:val="1155CC"/>
            <w:u w:val="single"/>
          </w:rPr>
          <w:t>多层电容器中的超高能源储存,自组玻璃类母体和极地聚集器</w:t>
        </w:r>
      </w:hyperlink>
    </w:p>
    <w:p>
      <w:pPr>
        <w:spacing w:before="0" w:after="80"/>
      </w:pPr>
      <w:r>
        <w:rPr>
          <w:i/>
          <w:sz w:val="20"/>
        </w:rPr>
        <w:t>EN: Ultrahigh Energy Storage in Multilayer Capacitors with Self-Assembled Glass-Like Matrix and Polar Clusters</w:t>
      </w:r>
    </w:p>
    <w:p>
      <w:pPr>
        <w:spacing w:before="0" w:after="120"/>
      </w:pPr>
      <w:r>
        <w:rPr>
          <w:b/>
        </w:rPr>
        <w:t xml:space="preserve">Source: </w:t>
      </w:r>
      <w:r>
        <w:t>RSC - Energy Environ. Sci. latest articles</w:t>
      </w:r>
      <w:r>
        <w:t xml:space="preserve">    </w:t>
      </w:r>
      <w:r>
        <w:rPr>
          <w:b/>
        </w:rPr>
        <w:t xml:space="preserve">Pub date: </w:t>
      </w:r>
      <w:r>
        <w:t>2026-02-26 00:00:00+00:00</w:t>
      </w:r>
    </w:p>
    <w:p>
      <w:pPr>
        <w:spacing w:before="0" w:after="120"/>
      </w:pPr>
      <w:r>
        <w:rPr>
          <w:b/>
        </w:rPr>
        <w:t xml:space="preserve">Notes: </w:t>
      </w:r>
      <w:r>
        <w:t>abstract_source=rsc_html</w:t>
      </w:r>
    </w:p>
    <w:p>
      <w:pPr>
        <w:spacing w:before="0" w:after="80" w:lineRule="auto" w:line="276"/>
      </w:pPr>
      <w:r>
        <w:rPr>
          <w:b/>
        </w:rPr>
        <w:t xml:space="preserve">摘要（ZH）: </w:t>
      </w:r>
      <w:r>
        <w:t>然而,目前根据散装陶瓷特性裁缝装置性能的研究战略,通常涉及过早的两极分化饱和,并限制在散装陶瓷特性下实现性能突破的可能性。 为解决这一问题,我们建立了一个新型的两极分化组合,由嵌入类似玻璃的基质中的极极极组组成。这种组合成功地使高电场下的极极性近线性特征得以实现,避免了传统极化过早的极化饱和造成的能源密度限制。</w:t>
      </w:r>
    </w:p>
    <w:p>
      <w:pPr>
        <w:spacing w:before="0" w:after="200" w:lineRule="auto" w:line="276"/>
      </w:pPr>
      <w:r>
        <w:rPr>
          <w:b/>
        </w:rPr>
        <w:t xml:space="preserve">Abstract (EN): </w:t>
      </w:r>
      <w:r>
        <w:t>The development of multilayer ceramic capacitors (MLCCs) with high energy storage performance (ESP) is crucial for keeping pace with the ongoing trend toward miniaturization and integration in next-generation pulsed-power systems. Nevertheless, current research strategies of tailoring device performance based on bulk ceramic properties, typically involve premature polarization saturation and limit the potential for performance breakthroughs in MLCCs. To address this issue, we construct a novel polarization configuration comprising polar clusters embedded within a glass-like matrix. This configuration successfully enables high-polarity near-linear characteristics under high electric fields, avoiding the energy density limitations imposed by premature polarization saturation in conventional relaxors. As a result, the fabricated MLCCs exhibit ultrahigh ESP with a recoverable energy density of 24.8 J cm-3 and an efficiency of 92.4%, along with exceptional reliability and discharge characteristics, demonstrating enormous application potential. This work highlights the superiority of developing high-polarity near-linear dielectrics over existing strategies for achieving ultrahigh-ESP MLCCs, and proposes a feasible approach via high-entropy engineered construction of self-assembled glass-like matrix and polar clusters.</w:t>
      </w:r>
    </w:p>
    <w:p>
      <w:pPr>
        <w:spacing w:before="120" w:after="120"/>
      </w:pPr>
      <w:r>
        <w:rPr>
          <w:sz w:val="18"/>
        </w:rPr>
        <w:t>——————————————————————————————————————————————————————————————————————</w:t>
      </w:r>
    </w:p>
    <w:p>
      <w:pPr>
        <w:spacing w:before="160" w:after="40" w:line="240" w:lineRule="auto"/>
      </w:pPr>
      <w:r>
        <w:rPr>
          <w:b/>
        </w:rPr>
        <w:t xml:space="preserve">[556] </w:t>
      </w:r>
      <w:hyperlink r:id="rId842">
        <w:r>
          <w:rPr>
            <w:color w:val="1155CC"/>
            <w:u w:val="single"/>
          </w:rPr>
          <w:t>高效半透明太阳能电池光电稳定宽度Bandgap Perovskites</w:t>
        </w:r>
      </w:hyperlink>
    </w:p>
    <w:p>
      <w:pPr>
        <w:spacing w:before="0" w:after="80"/>
      </w:pPr>
      <w:r>
        <w:rPr>
          <w:i/>
          <w:sz w:val="20"/>
        </w:rPr>
        <w:t>EN: Interfacial Passivation Toward Photostable Wide‐Bandgap Perovskites for Efficient Semitransparent Solar Cells</w:t>
      </w:r>
    </w:p>
    <w:p>
      <w:pPr>
        <w:spacing w:before="0" w:after="120"/>
      </w:pPr>
      <w:r>
        <w:rPr>
          <w:b/>
        </w:rPr>
        <w:t xml:space="preserve">Source: </w:t>
      </w:r>
      <w:r>
        <w:t>Wiley: Advanced Energy Materials: Table of Contents</w:t>
      </w:r>
      <w:r>
        <w:t xml:space="preserve">    </w:t>
      </w:r>
      <w:r>
        <w:rPr>
          <w:b/>
        </w:rPr>
        <w:t xml:space="preserve">Pub date: </w:t>
      </w:r>
      <w:r>
        <w:t>2026-02-26 06:14:49+00:00</w:t>
      </w:r>
      <w:r>
        <w:t xml:space="preserve">    </w:t>
      </w:r>
      <w:r>
        <w:rPr>
          <w:b/>
        </w:rPr>
        <w:t xml:space="preserve">DOI: </w:t>
      </w:r>
      <w:hyperlink r:id="rId843">
        <w:r>
          <w:rPr>
            <w:color w:val="1155CC"/>
            <w:u w:val="single"/>
          </w:rPr>
          <w:t>10.1002/aenm.202506610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[557] </w:t>
      </w:r>
      <w:hyperlink r:id="rId844">
        <w:r>
          <w:rPr>
            <w:color w:val="1155CC"/>
            <w:u w:val="single"/>
          </w:rPr>
          <w:t>同步奥多角承认和空间本地化</w:t>
        </w:r>
      </w:hyperlink>
    </w:p>
    <w:p>
      <w:pPr>
        <w:spacing w:before="0" w:after="80"/>
      </w:pPr>
      <w:r>
        <w:rPr>
          <w:i/>
          <w:sz w:val="20"/>
        </w:rPr>
        <w:t>EN: Receptor‐Mimetic Stereo Olfaction for Simultaneous Odor Recognition and Spatial Localization</w:t>
      </w:r>
    </w:p>
    <w:p>
      <w:pPr>
        <w:spacing w:before="0" w:after="120"/>
      </w:pPr>
      <w:r>
        <w:rPr>
          <w:b/>
        </w:rPr>
        <w:t xml:space="preserve">Source: </w:t>
      </w:r>
      <w:r>
        <w:t>Wiley: Advanced Materials: Table of Contents</w:t>
      </w:r>
      <w:r>
        <w:t xml:space="preserve">    </w:t>
      </w:r>
      <w:r>
        <w:rPr>
          <w:b/>
        </w:rPr>
        <w:t xml:space="preserve">Pub date: </w:t>
      </w:r>
      <w:r>
        <w:t>2026-02-26 06:16:45+00:00</w:t>
      </w:r>
      <w:r>
        <w:t xml:space="preserve">    </w:t>
      </w:r>
      <w:r>
        <w:rPr>
          <w:b/>
        </w:rPr>
        <w:t xml:space="preserve">DOI: </w:t>
      </w:r>
      <w:hyperlink r:id="rId845">
        <w:r>
          <w:rPr>
            <w:color w:val="1155CC"/>
            <w:u w:val="single"/>
          </w:rPr>
          <w:t>10.1002/adma.202521410</w:t>
        </w:r>
      </w:hyperlink>
    </w:p>
    <w:p>
      <w:pPr>
        <w:spacing w:before="0" w:after="120"/>
      </w:pPr>
      <w:r>
        <w:rPr>
          <w:b/>
        </w:rPr>
        <w:t xml:space="preserve">Notes: </w:t>
      </w:r>
      <w:r>
        <w:t>abstract_source=pubmed</w:t>
      </w:r>
    </w:p>
    <w:p>
      <w:pPr>
        <w:spacing w:before="0" w:after="80" w:lineRule="auto" w:line="276"/>
      </w:pPr>
      <w:r>
        <w:rPr>
          <w:b/>
        </w:rPr>
        <w:t xml:space="preserve">摘要（ZH）: </w:t>
      </w:r>
      <w:r>
        <w:t>海洋羽流是化学物理领域,分子特性与包括扩散和动荡在内的迁移现象结合在一起。在动物中,这种联合信息解码是导航和社会行为的基础。然而,人工系统将身份和位置作为独立问题对待,通过不同的方式加以解决。这里我们介绍AROMA(人工受体-光化微米电磁阵列),一种立体流学战略,受体-模拟传感器捕捉羽流动力,使混合物构成和3D源位置同时从受分析的动能模式中解码。AROMA建在混合的金矿和金纳米粒上,这些金矿和金矿相分离的单层和非叠加增聚体的能量模仿了流体的随机选择性流体。AROMA建于一个10年中。</w:t>
      </w:r>
    </w:p>
    <w:p>
      <w:pPr>
        <w:spacing w:before="0" w:after="200" w:lineRule="auto" w:line="276"/>
      </w:pPr>
      <w:r>
        <w:rPr>
          <w:b/>
        </w:rPr>
        <w:t xml:space="preserve">Abstract (EN): </w:t>
      </w:r>
      <w:r>
        <w:t>Odor plumes are chemophysical fields where molecular identity is coupled to transport phenomena including diffusion and turbulence. In animals, decoding this joint information underlies navigation and social behavior. However, artificial systems treat identity and location as independent problems, solved by distinct modalities. Here we present AROMA (Artificial Receptor-Olfaction Mimetic Array), a stereo olfaction strategy in which receptor-mimetic sensors capture plume dynamics, enabling concurrent decoding of mixture composition and 3D source location from analyte-dependent kinetic patterns. AROMA is built on mixed-ligand gold nanoparticles whose phase-separated monolayers and non-additive interfacial energetics emulate the promiscuous selectivity of olfactory GPCRs. Deployed in an antenna-like, spatially separated configuration, these sensors convert evolving concentration fields into disparities in onset, rise, and amplitude that encode geometric information. Trained on 50 plume trials of six-odorant mixtures sampled by a 30-channel array in an 18 cm cubic chamber, a multi-task Transformer achieves 86.7% mixture identification accuracy and a 3D localization error of 2.84 ± 0.87 cm. We demonstrate room-scale source tracking with a mobile robot indoors under natural airflow. By translating plume dynamics into a unified latent representation, AROMA advances artificial olfaction from static molecular discrimination toward spatial intelligence, offering a general framework for environmental monitoring and autonomous navigation.</w:t>
      </w:r>
    </w:p>
    <w:p>
      <w:pPr>
        <w:spacing w:before="120" w:after="120"/>
      </w:pPr>
      <w:r>
        <w:rPr>
          <w:sz w:val="18"/>
        </w:rPr>
        <w:t>——————————————————————————————————————————————————————————————————————</w:t>
      </w:r>
    </w:p>
    <w:p>
      <w:pPr>
        <w:spacing w:before="160" w:after="40" w:line="240" w:lineRule="auto"/>
      </w:pPr>
      <w:r>
        <w:rPr>
          <w:b/>
        </w:rPr>
        <w:t xml:space="preserve">[558] </w:t>
      </w:r>
      <w:hyperlink r:id="rId846">
        <w:r>
          <w:rPr>
            <w:color w:val="1155CC"/>
            <w:u w:val="single"/>
          </w:rPr>
          <w:t>在建造的 " 局部桥梁 " 中,促进全国立体锂电池的性能</w:t>
        </w:r>
      </w:hyperlink>
    </w:p>
    <w:p>
      <w:pPr>
        <w:spacing w:before="0" w:after="80"/>
      </w:pPr>
      <w:r>
        <w:rPr>
          <w:i/>
          <w:sz w:val="20"/>
        </w:rPr>
        <w:t>EN: In Situ Constructed “Poly‐Ionic Bridges” Promoting Performances of All‐Solid‐State Lithium‐Sulfur Batteries</w:t>
      </w:r>
    </w:p>
    <w:p>
      <w:pPr>
        <w:spacing w:before="0" w:after="120"/>
      </w:pPr>
      <w:r>
        <w:rPr>
          <w:b/>
        </w:rPr>
        <w:t xml:space="preserve">Source: </w:t>
      </w:r>
      <w:r>
        <w:t>Wiley: Advanced Energy Materials: Table of Contents</w:t>
      </w:r>
      <w:r>
        <w:t xml:space="preserve">    </w:t>
      </w:r>
      <w:r>
        <w:rPr>
          <w:b/>
        </w:rPr>
        <w:t xml:space="preserve">Pub date: </w:t>
      </w:r>
      <w:r>
        <w:t>2026-02-26 06:16:55+00:00</w:t>
      </w:r>
      <w:r>
        <w:t xml:space="preserve">    </w:t>
      </w:r>
      <w:r>
        <w:rPr>
          <w:b/>
        </w:rPr>
        <w:t xml:space="preserve">DOI: </w:t>
      </w:r>
      <w:hyperlink r:id="rId847">
        <w:r>
          <w:rPr>
            <w:color w:val="1155CC"/>
            <w:u w:val="single"/>
          </w:rPr>
          <w:t>10.1002/aenm.70792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[559] </w:t>
      </w:r>
      <w:hyperlink r:id="rId848">
        <w:r>
          <w:rPr>
            <w:color w:val="1155CC"/>
            <w:u w:val="single"/>
          </w:rPr>
          <w:t>用于单生细胞中Mitochondrial-Cytocolis交流的定量定性的双环环曲纳opipette</w:t>
        </w:r>
      </w:hyperlink>
    </w:p>
    <w:p>
      <w:pPr>
        <w:spacing w:before="0" w:after="80"/>
      </w:pPr>
      <w:r>
        <w:rPr>
          <w:i/>
          <w:sz w:val="20"/>
        </w:rPr>
        <w:t>EN: Dual‐Circuit Nanopipette for Quantitative Characterization of Mitochondrial‐Cytosolic Communications in Single Living Cell</w:t>
      </w:r>
    </w:p>
    <w:p>
      <w:pPr>
        <w:spacing w:before="0" w:after="120"/>
      </w:pPr>
      <w:r>
        <w:rPr>
          <w:b/>
        </w:rPr>
        <w:t xml:space="preserve">Source: </w:t>
      </w:r>
      <w:r>
        <w:t>Wiley: Angewandte Chemie International Edition: Table of Contents</w:t>
      </w:r>
      <w:r>
        <w:t xml:space="preserve">    </w:t>
      </w:r>
      <w:r>
        <w:rPr>
          <w:b/>
        </w:rPr>
        <w:t xml:space="preserve">Pub date: </w:t>
      </w:r>
      <w:r>
        <w:t>2026-02-26 06:16:56+00:00</w:t>
      </w:r>
      <w:r>
        <w:t xml:space="preserve">    </w:t>
      </w:r>
      <w:r>
        <w:rPr>
          <w:b/>
        </w:rPr>
        <w:t xml:space="preserve">DOI: </w:t>
      </w:r>
      <w:hyperlink r:id="rId849">
        <w:r>
          <w:rPr>
            <w:color w:val="1155CC"/>
            <w:u w:val="single"/>
          </w:rPr>
          <w:t>10.1002/anie.4039681</w:t>
        </w:r>
      </w:hyperlink>
    </w:p>
    <w:p>
      <w:pPr>
        <w:spacing w:before="0" w:after="120"/>
      </w:pPr>
      <w:r>
        <w:rPr>
          <w:b/>
        </w:rPr>
        <w:t xml:space="preserve">Notes: </w:t>
      </w:r>
      <w:r>
        <w:t>abstract_source=pubmed</w:t>
      </w:r>
    </w:p>
    <w:p>
      <w:pPr>
        <w:spacing w:before="0" w:after="80" w:lineRule="auto" w:line="276"/>
      </w:pPr>
      <w:r>
        <w:rPr>
          <w:b/>
        </w:rPr>
        <w:t xml:space="preserve">摘要（ZH）: </w:t>
      </w:r>
      <w:r>
        <w:t>对将活细胞中的子细胞隔板连接在一起的复杂通信的定量分析对化学和生物学提出了重大挑战。在这里,我们提出了一个双电纳米气管平台,该平台具有高度的时空分辨率,允许在同一活细胞内从一个线粒子体及其相邻的细胞素中共同跟踪反应式氧物种动态。我们发现,单线粒子体中的瞬时ROS水平出现了巨大的波动,要么超过或低于其周围细胞素测量值。这种变化通常被平均测量法所掩盖,突出了子细胞隔板之间的动态互动,同时保留了功能自主性。重要的是,我们的定量分析结果显示,在单线粒子体中,瞬时的ROS水平出现了显著的波动,要么超过,要么低于其周围细胞素测量值。这些变化通常被平均测量法所掩盖,突出了子细胞隔板之间的动态相互作用,同时保留了功能自主性。</w:t>
      </w:r>
    </w:p>
    <w:p>
      <w:pPr>
        <w:spacing w:before="0" w:after="200" w:lineRule="auto" w:line="276"/>
      </w:pPr>
      <w:r>
        <w:rPr>
          <w:b/>
        </w:rPr>
        <w:t xml:space="preserve">Abstract (EN): </w:t>
      </w:r>
      <w:r>
        <w:t>The quantitative analysis of intricate communications linking subcellular compartments in living cells poses a significant challenge in chemistry and biology. Here, we present a dual-circuit nanopipette platform with high spatiotemporal resolution allowing for the co-tracking of reactive oxygen species (ROS) dynamics from a mitochondrion and its adjacent cytosol within the same living cell. Our findings uncover that transient ROS levels in individual mitochondrion exhibit significant fluctuations, either exceeding or falling below those measured in its surrounding cytosol. Such variations, typically obscured by averaged measurements, underscore the dynamic interplay between subcellular compartments, while simultaneously retaining functional autonomy. Importantly, our quantitative analysis indicates that ROS generated by mitochondria initiates a positive feedback mechanism that amplifies cytosolic ROS levels. Additionally, the average duration for cytosolic ROS levels to return to baseline in cyclosporin A (CsA) pretreated cells was comparable to that observed in untreated cells. This extended time is attributed to a negative feedback loop triggered by mitochondrial ROS, which enhances overall ROS clearance efficiency. Collectively, this nanopipette offers a robust platform for dissecting the complex sspatiotemporal dynamics of ROS at the single-organelle level, thereby acquiring simultaneous insights into the communication mechanisms between organelles and their immediate cytosolic surroundings.</w:t>
      </w:r>
    </w:p>
    <w:p>
      <w:pPr>
        <w:spacing w:before="120" w:after="120"/>
      </w:pPr>
      <w:r>
        <w:rPr>
          <w:sz w:val="18"/>
        </w:rPr>
        <w:t>——————————————————————————————————————————————————————————————————————</w:t>
      </w:r>
    </w:p>
    <w:p>
      <w:pPr>
        <w:spacing w:before="160" w:after="40" w:line="240" w:lineRule="auto"/>
      </w:pPr>
      <w:r>
        <w:rPr>
          <w:b/>
        </w:rPr>
        <w:t xml:space="preserve">[560] </w:t>
      </w:r>
      <w:hyperlink r:id="rId850">
        <w:r>
          <w:rPr>
            <w:color w:val="1155CC"/>
            <w:u w:val="single"/>
          </w:rPr>
          <w:t>控制下交付和光光诱导释放Esherichia大肠杆菌</w:t>
        </w:r>
      </w:hyperlink>
    </w:p>
    <w:p>
      <w:pPr>
        <w:spacing w:before="0" w:after="80"/>
      </w:pPr>
      <w:r>
        <w:rPr>
          <w:i/>
          <w:sz w:val="20"/>
        </w:rPr>
        <w:t>EN: Controlled Delivery and Light‐Induced Release of Magic Spot Nucleotides in Escherichia coli</w:t>
      </w:r>
    </w:p>
    <w:p>
      <w:pPr>
        <w:spacing w:before="0" w:after="120"/>
      </w:pPr>
      <w:r>
        <w:rPr>
          <w:b/>
        </w:rPr>
        <w:t xml:space="preserve">Source: </w:t>
      </w:r>
      <w:r>
        <w:t>Wiley: Angewandte Chemie International Edition: Table of Contents</w:t>
      </w:r>
      <w:r>
        <w:t xml:space="preserve">    </w:t>
      </w:r>
      <w:r>
        <w:rPr>
          <w:b/>
        </w:rPr>
        <w:t xml:space="preserve">Pub date: </w:t>
      </w:r>
      <w:r>
        <w:t>2026-02-26 06:19:12+00:00</w:t>
      </w:r>
      <w:r>
        <w:t xml:space="preserve">    </w:t>
      </w:r>
      <w:r>
        <w:rPr>
          <w:b/>
        </w:rPr>
        <w:t xml:space="preserve">DOI: </w:t>
      </w:r>
      <w:hyperlink r:id="rId851">
        <w:r>
          <w:rPr>
            <w:color w:val="1155CC"/>
            <w:u w:val="single"/>
          </w:rPr>
          <w:t>10.1002/anie.202523307</w:t>
        </w:r>
      </w:hyperlink>
    </w:p>
    <w:p>
      <w:pPr>
        <w:spacing w:before="0" w:after="120"/>
      </w:pPr>
      <w:r>
        <w:rPr>
          <w:b/>
        </w:rPr>
        <w:t xml:space="preserve">Notes: </w:t>
      </w:r>
      <w:r>
        <w:t>abstract_source=pubmed</w:t>
      </w:r>
    </w:p>
    <w:p>
      <w:pPr>
        <w:spacing w:before="0" w:after="80" w:lineRule="auto" w:line="276"/>
      </w:pPr>
      <w:r>
        <w:rPr>
          <w:b/>
        </w:rPr>
        <w:t xml:space="preserve">摘要（ZH）: </w:t>
      </w:r>
      <w:r>
        <w:t>“磁点”核糖核酸(MSNs) ppGpp 和 pppGpp 构成细菌警报器,它们合力进行节制的严格反应,这是一种全球管制机制,使细菌能够适应营养匮乏和其他环境压力。目前操纵MSN水平的战略主要依靠基因或环境方法,这些方法缓慢,缺乏时间控制。光相微量微量微粒模拟等化学工具可以对MSN水平提供这种时间控制。然而,MSN的高负电能阻止自发通过复杂的细菌细胞包。在这里,我们报告了光化、可点击和同位素标签的MSN模拟器的合成,并将其传送到Escherichita Coli,比较不同的方法。环球合成N。</w:t>
      </w:r>
    </w:p>
    <w:p>
      <w:pPr>
        <w:spacing w:before="0" w:after="200" w:lineRule="auto" w:line="276"/>
      </w:pPr>
      <w:r>
        <w:rPr>
          <w:b/>
        </w:rPr>
        <w:t xml:space="preserve">Abstract (EN): </w:t>
      </w:r>
      <w:r>
        <w:t>The "magic spot" nucleotides (MSNs) ppGpp and pppGpp constitute bacterial alarmones that orchestrate the conserved stringent response, a global regulatory mechanism enabling bacteria to adapt to nutrient deprivation and other environmental stresses. Current strategies to manipulate MSN levels rely mainly on genetic or environmental approaches, which are slow and lack temporal control. Chemical tools such as photocaged MSN analogues could provide such temporal control over MSN levels. However, the high negative charge of MSNs prevents spontaneous passage through the complex bacterial cell envelope. Here, we report the synthesis of photocaged, clickable, and isotope-labeled MSN analogues and their delivery into Escherichia coli comparing different approaches. A cyclodextrin-based synthetic nucleotide transporter facilitated uptake. Upon 400 nm irradiation, these probes were photo-released inside living cells, where we tracked their conversion from pppGpp to ppGpp by capillary electrophoresis mass spectrometry and demonstrated their ability to alter growth in a (p)ppGpp0 mutant. These probes lay the foundation for spatially and temporally controlled studies of MSN function and of other highly negatively charged metabolites in vivo.</w:t>
      </w:r>
    </w:p>
    <w:p>
      <w:pPr>
        <w:spacing w:before="120" w:after="120"/>
      </w:pPr>
      <w:r>
        <w:rPr>
          <w:sz w:val="18"/>
        </w:rPr>
        <w:t>——————————————————————————————————————————————————————————————————————</w:t>
      </w:r>
    </w:p>
    <w:p>
      <w:pPr>
        <w:spacing w:before="160" w:after="40" w:line="240" w:lineRule="auto"/>
      </w:pPr>
      <w:r>
        <w:rPr>
          <w:b/>
        </w:rPr>
        <w:t xml:space="preserve">[561] </w:t>
      </w:r>
      <w:hyperlink r:id="rId852">
        <w:r>
          <w:rPr>
            <w:color w:val="1155CC"/>
            <w:u w:val="single"/>
          </w:rPr>
          <w:t>异质相片(电子)分析器中的极地</w:t>
        </w:r>
      </w:hyperlink>
    </w:p>
    <w:p>
      <w:pPr>
        <w:spacing w:before="0" w:after="80"/>
      </w:pPr>
      <w:r>
        <w:rPr>
          <w:i/>
          <w:sz w:val="20"/>
        </w:rPr>
        <w:t>EN: Polarons in Heterogeneous Photo(electro)Catalysts</w:t>
      </w:r>
    </w:p>
    <w:p>
      <w:pPr>
        <w:spacing w:before="0" w:after="120"/>
      </w:pPr>
      <w:r>
        <w:rPr>
          <w:b/>
        </w:rPr>
        <w:t xml:space="preserve">Source: </w:t>
      </w:r>
      <w:r>
        <w:t>Wiley: Angewandte Chemie International Edition: Table of Contents</w:t>
      </w:r>
      <w:r>
        <w:t xml:space="preserve">    </w:t>
      </w:r>
      <w:r>
        <w:rPr>
          <w:b/>
        </w:rPr>
        <w:t xml:space="preserve">Pub date: </w:t>
      </w:r>
      <w:r>
        <w:t>2026-02-26 06:19:19+00:00</w:t>
      </w:r>
      <w:r>
        <w:t xml:space="preserve">    </w:t>
      </w:r>
      <w:r>
        <w:rPr>
          <w:b/>
        </w:rPr>
        <w:t xml:space="preserve">DOI: </w:t>
      </w:r>
      <w:hyperlink r:id="rId853">
        <w:r>
          <w:rPr>
            <w:color w:val="1155CC"/>
            <w:u w:val="single"/>
          </w:rPr>
          <w:t>10.1002/anie.202522726</w:t>
        </w:r>
      </w:hyperlink>
    </w:p>
    <w:p>
      <w:pPr>
        <w:spacing w:before="0" w:after="120"/>
      </w:pPr>
      <w:r>
        <w:rPr>
          <w:b/>
        </w:rPr>
        <w:t xml:space="preserve">Notes: </w:t>
      </w:r>
      <w:r>
        <w:t>abstract_source=pubmed</w:t>
      </w:r>
    </w:p>
    <w:p>
      <w:pPr>
        <w:spacing w:before="0" w:after="80" w:lineRule="auto" w:line="276"/>
      </w:pPr>
      <w:r>
        <w:rPr>
          <w:b/>
        </w:rPr>
        <w:t xml:space="preserve">摘要（ZH）: </w:t>
      </w:r>
      <w:r>
        <w:t>异异基因光(电子)阴化作用包括光子吸收、电荷分离、极地形成、捕捉、散装和地表再组合、电流提取和地表催化等相继步骤,其中极地的形成和动态、强电子-拉特冰相互作用产生的准粒子,发挥一个关键但往往不甚受重视的作用。超长寿命从纤维秒到微秒不等,极地对控制具有挑战性,但它们对光吸收、充电载体移动、再组合率和催化再活动都产生了重大影响。 时间解解光谱、扫描探测器显微镜和理论模型的最近进展使得在各种照片中能够对极地状态进行直接观测和机械解释。</w:t>
      </w:r>
    </w:p>
    <w:p>
      <w:pPr>
        <w:spacing w:before="0" w:after="200" w:lineRule="auto" w:line="276"/>
      </w:pPr>
      <w:r>
        <w:rPr>
          <w:b/>
        </w:rPr>
        <w:t xml:space="preserve">Abstract (EN): </w:t>
      </w:r>
      <w:r>
        <w:t>Heterogeneous photo(electro)catalysis involves sequential steps of photon absorption, charge separation, polaron formation, trapping, bulk and surface recombination, charge extraction, and surface catalysis. Among these, the formation and dynamics of polarons, quasiparticles resulting from strong electron-lattice interactions, play a pivotal yet often underappreciated role. With ultrafast lifetimes ranging from femtoseconds to picoseconds, polarons are challenging to control, but they crucially influence photon absorption, charge carrier mobility, recombination rates, and catalytic reactivity. Recent advances in time-resolved spectroscopy, scanning probe microscopy, and theoretical modeling have enabled direct observation and mechanistic interpretation of polaronic states in various photoactive semiconductors. This minireview aims to provide a comprehensive and pedagogical overview of polaron phenomena in heterogeneous photo(electro)catalysts, with a focus on how they affect key material functionalities. Special emphasis is placed on correlating material performance with polaron behavior through state-of-the-art experimental characterization and modeling techniques. By highlighting mechanistic insights and unifying design principles, this minireview aims to guide the rational engineering of semiconductors with tailored polaronic properties for enhanced photo(electro)catalytic performance.</w:t>
      </w:r>
    </w:p>
    <w:p>
      <w:pPr>
        <w:spacing w:before="120" w:after="120"/>
      </w:pPr>
      <w:r>
        <w:rPr>
          <w:sz w:val="18"/>
        </w:rPr>
        <w:t>——————————————————————————————————————————————————————————————————————</w:t>
      </w:r>
    </w:p>
    <w:p>
      <w:pPr>
        <w:spacing w:before="160" w:after="40" w:line="240" w:lineRule="auto"/>
      </w:pPr>
      <w:r>
        <w:rPr>
          <w:b/>
        </w:rPr>
        <w:t xml:space="preserve">[562] </w:t>
      </w:r>
      <w:hyperlink r:id="rId854">
        <w:r>
          <w:rPr>
            <w:color w:val="1155CC"/>
            <w:u w:val="single"/>
          </w:rPr>
          <w:t>白亮排放和高级防伪和加密的多色后光源</w:t>
        </w:r>
      </w:hyperlink>
    </w:p>
    <w:p>
      <w:pPr>
        <w:spacing w:before="0" w:after="80"/>
      </w:pPr>
      <w:r>
        <w:rPr>
          <w:i/>
          <w:sz w:val="20"/>
        </w:rPr>
        <w:t>EN: Photochromic Metal‐Organic Frameworks With White‐Light Emission, and Multicolor Afterglow for Advanced Anti‐Counterfeiting and Encryption</w:t>
      </w:r>
    </w:p>
    <w:p>
      <w:pPr>
        <w:spacing w:before="0" w:after="120"/>
      </w:pPr>
      <w:r>
        <w:rPr>
          <w:b/>
        </w:rPr>
        <w:t xml:space="preserve">Source: </w:t>
      </w:r>
      <w:r>
        <w:t>Wiley: Angewandte Chemie International Edition: Table of Contents</w:t>
      </w:r>
      <w:r>
        <w:t xml:space="preserve">    </w:t>
      </w:r>
      <w:r>
        <w:rPr>
          <w:b/>
        </w:rPr>
        <w:t xml:space="preserve">Pub date: </w:t>
      </w:r>
      <w:r>
        <w:t>2026-02-26 06:21:01+00:00</w:t>
      </w:r>
      <w:r>
        <w:t xml:space="preserve">    </w:t>
      </w:r>
      <w:r>
        <w:rPr>
          <w:b/>
        </w:rPr>
        <w:t xml:space="preserve">DOI: </w:t>
      </w:r>
      <w:hyperlink r:id="rId855">
        <w:r>
          <w:rPr>
            <w:color w:val="1155CC"/>
            <w:u w:val="single"/>
          </w:rPr>
          <w:t>10.1002/anie.7328455</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s)的理性设计,其集成长发光、光色色和多色排放,对于先进的防伪和信息加密应用来说,仍然是可取的,但对于先进的防伪和信息加密应用来说,仍然具有挑战性。在此,一系列卤化调调成X-MOF(X=Cl、Br和I)结合光光光光光光和光色色的光-有机框架(MOFs)通过电子缺能的三硝基离甘(L)与CdX2的热反应合成。 硬性框架与卤素工程相结合,使可金枪鱼多路发光能够进入这些X-MOFs。 同时,卤素的参与和电离子体的充电分布有助于有效的光诱发电子传输。在长期接触紫外线时,光色和光热反应直接产生于ac。</w:t>
      </w:r>
    </w:p>
    <w:p>
      <w:pPr>
        <w:spacing w:before="0" w:after="200" w:lineRule="auto" w:line="276"/>
      </w:pPr>
      <w:r>
        <w:rPr>
          <w:b/>
        </w:rPr>
        <w:t xml:space="preserve">Abstract (EN): </w:t>
      </w:r>
      <w:r>
        <w:t>Rational design of metal-organic frameworks (MOFs) with integrated long-afterglow luminescence (LAL), photochromism, and multicolor emission remains desirable yet challenging for advanced anti-counterfeiting and information encryption applications. Herein, a series of halide-tuned X-MOFs (X = Cl, Br, and I) integrating photoluminescence and photochromism were synthesized via hydrothermal reaction of an electron-deficient triazine-based ligand (L) with CdX2. The rigid framework, combined with halogen engineering, enables tunable multi-path luminescence in these X-MOFs. Meanwhile, the involvement of halogens and charge distribution of the ligand facilitate effective photoinduced electron transfer. Upon prolonged UV exposure, photochromic and photothermal responses result directly from the accumulation of HL· free radicals. Owing to the coexistence of photoinduced electron-transfer quenching and charge-transfer emission, the X-MOFs exhibit not only irradiation-time-, excitation-, and temperature-dependent cold-to-warm white-light tunability, but also excitation-, temperature-, and time-responsive multicolor LAL spanning green to yellow or orange. Combined theoretical analyses elucidate the multipath luminescence originating from intra- and intermolecular charge transfer in the rigid framework, and photochromic behavior arising from electron transfer between the pyridine and triazine in the ligand backbone. These multifunctional MOFs exhibit great promise for high-security information encryption and anti-counterfeiting, offering a straightforward strategy for designing advanced luminescent materials.</w:t>
      </w:r>
    </w:p>
    <w:p>
      <w:pPr>
        <w:spacing w:before="120" w:after="120"/>
      </w:pPr>
      <w:r>
        <w:rPr>
          <w:sz w:val="18"/>
        </w:rPr>
        <w:t>——————————————————————————————————————————————————————————————————————</w:t>
      </w:r>
    </w:p>
    <w:p>
      <w:pPr>
        <w:spacing w:before="160" w:after="40" w:line="240" w:lineRule="auto"/>
      </w:pPr>
      <w:r>
        <w:rPr>
          <w:b/>
        </w:rPr>
        <w:t xml:space="preserve">[563] </w:t>
      </w:r>
      <w:hyperlink r:id="rId856">
        <w:r>
          <w:rPr>
            <w:color w:val="1155CC"/>
            <w:u w:val="single"/>
          </w:rPr>
          <w:t>多相相钴氧化物/高性能锂-硫电池格拉芬合成主机</w:t>
        </w:r>
      </w:hyperlink>
    </w:p>
    <w:p>
      <w:pPr>
        <w:spacing w:before="0" w:after="80"/>
      </w:pPr>
      <w:r>
        <w:rPr>
          <w:i/>
          <w:sz w:val="20"/>
        </w:rPr>
        <w:t>EN: Synergistic Interface Engineering of Heterojunction and Oxygen Vacancies in Multiphase Cobalt Oxide/Graphene Composite Host for High‐Performance Lithium–Sulfur Batteries</w:t>
      </w:r>
    </w:p>
    <w:p>
      <w:pPr>
        <w:spacing w:before="0" w:after="120"/>
      </w:pPr>
      <w:r>
        <w:rPr>
          <w:b/>
        </w:rPr>
        <w:t xml:space="preserve">Source: </w:t>
      </w:r>
      <w:r>
        <w:t>Wiley: Advanced Energy Materials: Table of Contents</w:t>
      </w:r>
      <w:r>
        <w:t xml:space="preserve">    </w:t>
      </w:r>
      <w:r>
        <w:rPr>
          <w:b/>
        </w:rPr>
        <w:t xml:space="preserve">Pub date: </w:t>
      </w:r>
      <w:r>
        <w:t>2026-02-26 06:21:11+00:00</w:t>
      </w:r>
      <w:r>
        <w:t xml:space="preserve">    </w:t>
      </w:r>
      <w:r>
        <w:rPr>
          <w:b/>
        </w:rPr>
        <w:t xml:space="preserve">DOI: </w:t>
      </w:r>
      <w:hyperlink r:id="rId857">
        <w:r>
          <w:rPr>
            <w:color w:val="1155CC"/>
            <w:u w:val="single"/>
          </w:rPr>
          <w:t>10.1002/aenm.202506549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[564] </w:t>
      </w:r>
      <w:hyperlink r:id="rId858">
        <w:r>
          <w:rPr>
            <w:color w:val="1155CC"/>
            <w:u w:val="single"/>
          </w:rPr>
          <w:t>Full彩色图像编码和编码化学原色像素</w:t>
        </w:r>
      </w:hyperlink>
    </w:p>
    <w:p>
      <w:pPr>
        <w:spacing w:before="0" w:after="80"/>
      </w:pPr>
      <w:r>
        <w:rPr>
          <w:i/>
          <w:sz w:val="20"/>
        </w:rPr>
        <w:t>EN: Chemical Primary Color Pixels for Full‐Color Image Encoding and Decoding</w:t>
      </w:r>
    </w:p>
    <w:p>
      <w:pPr>
        <w:spacing w:before="0" w:after="120"/>
      </w:pPr>
      <w:r>
        <w:rPr>
          <w:b/>
        </w:rPr>
        <w:t xml:space="preserve">Source: </w:t>
      </w:r>
      <w:r>
        <w:t>Wiley: Angewandte Chemie International Edition: Table of Contents</w:t>
      </w:r>
      <w:r>
        <w:t xml:space="preserve">    </w:t>
      </w:r>
      <w:r>
        <w:rPr>
          <w:b/>
        </w:rPr>
        <w:t xml:space="preserve">Pub date: </w:t>
      </w:r>
      <w:r>
        <w:t>2026-02-26 06:24:12+00:00</w:t>
      </w:r>
      <w:r>
        <w:t xml:space="preserve">    </w:t>
      </w:r>
      <w:r>
        <w:rPr>
          <w:b/>
        </w:rPr>
        <w:t xml:space="preserve">DOI: </w:t>
      </w:r>
      <w:hyperlink r:id="rId859">
        <w:r>
          <w:rPr>
            <w:color w:val="1155CC"/>
            <w:u w:val="single"/>
          </w:rPr>
          <w:t>10.1002/anie.3633333</w:t>
        </w:r>
      </w:hyperlink>
    </w:p>
    <w:p>
      <w:pPr>
        <w:spacing w:before="0" w:after="120"/>
      </w:pPr>
      <w:r>
        <w:rPr>
          <w:b/>
        </w:rPr>
        <w:t xml:space="preserve">Notes: </w:t>
      </w:r>
      <w:r>
        <w:t>abstract_source=pubmed</w:t>
      </w:r>
    </w:p>
    <w:p>
      <w:pPr>
        <w:spacing w:before="0" w:after="80" w:lineRule="auto" w:line="276"/>
      </w:pPr>
      <w:r>
        <w:rPr>
          <w:b/>
        </w:rPr>
        <w:t xml:space="preserve">摘要（ZH）: </w:t>
      </w:r>
      <w:r>
        <w:t>反射显示器使用与眼睛相容的环境光来展示图像,从而在感应显示器上显示更好的可读性和更高的能源效率。适合反射显示的主要颜色很容易通过各种化学染色反应生成,但从原始颜色到色像素,二进制数据的分配和教学至关重要,这反过来又指导通过编码和解码生成彩色图像。在这里,我们提出了一个化学主要色像素战略,使用Rose Bengal(RB, 众所周知的逻辑门分子荧光素的衍生物),加上一个色源子3,3',5,5'-四甲基苯丙胺(TMB),以实现化学主要色像素。</w:t>
      </w:r>
    </w:p>
    <w:p>
      <w:pPr>
        <w:spacing w:before="0" w:after="200" w:lineRule="auto" w:line="276"/>
      </w:pPr>
      <w:r>
        <w:rPr>
          <w:b/>
        </w:rPr>
        <w:t xml:space="preserve">Abstract (EN): </w:t>
      </w:r>
      <w:r>
        <w:t>Reflective displays use eye-compatible ambient light to showcase the image, thus featuring better readability and higher energy efficiency over the emissive displays. Primary colors suitable for reflective display can be easily produced via various chemical chromogenic reactions, but from primary colors to color pixels, assigning and instruction of binary data is essential, which in turn guide the generation of colorful images via encoding and decoding. Herein, we proposed a chemical primary color pixel strategy using Rose Bengal (RB, a derivative of the well-known logic gate molecule fluorescein), together with a chromogenic substrate 3,3',5,5'-tetramethylbenzidine (TMB), to achieve chemical primary color pixels. Specificall Yey, the pH-dependent photosensitization activity of RB was explored (oxidation of TMB) and combined with the pH-modulated refreshable TMB-based chromogenic reaction, which allowed the use of pH and light to dually modulate the chromogenic reaction for CMY primary color output. Meanwhile, such system could perform binary logic gates, and was capable of decoding and encoding the binary data of images. The resultant chemical primary color pixels featured a full-color gamut and facile refreshing, which permitted image display in a full-color reflective mode with a resolution of 51 PPI and extreme visual comfort.</w:t>
      </w:r>
    </w:p>
    <w:p>
      <w:pPr>
        <w:spacing w:before="120" w:after="120"/>
      </w:pPr>
      <w:r>
        <w:rPr>
          <w:sz w:val="18"/>
        </w:rPr>
        <w:t>——————————————————————————————————————————————————————————————————————</w:t>
      </w:r>
    </w:p>
    <w:p>
      <w:pPr>
        <w:spacing w:before="160" w:after="40" w:line="240" w:lineRule="auto"/>
      </w:pPr>
      <w:r>
        <w:rPr>
          <w:b/>
        </w:rPr>
        <w:t xml:space="preserve">[565] </w:t>
      </w:r>
      <w:hyperlink r:id="rId860">
        <w:r>
          <w:rPr>
            <w:color w:val="1155CC"/>
            <w:u w:val="single"/>
          </w:rPr>
          <w:t>伊斯兰对科学方法的影响</w:t>
        </w:r>
      </w:hyperlink>
    </w:p>
    <w:p>
      <w:pPr>
        <w:spacing w:before="0" w:after="80"/>
      </w:pPr>
      <w:r>
        <w:rPr>
          <w:i/>
          <w:sz w:val="20"/>
        </w:rPr>
        <w:t>EN: Islamic influence on the scientific method</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61">
        <w:r>
          <w:rPr>
            <w:color w:val="1155CC"/>
            <w:u w:val="single"/>
          </w:rPr>
          <w:t>10.1126/science.aef2236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[566] </w:t>
      </w:r>
      <w:hyperlink r:id="rId862">
        <w:r>
          <w:rPr>
            <w:color w:val="1155CC"/>
            <w:u w:val="single"/>
          </w:rPr>
          <w:t>刺刺对RNA病毒的吸收</w:t>
        </w:r>
      </w:hyperlink>
    </w:p>
    <w:p>
      <w:pPr>
        <w:spacing w:before="0" w:after="80"/>
      </w:pPr>
      <w:r>
        <w:rPr>
          <w:i/>
          <w:sz w:val="20"/>
        </w:rPr>
        <w:t>EN: STING takes on RNA viruses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63">
        <w:r>
          <w:rPr>
            <w:color w:val="1155CC"/>
            <w:u w:val="single"/>
          </w:rPr>
          <w:t>10.1126/science.aef2227</w:t>
        </w:r>
      </w:hyperlink>
    </w:p>
    <w:p>
      <w:pPr>
        <w:spacing w:before="0" w:after="120"/>
      </w:pPr>
      <w:r>
        <w:rPr>
          <w:b/>
        </w:rPr>
        <w:t xml:space="preserve">Notes: </w:t>
      </w:r>
      <w:r>
        <w:t>abstract_source=crossref</w:t>
      </w:r>
    </w:p>
    <w:p>
      <w:pPr>
        <w:spacing w:before="0" w:after="80" w:lineRule="auto" w:line="276"/>
      </w:pPr>
      <w:r>
        <w:rPr>
          <w:b/>
        </w:rPr>
        <w:t xml:space="preserve">摘要（ZH）: </w:t>
      </w:r>
      <w:r>
        <w:t>阻止DNA病毒复制的信号路径也能够防止RNA病毒</w:t>
      </w:r>
    </w:p>
    <w:p>
      <w:pPr>
        <w:spacing w:before="0" w:after="200" w:lineRule="auto" w:line="276"/>
      </w:pPr>
      <w:r>
        <w:rPr>
          <w:b/>
        </w:rPr>
        <w:t xml:space="preserve">Abstract (EN): </w:t>
      </w:r>
      <w:r>
        <w:t>A signaling pathway that inhibits DNA virus replication is also protective against RNA viruses</w:t>
      </w:r>
    </w:p>
    <w:p>
      <w:pPr>
        <w:spacing w:before="120" w:after="120"/>
      </w:pPr>
      <w:r>
        <w:rPr>
          <w:sz w:val="18"/>
        </w:rPr>
        <w:t>——————————————————————————————————————————————————————————————————————</w:t>
      </w:r>
    </w:p>
    <w:p>
      <w:pPr>
        <w:spacing w:before="160" w:after="40" w:line="240" w:lineRule="auto"/>
      </w:pPr>
      <w:r>
        <w:rPr>
          <w:b/>
        </w:rPr>
        <w:t xml:space="preserve">[567] </w:t>
      </w:r>
      <w:hyperlink r:id="rId864">
        <w:r>
          <w:rPr>
            <w:color w:val="1155CC"/>
            <w:u w:val="single"/>
          </w:rPr>
          <w:t>如何构建睾丸, 单细胞细胞</w:t>
        </w:r>
      </w:hyperlink>
    </w:p>
    <w:p>
      <w:pPr>
        <w:spacing w:before="0" w:after="80"/>
      </w:pPr>
      <w:r>
        <w:rPr>
          <w:i/>
          <w:sz w:val="20"/>
        </w:rPr>
        <w:t>EN: How to build a testis, cell by cell</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65">
        <w:r>
          <w:rPr>
            <w:color w:val="1155CC"/>
            <w:u w:val="single"/>
          </w:rPr>
          <w:t>10.1126/science.aef2220</w:t>
        </w:r>
      </w:hyperlink>
    </w:p>
    <w:p>
      <w:pPr>
        <w:spacing w:before="0" w:after="120"/>
      </w:pPr>
      <w:r>
        <w:rPr>
          <w:b/>
        </w:rPr>
        <w:t xml:space="preserve">Notes: </w:t>
      </w:r>
      <w:r>
        <w:t>abstract_source=crossref</w:t>
      </w:r>
    </w:p>
    <w:p>
      <w:pPr>
        <w:spacing w:before="0" w:after="80" w:lineRule="auto" w:line="276"/>
      </w:pPr>
      <w:r>
        <w:rPr>
          <w:b/>
        </w:rPr>
        <w:t xml:space="preserve">摘要（ZH）: </w:t>
      </w:r>
      <w:r>
        <w:t>工程师多能干细胞形成体细胞和细菌细胞,模仿功能性睾丸</w:t>
      </w:r>
    </w:p>
    <w:p>
      <w:pPr>
        <w:spacing w:before="0" w:after="200" w:lineRule="auto" w:line="276"/>
      </w:pPr>
      <w:r>
        <w:rPr>
          <w:b/>
        </w:rPr>
        <w:t xml:space="preserve">Abstract (EN): </w:t>
      </w:r>
      <w:r>
        <w:t>Engineered pluripotent stem cells form somatic and germ cells that mimic a functional testis</w:t>
      </w:r>
    </w:p>
    <w:p>
      <w:pPr>
        <w:spacing w:before="120" w:after="120"/>
      </w:pPr>
      <w:r>
        <w:rPr>
          <w:sz w:val="18"/>
        </w:rPr>
        <w:t>——————————————————————————————————————————————————————————————————————</w:t>
      </w:r>
    </w:p>
    <w:p>
      <w:pPr>
        <w:spacing w:before="160" w:after="40" w:line="240" w:lineRule="auto"/>
      </w:pPr>
      <w:r>
        <w:rPr>
          <w:b/>
        </w:rPr>
        <w:t xml:space="preserve">[568] </w:t>
      </w:r>
      <w:hyperlink r:id="rId866">
        <w:r>
          <w:rPr>
            <w:color w:val="1155CC"/>
            <w:u w:val="single"/>
          </w:rPr>
          <w:t>将欧盟的树木一起计数</w:t>
        </w:r>
      </w:hyperlink>
    </w:p>
    <w:p>
      <w:pPr>
        <w:spacing w:before="0" w:after="80"/>
      </w:pPr>
      <w:r>
        <w:rPr>
          <w:i/>
          <w:sz w:val="20"/>
        </w:rPr>
        <w:t>EN: Counting trees together in the EU</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67">
        <w:r>
          <w:rPr>
            <w:color w:val="1155CC"/>
            <w:u w:val="single"/>
          </w:rPr>
          <w:t>10.1126/science.aee7957</w:t>
        </w:r>
      </w:hyperlink>
    </w:p>
    <w:p>
      <w:pPr>
        <w:spacing w:before="0" w:after="120"/>
      </w:pPr>
      <w:r>
        <w:rPr>
          <w:b/>
        </w:rPr>
        <w:t xml:space="preserve">Notes: </w:t>
      </w:r>
      <w:r>
        <w:t>abstract_source=crossref</w:t>
      </w:r>
    </w:p>
    <w:p>
      <w:pPr>
        <w:spacing w:before="0" w:after="80" w:lineRule="auto" w:line="276"/>
      </w:pPr>
      <w:r>
        <w:rPr>
          <w:b/>
        </w:rPr>
        <w:t xml:space="preserve">摘要（ZH）: </w:t>
      </w:r>
      <w:r>
        <w:t>作为欧洲联盟(欧盟)的执行机构,欧盟委员会长期以来一直寻求改善欧洲关键资源之一 — — 其森林 — — 的监测。 森林及其所面临的压力不需要承认政治边界,但监测是分散的、多样的,提供来自各成员国个别监测努力的过时、不完整的不协调信息。 然而,2025年后期,欧洲议会否决了旨在加强、统一和协调欧洲森林监测的拟议欧盟森林监测法。 尽管这一挫折,在欧盟规模上进行更好的监测和分析的必要性仍在增长。 创造可行和自下而上解决方案的新机遇出现。</w:t>
      </w:r>
    </w:p>
    <w:p>
      <w:pPr>
        <w:spacing w:before="0" w:after="200" w:lineRule="auto" w:line="276"/>
      </w:pPr>
      <w:r>
        <w:rPr>
          <w:b/>
        </w:rPr>
        <w:t xml:space="preserve">Abstract (EN): </w:t>
      </w:r>
      <w:r>
        <w:t>The European Commission, the executive body of the European Union (EU), has long sought to improve the monitoring of one of Europe’s critical resources, its forests. Forests and the pressures they face need not acknowledge political boundaries, yet monitoring is scattered and heterogeneous, delivering an uncoordinated patchwork of outdated, incomplete information from across member states’ individual monitoring efforts. However, in late 2025, the European Parliament rejected the proposed EU forest monitoring law that aimed at enhancing, harmonizing, and coordinating European forest monitoring. Despite this setback, the need for better monitoring and analysis at EU scale grows. New opportunities arise to create a workable and bottom-up solution.</w:t>
      </w:r>
    </w:p>
    <w:p>
      <w:pPr>
        <w:spacing w:before="120" w:after="120"/>
      </w:pPr>
      <w:r>
        <w:rPr>
          <w:sz w:val="18"/>
        </w:rPr>
        <w:t>——————————————————————————————————————————————————————————————————————</w:t>
      </w:r>
    </w:p>
    <w:p>
      <w:pPr>
        <w:spacing w:before="160" w:after="40" w:line="240" w:lineRule="auto"/>
      </w:pPr>
      <w:r>
        <w:rPr>
          <w:b/>
        </w:rPr>
        <w:t xml:space="preserve">[569] </w:t>
      </w:r>
      <w:hyperlink r:id="rId868">
        <w:r>
          <w:rPr>
            <w:color w:val="1155CC"/>
            <w:u w:val="single"/>
          </w:rPr>
          <w:t>挑战者</w:t>
        </w:r>
      </w:hyperlink>
    </w:p>
    <w:p>
      <w:pPr>
        <w:spacing w:before="0" w:after="80"/>
      </w:pPr>
      <w:r>
        <w:rPr>
          <w:i/>
          <w:sz w:val="20"/>
        </w:rPr>
        <w:t>EN: The challengers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69">
        <w:r>
          <w:rPr>
            <w:color w:val="1155CC"/>
            <w:u w:val="single"/>
          </w:rPr>
          <w:t>10.1126/science.aee7241</w:t>
        </w:r>
      </w:hyperlink>
    </w:p>
    <w:p>
      <w:pPr>
        <w:spacing w:before="0" w:after="120"/>
      </w:pPr>
      <w:r>
        <w:rPr>
          <w:b/>
        </w:rPr>
        <w:t xml:space="preserve">Notes: </w:t>
      </w:r>
      <w:r>
        <w:t>abstract_source=crossref</w:t>
      </w:r>
    </w:p>
    <w:p>
      <w:pPr>
        <w:spacing w:before="0" w:after="80" w:lineRule="auto" w:line="276"/>
      </w:pPr>
      <w:r>
        <w:rPr>
          <w:b/>
        </w:rPr>
        <w:t xml:space="preserve">摘要（ZH）: </w:t>
      </w:r>
      <w:r>
        <w:t>激进的反对正统教者在丰富的思想史中占据核心舞台</w:t>
      </w:r>
    </w:p>
    <w:p>
      <w:pPr>
        <w:spacing w:before="0" w:after="200" w:lineRule="auto" w:line="276"/>
      </w:pPr>
      <w:r>
        <w:rPr>
          <w:b/>
        </w:rPr>
        <w:t xml:space="preserve">Abstract (EN): </w:t>
      </w:r>
      <w:r>
        <w:t>Radical rejectors of orthodoxy take center stage in a rich history of ideas</w:t>
      </w:r>
    </w:p>
    <w:p>
      <w:pPr>
        <w:spacing w:before="120" w:after="120"/>
      </w:pPr>
      <w:r>
        <w:rPr>
          <w:sz w:val="18"/>
        </w:rPr>
        <w:t>——————————————————————————————————————————————————————————————————————</w:t>
      </w:r>
    </w:p>
    <w:p>
      <w:pPr>
        <w:spacing w:before="160" w:after="40" w:line="240" w:lineRule="auto"/>
      </w:pPr>
      <w:r>
        <w:rPr>
          <w:b/>
        </w:rPr>
        <w:t xml:space="preserve">[570] </w:t>
      </w:r>
      <w:hyperlink r:id="rId870">
        <w:r>
          <w:rPr>
            <w:color w:val="1155CC"/>
            <w:u w:val="single"/>
          </w:rPr>
          <w:t>谜题的伊斯麦文碑文</w:t>
        </w:r>
      </w:hyperlink>
    </w:p>
    <w:p>
      <w:pPr>
        <w:spacing w:before="0" w:after="80"/>
      </w:pPr>
      <w:r>
        <w:rPr>
          <w:i/>
          <w:sz w:val="20"/>
        </w:rPr>
        <w:t>EN: The enigmatic Isthmian inscriptions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71">
        <w:r>
          <w:rPr>
            <w:color w:val="1155CC"/>
            <w:u w:val="single"/>
          </w:rPr>
          <w:t>10.1126/science.aee2603</w:t>
        </w:r>
      </w:hyperlink>
    </w:p>
    <w:p>
      <w:pPr>
        <w:spacing w:before="0" w:after="120"/>
      </w:pPr>
      <w:r>
        <w:rPr>
          <w:b/>
        </w:rPr>
        <w:t xml:space="preserve">Notes: </w:t>
      </w:r>
      <w:r>
        <w:t>abstract_source=crossref</w:t>
      </w:r>
    </w:p>
    <w:p>
      <w:pPr>
        <w:spacing w:before="0" w:after="80" w:lineRule="auto" w:line="276"/>
      </w:pPr>
      <w:r>
        <w:rPr>
          <w:b/>
        </w:rPr>
        <w:t xml:space="preserve">摘要（ZH）: </w:t>
      </w:r>
      <w:r>
        <w:t>长期未破译的剧本重新受到关注,并有有争议的解释</w:t>
      </w:r>
    </w:p>
    <w:p>
      <w:pPr>
        <w:spacing w:before="0" w:after="200" w:lineRule="auto" w:line="276"/>
      </w:pPr>
      <w:r>
        <w:rPr>
          <w:b/>
        </w:rPr>
        <w:t xml:space="preserve">Abstract (EN): </w:t>
      </w:r>
      <w:r>
        <w:t>A long-undeciphered script receives renewed attention and a contested interpretation</w:t>
      </w:r>
    </w:p>
    <w:p>
      <w:pPr>
        <w:spacing w:before="120" w:after="120"/>
      </w:pPr>
      <w:r>
        <w:rPr>
          <w:sz w:val="18"/>
        </w:rPr>
        <w:t>——————————————————————————————————————————————————————————————————————</w:t>
      </w:r>
    </w:p>
    <w:p>
      <w:pPr>
        <w:spacing w:before="160" w:after="40" w:line="240" w:lineRule="auto"/>
      </w:pPr>
      <w:r>
        <w:rPr>
          <w:b/>
        </w:rPr>
        <w:t xml:space="preserve">[571] </w:t>
      </w:r>
      <w:hyperlink r:id="rId872">
        <w:r>
          <w:rPr>
            <w:color w:val="1155CC"/>
            <w:u w:val="single"/>
          </w:rPr>
          <w:t>有机分析器控制的立体定型选择性选择性头到尾宏观循环</w:t>
        </w:r>
      </w:hyperlink>
    </w:p>
    <w:p>
      <w:pPr>
        <w:spacing w:before="0" w:after="80"/>
      </w:pPr>
      <w:r>
        <w:rPr>
          <w:i/>
          <w:sz w:val="20"/>
        </w:rPr>
        <w:t>EN: Organocatalyst-controlled stereoselective head-to-tail macrocyclizations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73">
        <w:r>
          <w:rPr>
            <w:color w:val="1155CC"/>
            <w:u w:val="single"/>
          </w:rPr>
          <w:t>10.1126/science.aec8992</w:t>
        </w:r>
      </w:hyperlink>
    </w:p>
    <w:p>
      <w:pPr>
        <w:spacing w:before="0" w:after="120"/>
      </w:pPr>
      <w:r>
        <w:rPr>
          <w:b/>
        </w:rPr>
        <w:t xml:space="preserve">Notes: </w:t>
      </w:r>
      <w:r>
        <w:t>abstract_source=crossref</w:t>
      </w:r>
    </w:p>
    <w:p>
      <w:pPr>
        <w:spacing w:before="0" w:after="80" w:lineRule="auto" w:line="276"/>
      </w:pPr>
      <w:r>
        <w:rPr>
          <w:b/>
        </w:rPr>
        <w:t xml:space="preserve">摘要（ZH）: </w:t>
      </w:r>
      <w:r>
        <w:t>新药物的发现关键在于奇拉尔巨型循环,然而,它们的合成具有挑战性,通常需要经常在线性前体中安装立体化学特征。在本研究中,我们报告了一种由催化剂控制的立体选择性选择头到尾宏观循环。这种方法使用双功能铅化催化剂作为线性前体终端功能组的模板,从而有利于中间分子反应,并有利于对新兴立体中心的立体化学进行精细控制。从原性线性前体中获取12至18个由成员组成的大型环状内晶体和长方体。有机学甚至决定了手性线性前体循环的立体化学结果。这种催化学控制方法可以对正在形成的立体中心的立体化学学进行精细控制。</w:t>
      </w:r>
    </w:p>
    <w:p>
      <w:pPr>
        <w:spacing w:before="0" w:after="200" w:lineRule="auto" w:line="276"/>
      </w:pPr>
      <w:r>
        <w:rPr>
          <w:b/>
        </w:rPr>
        <w:t xml:space="preserve">Abstract (EN): </w:t>
      </w:r>
      <w:r>
        <w:t>Chiral macrocycles are key to the discovery of new medicines. Their synthesis is, however, challenging and typically requires the often-cumbersome installation of stereochemical features in a linear precursor. In this study, we report a catalyst-controlled stereoselective head-to-tail macrocyclization. The method utilizes a bifunctional peptide catalyst to template the terminal functional groups of the linear precursor, thereby favoring intra- over intermolecular reaction and enabling exquisite control over the stereochemistry of the emerging stereogenic centers. Diverse 12- to 18‐membered macrocyclic lactones and lactams were obtained from achiral linear precursors. The organocatalyst even dictates the stereochemical outcome upon cyclizing a chiral linear precursor. This catalyst-controlled stereoselective head-to-tail macrocyclization provides a practical route to chiral macrocycles with predictable stereochemical outcomes. The utility was highlighted by synthesizing the core of the natural product robotnikinin.</w:t>
      </w:r>
    </w:p>
    <w:p>
      <w:pPr>
        <w:spacing w:before="120" w:after="120"/>
      </w:pPr>
      <w:r>
        <w:rPr>
          <w:sz w:val="18"/>
        </w:rPr>
        <w:t>——————————————————————————————————————————————————————————————————————</w:t>
      </w:r>
    </w:p>
    <w:p>
      <w:pPr>
        <w:spacing w:before="160" w:after="40" w:line="240" w:lineRule="auto"/>
      </w:pPr>
      <w:r>
        <w:rPr>
          <w:b/>
        </w:rPr>
        <w:t xml:space="preserve">[572] </w:t>
      </w:r>
      <w:hyperlink r:id="rId874">
        <w:r>
          <w:rPr>
            <w:color w:val="1155CC"/>
            <w:u w:val="single"/>
          </w:rPr>
          <w:t>整合根根和喷射氮反应</w:t>
        </w:r>
      </w:hyperlink>
    </w:p>
    <w:p>
      <w:pPr>
        <w:spacing w:before="0" w:after="80"/>
      </w:pPr>
      <w:r>
        <w:rPr>
          <w:i/>
          <w:sz w:val="20"/>
        </w:rPr>
        <w:t>EN: Integrating root and shoot nitrogen responses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75">
        <w:r>
          <w:rPr>
            <w:color w:val="1155CC"/>
            <w:u w:val="single"/>
          </w:rPr>
          <w:t>10.1126/science.aef5612</w:t>
        </w:r>
      </w:hyperlink>
    </w:p>
    <w:p>
      <w:pPr>
        <w:spacing w:before="0" w:after="120"/>
      </w:pPr>
      <w:r>
        <w:rPr>
          <w:b/>
        </w:rPr>
        <w:t xml:space="preserve">Notes: </w:t>
      </w:r>
      <w:r>
        <w:t>abstract_source=crossref</w:t>
      </w:r>
    </w:p>
    <w:p>
      <w:pPr>
        <w:spacing w:before="0" w:after="80" w:lineRule="auto" w:line="276"/>
      </w:pPr>
      <w:r>
        <w:rPr>
          <w:b/>
        </w:rPr>
        <w:t xml:space="preserve">摘要（ZH）: </w:t>
      </w:r>
      <w:r>
        <w:t>转录系数可使高产水稻厂更有效地使用氮</w:t>
      </w:r>
    </w:p>
    <w:p>
      <w:pPr>
        <w:spacing w:before="0" w:after="200" w:lineRule="auto" w:line="276"/>
      </w:pPr>
      <w:r>
        <w:rPr>
          <w:b/>
        </w:rPr>
        <w:t xml:space="preserve">Abstract (EN): </w:t>
      </w:r>
      <w:r>
        <w:t>A transcription factor may enable high-yield rice plants to use nitrogen more efficiently</w:t>
      </w:r>
    </w:p>
    <w:p>
      <w:pPr>
        <w:spacing w:before="120" w:after="120"/>
      </w:pPr>
      <w:r>
        <w:rPr>
          <w:sz w:val="18"/>
        </w:rPr>
        <w:t>——————————————————————————————————————————————————————————————————————</w:t>
      </w:r>
    </w:p>
    <w:p>
      <w:pPr>
        <w:spacing w:before="160" w:after="40" w:line="240" w:lineRule="auto"/>
      </w:pPr>
      <w:r>
        <w:rPr>
          <w:b/>
        </w:rPr>
        <w:t xml:space="preserve">[573] </w:t>
      </w:r>
      <w:hyperlink r:id="rId876">
        <w:r>
          <w:rPr>
            <w:color w:val="1155CC"/>
            <w:u w:val="single"/>
          </w:rPr>
          <w:t>OsWRI1a协调对大米氮供应的系统性增长对策</w:t>
        </w:r>
      </w:hyperlink>
    </w:p>
    <w:p>
      <w:pPr>
        <w:spacing w:before="0" w:after="80"/>
      </w:pPr>
      <w:r>
        <w:rPr>
          <w:i/>
          <w:sz w:val="20"/>
        </w:rPr>
        <w:t>EN: OsWRI1a coordinates systemic growth responses to nitrogen availability in rice</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77">
        <w:r>
          <w:rPr>
            <w:color w:val="1155CC"/>
            <w:u w:val="single"/>
          </w:rPr>
          <w:t>10.1126/science.aeb8384</w:t>
        </w:r>
      </w:hyperlink>
    </w:p>
    <w:p>
      <w:pPr>
        <w:spacing w:before="0" w:after="120"/>
      </w:pPr>
      <w:r>
        <w:rPr>
          <w:b/>
        </w:rPr>
        <w:t xml:space="preserve">Notes: </w:t>
      </w:r>
      <w:r>
        <w:t>abstract_source=crossref</w:t>
      </w:r>
    </w:p>
    <w:p>
      <w:pPr>
        <w:spacing w:before="0" w:after="80" w:lineRule="auto" w:line="276"/>
      </w:pPr>
      <w:r>
        <w:rPr>
          <w:b/>
        </w:rPr>
        <w:t xml:space="preserve">摘要（ZH）: </w:t>
      </w:r>
      <w:r>
        <w:t>氮( N)缺乏 — — 植物根对管生物量比率的上升在自然上是适应性的,但对于农业来说并不理想。 了解指导这种发展型塑料化的监管机制可以帮助改善作物效绩,同时减少化肥施用。 我们确定OsWRI1a(WRIKLED1a)为协调水稻根的监管枢纽,并根据外部N供应情况进行增长,从而稳定根对管比率。 在根中,OsWRI1a通过促进助产积累来增强N反应型发展。 与此同时,拍摄OsWRI1a刺激耕机开发,从而拍摄生长。 我们确定了一个精英OsWRI1a 机头型,它能最大限度地减少N不足下根对射管比率的波动,改善N-u。</w:t>
      </w:r>
    </w:p>
    <w:p>
      <w:pPr>
        <w:spacing w:before="0" w:after="200" w:lineRule="auto" w:line="276"/>
      </w:pPr>
      <w:r>
        <w:rPr>
          <w:b/>
        </w:rPr>
        <w:t xml:space="preserve">Abstract (EN): </w:t>
      </w:r>
      <w:r>
        <w:t>Nitrogen (N) deficiency–induced increases in the root-to-shoot biomass ratio in plants are adaptive in nature but suboptimal for agriculture. Understanding the regulatory mechanisms governing this developmental plasticity could help improve crop performance while reducing fertilizer application. We identified OsWRI1a (WRINKLED1a) as a regulatory hub coordinating rice root and shoot growth in response to external N supply, thereby stabilizing the root-to-shoot ratio. In roots, OsWRI1a enhances N-responsive development by promoting auxin accumulation. Meanwhile, shoot OsWRI1a stimulates tiller development and therefore shoot growth. We identified an elite</w:t>
      </w:r>
      <w:r>
        <w:t xml:space="preserve"> </w:t>
      </w:r>
      <w:r>
        <w:t>OsWRI1a</w:t>
      </w:r>
      <w:r>
        <w:t xml:space="preserve"> </w:t>
      </w:r>
      <w:r>
        <w:t>haplotype that minimizes root-to-shoot ratio fluctuation under N deficiency, improving N-use efficiency and grain yield. Our findings reveal a central mechanism coordinating N-responsive growth allocation for sustainable agriculture.</w:t>
      </w:r>
    </w:p>
    <w:p>
      <w:pPr>
        <w:spacing w:before="120" w:after="120"/>
      </w:pPr>
      <w:r>
        <w:rPr>
          <w:sz w:val="18"/>
        </w:rPr>
        <w:t>——————————————————————————————————————————————————————————————————————</w:t>
      </w:r>
    </w:p>
    <w:p>
      <w:pPr>
        <w:spacing w:before="160" w:after="40" w:line="240" w:lineRule="auto"/>
      </w:pPr>
      <w:r>
        <w:rPr>
          <w:b/>
        </w:rPr>
        <w:t xml:space="preserve">[574] </w:t>
      </w:r>
      <w:hyperlink r:id="rId878">
        <w:r>
          <w:rPr>
            <w:color w:val="1155CC"/>
            <w:u w:val="single"/>
          </w:rPr>
          <w:t>治理黑人家庭对医学的不信任</w:t>
        </w:r>
      </w:hyperlink>
    </w:p>
    <w:p>
      <w:pPr>
        <w:spacing w:before="0" w:after="80"/>
      </w:pPr>
      <w:r>
        <w:rPr>
          <w:i/>
          <w:sz w:val="20"/>
        </w:rPr>
        <w:t>EN: Curing a Black family’s distrust in medicine</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79">
        <w:r>
          <w:rPr>
            <w:color w:val="1155CC"/>
            <w:u w:val="single"/>
          </w:rPr>
          <w:t>10.1126/science.aeb4867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[575] </w:t>
      </w:r>
      <w:hyperlink r:id="rId880">
        <w:r>
          <w:rPr>
            <w:color w:val="1155CC"/>
            <w:u w:val="single"/>
          </w:rPr>
          <w:t>尼安德特人和现代人类之间的干涉行为具有强烈的性别偏见</w:t>
        </w:r>
      </w:hyperlink>
    </w:p>
    <w:p>
      <w:pPr>
        <w:spacing w:before="0" w:after="80"/>
      </w:pPr>
      <w:r>
        <w:rPr>
          <w:i/>
          <w:sz w:val="20"/>
        </w:rPr>
        <w:t>EN: Interbreeding between Neanderthals and modern humans was strongly sex biased</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81">
        <w:r>
          <w:rPr>
            <w:color w:val="1155CC"/>
            <w:u w:val="single"/>
          </w:rPr>
          <w:t>10.1126/science.aea6774</w:t>
        </w:r>
      </w:hyperlink>
    </w:p>
    <w:p>
      <w:pPr>
        <w:spacing w:before="0" w:after="120"/>
      </w:pPr>
      <w:r>
        <w:rPr>
          <w:b/>
        </w:rPr>
        <w:t xml:space="preserve">Notes: </w:t>
      </w:r>
      <w:r>
        <w:t>abstract_source=crossref</w:t>
      </w:r>
    </w:p>
    <w:p>
      <w:pPr>
        <w:spacing w:before="0" w:after="80" w:lineRule="auto" w:line="276"/>
      </w:pPr>
      <w:r>
        <w:rPr>
          <w:b/>
        </w:rPr>
        <w:t xml:space="preserve">摘要（ZH）: </w:t>
      </w:r>
      <w:r>
        <w:t>对于尼安德特人和现代解剖人类之间的结合,提出了性别偏见,作为现代人类X染色体相对缺乏尼安德特人祖先的原因,而现代人类异性体则相对缺乏尼安德特人祖先的原因。通过观察到尼安德特人X染色体的AMH祖先相对超过62%,我们把这两个群体之间的相互交织定性为以男性为主的尼安德特人与女性AMH人为主。分析与数字模型显示,伴侣偏好是性别偏见的一个比纯人口过程更相似的原因,而纯人口过程的男女移徙模式不同。</w:t>
      </w:r>
    </w:p>
    <w:p>
      <w:pPr>
        <w:spacing w:before="0" w:after="200" w:lineRule="auto" w:line="276"/>
      </w:pPr>
      <w:r>
        <w:rPr>
          <w:b/>
        </w:rPr>
        <w:t xml:space="preserve">Abstract (EN): </w:t>
      </w:r>
      <w:r>
        <w:t>Sex biases in admixture and other demographic processes are recurrent features throughout human evolution. For admixture between Neanderthals and anatomically modern humans (AMHs), sex bias has been proposed as an explanation for the relative lack of Neanderthal ancestry in modern human X chromosomes compared with that in modern human autosomes. By observing a 62% relative excess of AMH ancestry in Neanderthal X chromosomes, we characterized the interbreeding between the two groups as predominantly male Neanderthals with female AMHs. Analytic and numerical modeling presents mate preference as a more parsimonious cause of the sex bias than purely demographic processes with differential patterns of male and female migration.</w:t>
      </w:r>
    </w:p>
    <w:p>
      <w:pPr>
        <w:spacing w:before="120" w:after="120"/>
      </w:pPr>
      <w:r>
        <w:rPr>
          <w:sz w:val="18"/>
        </w:rPr>
        <w:t>——————————————————————————————————————————————————————————————————————</w:t>
      </w:r>
    </w:p>
    <w:p>
      <w:pPr>
        <w:spacing w:before="160" w:after="40" w:line="240" w:lineRule="auto"/>
      </w:pPr>
      <w:r>
        <w:rPr>
          <w:b/>
        </w:rPr>
        <w:t xml:space="preserve">[576] </w:t>
      </w:r>
      <w:hyperlink r:id="rId882">
        <w:r>
          <w:rPr>
            <w:color w:val="1155CC"/>
            <w:u w:val="single"/>
          </w:rPr>
          <w:t>氢氧化氧界面稳定,以实现高效、光液稳定、热热液稳定的千伏伏丁酯太阳能电池</w:t>
        </w:r>
      </w:hyperlink>
    </w:p>
    <w:p>
      <w:pPr>
        <w:spacing w:before="0" w:after="80"/>
      </w:pPr>
      <w:r>
        <w:rPr>
          <w:i/>
          <w:sz w:val="20"/>
        </w:rPr>
        <w:t>EN: Hafnium oxide interface stabilization for efficient, photothermally stable perovskite solar cells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83">
        <w:r>
          <w:rPr>
            <w:color w:val="1155CC"/>
            <w:u w:val="single"/>
          </w:rPr>
          <w:t>10.1126/science.aea3339</w:t>
        </w:r>
      </w:hyperlink>
    </w:p>
    <w:p>
      <w:pPr>
        <w:spacing w:before="0" w:after="120"/>
      </w:pPr>
      <w:r>
        <w:rPr>
          <w:b/>
        </w:rPr>
        <w:t xml:space="preserve">Notes: </w:t>
      </w:r>
      <w:r>
        <w:t>abstract_source=crossref</w:t>
      </w:r>
    </w:p>
    <w:p>
      <w:pPr>
        <w:spacing w:before="0" w:after="80" w:lineRule="auto" w:line="276"/>
      </w:pPr>
      <w:r>
        <w:rPr>
          <w:b/>
        </w:rPr>
        <w:t xml:space="preserve">摘要（ZH）: </w:t>
      </w:r>
      <w:r>
        <w:t>使用原子层沉积来沉积氧化(HfO x )在操作压力下稳定这些分子界面。 在NiO x /自组装单层(SAM)界面上,一种氢氧化铀富含性、刘易辛酸n-HfO x 层(不表示负固定电荷极)促进三分位磷酸coardin 。</w:t>
      </w:r>
    </w:p>
    <w:p>
      <w:pPr>
        <w:spacing w:before="0" w:after="200" w:lineRule="auto" w:line="276"/>
      </w:pPr>
      <w:r>
        <w:rPr>
          <w:b/>
        </w:rPr>
        <w:t xml:space="preserve">Abstract (EN): </w:t>
      </w:r>
      <w:r>
        <w:t>Organic molecular layers at both hole- and electron-selective interfaces are essential for achieving high-efficiency perovskite solar cells, yet their limited photothermal stability hinders long-term device operation. We used atomic layer deposition to deposit hafnium oxide (HfO</w:t>
      </w:r>
      <w:r>
        <w:t xml:space="preserve"> </w:t>
      </w:r>
      <w:r>
        <w:t>x</w:t>
      </w:r>
      <w:r>
        <w:t xml:space="preserve"> </w:t>
      </w:r>
      <w:r>
        <w:t>) interlayers to stabilize these molecular interfaces under operational stress. At the NiO</w:t>
      </w:r>
      <w:r>
        <w:t xml:space="preserve"> </w:t>
      </w:r>
      <w:r>
        <w:t>x</w:t>
      </w:r>
      <w:r>
        <w:t xml:space="preserve"> </w:t>
      </w:r>
      <w:r>
        <w:t>/self-assembled monolayer (SAM) interface, a hydroxyl-rich, Lewis-acidic n-HfO</w:t>
      </w:r>
      <w:r>
        <w:t xml:space="preserve"> </w:t>
      </w:r>
      <w:r>
        <w:t>x</w:t>
      </w:r>
      <w:r>
        <w:t xml:space="preserve"> </w:t>
      </w:r>
      <w:r>
        <w:t>layer (n denotes negative fixed-charge polarity) promoted tridentate phosphonic acid coordination and enhanced SAM retention and thermal durability. At the perovskite/C</w:t>
      </w:r>
      <w:r>
        <w:rPr>
          <w:vertAlign w:val="subscript"/>
        </w:rPr>
        <w:t>60</w:t>
      </w:r>
      <w:r>
        <w:t>interface, the p-HfO</w:t>
      </w:r>
      <w:r>
        <w:t xml:space="preserve"> </w:t>
      </w:r>
      <w:r>
        <w:t>x</w:t>
      </w:r>
      <w:r>
        <w:t xml:space="preserve"> </w:t>
      </w:r>
      <w:r>
        <w:t>layer (p denotes positive fixed-charge polarity) anchored 3-fluorophenylethylammonium iodide (3F-PEAI) through Hf⋯F interactions that also acted as a diffusion barrier against halide- and silver-ion migration. Devices achieved a power conversion efficiency of 27.1% (26.6% certified) and retained more than 90% of their initial efficiency for ~5000 hours under 1-sun equivalent illumination at 85°C in ambient air.</w:t>
      </w:r>
    </w:p>
    <w:p>
      <w:pPr>
        <w:spacing w:before="120" w:after="120"/>
      </w:pPr>
      <w:r>
        <w:rPr>
          <w:sz w:val="18"/>
        </w:rPr>
        <w:t>——————————————————————————————————————————————————————————————————————</w:t>
      </w:r>
    </w:p>
    <w:p>
      <w:pPr>
        <w:spacing w:before="160" w:after="40" w:line="240" w:lineRule="auto"/>
      </w:pPr>
      <w:r>
        <w:rPr>
          <w:b/>
        </w:rPr>
        <w:t xml:space="preserve">[577] </w:t>
      </w:r>
      <w:hyperlink r:id="rId884">
        <w:r>
          <w:rPr>
            <w:color w:val="1155CC"/>
            <w:u w:val="single"/>
          </w:rPr>
          <w:t>敏感 CAR T 细胞重新定义固态肿瘤中可瞄准的 CD70 表达式</w:t>
        </w:r>
      </w:hyperlink>
    </w:p>
    <w:p>
      <w:pPr>
        <w:spacing w:before="0" w:after="80"/>
      </w:pPr>
      <w:r>
        <w:rPr>
          <w:i/>
          <w:sz w:val="20"/>
        </w:rPr>
        <w:t>EN: Sensitive CAR T cells redefine targetable CD70 expression in solid tumors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85">
        <w:r>
          <w:rPr>
            <w:color w:val="1155CC"/>
            <w:u w:val="single"/>
          </w:rPr>
          <w:t>10.1126/science.adv7378</w:t>
        </w:r>
      </w:hyperlink>
    </w:p>
    <w:p>
      <w:pPr>
        <w:spacing w:before="0" w:after="120"/>
      </w:pPr>
      <w:r>
        <w:rPr>
          <w:b/>
        </w:rPr>
        <w:t xml:space="preserve">Notes: </w:t>
      </w:r>
      <w:r>
        <w:t>abstract_source=crossref</w:t>
      </w:r>
    </w:p>
    <w:p>
      <w:pPr>
        <w:spacing w:before="0" w:after="80" w:lineRule="auto" w:line="276"/>
      </w:pPr>
      <w:r>
        <w:rPr>
          <w:b/>
        </w:rPr>
        <w:t xml:space="preserve">摘要（ZH）: </w:t>
      </w:r>
      <w:r>
        <w:t>固态肿瘤抗原异性是癌症免疫疗法的一大挑战,包括乳腺抗原受体T细胞。与B细胞的CD19不同,没有找到固态肿瘤中泛细胞表达和正常生命细胞缺位的目标。CD70是一个很有希望的候选对象,生理上仅限于免疫细胞子集,而在许多癌症中则有反常表现。我们显示,肿瘤中的各种CD70表达方式在细胞中受到内向性调节,从高到极低不等,从个别细胞中呈现出负面的常规检测方法。我们利用高度敏感的CD70受体、HLA依赖T细胞(HIT)表达CD80和4-1BBL的受体来进行成本模拟,我们有效地消除了CD70-遗传性肿瘤,这些肿瘤避开了原型CAR T细胞。</w:t>
      </w:r>
    </w:p>
    <w:p>
      <w:pPr>
        <w:spacing w:before="0" w:after="200" w:lineRule="auto" w:line="276"/>
      </w:pPr>
      <w:r>
        <w:rPr>
          <w:b/>
        </w:rPr>
        <w:t xml:space="preserve">Abstract (EN): </w:t>
      </w:r>
      <w:r>
        <w:t>Solid tumor antigen heterogeneity is a major challenge for cancer immunotherapies, including chimeric antigen receptor (CAR) T cells. Unlike CD19 for B cell malignancies, no target with pan-cellular expression in solid tumors and absence in normal vital cells has been identified. CD70 is a promising candidate, physiologically confined to immune cell subsets and aberrantly expressed in many cancers. We show that heterogeneous CD70 expression in tumors is epigenetically regulated, ranging from high to very low in individual cells, appearing negative by conventional detection methods. Using a highly sensitive CD70 receptor, HLA-independent T cell (HIT) receptor coexpressing CD80 and 4-1BBL for costimulation, we efficiently eliminated CD70-heterogeneous tumors that evade prototypic CAR T cells. These findings provide a potential strategy to treat a broad range of solid tumors.</w:t>
      </w:r>
    </w:p>
    <w:p>
      <w:pPr>
        <w:spacing w:before="120" w:after="120"/>
      </w:pPr>
      <w:r>
        <w:rPr>
          <w:sz w:val="18"/>
        </w:rPr>
        <w:t>——————————————————————————————————————————————————————————————————————</w:t>
      </w:r>
    </w:p>
    <w:p>
      <w:pPr>
        <w:spacing w:before="160" w:after="40" w:line="240" w:lineRule="auto"/>
      </w:pPr>
      <w:r>
        <w:rPr>
          <w:b/>
        </w:rPr>
        <w:t xml:space="preserve">[578] </w:t>
      </w:r>
      <w:hyperlink r:id="rId886">
        <w:r>
          <w:rPr>
            <w:color w:val="1155CC"/>
            <w:u w:val="single"/>
          </w:rPr>
          <w:t>保险中的遗传信息:国家监管的指导性问题</w:t>
        </w:r>
      </w:hyperlink>
    </w:p>
    <w:p>
      <w:pPr>
        <w:spacing w:before="0" w:after="80"/>
      </w:pPr>
      <w:r>
        <w:rPr>
          <w:i/>
          <w:sz w:val="20"/>
        </w:rPr>
        <w:t>EN: Genetic information in insurance: Guiding questions for state regulation</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87">
        <w:r>
          <w:rPr>
            <w:color w:val="1155CC"/>
            <w:u w:val="single"/>
          </w:rPr>
          <w:t>10.1126/science.aee2317</w:t>
        </w:r>
      </w:hyperlink>
    </w:p>
    <w:p>
      <w:pPr>
        <w:spacing w:before="0" w:after="120"/>
      </w:pPr>
      <w:r>
        <w:rPr>
          <w:b/>
        </w:rPr>
        <w:t xml:space="preserve">Notes: </w:t>
      </w:r>
      <w:r>
        <w:t>abstract_source=crossref</w:t>
      </w:r>
    </w:p>
    <w:p>
      <w:pPr>
        <w:spacing w:before="0" w:after="80" w:lineRule="auto" w:line="276"/>
      </w:pPr>
      <w:r>
        <w:rPr>
          <w:b/>
        </w:rPr>
        <w:t xml:space="preserve">摘要（ZH）: </w:t>
      </w:r>
      <w:r>
        <w:t>许多立法工作未能充分解决公众对保险中遗传歧视的关切</w:t>
      </w:r>
    </w:p>
    <w:p>
      <w:pPr>
        <w:spacing w:before="0" w:after="200" w:lineRule="auto" w:line="276"/>
      </w:pPr>
      <w:r>
        <w:rPr>
          <w:b/>
        </w:rPr>
        <w:t xml:space="preserve">Abstract (EN): </w:t>
      </w:r>
      <w:r>
        <w:t>Many legislative efforts do not adequately address public concerns of genetic discrimination in insurance</w:t>
      </w:r>
    </w:p>
    <w:p>
      <w:pPr>
        <w:spacing w:before="120" w:after="120"/>
      </w:pPr>
      <w:r>
        <w:rPr>
          <w:sz w:val="18"/>
        </w:rPr>
        <w:t>——————————————————————————————————————————————————————————————————————</w:t>
      </w:r>
    </w:p>
    <w:p>
      <w:pPr>
        <w:spacing w:before="160" w:after="40" w:line="240" w:lineRule="auto"/>
      </w:pPr>
      <w:r>
        <w:rPr>
          <w:b/>
        </w:rPr>
        <w:t xml:space="preserve">[579] </w:t>
      </w:r>
      <w:hyperlink r:id="rId888">
        <w:r>
          <w:rPr>
            <w:color w:val="1155CC"/>
            <w:u w:val="single"/>
          </w:rPr>
          <w:t>两个自由的端可以匹配</w:t>
        </w:r>
      </w:hyperlink>
    </w:p>
    <w:p>
      <w:pPr>
        <w:spacing w:before="0" w:after="80"/>
      </w:pPr>
      <w:r>
        <w:rPr>
          <w:i/>
          <w:sz w:val="20"/>
        </w:rPr>
        <w:t>EN: Two free ends make a match</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89">
        <w:r>
          <w:rPr>
            <w:color w:val="1155CC"/>
            <w:u w:val="single"/>
          </w:rPr>
          <w:t>10.1126/science.aef5647</w:t>
        </w:r>
      </w:hyperlink>
    </w:p>
    <w:p>
      <w:pPr>
        <w:spacing w:before="0" w:after="120"/>
      </w:pPr>
      <w:r>
        <w:rPr>
          <w:b/>
        </w:rPr>
        <w:t xml:space="preserve">Notes: </w:t>
      </w:r>
      <w:r>
        <w:t>abstract_source=crossref</w:t>
      </w:r>
    </w:p>
    <w:p>
      <w:pPr>
        <w:spacing w:before="0" w:after="80" w:lineRule="auto" w:line="276"/>
      </w:pPr>
      <w:r>
        <w:rPr>
          <w:b/>
        </w:rPr>
        <w:t xml:space="preserve">摘要（ZH）: </w:t>
      </w:r>
      <w:r>
        <w:t>铅化催化剂通过两种同步反应 将线分子变成环状</w:t>
      </w:r>
    </w:p>
    <w:p>
      <w:pPr>
        <w:spacing w:before="0" w:after="200" w:lineRule="auto" w:line="276"/>
      </w:pPr>
      <w:r>
        <w:rPr>
          <w:b/>
        </w:rPr>
        <w:t xml:space="preserve">Abstract (EN): </w:t>
      </w:r>
      <w:r>
        <w:t>A peptide catalyst turns a linear molecule into a ring through two synchronous reactions</w:t>
      </w:r>
    </w:p>
    <w:p>
      <w:pPr>
        <w:spacing w:before="120" w:after="120"/>
      </w:pPr>
      <w:r>
        <w:rPr>
          <w:sz w:val="18"/>
        </w:rPr>
        <w:t>——————————————————————————————————————————————————————————————————————</w:t>
      </w:r>
    </w:p>
    <w:p>
      <w:pPr>
        <w:spacing w:before="160" w:after="40" w:line="240" w:lineRule="auto"/>
      </w:pPr>
      <w:r>
        <w:rPr>
          <w:b/>
        </w:rPr>
        <w:t xml:space="preserve">[580] </w:t>
      </w:r>
      <w:hyperlink r:id="rId890">
        <w:r>
          <w:rPr>
            <w:color w:val="1155CC"/>
            <w:u w:val="single"/>
          </w:rPr>
          <w:t>跨器官的染色素动态形状</w:t>
        </w:r>
      </w:hyperlink>
    </w:p>
    <w:p>
      <w:pPr>
        <w:spacing w:before="0" w:after="80"/>
      </w:pPr>
      <w:r>
        <w:rPr>
          <w:i/>
          <w:sz w:val="20"/>
        </w:rPr>
        <w:t>EN: Chromatin dynamics shape aging across organs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91">
        <w:r>
          <w:rPr>
            <w:color w:val="1155CC"/>
            <w:u w:val="single"/>
          </w:rPr>
          <w:t>10.1126/science.aef5650</w:t>
        </w:r>
      </w:hyperlink>
    </w:p>
    <w:p>
      <w:pPr>
        <w:spacing w:before="0" w:after="120"/>
      </w:pPr>
      <w:r>
        <w:rPr>
          <w:b/>
        </w:rPr>
        <w:t xml:space="preserve">Notes: </w:t>
      </w:r>
      <w:r>
        <w:t>abstract_source=crossref</w:t>
      </w:r>
    </w:p>
    <w:p>
      <w:pPr>
        <w:spacing w:before="0" w:after="80" w:lineRule="auto" w:line="276"/>
      </w:pPr>
      <w:r>
        <w:rPr>
          <w:b/>
        </w:rPr>
        <w:t xml:space="preserve">摘要（ZH）: </w:t>
      </w:r>
      <w:r>
        <w:t>与年龄有关的染色体改造包括跨细胞类型、性别和器官的共享和具体签名。</w:t>
      </w:r>
    </w:p>
    <w:p>
      <w:pPr>
        <w:spacing w:before="0" w:after="200" w:lineRule="auto" w:line="276"/>
      </w:pPr>
      <w:r>
        <w:rPr>
          <w:b/>
        </w:rPr>
        <w:t xml:space="preserve">Abstract (EN): </w:t>
      </w:r>
      <w:r>
        <w:t>Age-related chromatin remodeling includes shared and specific signatures across cell types, sex, and organs</w:t>
      </w:r>
    </w:p>
    <w:p>
      <w:pPr>
        <w:spacing w:before="120" w:after="120"/>
      </w:pPr>
      <w:r>
        <w:rPr>
          <w:sz w:val="18"/>
        </w:rPr>
        <w:t>——————————————————————————————————————————————————————————————————————</w:t>
      </w:r>
    </w:p>
    <w:p>
      <w:pPr>
        <w:spacing w:before="160" w:after="40" w:line="240" w:lineRule="auto"/>
      </w:pPr>
      <w:r>
        <w:rPr>
          <w:b/>
        </w:rPr>
        <w:t xml:space="preserve">[581] </w:t>
      </w:r>
      <w:hyperlink r:id="rId892">
        <w:r>
          <w:rPr>
            <w:color w:val="1155CC"/>
            <w:u w:val="single"/>
          </w:rPr>
          <w:t>深空特派团的医疗准备情况</w:t>
        </w:r>
      </w:hyperlink>
    </w:p>
    <w:p>
      <w:pPr>
        <w:spacing w:before="0" w:after="80"/>
      </w:pPr>
      <w:r>
        <w:rPr>
          <w:i/>
          <w:sz w:val="20"/>
        </w:rPr>
        <w:t>EN: Medical preparedness in deep-space missions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93">
        <w:r>
          <w:rPr>
            <w:color w:val="1155CC"/>
            <w:u w:val="single"/>
          </w:rPr>
          <w:t>10.1126/science.aef9576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[582] </w:t>
      </w:r>
      <w:hyperlink r:id="rId894">
        <w:r>
          <w:rPr>
            <w:color w:val="1155CC"/>
            <w:u w:val="single"/>
          </w:rPr>
          <w:t>数据显示,2025年全国卫生研究所供资成功率急剧下降。</w:t>
        </w:r>
      </w:hyperlink>
    </w:p>
    <w:p>
      <w:pPr>
        <w:spacing w:before="0" w:after="80"/>
      </w:pPr>
      <w:r>
        <w:rPr>
          <w:i/>
          <w:sz w:val="20"/>
        </w:rPr>
        <w:t>EN: Data show sharp drops in NIH funding success in 2025</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95">
        <w:r>
          <w:rPr>
            <w:color w:val="1155CC"/>
            <w:u w:val="single"/>
          </w:rPr>
          <w:t>10.1126/science.aeg7168</w:t>
        </w:r>
      </w:hyperlink>
    </w:p>
    <w:p>
      <w:pPr>
        <w:spacing w:before="0" w:after="120"/>
      </w:pPr>
      <w:r>
        <w:rPr>
          <w:b/>
        </w:rPr>
        <w:t xml:space="preserve">Notes: </w:t>
      </w:r>
      <w:r>
        <w:t>abstract_source=crossref</w:t>
      </w:r>
    </w:p>
    <w:p>
      <w:pPr>
        <w:spacing w:before="0" w:after="80" w:lineRule="auto" w:line="276"/>
      </w:pPr>
      <w:r>
        <w:rPr>
          <w:b/>
        </w:rPr>
        <w:t xml:space="preserve">摘要（ZH）: </w:t>
      </w:r>
      <w:r>
        <w:t>年轻调查员由于白宫强加的多年供资政策而失去工作</w:t>
      </w:r>
    </w:p>
    <w:p>
      <w:pPr>
        <w:spacing w:before="0" w:after="200" w:lineRule="auto" w:line="276"/>
      </w:pPr>
      <w:r>
        <w:rPr>
          <w:b/>
        </w:rPr>
        <w:t xml:space="preserve">Abstract (EN): </w:t>
      </w:r>
      <w:r>
        <w:t>Young investigators lose out as result of multiyear funding policy imposed by White House</w:t>
      </w:r>
    </w:p>
    <w:p>
      <w:pPr>
        <w:spacing w:before="120" w:after="120"/>
      </w:pPr>
      <w:r>
        <w:rPr>
          <w:sz w:val="18"/>
        </w:rPr>
        <w:t>——————————————————————————————————————————————————————————————————————</w:t>
      </w:r>
    </w:p>
    <w:p>
      <w:pPr>
        <w:spacing w:before="160" w:after="40" w:line="240" w:lineRule="auto"/>
      </w:pPr>
      <w:r>
        <w:rPr>
          <w:b/>
        </w:rPr>
        <w:t xml:space="preserve">[583] </w:t>
      </w:r>
      <w:hyperlink r:id="rId896">
        <w:r>
          <w:rPr>
            <w:color w:val="1155CC"/>
            <w:u w:val="single"/>
          </w:rPr>
          <w:t>被提名在机构动员中领导国家战略框架的投资者</w:t>
        </w:r>
      </w:hyperlink>
    </w:p>
    <w:p>
      <w:pPr>
        <w:spacing w:before="0" w:after="80"/>
      </w:pPr>
      <w:r>
        <w:rPr>
          <w:i/>
          <w:sz w:val="20"/>
        </w:rPr>
        <w:t>EN: Investor nominated to head NSF in agency shake-up</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97">
        <w:r>
          <w:rPr>
            <w:color w:val="1155CC"/>
            <w:u w:val="single"/>
          </w:rPr>
          <w:t>10.1126/science.aeg7166</w:t>
        </w:r>
      </w:hyperlink>
    </w:p>
    <w:p>
      <w:pPr>
        <w:spacing w:before="0" w:after="120"/>
      </w:pPr>
      <w:r>
        <w:rPr>
          <w:b/>
        </w:rPr>
        <w:t xml:space="preserve">Notes: </w:t>
      </w:r>
      <w:r>
        <w:t>abstract_source=crossref</w:t>
      </w:r>
    </w:p>
    <w:p>
      <w:pPr>
        <w:spacing w:before="0" w:after="80" w:lineRule="auto" w:line="276"/>
      </w:pPr>
      <w:r>
        <w:rPr>
          <w:b/>
        </w:rPr>
        <w:t xml:space="preserve">摘要（ZH）: </w:t>
      </w:r>
      <w:r>
        <w:t>由全国卫生局局长填补。</w:t>
      </w:r>
    </w:p>
    <w:p>
      <w:pPr>
        <w:spacing w:before="0" w:after="200" w:lineRule="auto" w:line="276"/>
      </w:pPr>
      <w:r>
        <w:rPr>
          <w:b/>
        </w:rPr>
        <w:t xml:space="preserve">Abstract (EN): </w:t>
      </w:r>
      <w:r>
        <w:t>Move leaves CDC leadership vacancy—to be filled by NIH director</w:t>
      </w:r>
    </w:p>
    <w:p>
      <w:pPr>
        <w:spacing w:before="120" w:after="120"/>
      </w:pPr>
      <w:r>
        <w:rPr>
          <w:sz w:val="18"/>
        </w:rPr>
        <w:t>——————————————————————————————————————————————————————————————————————</w:t>
      </w:r>
    </w:p>
    <w:p>
      <w:pPr>
        <w:spacing w:before="160" w:after="40" w:line="240" w:lineRule="auto"/>
      </w:pPr>
      <w:r>
        <w:rPr>
          <w:b/>
        </w:rPr>
        <w:t xml:space="preserve">[584] </w:t>
      </w:r>
      <w:hyperlink r:id="rId898">
        <w:r>
          <w:rPr>
            <w:color w:val="1155CC"/>
            <w:u w:val="single"/>
          </w:rPr>
          <w:t>与现代人类女性相配的尼安德特男性</w:t>
        </w:r>
      </w:hyperlink>
    </w:p>
    <w:p>
      <w:pPr>
        <w:spacing w:before="0" w:after="80"/>
      </w:pPr>
      <w:r>
        <w:rPr>
          <w:i/>
          <w:sz w:val="20"/>
        </w:rPr>
        <w:t>EN: Neanderthal males paired with modern human females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899">
        <w:r>
          <w:rPr>
            <w:color w:val="1155CC"/>
            <w:u w:val="single"/>
          </w:rPr>
          <w:t>10.1126/science.aeg7164</w:t>
        </w:r>
      </w:hyperlink>
    </w:p>
    <w:p>
      <w:pPr>
        <w:spacing w:before="0" w:after="120"/>
      </w:pPr>
      <w:r>
        <w:rPr>
          <w:b/>
        </w:rPr>
        <w:t xml:space="preserve">Notes: </w:t>
      </w:r>
      <w:r>
        <w:t>abstract_source=crossref</w:t>
      </w:r>
    </w:p>
    <w:p>
      <w:pPr>
        <w:spacing w:before="0" w:after="80" w:lineRule="auto" w:line="276"/>
      </w:pPr>
      <w:r>
        <w:rPr>
          <w:b/>
        </w:rPr>
        <w:t xml:space="preserve">摘要（ZH）: </w:t>
      </w:r>
      <w:r>
        <w:t>两种人体内的染色体 都证明古代的交配偏见</w:t>
      </w:r>
    </w:p>
    <w:p>
      <w:pPr>
        <w:spacing w:before="0" w:after="200" w:lineRule="auto" w:line="276"/>
      </w:pPr>
      <w:r>
        <w:rPr>
          <w:b/>
        </w:rPr>
        <w:t xml:space="preserve">Abstract (EN): </w:t>
      </w:r>
      <w:r>
        <w:t>X chromosomes in both kinds of human testify to ancient mating bias</w:t>
      </w:r>
    </w:p>
    <w:p>
      <w:pPr>
        <w:spacing w:before="120" w:after="120"/>
      </w:pPr>
      <w:r>
        <w:rPr>
          <w:sz w:val="18"/>
        </w:rPr>
        <w:t>——————————————————————————————————————————————————————————————————————</w:t>
      </w:r>
    </w:p>
    <w:p>
      <w:pPr>
        <w:spacing w:before="160" w:after="40" w:line="240" w:lineRule="auto"/>
      </w:pPr>
      <w:r>
        <w:rPr>
          <w:b/>
        </w:rPr>
        <w:t xml:space="preserve">[585] </w:t>
      </w:r>
      <w:hyperlink r:id="rId900">
        <w:r>
          <w:rPr>
            <w:color w:val="1155CC"/>
            <w:u w:val="single"/>
          </w:rPr>
          <w:t>第一次,查特GPT帮助在理论物理领域开辟新天地</w:t>
        </w:r>
      </w:hyperlink>
    </w:p>
    <w:p>
      <w:pPr>
        <w:spacing w:before="0" w:after="80"/>
      </w:pPr>
      <w:r>
        <w:rPr>
          <w:i/>
          <w:sz w:val="20"/>
        </w:rPr>
        <w:t>EN: In a first, ChatGPT helps break new ground in theoretical physics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01">
        <w:r>
          <w:rPr>
            <w:color w:val="1155CC"/>
            <w:u w:val="single"/>
          </w:rPr>
          <w:t>10.1126/science.aeg7163</w:t>
        </w:r>
      </w:hyperlink>
    </w:p>
    <w:p>
      <w:pPr>
        <w:spacing w:before="0" w:after="120"/>
      </w:pPr>
      <w:r>
        <w:rPr>
          <w:b/>
        </w:rPr>
        <w:t xml:space="preserve">Notes: </w:t>
      </w:r>
      <w:r>
        <w:t>abstract_source=crossref</w:t>
      </w:r>
    </w:p>
    <w:p>
      <w:pPr>
        <w:spacing w:before="0" w:after="80" w:lineRule="auto" w:line="276"/>
      </w:pPr>
      <w:r>
        <w:rPr>
          <w:b/>
        </w:rPr>
        <w:t xml:space="preserve">摘要（ZH）: </w:t>
      </w:r>
      <w:r>
        <w:t>物理学家将人类的全能和人工智能辅助数学结合起来,以表明最终有可能发生怀疑的粒子相互作用</w:t>
      </w:r>
    </w:p>
    <w:p>
      <w:pPr>
        <w:spacing w:before="0" w:after="200" w:lineRule="auto" w:line="276"/>
      </w:pPr>
      <w:r>
        <w:rPr>
          <w:b/>
        </w:rPr>
        <w:t xml:space="preserve">Abstract (EN): </w:t>
      </w:r>
      <w:r>
        <w:t>Physicists combined human acumen and AI-assisted math to show that a doubted particle interaction is possible after all</w:t>
      </w:r>
    </w:p>
    <w:p>
      <w:pPr>
        <w:spacing w:before="120" w:after="120"/>
      </w:pPr>
      <w:r>
        <w:rPr>
          <w:sz w:val="18"/>
        </w:rPr>
        <w:t>——————————————————————————————————————————————————————————————————————</w:t>
      </w:r>
    </w:p>
    <w:p>
      <w:pPr>
        <w:spacing w:before="160" w:after="40" w:line="240" w:lineRule="auto"/>
      </w:pPr>
      <w:r>
        <w:rPr>
          <w:b/>
        </w:rPr>
        <w:t xml:space="preserve">[586] </w:t>
      </w:r>
      <w:hyperlink r:id="rId902">
        <w:r>
          <w:rPr>
            <w:color w:val="1155CC"/>
            <w:u w:val="single"/>
          </w:rPr>
          <w:t>其他《日刊》</w:t>
        </w:r>
      </w:hyperlink>
    </w:p>
    <w:p>
      <w:pPr>
        <w:spacing w:before="0" w:after="80"/>
      </w:pPr>
      <w:r>
        <w:rPr>
          <w:i/>
          <w:sz w:val="20"/>
        </w:rPr>
        <w:t>EN: In Other Journals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03">
        <w:r>
          <w:rPr>
            <w:color w:val="1155CC"/>
            <w:u w:val="single"/>
          </w:rPr>
          <w:t>10.1126/science.aeg6836</w:t>
        </w:r>
      </w:hyperlink>
    </w:p>
    <w:p>
      <w:pPr>
        <w:spacing w:before="0" w:after="120"/>
      </w:pPr>
      <w:r>
        <w:rPr>
          <w:b/>
        </w:rPr>
        <w:t xml:space="preserve">Notes: </w:t>
      </w:r>
      <w:r>
        <w:t>abstract_source=crossref</w:t>
      </w:r>
    </w:p>
    <w:p>
      <w:pPr>
        <w:spacing w:before="0" w:after="80" w:lineRule="auto" w:line="276"/>
      </w:pPr>
      <w:r>
        <w:rPr>
          <w:b/>
        </w:rPr>
        <w:t xml:space="preserve">摘要（ZH）: </w:t>
      </w:r>
      <w:r>
        <w:t>从当前科学文献中挑选的编辑</w:t>
      </w:r>
    </w:p>
    <w:p>
      <w:pPr>
        <w:spacing w:before="0" w:after="200" w:lineRule="auto" w:line="276"/>
      </w:pPr>
      <w:r>
        <w:rPr>
          <w:b/>
        </w:rPr>
        <w:t xml:space="preserve">Abstract (EN): </w:t>
      </w:r>
      <w:r>
        <w:t>Editors’ selections from the current scientific literature</w:t>
      </w:r>
    </w:p>
    <w:p>
      <w:pPr>
        <w:spacing w:before="120" w:after="120"/>
      </w:pPr>
      <w:r>
        <w:rPr>
          <w:sz w:val="18"/>
        </w:rPr>
        <w:t>——————————————————————————————————————————————————————————————————————</w:t>
      </w:r>
    </w:p>
    <w:p>
      <w:pPr>
        <w:spacing w:before="160" w:after="40" w:line="240" w:lineRule="auto"/>
      </w:pPr>
      <w:r>
        <w:rPr>
          <w:b/>
        </w:rPr>
        <w:t xml:space="preserve">[587] </w:t>
      </w:r>
      <w:hyperlink r:id="rId904">
        <w:r>
          <w:rPr>
            <w:color w:val="1155CC"/>
            <w:u w:val="single"/>
          </w:rPr>
          <w:t>据称中国核爆炸可重新试爆</w:t>
        </w:r>
      </w:hyperlink>
    </w:p>
    <w:p>
      <w:pPr>
        <w:spacing w:before="0" w:after="80"/>
      </w:pPr>
      <w:r>
        <w:rPr>
          <w:i/>
          <w:sz w:val="20"/>
        </w:rPr>
        <w:t>EN: Alleged Chinese nuclear blast may reignite testing</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05">
        <w:r>
          <w:rPr>
            <w:color w:val="1155CC"/>
            <w:u w:val="single"/>
          </w:rPr>
          <w:t>10.1126/science.aeg7162</w:t>
        </w:r>
      </w:hyperlink>
    </w:p>
    <w:p>
      <w:pPr>
        <w:spacing w:before="0" w:after="120"/>
      </w:pPr>
      <w:r>
        <w:rPr>
          <w:b/>
        </w:rPr>
        <w:t xml:space="preserve">Notes: </w:t>
      </w:r>
      <w:r>
        <w:t>abstract_source=crossref</w:t>
      </w:r>
    </w:p>
    <w:p>
      <w:pPr>
        <w:spacing w:before="0" w:after="80" w:lineRule="auto" w:line="276"/>
      </w:pPr>
      <w:r>
        <w:rPr>
          <w:b/>
        </w:rPr>
        <w:t xml:space="preserve">摘要（ZH）: </w:t>
      </w:r>
      <w:r>
        <w:t>随着新的全球军备竞赛逼近,指控凸显了监测低当量试验的局限性</w:t>
      </w:r>
    </w:p>
    <w:p>
      <w:pPr>
        <w:spacing w:before="0" w:after="200" w:lineRule="auto" w:line="276"/>
      </w:pPr>
      <w:r>
        <w:rPr>
          <w:b/>
        </w:rPr>
        <w:t xml:space="preserve">Abstract (EN): </w:t>
      </w:r>
      <w:r>
        <w:t>As new global arms race looms, accusation highlights limits to monitoring low-yield tests</w:t>
      </w:r>
    </w:p>
    <w:p>
      <w:pPr>
        <w:spacing w:before="120" w:after="120"/>
      </w:pPr>
      <w:r>
        <w:rPr>
          <w:sz w:val="18"/>
        </w:rPr>
        <w:t>——————————————————————————————————————————————————————————————————————</w:t>
      </w:r>
    </w:p>
    <w:p>
      <w:pPr>
        <w:spacing w:before="160" w:after="40" w:line="240" w:lineRule="auto"/>
      </w:pPr>
      <w:r>
        <w:rPr>
          <w:b/>
        </w:rPr>
        <w:t xml:space="preserve">[588] </w:t>
      </w:r>
      <w:hyperlink r:id="rId906">
        <w:r>
          <w:rPr>
            <w:color w:val="1155CC"/>
            <w:u w:val="single"/>
          </w:rPr>
          <w:t>模糊的旋律</w:t>
        </w:r>
      </w:hyperlink>
    </w:p>
    <w:p>
      <w:pPr>
        <w:spacing w:before="0" w:after="80"/>
      </w:pPr>
      <w:r>
        <w:rPr>
          <w:i/>
          <w:sz w:val="20"/>
        </w:rPr>
        <w:t>EN: Fading melodies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07">
        <w:r>
          <w:rPr>
            <w:color w:val="1155CC"/>
            <w:u w:val="single"/>
          </w:rPr>
          <w:t>10.1126/science.aeg6834</w:t>
        </w:r>
      </w:hyperlink>
    </w:p>
    <w:p>
      <w:pPr>
        <w:spacing w:before="0" w:after="120"/>
      </w:pPr>
      <w:r>
        <w:rPr>
          <w:b/>
        </w:rPr>
        <w:t xml:space="preserve">Notes: </w:t>
      </w:r>
      <w:r>
        <w:t>abstract_source=crossref</w:t>
      </w:r>
    </w:p>
    <w:p>
      <w:pPr>
        <w:spacing w:before="0" w:after="80" w:lineRule="auto" w:line="276"/>
      </w:pPr>
      <w:r>
        <w:rPr>
          <w:b/>
        </w:rPr>
        <w:t xml:space="preserve">摘要（ZH）: </w:t>
      </w:r>
      <w:r>
        <w:t>自然的热带森林正在看到神秘的鸟类下降。 另一个“静悄悄的春天”在酝酿吗?</w:t>
      </w:r>
    </w:p>
    <w:p>
      <w:pPr>
        <w:spacing w:before="0" w:after="200" w:lineRule="auto" w:line="276"/>
      </w:pPr>
      <w:r>
        <w:rPr>
          <w:b/>
        </w:rPr>
        <w:t xml:space="preserve">Abstract (EN): </w:t>
      </w:r>
      <w:r>
        <w:t>Intact tropical forests are seeing mysterious bird declines. Is another “silent spring” brewing?</w:t>
      </w:r>
    </w:p>
    <w:p>
      <w:pPr>
        <w:spacing w:before="120" w:after="120"/>
      </w:pPr>
      <w:r>
        <w:rPr>
          <w:sz w:val="18"/>
        </w:rPr>
        <w:t>——————————————————————————————————————————————————————————————————————</w:t>
      </w:r>
    </w:p>
    <w:p>
      <w:pPr>
        <w:spacing w:before="160" w:after="40" w:line="240" w:lineRule="auto"/>
      </w:pPr>
      <w:r>
        <w:rPr>
          <w:b/>
        </w:rPr>
        <w:t xml:space="preserve">[589] </w:t>
      </w:r>
      <w:hyperlink r:id="rId908">
        <w:r>
          <w:rPr>
            <w:color w:val="1155CC"/>
            <w:u w:val="single"/>
          </w:rPr>
          <w:t>在作为健康和疾病标志的肠内微生物相互作用方面的不平衡</w:t>
        </w:r>
      </w:hyperlink>
    </w:p>
    <w:p>
      <w:pPr>
        <w:spacing w:before="0" w:after="80"/>
      </w:pPr>
      <w:r>
        <w:rPr>
          <w:i/>
          <w:sz w:val="20"/>
        </w:rPr>
        <w:t>EN: Imbalance in gut microbial interactions as a marker of health and disease</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09">
        <w:r>
          <w:rPr>
            <w:color w:val="1155CC"/>
            <w:u w:val="single"/>
          </w:rPr>
          <w:t>10.1126/science.ady1729</w:t>
        </w:r>
      </w:hyperlink>
    </w:p>
    <w:p>
      <w:pPr>
        <w:spacing w:before="0" w:after="120"/>
      </w:pPr>
      <w:r>
        <w:rPr>
          <w:b/>
        </w:rPr>
        <w:t xml:space="preserve">Notes: </w:t>
      </w:r>
      <w:r>
        <w:t>abstract_source=crossref</w:t>
      </w:r>
    </w:p>
    <w:p>
      <w:pPr>
        <w:spacing w:before="0" w:after="80" w:lineRule="auto" w:line="276"/>
      </w:pPr>
      <w:r>
        <w:rPr>
          <w:b/>
        </w:rPr>
        <w:t xml:space="preserve">摘要（ZH）: </w:t>
      </w:r>
      <w:r>
        <w:t>人类直肠微生物或衰竭生物群落的不平衡与多种疾病有关,但人们仍然不甚了解。现有的衰竭生物标志未能捕捉到将健康与疾病微生物区分开来的生态机制。我们已经开发了一种计量标准,即生态网络平衡指数(ENBI),该指数量化了正和负微生物相互作用之间的平衡。这一衡量标准受我们在工作中引入的直肠微生物动态模型中观察到的血细胞学启发,该模型揭示了具有独特的新兴微生物群落的替代稳定状态:一种健康状态,以消极互动为主,而一个以积极互动为主的衰竭生物状态。 ENBI在模拟和肺脏中有力地区分了这些状态。</w:t>
      </w:r>
    </w:p>
    <w:p>
      <w:pPr>
        <w:spacing w:before="0" w:after="200" w:lineRule="auto" w:line="276"/>
      </w:pPr>
      <w:r>
        <w:rPr>
          <w:b/>
        </w:rPr>
        <w:t xml:space="preserve">Abstract (EN): </w:t>
      </w:r>
      <w:r>
        <w:t>Imbalances in the human gut microbiome, or dysbioses, are associated with multiple diseases but remain poorly understood. Existing biomarkers of dysbiosis fail to capture the ecological mechanisms that differentiate healthy from diseased microbiomes. We have developed a metric, the ecological network balance index (ENBI), that quantifies the balance between positive and negative microbial interactions. This metric was inspired by the phenomenology observed in a model for gut microbiome dynamics that we introduce in this work, which revealed alternative stable states with distinct emergent microbial communities: a healthy state dominated by negative interactions and a dysbiotic state dominated by positive interactions. The ENBI robustly differentiates these states in both simulated and empirical datasets spanning multiple diseases and correlates with disease progression in conditions such as colorectal cancer, which underscores its potential as a diagnostic tool.</w:t>
      </w:r>
    </w:p>
    <w:p>
      <w:pPr>
        <w:spacing w:before="120" w:after="120"/>
      </w:pPr>
      <w:r>
        <w:rPr>
          <w:sz w:val="18"/>
        </w:rPr>
        <w:t>——————————————————————————————————————————————————————————————————————</w:t>
      </w:r>
    </w:p>
    <w:p>
      <w:pPr>
        <w:spacing w:before="160" w:after="40" w:line="240" w:lineRule="auto"/>
      </w:pPr>
      <w:r>
        <w:rPr>
          <w:b/>
        </w:rPr>
        <w:t xml:space="preserve">[590] </w:t>
      </w:r>
      <w:hyperlink r:id="rId910">
        <w:r>
          <w:rPr>
            <w:color w:val="1155CC"/>
            <w:u w:val="single"/>
          </w:rPr>
          <w:t>AAAS宣布2026年获奖</w:t>
        </w:r>
      </w:hyperlink>
    </w:p>
    <w:p>
      <w:pPr>
        <w:spacing w:before="0" w:after="80"/>
      </w:pPr>
      <w:r>
        <w:rPr>
          <w:i/>
          <w:sz w:val="20"/>
        </w:rPr>
        <w:t>EN: AAAS announces 2026 award winners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11">
        <w:r>
          <w:rPr>
            <w:color w:val="1155CC"/>
            <w:u w:val="single"/>
          </w:rPr>
          <w:t>10.1126/science.aeg6310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[591] </w:t>
      </w:r>
      <w:hyperlink r:id="rId912">
        <w:r>
          <w:rPr>
            <w:color w:val="1155CC"/>
            <w:u w:val="single"/>
          </w:rPr>
          <w:t>北美鸟类下降的加速热点与农业有关</w:t>
        </w:r>
      </w:hyperlink>
    </w:p>
    <w:p>
      <w:pPr>
        <w:spacing w:before="0" w:after="80"/>
      </w:pPr>
      <w:r>
        <w:rPr>
          <w:i/>
          <w:sz w:val="20"/>
        </w:rPr>
        <w:t>EN: Acceleration hotspots of North American birds’ decline are associated with agriculture</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13">
        <w:r>
          <w:rPr>
            <w:color w:val="1155CC"/>
            <w:u w:val="single"/>
          </w:rPr>
          <w:t>10.1126/science.ads0871</w:t>
        </w:r>
      </w:hyperlink>
    </w:p>
    <w:p>
      <w:pPr>
        <w:spacing w:before="0" w:after="120"/>
      </w:pPr>
      <w:r>
        <w:rPr>
          <w:b/>
        </w:rPr>
        <w:t xml:space="preserve">Notes: </w:t>
      </w:r>
      <w:r>
        <w:t>abstract_source=crossref</w:t>
      </w:r>
    </w:p>
    <w:p>
      <w:pPr>
        <w:spacing w:before="0" w:after="80" w:lineRule="auto" w:line="276"/>
      </w:pPr>
      <w:r>
        <w:rPr>
          <w:b/>
        </w:rPr>
        <w:t xml:space="preserve">摘要（ZH）: </w:t>
      </w:r>
      <w:r>
        <w:t>人类活动可能加速了人口丰量的下降,但这一加速率仍未得到充分探索。 我们利用1033条北美育鸟调查路线分析了1987年至2021年期间261个鸟类物种、54个禽族和10个生境的丰量变化及其加速率,分析了1987年至2021年期间261个鸟类物种、54个禽族和10个生境的丰度变化和加速率。 我们显示,全大陆各地每条当地路线所有鸟类的丰度平均下降,北美洲南部和温暖地区的热点下降,中大西洋、中西部和加利福尼亚州的热点加快了农业密集度的下降速度。 总的来说,122种物种(47%)明显下降,其中63种也显示这种下降加速,67种显示每头鸟类增长率下降,这引起了对北美大部分鸟类的担忧。</w:t>
      </w:r>
    </w:p>
    <w:p>
      <w:pPr>
        <w:spacing w:before="0" w:after="200" w:lineRule="auto" w:line="276"/>
      </w:pPr>
      <w:r>
        <w:rPr>
          <w:b/>
        </w:rPr>
        <w:t xml:space="preserve">Abstract (EN): </w:t>
      </w:r>
      <w:r>
        <w:t>Human activities might have accelerated declines of population abundance, but this acceleration remains underexplored. Using 1033 North American Breeding Bird Survey routes, we analyze abundance change and its acceleration for 261 bird species, 54 avian families, and 10 habitats from 1987 to 2021. We show an average continent-wide decline of abundance of all birds per local route, with hotspots of decline in southern and warm parts of North America and hotspots of accelerating decline in the Mid-Atlantic, Midwest, and California, matching patterns of agricultural intensity. Overall, 122 species (47%) exhibit significant declines, of which 63 also show acceleration of this decline, and 67 show declining per-capita growth rate, raising concerns for a large part of North American bird populations. These findings suggest that bird abundance decline is mostly accelerating, with spatial patterns of this acceleration indicating that agricultural intensity may be a driver of this trend.</w:t>
      </w:r>
    </w:p>
    <w:p>
      <w:pPr>
        <w:spacing w:before="120" w:after="120"/>
      </w:pPr>
      <w:r>
        <w:rPr>
          <w:sz w:val="18"/>
        </w:rPr>
        <w:t>——————————————————————————————————————————————————————————————————————</w:t>
      </w:r>
    </w:p>
    <w:p>
      <w:pPr>
        <w:spacing w:before="160" w:after="40" w:line="240" w:lineRule="auto"/>
      </w:pPr>
      <w:r>
        <w:rPr>
          <w:b/>
        </w:rPr>
        <w:t xml:space="preserve">[592] </w:t>
      </w:r>
      <w:hyperlink r:id="rId914">
        <w:r>
          <w:rPr>
            <w:color w:val="1155CC"/>
            <w:u w:val="single"/>
          </w:rPr>
          <w:t>科学杂志</w:t>
        </w:r>
      </w:hyperlink>
    </w:p>
    <w:p>
      <w:pPr>
        <w:spacing w:before="0" w:after="80"/>
      </w:pPr>
      <w:r>
        <w:rPr>
          <w:i/>
          <w:sz w:val="20"/>
        </w:rPr>
        <w:t>EN: In Science Journals</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15">
        <w:r>
          <w:rPr>
            <w:color w:val="1155CC"/>
            <w:u w:val="single"/>
          </w:rPr>
          <w:t>10.1126/science.aeg6835</w:t>
        </w:r>
      </w:hyperlink>
    </w:p>
    <w:p>
      <w:pPr>
        <w:spacing w:before="0" w:after="120"/>
      </w:pPr>
      <w:r>
        <w:rPr>
          <w:b/>
        </w:rPr>
        <w:t xml:space="preserve">Notes: </w:t>
      </w:r>
      <w:r>
        <w:t>abstract_source=crossref</w:t>
      </w:r>
    </w:p>
    <w:p>
      <w:pPr>
        <w:spacing w:before="0" w:after="80" w:lineRule="auto" w:line="276"/>
      </w:pPr>
      <w:r>
        <w:rPr>
          <w:b/>
        </w:rPr>
        <w:t xml:space="preserve">摘要（ZH）: </w:t>
      </w:r>
      <w:r>
        <w:t>《科学》杂志系列的要点</w:t>
      </w:r>
    </w:p>
    <w:p>
      <w:pPr>
        <w:spacing w:before="0" w:after="200" w:lineRule="auto" w:line="276"/>
      </w:pPr>
      <w:r>
        <w:rPr>
          <w:b/>
        </w:rPr>
        <w:t xml:space="preserve">Abstract (EN): </w:t>
      </w:r>
      <w:r>
        <w:t>Highlights from the</w:t>
      </w:r>
      <w:r>
        <w:t xml:space="preserve"> </w:t>
      </w:r>
      <w:r>
        <w:t>Science</w:t>
      </w:r>
      <w:r>
        <w:t xml:space="preserve"> </w:t>
      </w:r>
      <w:r>
        <w:t>family of journals</w:t>
      </w:r>
    </w:p>
    <w:p>
      <w:pPr>
        <w:spacing w:before="120" w:after="120"/>
      </w:pPr>
      <w:r>
        <w:rPr>
          <w:sz w:val="18"/>
        </w:rPr>
        <w:t>——————————————————————————————————————————————————————————————————————</w:t>
      </w:r>
    </w:p>
    <w:p>
      <w:pPr>
        <w:spacing w:before="160" w:after="40" w:line="240" w:lineRule="auto"/>
      </w:pPr>
      <w:r>
        <w:rPr>
          <w:b/>
        </w:rPr>
        <w:t xml:space="preserve">[593] </w:t>
      </w:r>
      <w:hyperlink r:id="rId916">
        <w:r>
          <w:rPr>
            <w:color w:val="1155CC"/>
            <w:u w:val="single"/>
          </w:rPr>
          <w:t>自己的电子邮件</w:t>
        </w:r>
      </w:hyperlink>
    </w:p>
    <w:p>
      <w:pPr>
        <w:spacing w:before="0" w:after="80"/>
      </w:pPr>
      <w:r>
        <w:rPr>
          <w:i/>
          <w:sz w:val="20"/>
        </w:rPr>
        <w:t>EN: An email of one’s own</w:t>
      </w:r>
    </w:p>
    <w:p>
      <w:pPr>
        <w:spacing w:before="0" w:after="120"/>
      </w:pPr>
      <w:r>
        <w:rPr>
          <w:b/>
        </w:rPr>
        <w:t xml:space="preserve">Source: </w:t>
      </w:r>
      <w:r>
        <w:t>AAAS: Science: Table of Contents</w:t>
      </w:r>
      <w:r>
        <w:t xml:space="preserve">    </w:t>
      </w:r>
      <w:r>
        <w:rPr>
          <w:b/>
        </w:rPr>
        <w:t xml:space="preserve">Pub date: </w:t>
      </w:r>
      <w:r>
        <w:t>2026-02-26 07:00:02+00:00</w:t>
      </w:r>
      <w:r>
        <w:t xml:space="preserve">    </w:t>
      </w:r>
      <w:r>
        <w:rPr>
          <w:b/>
        </w:rPr>
        <w:t xml:space="preserve">DOI: </w:t>
      </w:r>
      <w:hyperlink r:id="rId917">
        <w:r>
          <w:rPr>
            <w:color w:val="1155CC"/>
            <w:u w:val="single"/>
          </w:rPr>
          <w:t>10.1126/science.aeg6833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[594] </w:t>
      </w:r>
      <w:hyperlink r:id="rId918">
        <w:r>
          <w:rPr>
            <w:color w:val="1155CC"/>
            <w:u w:val="single"/>
          </w:rPr>
          <w:t>有机磷化物:用于铜(I) 碳基TADF喷雾器和光导催化器的新型液化微粒诱导剂(I)</w:t>
        </w:r>
      </w:hyperlink>
    </w:p>
    <w:p>
      <w:pPr>
        <w:spacing w:before="0" w:after="80"/>
      </w:pPr>
      <w:r>
        <w:rPr>
          <w:i/>
          <w:sz w:val="20"/>
        </w:rPr>
        <w:t>EN: Organophosphides: A New Class of Luminophore Ligands for Copper(I) Carbene Based TADF Emitters and Photocatalysts</w:t>
      </w:r>
    </w:p>
    <w:p>
      <w:pPr>
        <w:spacing w:before="0" w:after="120"/>
      </w:pPr>
      <w:r>
        <w:rPr>
          <w:b/>
        </w:rPr>
        <w:t xml:space="preserve">Source: </w:t>
      </w:r>
      <w:r>
        <w:t>Wiley: Angewandte Chemie International Edition: Table of Contents</w:t>
      </w:r>
      <w:r>
        <w:t xml:space="preserve">    </w:t>
      </w:r>
      <w:r>
        <w:rPr>
          <w:b/>
        </w:rPr>
        <w:t xml:space="preserve">Pub date: </w:t>
      </w:r>
      <w:r>
        <w:t>2026-02-26 07:26:43+00:00</w:t>
      </w:r>
      <w:r>
        <w:t xml:space="preserve">    </w:t>
      </w:r>
      <w:r>
        <w:rPr>
          <w:b/>
        </w:rPr>
        <w:t xml:space="preserve">DOI: </w:t>
      </w:r>
      <w:hyperlink r:id="rId919">
        <w:r>
          <w:rPr>
            <w:color w:val="1155CC"/>
            <w:u w:val="single"/>
          </w:rPr>
          <w:t>10.1002/anie.202518530</w:t>
        </w:r>
      </w:hyperlink>
    </w:p>
    <w:p>
      <w:pPr>
        <w:spacing w:before="0" w:after="120"/>
      </w:pPr>
      <w:r>
        <w:rPr>
          <w:b/>
        </w:rPr>
        <w:t xml:space="preserve">Notes: </w:t>
      </w:r>
      <w:r>
        <w:t>abstract_source=pubmed</w:t>
      </w:r>
    </w:p>
    <w:p>
      <w:pPr>
        <w:spacing w:before="0" w:after="80" w:lineRule="auto" w:line="276"/>
      </w:pPr>
      <w:r>
        <w:rPr>
          <w:b/>
        </w:rPr>
        <w:t xml:space="preserve">摘要（ZH）: </w:t>
      </w:r>
      <w:r>
        <w:t>月光碳化铜(I)电荷转移综合体是光度应用分子材料的有希望的候选物。除了对接受物碳化物进行消毒和电子改造外,大部分研究都专门研究氨化物捐献液液液,以控制发光特性,而作为厌离电子捐献液溶解铜(I)的其余活性基因组在光物理上代表不足。在这里,我们证明在[Cu(cAAC)(PMES.2)(cAAC =循环氨基(alkyl)碳化物)中,氟化磷(Mes2)(cAAC =周期性氨基(alkyl)碳化物)作为较重的同族体(Cu(cAAC =周期性氨基氨基(alkyl)碳化物)产生橙色排放,其数量丰度在固体状态下达到max=0.52,该状态下,由3000厘米-厘米-1与相关的氨化物复合体变化,因为磷的电密度较低。</w:t>
      </w:r>
    </w:p>
    <w:p>
      <w:pPr>
        <w:spacing w:before="0" w:after="200" w:lineRule="auto" w:line="276"/>
      </w:pPr>
      <w:r>
        <w:rPr>
          <w:b/>
        </w:rPr>
        <w:t xml:space="preserve">Abstract (EN): </w:t>
      </w:r>
      <w:r>
        <w:t>Luminescent carbene copper(I) charge transfer complexes are promising candidates as molecular materials for photonic applications. Apart from steric and electronic modification of the acceptor carbene, most of the research has been dedicated to amide donor ligands to control the luminescence properties, while the remaining pnictogen group as anionic electron donating ligands is photophysically underrepresented. Herein, we demonstrate that dimesityl phosphide (Mes2P-) as a heavier homologue in [Cu(cAAC)(PMes2)] (cAAC = cyclic amino(alkyl) carbene) gives rise to orange emission with quantum yields of up to ϕmax  = 0.52 in the solid state that is bathochromically shifted by ∼3000 cm-1 in comparison to related amide complexes due to the lower electronegativity of phosphorus. Time-resolved variable temperature studies reveals that the µs-lifetimes and radiative rate constants of ca. kr  =  5 ⋅ 104 s-1 are due to thermally activated delayed fluorescence (TADF) as the dominating emission mechanism at room temperature. In polystyrene matrices, the complexes exhibit environment dependent chiroptical properties (up to glum  =  10-2, BCPL  =  1.31 M-1 cm-1, kCPL  =  41.5 s-1) and are efficient blue light photocatalysts for hydrophosphination of alkynes in solution, highlighting the potential of heavier pnictogen ligands for photonic materials.</w:t>
      </w:r>
    </w:p>
    <w:p>
      <w:pPr>
        <w:spacing w:before="120" w:after="120"/>
      </w:pPr>
      <w:r>
        <w:rPr>
          <w:sz w:val="18"/>
        </w:rPr>
        <w:t>——————————————————————————————————————————————————————————————————————</w:t>
      </w:r>
    </w:p>
    <w:p>
      <w:pPr>
        <w:spacing w:before="160" w:after="40" w:line="240" w:lineRule="auto"/>
      </w:pPr>
      <w:r>
        <w:rPr>
          <w:b/>
        </w:rPr>
        <w:t xml:space="preserve">[595] </w:t>
      </w:r>
      <w:hyperlink r:id="rId920">
        <w:r>
          <w:rPr>
            <w:color w:val="1155CC"/>
            <w:u w:val="single"/>
          </w:rPr>
          <w:t>利用苯二氯苯并苯乙烯热循环聚变战略,蓝透光</w:t>
        </w:r>
      </w:hyperlink>
    </w:p>
    <w:p>
      <w:pPr>
        <w:spacing w:before="0" w:after="80"/>
      </w:pPr>
      <w:r>
        <w:rPr>
          <w:i/>
          <w:sz w:val="20"/>
        </w:rPr>
        <w:t>EN: Achieving High‐Performance Multi‐Resonance Thermally Activated Delayed Fluorescence (MR‐TADF) Blue Emitter Using Benzothiophene Heterocyclic Fusion Strategy</w:t>
      </w:r>
    </w:p>
    <w:p>
      <w:pPr>
        <w:spacing w:before="0" w:after="120"/>
      </w:pPr>
      <w:r>
        <w:rPr>
          <w:b/>
        </w:rPr>
        <w:t xml:space="preserve">Source: </w:t>
      </w:r>
      <w:r>
        <w:t>Wiley: Angewandte Chemie International Edition: Table of Contents</w:t>
      </w:r>
      <w:r>
        <w:t xml:space="preserve">    </w:t>
      </w:r>
      <w:r>
        <w:rPr>
          <w:b/>
        </w:rPr>
        <w:t xml:space="preserve">Pub date: </w:t>
      </w:r>
      <w:r>
        <w:t>2026-02-26 07:39:39+00:00</w:t>
      </w:r>
      <w:r>
        <w:t xml:space="preserve">    </w:t>
      </w:r>
      <w:r>
        <w:rPr>
          <w:b/>
        </w:rPr>
        <w:t xml:space="preserve">DOI: </w:t>
      </w:r>
      <w:hyperlink r:id="rId921">
        <w:r>
          <w:rPr>
            <w:color w:val="1155CC"/>
            <w:u w:val="single"/>
          </w:rPr>
          <w:t>10.1002/anie.2644336</w:t>
        </w:r>
      </w:hyperlink>
    </w:p>
    <w:p>
      <w:pPr>
        <w:spacing w:before="0" w:after="120"/>
      </w:pPr>
      <w:r>
        <w:rPr>
          <w:b/>
        </w:rPr>
        <w:t xml:space="preserve">Notes: </w:t>
      </w:r>
      <w:r>
        <w:t>abstract_source=pubmed</w:t>
      </w:r>
    </w:p>
    <w:p>
      <w:pPr>
        <w:spacing w:before="0" w:after="80" w:lineRule="auto" w:line="276"/>
      </w:pPr>
      <w:r>
        <w:rPr>
          <w:b/>
        </w:rPr>
        <w:t xml:space="preserve">摘要（ZH）: </w:t>
      </w:r>
      <w:r>
        <w:t>为了满足在超高清晰度显示领域日益增长的需求,多共振热热活热延迟荧光(MR-TADF)材料因其窄带排放特性而引起广泛关注,然而,这些材料的开发仍面临许多挑战,例如化学改造方法有限,设备效率极强,因此采用苯并硫(BZT)环流循环战略,从化学角度将传统的单子和双波MR-TADF发射机改造成两种新的衍生物(SS-B和SS-2B)。</w:t>
      </w:r>
    </w:p>
    <w:p>
      <w:pPr>
        <w:spacing w:before="0" w:after="200" w:lineRule="auto" w:line="276"/>
      </w:pPr>
      <w:r>
        <w:rPr>
          <w:b/>
        </w:rPr>
        <w:t xml:space="preserve">Abstract (EN): </w:t>
      </w:r>
      <w:r>
        <w:t>To meet the growing demands in the field of ultra-high-definition display, multi-resonance thermally activated delayed fluorescence (MR-TADF) materials have attracted extensive attention due to their narrowband emission characteristics. However, the development of these materials still faces many challenges, such as limited chemical modification methods and severe device efficiency roll-off. Herein, the benzothiophene (BZT) heterocyclic fusion strategy was adopted to chemically modify the classical single-boron and dual-boron MR-TADF emitters into two new derivatives (SS-B and SS-2B). By combining theory with experiments, the intrinsic mechanism of the improvements in emission properties was revealed due to the fusion incorporation of BZT units, resulting in the high-efficiency and high-color-purity doped blue organic light-emitting diode (OLED) with effective suppression of efficiency roll-off. The full width at half maximum (FWHM) of their electroluminescence spectra are only 26 and 29 nm for SS-B and SS-2B, respectively. Their maximum external quantum efficiencies (EQEmax) are as high as 34.34% and 37.23% respectively, and the EQE roll-off of SS-2B is only 4.9% at 100 cd·m-2. This work not only provides a better understanding of the photophysical nature of boron/nitrogen (B/N) molecular systems, but also offers a new strategy for improving the electroluminescence performance of MR-TADF materials.</w:t>
      </w:r>
    </w:p>
    <w:p>
      <w:pPr>
        <w:spacing w:before="120" w:after="120"/>
      </w:pPr>
      <w:r>
        <w:rPr>
          <w:sz w:val="18"/>
        </w:rPr>
        <w:t>——————————————————————————————————————————————————————————————————————</w:t>
      </w:r>
    </w:p>
    <w:p>
      <w:pPr>
        <w:spacing w:before="160" w:after="40" w:line="240" w:lineRule="auto"/>
      </w:pPr>
      <w:r>
        <w:rPr>
          <w:b/>
        </w:rPr>
        <w:t xml:space="preserve">[596] </w:t>
      </w:r>
      <w:hyperlink r:id="rId922">
        <w:r>
          <w:rPr>
            <w:color w:val="1155CC"/>
            <w:u w:val="single"/>
          </w:rPr>
          <w:t>硫化物中记录不线性</w:t>
        </w:r>
      </w:hyperlink>
    </w:p>
    <w:p>
      <w:pPr>
        <w:spacing w:before="0" w:after="80"/>
      </w:pPr>
      <w:r>
        <w:rPr>
          <w:i/>
          <w:sz w:val="20"/>
        </w:rPr>
        <w:t>EN: Confinement π‐Conjugated Moiety Tailoring to Achieve Record Deep‐UV Nonlinearity in Sulfates</w:t>
      </w:r>
    </w:p>
    <w:p>
      <w:pPr>
        <w:spacing w:before="0" w:after="120"/>
      </w:pPr>
      <w:r>
        <w:rPr>
          <w:b/>
        </w:rPr>
        <w:t xml:space="preserve">Source: </w:t>
      </w:r>
      <w:r>
        <w:t>Wiley: Angewandte Chemie International Edition: Table of Contents</w:t>
      </w:r>
      <w:r>
        <w:t xml:space="preserve">    </w:t>
      </w:r>
      <w:r>
        <w:rPr>
          <w:b/>
        </w:rPr>
        <w:t xml:space="preserve">Pub date: </w:t>
      </w:r>
      <w:r>
        <w:t>2026-02-26 07:42:27+00:00</w:t>
      </w:r>
      <w:r>
        <w:t xml:space="preserve">    </w:t>
      </w:r>
      <w:r>
        <w:rPr>
          <w:b/>
        </w:rPr>
        <w:t xml:space="preserve">DOI: </w:t>
      </w:r>
      <w:hyperlink r:id="rId923">
        <w:r>
          <w:rPr>
            <w:color w:val="1155CC"/>
            <w:u w:val="single"/>
          </w:rPr>
          <w:t>10.1002/anie.4703576</w:t>
        </w:r>
      </w:hyperlink>
    </w:p>
    <w:p>
      <w:pPr>
        <w:spacing w:before="0" w:after="120"/>
      </w:pPr>
      <w:r>
        <w:rPr>
          <w:b/>
        </w:rPr>
        <w:t xml:space="preserve">Notes: </w:t>
      </w:r>
      <w:r>
        <w:t>abstract_source=pubmed</w:t>
      </w:r>
    </w:p>
    <w:p>
      <w:pPr>
        <w:spacing w:before="0" w:after="80" w:lineRule="auto" w:line="276"/>
      </w:pPr>
      <w:r>
        <w:rPr>
          <w:b/>
        </w:rPr>
        <w:t xml:space="preserve">摘要（ZH）: </w:t>
      </w:r>
      <w:r>
        <w:t>深海紫外线非线性光学(DUV NLO)材料的开发在多个特性之间同时具有高性能,这仍是一项重大挑战,关键特性,如短紫外线截断边缘、强大的第二波力一代反应和适当的双曲线,往往受到相互制约。本项研究引入了一个新型的“三鸟一石”战略,利用一个封闭的功能组,[OOCCH(NH3)CH2SO3]-,融入了硫酸框架。这种方法既增加了极性厌食性和超极性,又保留了硫酸所固有的大波段差距。这一战略在平衡关键性能指标方面取得了突破。我们利用这一新的设计,成功地合成了一个新的DUV NLOUSURate,LI[DUV NLOSURate]。</w:t>
      </w:r>
    </w:p>
    <w:p>
      <w:pPr>
        <w:spacing w:before="0" w:after="200" w:lineRule="auto" w:line="276"/>
      </w:pPr>
      <w:r>
        <w:rPr>
          <w:b/>
        </w:rPr>
        <w:t xml:space="preserve">Abstract (EN): </w:t>
      </w:r>
      <w:r>
        <w:t>The development of deep ultraviolet nonlinear optical (DUV NLO) materials with simultaneous high performance across multiple properties remains a significant challenge. Key properties, such as a short UV cutoff edge, strong second-harmonic generation (SHG) response, and suitable birefringence, are often mutually constrained. This study introduces a novel "Three Birds with One Stone" strategy, utilizing a confined π-conjugated functional group, [OOCCH(NH3)CH2SO3]-, integrated into the sulfate framework. The approach enhances both polarizability anisotropy and hyperpolarizability while preserving the large band gap inherent to sulfates. This strategy achieves a breakthrough in balancing key performance metrics. Using this new design, we successfully synthesized a novel DUV NLO sulfonate, Li[OOCCH(NH3)CH2SO3] (LCNS), which demonstrates excellent optical properties, including a short UV cutoff edge (177 nm), a record SHG response (4.5 × KDP), and exceptional birefringence (0.090@589 nm) among DUV NLO sulfonates. This work not only provides a promising candidate for DUV NLO applications but also introduces an innovative strategy for the development of advanced DUV NLO materials.</w:t>
      </w:r>
    </w:p>
    <w:p>
      <w:pPr>
        <w:spacing w:before="120" w:after="120"/>
      </w:pPr>
      <w:r>
        <w:rPr>
          <w:sz w:val="18"/>
        </w:rPr>
        <w:t>——————————————————————————————————————————————————————————————————————</w:t>
      </w:r>
    </w:p>
    <w:p>
      <w:pPr>
        <w:spacing w:before="160" w:after="40" w:line="240" w:lineRule="auto"/>
      </w:pPr>
      <w:r>
        <w:rPr>
          <w:b/>
        </w:rPr>
        <w:t xml:space="preserve">[597] </w:t>
      </w:r>
      <w:hyperlink r:id="rId924">
        <w:r>
          <w:rPr>
            <w:color w:val="1155CC"/>
            <w:u w:val="single"/>
          </w:rPr>
          <w:t>光谱光谱激光激光共振共振有机聚合纤维上的光电活度</w:t>
        </w:r>
      </w:hyperlink>
    </w:p>
    <w:p>
      <w:pPr>
        <w:spacing w:before="0" w:after="80"/>
      </w:pPr>
      <w:r>
        <w:rPr>
          <w:i/>
          <w:sz w:val="20"/>
        </w:rPr>
        <w:t>EN: Long‐Wavelength Visible Griffith‐Type Oxygen Photoactivation on Isomeric Mesoporous Al‐Salen Covalent Organic Polymer Fibers</w:t>
      </w:r>
    </w:p>
    <w:p>
      <w:pPr>
        <w:spacing w:before="0" w:after="120"/>
      </w:pPr>
      <w:r>
        <w:rPr>
          <w:b/>
        </w:rPr>
        <w:t xml:space="preserve">Source: </w:t>
      </w:r>
      <w:r>
        <w:t>Wiley: Angewandte Chemie International Edition: Table of Contents</w:t>
      </w:r>
      <w:r>
        <w:t xml:space="preserve">    </w:t>
      </w:r>
      <w:r>
        <w:rPr>
          <w:b/>
        </w:rPr>
        <w:t xml:space="preserve">Pub date: </w:t>
      </w:r>
      <w:r>
        <w:t>2026-02-26 07:45:58+00:00</w:t>
      </w:r>
      <w:r>
        <w:t xml:space="preserve">    </w:t>
      </w:r>
      <w:r>
        <w:rPr>
          <w:b/>
        </w:rPr>
        <w:t xml:space="preserve">DOI: </w:t>
      </w:r>
      <w:hyperlink r:id="rId925">
        <w:r>
          <w:rPr>
            <w:color w:val="1155CC"/>
            <w:u w:val="single"/>
          </w:rPr>
          <w:t>10.1002/anie.7982319</w:t>
        </w:r>
      </w:hyperlink>
    </w:p>
    <w:p>
      <w:pPr>
        <w:spacing w:before="0" w:after="120"/>
      </w:pPr>
      <w:r>
        <w:rPr>
          <w:b/>
        </w:rPr>
        <w:t xml:space="preserve">Notes: </w:t>
      </w:r>
      <w:r>
        <w:t>abstract_source=pubmed</w:t>
      </w:r>
    </w:p>
    <w:p>
      <w:pPr>
        <w:spacing w:before="0" w:after="80" w:lineRule="auto" w:line="276"/>
      </w:pPr>
      <w:r>
        <w:rPr>
          <w:b/>
        </w:rPr>
        <w:t xml:space="preserve">摘要（ZH）: </w:t>
      </w:r>
      <w:r>
        <w:t>COvalent有机聚合物(COPs)已成为在太阳能驱动下高效将能源转化为化学品方面很有希望的光化催化剂,然而,对于能够有效收获近红外光(L-Vis-NIR)光( &gt; 600纳米)可见长距离光( &gt; 600纳米)以实现这些光化转化的COPs来说,这种光化聚合物仍然是罕见的,但对于能够有效收获近红外光(L-Vis-NIR)光( &gt; 600纳米)光( &gt; 600纳米)光()光化()光()光(&gt;600纳米)光()光化()光化物()光化物()的光化物化聚合剂(L-Vis-NIR)反应光化光化作用的光化剂(光化剂),用1,2,4,4-Tetra hyho索基线作为高太阳至化学效率约5.0%的牺牲剂。</w:t>
      </w:r>
    </w:p>
    <w:p>
      <w:pPr>
        <w:spacing w:before="0" w:after="200" w:lineRule="auto" w:line="276"/>
      </w:pPr>
      <w:r>
        <w:rPr>
          <w:b/>
        </w:rPr>
        <w:t xml:space="preserve">Abstract (EN): </w:t>
      </w:r>
      <w:r>
        <w:t>Covalent organic polymers (COPs) have emerged as promising photocatalysts for efficient solar-driven conversion of energy into chemicals. However, it remains rare for COPs capable of effectively harvesting long-wavelength visible to near-infrared (L-Vis-NIR) light (λ &gt; 600 nm) to achieve these photochemical transformations. Here, two isomeric mesoporous Al-Salen COP fibers are demonstrated as L-Vis-NIR-responsive photocatalysts for efficient Griffith-type oxygen activation to produce hydrogen peroxide (H2O2). Both COPs achieve a high H2O2 production rate of about 1607 µmol gcat -1 h-1 under irradiation of common domestic LED lights (680-690 nm, 3.18 mW cm-2) using 1,2,3,4-tetrahydroisoquinoline as a sacrificial reagent with a high solar to chemical efficiency of about 5.0%. Their efficient L-Vis-NIR-responsive photocatalytic performance is attributed to their narrow band gaps of about 1.5 eV, efficient charge separation facilitated by integrated electron-donor (benzene ring) and electron-acceptor (Al-Salen Lewis acid site) structures, and a direct Griffith-type photo-activation mechanism for oxygen. No significant isomerism effect is observed in their photocatalytic performance, attributed to the similar photoinduced charge carrier behaviors mainly affected by the local Al-Salen moieties rather than the topological structure. This study highlights isomeric Al-based COPs as effective platforms for L-Vis-NIR photocatalysis and opens avenues for the development of Al-based COP photocatalysts for diverse chemical transformations.</w:t>
      </w:r>
    </w:p>
    <w:p>
      <w:pPr>
        <w:spacing w:before="120" w:after="120"/>
      </w:pPr>
      <w:r>
        <w:rPr>
          <w:sz w:val="18"/>
        </w:rPr>
        <w:t>——————————————————————————————————————————————————————————————————————</w:t>
      </w:r>
    </w:p>
    <w:p>
      <w:pPr>
        <w:spacing w:before="160" w:after="40" w:line="240" w:lineRule="auto"/>
      </w:pPr>
      <w:r>
        <w:rPr>
          <w:b/>
        </w:rPr>
        <w:t xml:space="preserve">[598] </w:t>
      </w:r>
      <w:hyperlink r:id="rId926">
        <w:r>
          <w:rPr>
            <w:color w:val="1155CC"/>
            <w:u w:val="single"/>
          </w:rPr>
          <w:t>利用鼠鼠多能干细胞,重新确定性别,重新确定睾丸位置</w:t>
        </w:r>
      </w:hyperlink>
    </w:p>
    <w:p>
      <w:pPr>
        <w:spacing w:before="0" w:after="80"/>
      </w:pPr>
      <w:r>
        <w:rPr>
          <w:i/>
          <w:sz w:val="20"/>
        </w:rPr>
        <w:t>EN: Reconstitution of sex determination and the testicular niche using mouse pluripotent stem cells</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27">
        <w:r>
          <w:rPr>
            <w:color w:val="1155CC"/>
            <w:u w:val="single"/>
          </w:rPr>
          <w:t>10.1126/science.aea0296</w:t>
        </w:r>
      </w:hyperlink>
    </w:p>
    <w:p>
      <w:pPr>
        <w:spacing w:before="0" w:after="120"/>
      </w:pPr>
      <w:r>
        <w:rPr>
          <w:b/>
        </w:rPr>
        <w:t xml:space="preserve">Notes: </w:t>
      </w:r>
      <w:r>
        <w:t>abstract_source=crossref</w:t>
      </w:r>
    </w:p>
    <w:p>
      <w:pPr>
        <w:spacing w:before="0" w:after="80" w:lineRule="auto" w:line="276"/>
      </w:pPr>
      <w:r>
        <w:rPr>
          <w:b/>
        </w:rPr>
        <w:t xml:space="preserve">摘要（ZH）: </w:t>
      </w:r>
      <w:r>
        <w:t>正确区分淋巴细胞对于确定性别、生产性激素和调子至关重要,在文化中重新构建这一过程将加深我们对这一过程的理解,并能够在体外生成调子。在这里,我们报告使用鼠标多功能干细胞对睾丸体细胞进行重组的情况。重新组合了性别认同过程,产生了形成半神经管和相邻间组织的细胞类型。重组的睾丸组织结合了多能干细胞 — — 从原始细菌细胞中衍生出来,并支持将其分解为精子干细胞。这些精子形干细胞在移植成睾丸时被区分为功能性精子。</w:t>
      </w:r>
    </w:p>
    <w:p>
      <w:pPr>
        <w:spacing w:before="0" w:after="200" w:lineRule="auto" w:line="276"/>
      </w:pPr>
      <w:r>
        <w:rPr>
          <w:b/>
        </w:rPr>
        <w:t xml:space="preserve">Abstract (EN): </w:t>
      </w:r>
      <w:r>
        <w:t>Proper differentiation of gonadal somatic cells is crucial for sex determination and the production of sex hormones and gametes, and reconstituting this process in culture would both deepen our understanding of this process and enable the generation of gametes in vitro. Here, we report the reconstitution of testicular somatic cells using mouse pluripotent stem cells. The reconstitution recapitulated the sex-determination process, yielding cell types that formed seminiferous tubules and adjacent interstitial tissues. The reconstituted testicular tissue incorporated pluripotent stem cell–derived primordial germ cells and supported their differentiation into spermatogonial stem cells. These spermatogonial stem cells differentiated into functional spermatozoa upon transplantation into testis. This study contributes to a deeper understanding of the sex-determination process and to the creation of an alternative source for the male germ line in culture.</w:t>
      </w:r>
    </w:p>
    <w:p>
      <w:pPr>
        <w:spacing w:before="120" w:after="120"/>
      </w:pPr>
      <w:r>
        <w:rPr>
          <w:sz w:val="18"/>
        </w:rPr>
        <w:t>——————————————————————————————————————————————————————————————————————</w:t>
      </w:r>
    </w:p>
    <w:p>
      <w:pPr>
        <w:spacing w:before="160" w:after="40" w:line="240" w:lineRule="auto"/>
      </w:pPr>
      <w:r>
        <w:rPr>
          <w:b/>
        </w:rPr>
        <w:t xml:space="preserve">[599] </w:t>
      </w:r>
      <w:hyperlink r:id="rId928">
        <w:r>
          <w:rPr>
            <w:color w:val="1155CC"/>
            <w:u w:val="single"/>
          </w:rPr>
          <w:t>作为垫脚石的中间阶段,用以增强纳米粒子自我组装中的结晶动力学</w:t>
        </w:r>
      </w:hyperlink>
    </w:p>
    <w:p>
      <w:pPr>
        <w:spacing w:before="0" w:after="80"/>
      </w:pPr>
      <w:r>
        <w:rPr>
          <w:i/>
          <w:sz w:val="20"/>
        </w:rPr>
        <w:t>EN: Mesophases as stepping stones to enhance crystallization kinetics in nanoparticle self-assembly</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29">
        <w:r>
          <w:rPr>
            <w:color w:val="1155CC"/>
            <w:u w:val="single"/>
          </w:rPr>
          <w:t>10.1073/pnas.2519498123</w:t>
        </w:r>
      </w:hyperlink>
    </w:p>
    <w:p>
      <w:pPr>
        <w:spacing w:before="0" w:after="120"/>
      </w:pPr>
      <w:r>
        <w:rPr>
          <w:b/>
        </w:rPr>
        <w:t xml:space="preserve">Notes: </w:t>
      </w:r>
      <w:r>
        <w:t>abstract_source=crossref</w:t>
      </w:r>
    </w:p>
    <w:p>
      <w:pPr>
        <w:spacing w:before="0" w:after="80" w:lineRule="auto" w:line="276"/>
      </w:pPr>
      <w:r>
        <w:rPr>
          <w:b/>
        </w:rPr>
        <w:t xml:space="preserve">摘要（ZH）: </w:t>
      </w:r>
      <w:r>
        <w:t>运动路径的操纵对于将纳米粒子构成构件自行组装成复杂的定序结构至关重要,因为中间元化状态的出现可能促进或阻碍目标板块的结晶化。 分子模拟和Markovian 和转型状态理论被用来验证我们的推测,即中间中间中间线,以部分但长距离的翻译或定向结构顺序排列,加速来自混乱结构的结晶动力学。 我们用四个具有代表性的模型、两个淋病单一成份和两个热质二进制混合系统,我们证明,中间线流体、转动器固态和微分化介质中间线的中间线,加速整个晶体的加速。</w:t>
      </w:r>
    </w:p>
    <w:p>
      <w:pPr>
        <w:spacing w:before="0" w:after="200" w:lineRule="auto" w:line="276"/>
      </w:pPr>
      <w:r>
        <w:rPr>
          <w:b/>
        </w:rPr>
        <w:t xml:space="preserve">Abstract (EN): </w:t>
      </w:r>
      <w:r>
        <w:t>Manipulation of kinetic pathways is essential to self-assemble nanoparticle building blocks into complex ordered structures, as the emergence of intermediate metastable states could either facilitate or hinder crystallization of the target lattice. Molecular simulations and Markovian and transition state theory are used to validate our conjecture that intermediary mesophases, with partial but long-range translational or orientational structural ordering, accelerate crystallization kinetics from the disordered structure. Using four representative models, two lyotropic single-component and two thermotropic binary mixture systems, we demonstrate that mesophases with intermediate entropies, such as nematic fluid, rotator solid, and microsegregated mesophases, speed up the overall crystallization rate. This enhancement occurs by effectively splitting a larger isotropic-to-crystal free energy barrier into two smaller barriers corresponding to isotropic-to-mesophase and mesophase-to-crystal transitions, with mesophase “bulk” macrostates being kinetically more favorable than microscopic fluctuations. The single-step isotropic-to-crystal transition occurs through a composite-cluster pathway that includes mesophase microdomains; an isotropic-crystal interfacial energy greater than or comparable to the sum of the isotropic-mesophase and mesophase-crystal interfacial energies is associated with enhanced two-step crystallization rate. Overall, our findings validate the conjecture, which offers additional guidance for selecting nanoparticle designs and conditions that promote efficient crystallization pathways.</w:t>
      </w:r>
    </w:p>
    <w:p>
      <w:pPr>
        <w:spacing w:before="120" w:after="120"/>
      </w:pPr>
      <w:r>
        <w:rPr>
          <w:sz w:val="18"/>
        </w:rPr>
        <w:t>——————————————————————————————————————————————————————————————————————</w:t>
      </w:r>
    </w:p>
    <w:p>
      <w:pPr>
        <w:spacing w:before="160" w:after="40" w:line="240" w:lineRule="auto"/>
      </w:pPr>
      <w:r>
        <w:rPr>
          <w:b/>
        </w:rPr>
        <w:t xml:space="preserve">[600] </w:t>
      </w:r>
      <w:hyperlink r:id="rId930">
        <w:r>
          <w:rPr>
            <w:color w:val="1155CC"/>
            <w:u w:val="single"/>
          </w:rPr>
          <w:t>XRCC3-RAD51C-RAD51D-XRCC2XRCC3-RAD51D-XRCC2的RAD51纤维组件和终端截取的可视化</w:t>
        </w:r>
      </w:hyperlink>
    </w:p>
    <w:p>
      <w:pPr>
        <w:spacing w:before="0" w:after="80"/>
      </w:pPr>
      <w:r>
        <w:rPr>
          <w:i/>
          <w:sz w:val="20"/>
        </w:rPr>
        <w:t>EN: Cryo–electron microscopic visualization of RAD51 filament assembly and end-capping by XRCC3-RAD51C-RAD51D-XRCC2</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31">
        <w:r>
          <w:rPr>
            <w:color w:val="1155CC"/>
            <w:u w:val="single"/>
          </w:rPr>
          <w:t>10.1126/science.aea1546</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我们发现,RAD51合成物组装成两种截然不同的异端异端复合体,即RAD51B-RAD51C-RAD51D51-XRCC2(RAD51B复合体)和XRCC3(XRCC3复合体),它们是如何促成这些过程的。RAD51合成物的突变与可遗传乳腺和卵巢癌以及癌症致癌性疾病Fanconi 贫血有关。在这项工作中,我们显示RAD51合成物组装成两种不同的异端异端复合体,即RAD51B-RAD51C-RAD51C-RAD51DD-XRCC2(RAD51C-RAD51D51D-XRCC2(XRCC3复合体)和XRCC3复合体。RAD51B复合体提倡动态的三硝酸三磷水解水分解(依靠RAD51纤维的结合),而XRCC3复合体则将RAD51纤维的5-nini封封盖,用冷色显微镜显示,以促进同式配关系。</w:t>
      </w:r>
    </w:p>
    <w:p>
      <w:pPr>
        <w:spacing w:before="0" w:after="200" w:lineRule="auto" w:line="276"/>
      </w:pPr>
      <w:r>
        <w:rPr>
          <w:b/>
        </w:rPr>
        <w:t xml:space="preserve">Abstract (EN): </w:t>
      </w:r>
      <w:r>
        <w:t>Homologous recombination repairs DNA double-strand breaks and protects stalled replication forks, but how the five RAD51 paralogs contribute to these processes remains unclear. Mutations in the RAD51 paralogs are linked to heritable breast and ovarian cancers and the cancer-prone disease Fanconi anemia. In this work, we show that the RAD51 paralogs assemble into two distinct heterotetrameric complexes, RAD51B-RAD51C-RAD51D-XRCC2 (RAD51B complex) and XRCC3-RAD51C-RAD51D-XRCC2 (XRCC3 complex). The RAD51B complex promotes dynamic adenosine triphosphate hydrolysis–dependent assembly of RAD51 filaments, whereas the XRCC3 complex stably caps the 5′ termini of RAD51 filaments to promote homologous pairing, as visualized by cryo–electron microscopy. Highly conserved across evolution, the XRCC3 complex reveals insights into RAD51 filament formation and capping during DNA repair and replication fork stabilization.</w:t>
      </w:r>
    </w:p>
    <w:p>
      <w:pPr>
        <w:spacing w:before="120" w:after="120"/>
      </w:pPr>
      <w:r>
        <w:rPr>
          <w:sz w:val="18"/>
        </w:rPr>
        <w:t>——————————————————————————————————————————————————————————————————————</w:t>
      </w:r>
    </w:p>
    <w:p>
      <w:pPr>
        <w:spacing w:before="160" w:after="40" w:line="240" w:lineRule="auto"/>
      </w:pPr>
      <w:r>
        <w:rPr>
          <w:b/>
        </w:rPr>
        <w:t xml:space="preserve">[601] </w:t>
      </w:r>
      <w:hyperlink r:id="rId932">
        <w:r>
          <w:rPr>
            <w:color w:val="1155CC"/>
            <w:u w:val="single"/>
          </w:rPr>
          <w:t>私人资金不能取代对科学的公共资助</w:t>
        </w:r>
      </w:hyperlink>
    </w:p>
    <w:p>
      <w:pPr>
        <w:spacing w:before="0" w:after="80"/>
      </w:pPr>
      <w:r>
        <w:rPr>
          <w:i/>
          <w:sz w:val="20"/>
        </w:rPr>
        <w:t>EN: Private money cannot replace public funding of science</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33">
        <w:r>
          <w:rPr>
            <w:color w:val="1155CC"/>
            <w:u w:val="single"/>
          </w:rPr>
          <w:t>10.1126/science.aef2849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[602] </w:t>
      </w:r>
      <w:hyperlink r:id="rId934">
        <w:r>
          <w:rPr>
            <w:color w:val="1155CC"/>
            <w:u w:val="single"/>
          </w:rPr>
          <w:t>“造成DNA损害和结构染色体畸变的Chromomomome隔离错误”报告的Erratum</w:t>
        </w:r>
      </w:hyperlink>
    </w:p>
    <w:p>
      <w:pPr>
        <w:spacing w:before="0" w:after="80"/>
      </w:pPr>
      <w:r>
        <w:rPr>
          <w:i/>
          <w:sz w:val="20"/>
        </w:rPr>
        <w:t>EN: Erratum for the Report “Chromosome segregation errors as a cause of DNA damage and structural chromosome aberrations”</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35">
        <w:r>
          <w:rPr>
            <w:color w:val="1155CC"/>
            <w:u w:val="single"/>
          </w:rPr>
          <w:t>10.1126/science.aeg5565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[603] </w:t>
      </w:r>
      <w:hyperlink r:id="rId936">
        <w:r>
          <w:rPr>
            <w:color w:val="1155CC"/>
            <w:u w:val="single"/>
          </w:rPr>
          <w:t>哺乳哺乳动物夜间-双肾开关的细胞基</w:t>
        </w:r>
      </w:hyperlink>
    </w:p>
    <w:p>
      <w:pPr>
        <w:spacing w:before="0" w:after="80"/>
      </w:pPr>
      <w:r>
        <w:rPr>
          <w:i/>
          <w:sz w:val="20"/>
        </w:rPr>
        <w:t>EN: A cellular basis for the mammalian nocturnal-diurnal switch</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37">
        <w:r>
          <w:rPr>
            <w:color w:val="1155CC"/>
            <w:u w:val="single"/>
          </w:rPr>
          <w:t>10.1126/science.ady2822</w:t>
        </w:r>
      </w:hyperlink>
    </w:p>
    <w:p>
      <w:pPr>
        <w:spacing w:before="0" w:after="120"/>
      </w:pPr>
      <w:r>
        <w:rPr>
          <w:b/>
        </w:rPr>
        <w:t xml:space="preserve">Notes: </w:t>
      </w:r>
      <w:r>
        <w:t>abstract_source=crossref</w:t>
      </w:r>
    </w:p>
    <w:p>
      <w:pPr>
        <w:spacing w:before="0" w:after="80" w:lineRule="auto" w:line="276"/>
      </w:pPr>
      <w:r>
        <w:rPr>
          <w:b/>
        </w:rPr>
        <w:t xml:space="preserve">摘要（ZH）: </w:t>
      </w:r>
      <w:r>
        <w:t>早期哺乳动物是早期夜间哺乳动物,而恐龙则在白天占主导地位。在白鲸-白质白鲸灭绝后,哺乳动物向日间活动的过渡加速,但基本机制仍不清楚。我们发现了一种有可能促成这种转变的节能细胞内分泌、热动力机制。在二极哺乳动物、蛋白合成、磷酸化和环形计时细胞的细胞中,对温度变化的敏感度比夜哺乳动物细胞的细胞对温度变化的敏感度要低。比较基因组学揭示了在基本信号路径中加速进化的过程,包括减疟素的机械化目标(mtor),这增加了二极细胞钟的强度,使其更能适应热和骨质性突扰动。在夜鼠、摩托抑制细胞、组织和行为向二极素的转变。</w:t>
      </w:r>
    </w:p>
    <w:p>
      <w:pPr>
        <w:spacing w:before="0" w:after="200" w:lineRule="auto" w:line="276"/>
      </w:pPr>
      <w:r>
        <w:rPr>
          <w:b/>
        </w:rPr>
        <w:t xml:space="preserve">Abstract (EN): </w:t>
      </w:r>
      <w:r>
        <w:t>Early mammals were nocturnal while dinosaurs dominated the daytime. Mammalian transition to daytime activity accelerated after the Cretaceous-Paleogene extinction, but the underlying mechanisms remain unclear. We identified a conserved cell-intrinsic, thermodynamic mechanism that likely facilitated this shift. In cells from diurnal mammals, protein synthesis, phosphorylation, and circadian timing were less sensitive to temperature changes than were cells from nocturnal mammals. Comparative genomics revealed accelerated evolution within essential signaling pathways, including mechanistic target of rapamycin (mTOR), that increase the robustness of diurnal cellular clocks to thermal and osmotic perturbation. In nocturnal mice, mTOR inhibition shifted cells, tissues, and behavior toward diurnal activity. These findings uncover a genetic and biochemical basis for nocturnal-diurnal switching, emphasizing how cellular signaling networks can encode complex phenotypes such as temporal niche selection.</w:t>
      </w:r>
    </w:p>
    <w:p>
      <w:pPr>
        <w:spacing w:before="120" w:after="120"/>
      </w:pPr>
      <w:r>
        <w:rPr>
          <w:sz w:val="18"/>
        </w:rPr>
        <w:t>——————————————————————————————————————————————————————————————————————</w:t>
      </w:r>
    </w:p>
    <w:p>
      <w:pPr>
        <w:spacing w:before="160" w:after="40" w:line="240" w:lineRule="auto"/>
      </w:pPr>
      <w:r>
        <w:rPr>
          <w:b/>
        </w:rPr>
        <w:t xml:space="preserve">[604] </w:t>
      </w:r>
      <w:hyperlink r:id="rId938">
        <w:r>
          <w:rPr>
            <w:color w:val="1155CC"/>
            <w:u w:val="single"/>
          </w:rPr>
          <w:t>整个生物体的细胞动态和哺乳动物老龄化的上层基因组改造</w:t>
        </w:r>
      </w:hyperlink>
    </w:p>
    <w:p>
      <w:pPr>
        <w:spacing w:before="0" w:after="80"/>
      </w:pPr>
      <w:r>
        <w:rPr>
          <w:i/>
          <w:sz w:val="20"/>
        </w:rPr>
        <w:t>EN: Organism-wide cellular dynamics and epigenomic remodeling in mammalian aging</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39">
        <w:r>
          <w:rPr>
            <w:color w:val="1155CC"/>
            <w:u w:val="single"/>
          </w:rPr>
          <w:t>10.1126/science.adw6273</w:t>
        </w:r>
      </w:hyperlink>
    </w:p>
    <w:p>
      <w:pPr>
        <w:spacing w:before="0" w:after="120"/>
      </w:pPr>
      <w:r>
        <w:rPr>
          <w:b/>
        </w:rPr>
        <w:t xml:space="preserve">Notes: </w:t>
      </w:r>
      <w:r>
        <w:t>abstract_source=crossref</w:t>
      </w:r>
    </w:p>
    <w:p>
      <w:pPr>
        <w:spacing w:before="0" w:after="80" w:lineRule="auto" w:line="276"/>
      </w:pPr>
      <w:r>
        <w:rPr>
          <w:b/>
        </w:rPr>
        <w:t xml:space="preserve">摘要（ZH）: </w:t>
      </w:r>
      <w:r>
        <w:t>为了调查整个组织在老龄化期间的细胞改变和上皮基因动态,我们建造了一个单细胞染色体无障碍图集,覆盖了21个年龄组和男女,覆盖了3个年龄组的老鼠组织21个。我们发现,大约536个特定器官细胞类型和1828个细微颗粒子类型中四分之一的536个特定细胞类型和1828个微粒子类型出现了与年龄有关的相当的人口变化。广泛分布的细胞系显示了与年龄同步的动态,表明了协调这些变化的系统信号。分子分析查明了这些变化背后的内在调节因素(色素峰值、转录系数活动)和外部因素(cytokine方案 ) 。 此外,与老龄化有关的人口动态的约40%是性别依赖的,成千上万个峰值发生了变化。</w:t>
      </w:r>
    </w:p>
    <w:p>
      <w:pPr>
        <w:spacing w:before="0" w:after="200" w:lineRule="auto" w:line="276"/>
      </w:pPr>
      <w:r>
        <w:rPr>
          <w:b/>
        </w:rPr>
        <w:t xml:space="preserve">Abstract (EN): </w:t>
      </w:r>
      <w:r>
        <w:t>To investigate organism-wide cellular alterations and epigenomic dynamics during aging, we constructed a single-cell chromatin accessibility atlas spanning 21 mouse tissues across three age groups and both sexes. We found that around one-quarter of 536 organ-specific cell types and 1828 finer-grained subtypes exhibited considerable age-related population shifts. Cellular states from broadly distributed lineages displayed synchronized dynamics with age, indicating systemic signals that coordinate these changes. Molecular analyses identified both intrinsic regulators (chromatin peaks, transcription factor activity) and extrinsic factors (cytokine programs) underlying these shifts. Moreover, ~40% of aging-associated population dynamics were sex-dependent, with tens of thousands of peaks altered exclusively in one sex. Together, these findings present a comprehensive framework for how aging reshapes the chromatin landscape and cellular composition across diverse tissues.</w:t>
      </w:r>
    </w:p>
    <w:p>
      <w:pPr>
        <w:spacing w:before="120" w:after="120"/>
      </w:pPr>
      <w:r>
        <w:rPr>
          <w:sz w:val="18"/>
        </w:rPr>
        <w:t>——————————————————————————————————————————————————————————————————————</w:t>
      </w:r>
    </w:p>
    <w:p>
      <w:pPr>
        <w:spacing w:before="160" w:after="40" w:line="240" w:lineRule="auto"/>
      </w:pPr>
      <w:r>
        <w:rPr>
          <w:b/>
        </w:rPr>
        <w:t xml:space="preserve">[605] </w:t>
      </w:r>
      <w:hyperlink r:id="rId940">
        <w:r>
          <w:rPr>
            <w:color w:val="1155CC"/>
            <w:u w:val="single"/>
          </w:rPr>
          <w:t>趋同和细系特定基因组变化影响食糖鸟类的适应</w:t>
        </w:r>
      </w:hyperlink>
    </w:p>
    <w:p>
      <w:pPr>
        <w:spacing w:before="0" w:after="80"/>
      </w:pPr>
      <w:r>
        <w:rPr>
          <w:i/>
          <w:sz w:val="20"/>
        </w:rPr>
        <w:t>EN: Convergent and lineage-specific genomic changes shape adaptations in sugar-consuming birds</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41">
        <w:r>
          <w:rPr>
            <w:color w:val="1155CC"/>
            <w:u w:val="single"/>
          </w:rPr>
          <w:t>10.1126/science.adt1522</w:t>
        </w:r>
      </w:hyperlink>
    </w:p>
    <w:p>
      <w:pPr>
        <w:spacing w:before="0" w:after="120"/>
      </w:pPr>
      <w:r>
        <w:rPr>
          <w:b/>
        </w:rPr>
        <w:t xml:space="preserve">Notes: </w:t>
      </w:r>
      <w:r>
        <w:t>abstract_source=crossref</w:t>
      </w:r>
    </w:p>
    <w:p>
      <w:pPr>
        <w:spacing w:before="0" w:after="80" w:lineRule="auto" w:line="276"/>
      </w:pPr>
      <w:r>
        <w:rPr>
          <w:b/>
        </w:rPr>
        <w:t xml:space="preserve">摘要（ZH）: </w:t>
      </w:r>
      <w:r>
        <w:t>高糖饮食导致人类新陈代谢疾病,但有几种鸟类系系系,经统合适应食用富含糖的花蜜或水果的食用。我们调查蜂鸟、鹦鹉、蜂蜜食人和太阳鸟的基本分子机制,产生9个新的基因组和90个组织专用抄录器。比较屏幕显示在食糖鸟类蛋白编码和调控序列中反复选择过多,暗示基因元素的再利用。食糖动物的序列或表达变化影响到血压调节和脂类、氨基酸和碳水化合物代谢的基因,实验显示蜂蜜食者Hexokinase 3. MLXIPL,糖和脂肪家畜的主要调节者MLXIPL。</w:t>
      </w:r>
    </w:p>
    <w:p>
      <w:pPr>
        <w:spacing w:before="0" w:after="200" w:lineRule="auto" w:line="276"/>
      </w:pPr>
      <w:r>
        <w:rPr>
          <w:b/>
        </w:rPr>
        <w:t xml:space="preserve">Abstract (EN): </w:t>
      </w:r>
      <w:r>
        <w:t>High-sugar diets cause human metabolic diseases, yet several bird lineages convergently adapted to feeding on sugar-rich nectar or fruits. We investigated the underlying molecular mechanisms in hummingbirds, parrots, honeyeaters, and sunbirds by generating nine new genomes and 90 tissue-specific transcriptomes. Comparative screens revealed an excess of repeated selection in both protein-coding and regulatory sequences in sugar-feeding birds, suggesting reuse of genetic elements. Sequence or expression changes in sugar-feeders affect genes involved in blood pressure regulation and lipid, amino acid, and carbohydrate metabolism, with experiments showing functional changes in honeyeater hexokinase 3.</w:t>
      </w:r>
      <w:r>
        <w:t xml:space="preserve"> </w:t>
      </w:r>
      <w:r>
        <w:t>MLXIPL</w:t>
      </w:r>
      <w:r>
        <w:t xml:space="preserve"> </w:t>
      </w:r>
      <w:r>
        <w:t>, a key regulator of sugar and lipid homeostasis, showed convergent sequence and regulatory changes across all sugar-feeding clades; experiments revealed enhanced sugar-induced transcriptional activity of hummingbird</w:t>
      </w:r>
      <w:r>
        <w:t xml:space="preserve"> </w:t>
      </w:r>
      <w:r>
        <w:t>MLXIPL</w:t>
      </w:r>
      <w:r>
        <w:t xml:space="preserve"> </w:t>
      </w:r>
      <w:r>
        <w:t>, highlighting its adaptive role in high-sugar diets.</w:t>
      </w:r>
    </w:p>
    <w:p>
      <w:pPr>
        <w:spacing w:before="120" w:after="120"/>
      </w:pPr>
      <w:r>
        <w:rPr>
          <w:sz w:val="18"/>
        </w:rPr>
        <w:t>——————————————————————————————————————————————————————————————————————</w:t>
      </w:r>
    </w:p>
    <w:p>
      <w:pPr>
        <w:spacing w:before="160" w:after="40" w:line="240" w:lineRule="auto"/>
      </w:pPr>
      <w:r>
        <w:rPr>
          <w:b/>
        </w:rPr>
        <w:t xml:space="preserve">[606] </w:t>
      </w:r>
      <w:hyperlink r:id="rId942">
        <w:r>
          <w:rPr>
            <w:color w:val="1155CC"/>
            <w:u w:val="single"/>
          </w:rPr>
          <w:t>不同的DNA修复路径支持R2反转基因蛋白原原状或短径插入的DNA修复路径</w:t>
        </w:r>
      </w:hyperlink>
    </w:p>
    <w:p>
      <w:pPr>
        <w:spacing w:before="0" w:after="80"/>
      </w:pPr>
      <w:r>
        <w:rPr>
          <w:i/>
          <w:sz w:val="20"/>
        </w:rPr>
        <w:t>EN: Different DNA repair pathways support intact or truncated insertions by R2 retrotransposon protein</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43">
        <w:r>
          <w:rPr>
            <w:color w:val="1155CC"/>
            <w:u w:val="single"/>
          </w:rPr>
          <w:t>10.1126/science.adz3121</w:t>
        </w:r>
      </w:hyperlink>
    </w:p>
    <w:p>
      <w:pPr>
        <w:spacing w:before="0" w:after="120"/>
      </w:pPr>
      <w:r>
        <w:rPr>
          <w:b/>
        </w:rPr>
        <w:t xml:space="preserve">Notes: </w:t>
      </w:r>
      <w:r>
        <w:t>abstract_source=crossref</w:t>
      </w:r>
    </w:p>
    <w:p>
      <w:pPr>
        <w:spacing w:before="0" w:after="80" w:lineRule="auto" w:line="276"/>
      </w:pPr>
      <w:r>
        <w:rPr>
          <w:b/>
        </w:rPr>
        <w:t xml:space="preserve">摘要（ZH）: </w:t>
      </w:r>
      <w:r>
        <w:t>非长期终端重复(非LTR)反转式转式转式蛋白通过目标标价反转转转转录转录法协调的分点和反转转录式活动,将RNA模板复制为基因组。 第一次和补充DNA(cDNA)成为一个可刺插入双曲的机制,包括CDNA 3端和第二层合成的交接点形成要求,目前还不清楚。 我们检测了影响通过R2反转式蛋白将特定地点的转基因合成纳入人类基因组的细胞因素。 我们发现插入长度和连接点的信号因替代修复过程不同而不同,这些过程包括依靠TR的聚合酶的连接、53BPP1级定向防护剂和CST-聚合酶primase填充合成,或有限的线条状合成。</w:t>
      </w:r>
    </w:p>
    <w:p>
      <w:pPr>
        <w:spacing w:before="0" w:after="200" w:lineRule="auto" w:line="276"/>
      </w:pPr>
      <w:r>
        <w:rPr>
          <w:b/>
        </w:rPr>
        <w:t xml:space="preserve">Abstract (EN): </w:t>
      </w:r>
      <w:r>
        <w:t>Non–long terminal repeat (non-LTR) retrotransposon proteins copy their RNA template into a genome through coordinated nicking and reverse transcriptase activities of target-primed reverse transcription. Mechanisms by which the first-strand complementary DNA (cDNA) becomes a stably inserted duplex, including requirements for junction formation at the cDNA 3′ end and second-strand synthesis, are unknown. We screened for cellular factors that influence site-specific transgene synthesis into the human genome by an R2 retrotransposon protein. We discovered that insertion lengths and junction signatures differ based on alternative repair processes involving ATR-dependent polymerase θ end joining, 53BP1-directed shieldin and CST–polymerase α–primase fill-in synthesis, or limited strand annealing dependent on CtIP-MRN. These insights shed light on how genome-primed cDNA synthesis by a non-LTR retrotransposon protein can support stable new gene insertion, with major implications for native retrotransposon mobility and genome engineering.</w:t>
      </w:r>
    </w:p>
    <w:p>
      <w:pPr>
        <w:spacing w:before="120" w:after="120"/>
      </w:pPr>
      <w:r>
        <w:rPr>
          <w:sz w:val="18"/>
        </w:rPr>
        <w:t>——————————————————————————————————————————————————————————————————————</w:t>
      </w:r>
    </w:p>
    <w:p>
      <w:pPr>
        <w:spacing w:before="160" w:after="40" w:line="240" w:lineRule="auto"/>
      </w:pPr>
      <w:r>
        <w:rPr>
          <w:b/>
        </w:rPr>
        <w:t xml:space="preserve">[607] </w:t>
      </w:r>
      <w:hyperlink r:id="rId944">
        <w:r>
          <w:rPr>
            <w:color w:val="1155CC"/>
            <w:u w:val="single"/>
          </w:rPr>
          <w:t>从多能干细胞中产生功能性能强的睾丸体细胞</w:t>
        </w:r>
      </w:hyperlink>
    </w:p>
    <w:p>
      <w:pPr>
        <w:spacing w:before="0" w:after="80"/>
      </w:pPr>
      <w:r>
        <w:rPr>
          <w:i/>
          <w:sz w:val="20"/>
        </w:rPr>
        <w:t>EN: Generation of functionally competent testicular somatic cells from pluripotent stem cells</w:t>
      </w:r>
    </w:p>
    <w:p>
      <w:pPr>
        <w:spacing w:before="0" w:after="120"/>
      </w:pPr>
      <w:r>
        <w:rPr>
          <w:b/>
        </w:rPr>
        <w:t xml:space="preserve">Source: </w:t>
      </w:r>
      <w:r>
        <w:t>AAAS: Science Advances: Table of Contents</w:t>
      </w:r>
      <w:r>
        <w:t xml:space="preserve">    </w:t>
      </w:r>
      <w:r>
        <w:rPr>
          <w:b/>
        </w:rPr>
        <w:t xml:space="preserve">Pub date: </w:t>
      </w:r>
      <w:r>
        <w:t>2026-02-26 08:00:00+00:00</w:t>
      </w:r>
      <w:r>
        <w:t xml:space="preserve">    </w:t>
      </w:r>
      <w:r>
        <w:rPr>
          <w:b/>
        </w:rPr>
        <w:t xml:space="preserve">DOI: </w:t>
      </w:r>
      <w:hyperlink r:id="rId945">
        <w:r>
          <w:rPr>
            <w:color w:val="1155CC"/>
            <w:u w:val="single"/>
          </w:rPr>
          <w:t>10.1126/sciadv.adz0269</w:t>
        </w:r>
      </w:hyperlink>
    </w:p>
    <w:p>
      <w:pPr>
        <w:spacing w:before="0" w:after="120"/>
      </w:pPr>
      <w:r>
        <w:rPr>
          <w:b/>
        </w:rPr>
        <w:t xml:space="preserve">Notes: </w:t>
      </w:r>
      <w:r>
        <w:t>abstract_source=crossref</w:t>
      </w:r>
    </w:p>
    <w:p>
      <w:pPr>
        <w:spacing w:before="0" w:after="80" w:lineRule="auto" w:line="276"/>
      </w:pPr>
      <w:r>
        <w:rPr>
          <w:b/>
        </w:rPr>
        <w:t xml:space="preserve">摘要（ZH）: </w:t>
      </w:r>
      <w:r>
        <w:t>细菌细胞和淋巴细胞细胞之间的细胞互动是基因进化的关键。 在这里,我们报告一种培养方法,用来从胚胎干细胞中产生胚胎睾丸体细胞 — — 类似细胞的培养方法。 这些FTSLC 展示了一种与体外细胞相近的转录学剖析图,包括与塞尔托利细胞和间歇细胞相对应的不同细胞群。对于功能评估,间细胞类细胞(ICLCs)和塞尔托利类似细胞(SertLCs)从FTSLCs中分离出来。 当与缺乏内生莱蒂格细胞的睾丸结合时,ICLCs被区分为莱蒂格细胞,从而恢复和产生支持。</w:t>
      </w:r>
    </w:p>
    <w:p>
      <w:pPr>
        <w:spacing w:before="0" w:after="200" w:lineRule="auto" w:line="276"/>
      </w:pPr>
      <w:r>
        <w:rPr>
          <w:b/>
        </w:rPr>
        <w:t xml:space="preserve">Abstract (EN): </w:t>
      </w:r>
      <w:r>
        <w:t>Cellular interactions between germ cells and gonadal somatic cells are essential for the progression of gametogenesis. Here, we report a culture method for generating fetal testicular somatic cell–like cells (fTeSLCs) from embryonic stem cells. These fTeSLCs exhibit a transcriptomic profile closely resembling that of their in vivo counterparts, including distinct cell populations corresponding to Sertoli cells and interstitial cells. For functional assessment, interstitial cell–like cells (ICLCs) and Sertoli-like cells (SerLCs) were isolated from fTeSLCs. ICLCs differentiated into Leydig cells when cocultured with testes lacking endogenous Leydig cells, thereby restoring androgenic support. SerLCs reconstituted the seminiferous epithelium following selective ablation of endogenous Sertoli cells. Both cell types supported spermatogenesis and generated spermatids reaching the elongating stage. Notably, round spermatids derived from these reconstructed systems produced viable offspring by round spermatid injection. These findings demonstrate that fTeSLCs can generate functional testicular somatic cells, providing a valuable platform for studying testis development and spermatogenesis.</w:t>
      </w:r>
    </w:p>
    <w:p>
      <w:pPr>
        <w:spacing w:before="120" w:after="120"/>
      </w:pPr>
      <w:r>
        <w:rPr>
          <w:sz w:val="18"/>
        </w:rPr>
        <w:t>——————————————————————————————————————————————————————————————————————</w:t>
      </w:r>
    </w:p>
    <w:p>
      <w:pPr>
        <w:spacing w:before="160" w:after="40" w:line="240" w:lineRule="auto"/>
      </w:pPr>
      <w:r>
        <w:rPr>
          <w:b/>
        </w:rPr>
        <w:t xml:space="preserve">[608] </w:t>
      </w:r>
      <w:hyperlink r:id="rId946">
        <w:r>
          <w:rPr>
            <w:color w:val="1155CC"/>
            <w:u w:val="single"/>
          </w:rPr>
          <w:t>Stinging-NF-NF-XXB信号建立流感溢出屏障</w:t>
        </w:r>
      </w:hyperlink>
    </w:p>
    <w:p>
      <w:pPr>
        <w:spacing w:before="0" w:after="80"/>
      </w:pPr>
      <w:r>
        <w:rPr>
          <w:i/>
          <w:sz w:val="20"/>
        </w:rPr>
        <w:t>EN: STING–NF-κB signaling builds an influenza spillover barrier</w:t>
      </w:r>
    </w:p>
    <w:p>
      <w:pPr>
        <w:spacing w:before="0" w:after="120"/>
      </w:pPr>
      <w:r>
        <w:rPr>
          <w:b/>
        </w:rPr>
        <w:t xml:space="preserve">Source: </w:t>
      </w:r>
      <w:r>
        <w:t>AAAS: Science: Table of Contents</w:t>
      </w:r>
      <w:r>
        <w:t xml:space="preserve">    </w:t>
      </w:r>
      <w:r>
        <w:rPr>
          <w:b/>
        </w:rPr>
        <w:t xml:space="preserve">Pub date: </w:t>
      </w:r>
      <w:r>
        <w:t>2026-02-26 08:00:00+00:00</w:t>
      </w:r>
      <w:r>
        <w:t xml:space="preserve">    </w:t>
      </w:r>
      <w:r>
        <w:rPr>
          <w:b/>
        </w:rPr>
        <w:t xml:space="preserve">DOI: </w:t>
      </w:r>
      <w:hyperlink r:id="rId947">
        <w:r>
          <w:rPr>
            <w:color w:val="1155CC"/>
            <w:u w:val="single"/>
          </w:rPr>
          <w:t>10.1126/science.ads4405</w:t>
        </w:r>
      </w:hyperlink>
    </w:p>
    <w:p>
      <w:pPr>
        <w:spacing w:before="0" w:after="120"/>
      </w:pPr>
      <w:r>
        <w:rPr>
          <w:b/>
        </w:rPr>
        <w:t xml:space="preserve">Notes: </w:t>
      </w:r>
      <w:r>
        <w:t>abstract_source=crossref</w:t>
      </w:r>
    </w:p>
    <w:p>
      <w:pPr>
        <w:spacing w:before="0" w:after="80" w:lineRule="auto" w:line="276"/>
      </w:pPr>
      <w:r>
        <w:rPr>
          <w:b/>
        </w:rPr>
        <w:t xml:space="preserve">摘要（ZH）: </w:t>
      </w:r>
      <w:r>
        <w:t>流感流行往往追溯到禽流感病毒A病毒(IAVs)对人类的蔓延,然而,防止IAV传播的障碍仍然难以排除。我们展示了干扰基因(Sting)的人体刺激器,作为防止IAV的传播屏障。通过特定领域将活性核因子-B(NF-B)和下游NF-B(NF-B)刺激基因(NSGs)定点。在这些NSG中,生长阻截和DNA损害 - 诱导蛋白34(GADD34)对IAV的限制至关重要。一些IAV已经发展到在矩阵蛋白1(M1)中通过突变残留物115来避开人体移植。这对于人类呼吸细胞的有效病毒复制至关重要。</w:t>
      </w:r>
    </w:p>
    <w:p>
      <w:pPr>
        <w:spacing w:before="0" w:after="200" w:lineRule="auto" w:line="276"/>
      </w:pPr>
      <w:r>
        <w:rPr>
          <w:b/>
        </w:rPr>
        <w:t xml:space="preserve">Abstract (EN): </w:t>
      </w:r>
      <w:r>
        <w:t>Influenza pandemics are often traced back to the spillover of avian influenza A viruses (IAVs) to humans. However, barriers against IAV transmission remain elusive. We demonstrated human stimulator of interferon genes (STING) as a transmission barrier against IAVs. STING activated nuclear factor κB (NF-κB) and downstream NF-κB–stimulated genes (NSGs) through a specific domain. Among these NSGs,</w:t>
      </w:r>
      <w:r>
        <w:t xml:space="preserve"> </w:t>
      </w:r>
      <w:r>
        <w:t>growth arrest and DNA damage–inducible protein 34</w:t>
      </w:r>
      <w:r>
        <w:t xml:space="preserve"> </w:t>
      </w:r>
      <w:r>
        <w:t>(</w:t>
      </w:r>
      <w:r>
        <w:t xml:space="preserve"> </w:t>
      </w:r>
      <w:r>
        <w:t>GADD34</w:t>
      </w:r>
      <w:r>
        <w:t xml:space="preserve"> </w:t>
      </w:r>
      <w:r>
        <w:t>) was crucial for IAV restriction. Some IAVs have evolved to evade activating human STING by mutating residue 115 in their matrix protein 1 (M1), which is essential for efficient viral replication in human respiratory cells. This barrier against the zoonotic threat of IAVs provides a tool for future investigations into the biological functions of the cyclic guanosine monophosphate–adenosine monosphosphate (cGMP-AMP) synthase (cGAS)–STING–NF-κB signaling pathway.</w:t>
      </w:r>
    </w:p>
    <w:p>
      <w:pPr>
        <w:spacing w:before="120" w:after="120"/>
      </w:pPr>
      <w:r>
        <w:rPr>
          <w:sz w:val="18"/>
        </w:rPr>
        <w:t>——————————————————————————————————————————————————————————————————————</w:t>
      </w:r>
    </w:p>
    <w:p>
      <w:pPr>
        <w:spacing w:before="160" w:after="40" w:line="240" w:lineRule="auto"/>
      </w:pPr>
      <w:r>
        <w:rPr>
          <w:b/>
        </w:rPr>
        <w:t xml:space="preserve">[609] </w:t>
      </w:r>
      <w:hyperlink r:id="rId948">
        <w:r>
          <w:rPr>
            <w:color w:val="1155CC"/>
            <w:u w:val="single"/>
          </w:rPr>
          <w:t>从浸药到DNA:所有所需的步骤都可以被催化</w:t>
        </w:r>
      </w:hyperlink>
    </w:p>
    <w:p>
      <w:pPr>
        <w:spacing w:before="0" w:after="80"/>
      </w:pPr>
      <w:r>
        <w:rPr>
          <w:i/>
          <w:sz w:val="20"/>
        </w:rPr>
        <w:t>EN: From peptides to DNA: All required steps can be catalyzed</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49">
        <w:r>
          <w:rPr>
            <w:color w:val="1155CC"/>
            <w:u w:val="single"/>
          </w:rPr>
          <w:t>10.1073/pnas.2534387123</w:t>
        </w:r>
      </w:hyperlink>
    </w:p>
    <w:p>
      <w:pPr>
        <w:spacing w:before="0" w:after="120"/>
      </w:pPr>
      <w:r>
        <w:rPr>
          <w:b/>
        </w:rPr>
        <w:t xml:space="preserve">Notes: </w:t>
      </w:r>
      <w:r>
        <w:t>abstract_source=crossref</w:t>
      </w:r>
    </w:p>
    <w:p>
      <w:pPr>
        <w:spacing w:before="0" w:after="80" w:lineRule="auto" w:line="276"/>
      </w:pPr>
      <w:r>
        <w:rPr>
          <w:b/>
        </w:rPr>
        <w:t xml:space="preserve">摘要（ZH）: </w:t>
      </w:r>
      <w:r>
        <w:t>确保信息流动(遗传性)和代谢过程(催化)是早期进化的两个重要先决条件。广泛接受的“RNA世界”理论提出,古代RNA理论在从生物前期向生物进化的过渡期间确保遗传性和催化性。然而,也提出了替代的假设分子和过程,表明催化peptide在聚核分子化物之前可能就已存在,其序列后来被转换为基因。我们的目标是实验性地处理这些替代理论,询问将peptide序列假想转换成DNA所需的步骤能否被现有分子包所催化。我们测试的反应包括i)Peptide的逐步降解。我们测试的反应包括i)Peptide的逐步降解。</w:t>
      </w:r>
    </w:p>
    <w:p>
      <w:pPr>
        <w:spacing w:before="0" w:after="200" w:lineRule="auto" w:line="276"/>
      </w:pPr>
      <w:r>
        <w:rPr>
          <w:b/>
        </w:rPr>
        <w:t xml:space="preserve">Abstract (EN): </w:t>
      </w:r>
      <w:r>
        <w:t>Ensuring information flow (heredity) and metabolic processes (catalysis) are two important prerequisites for early evolution. The widely accepted “RNA world” theory proposes that ancient RNAs ensured both heredity and catalysis during the transition from prebiotic to biotic evolution. However, alternative hypothetical molecules and processes have also been proposed, suggesting that catalytic peptides may have existed before polynucleotides, and that their sequences were later reverse translated into genes. Our objective was to experimentally address these alternative theories by asking whether the steps required for the hypothetical conversion of peptide sequences into DNA could be catalyzed by the existing molecular kit. The reactions we tested comprise i) step-wise degradation of peptides by a processive amino peptidase, sequentially releasing amino acids, ii) matching the identity of released amino acids to codons by aptazymes (RNA adapters that recognize amino acids and self-cleave and release specific codon triplets in response), and iii) ligating codon triplets into longer RNAs that can be reverse-transcribed into DNA. In a hypothetical processive system based on these reactions, the resulting DNA sequence would match the sequence of amino acids in the starting peptide. Our results suggest that all these steps can be catalyzed, and therefore the possibility of reverse translation occurring at some point in early evolution should not be disregarded.</w:t>
      </w:r>
    </w:p>
    <w:p>
      <w:pPr>
        <w:spacing w:before="120" w:after="120"/>
      </w:pPr>
      <w:r>
        <w:rPr>
          <w:sz w:val="18"/>
        </w:rPr>
        <w:t>——————————————————————————————————————————————————————————————————————</w:t>
      </w:r>
    </w:p>
    <w:p>
      <w:pPr>
        <w:spacing w:before="160" w:after="40" w:line="240" w:lineRule="auto"/>
      </w:pPr>
      <w:r>
        <w:rPr>
          <w:b/>
        </w:rPr>
        <w:t xml:space="preserve">[610] </w:t>
      </w:r>
      <w:hyperlink r:id="rId950">
        <w:r>
          <w:rPr>
            <w:color w:val="1155CC"/>
            <w:u w:val="single"/>
          </w:rPr>
          <w:t>利用紧凑的H-bond motifs 来利用动动同位素效应进行电化学氢同位素分离</w:t>
        </w:r>
      </w:hyperlink>
    </w:p>
    <w:p>
      <w:pPr>
        <w:spacing w:before="0" w:after="80"/>
      </w:pPr>
      <w:r>
        <w:rPr>
          <w:i/>
          <w:sz w:val="20"/>
        </w:rPr>
        <w:t>EN: Leveraging the kinetic isotope effect by compact H-bond motifs for electrochemical hydrogen isotope separation</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51">
        <w:r>
          <w:rPr>
            <w:color w:val="1155CC"/>
            <w:u w:val="single"/>
          </w:rPr>
          <w:t>10.1073/pnas.2533803123</w:t>
        </w:r>
      </w:hyperlink>
    </w:p>
    <w:p>
      <w:pPr>
        <w:spacing w:before="0" w:after="120"/>
      </w:pPr>
      <w:r>
        <w:rPr>
          <w:b/>
        </w:rPr>
        <w:t xml:space="preserve">Notes: </w:t>
      </w:r>
      <w:r>
        <w:t>abstract_source=crossref</w:t>
      </w:r>
    </w:p>
    <w:p>
      <w:pPr>
        <w:spacing w:before="0" w:after="80" w:lineRule="auto" w:line="276"/>
      </w:pPr>
      <w:r>
        <w:rPr>
          <w:b/>
        </w:rPr>
        <w:t xml:space="preserve">摘要（ZH）: </w:t>
      </w:r>
      <w:r>
        <w:t>数十年来,电化学氢同位素分离一直受到水中等离子天花板中节速确定 O-H 和 O-D 等离子裂分级步骤等类似能源壁垒的限制。 在这里,我们通过筛选一系列添加剂来压缩H-bon的连通性,以刺激电子化学质子量隧道(QT)的行为,这对于更重的D相关动作来说几乎是不可能的。 H 2 OOH - 的平均H-bond长度短于3.4% (2.78 ), 在工程界面中使用异丙醇添加剂。 从根本上说,QT效应通过有选择地通过加强H-bon和填补H-bon的缺口,促进质子转移和干扰反应,从而放大了QT效应。</w:t>
      </w:r>
    </w:p>
    <w:p>
      <w:pPr>
        <w:spacing w:before="0" w:after="200" w:lineRule="auto" w:line="276"/>
      </w:pPr>
      <w:r>
        <w:rPr>
          <w:b/>
        </w:rPr>
        <w:t xml:space="preserve">Abstract (EN): </w:t>
      </w:r>
      <w:r>
        <w:t>Electrochemical hydrogen isotope separation has been constrained for decades by the similar energy barriers of the rate-determining O–H and O–D bond cleavage step in water isotopologues. Herein, we compact H-bond connectivity through screening a series of additives to stimulate electrochemical proton quantum tunneling (QT) behaviors of “through-barrier”, which are virtually impossible for heavier D-relevant motions. The average H-bond length of H</w:t>
      </w:r>
      <w:r>
        <w:rPr>
          <w:vertAlign w:val="subscript"/>
        </w:rPr>
        <w:t>2</w:t>
      </w:r>
      <w:r>
        <w:t>O⋯OH</w:t>
      </w:r>
      <w:r>
        <w:t xml:space="preserve"> </w:t>
      </w:r>
      <w:r>
        <w:t>−</w:t>
      </w:r>
      <w:r>
        <w:t>is 3.4% shorter (2.78 Å) with isopropanol additive at the engineered interface. Fundamentally, QT effects are magnified by selectively promoting proton transfer-involved reactions through strengthening the H-bond and filling the H-bond gap, which are further proved by both experimental Arrhenius plots with near small-curvature tunneling approximation and a stronger proton excursion in path integral molecular dynamics simulations. Hence, a record-high H</w:t>
      </w:r>
      <w:r>
        <w:rPr>
          <w:vertAlign w:val="subscript"/>
        </w:rPr>
        <w:t>2</w:t>
      </w:r>
      <w:r>
        <w:t>O separation factor of 276 is realized at room temperature with a three-order-of-magnitude growth of H/D kinetic isotope effect constant up to 10,165. Significantly, a large-scale multistage reactor is engineered to obtain continuous enrichment of heavy water with a deuterium atomic fraction over 80%.</w:t>
      </w:r>
    </w:p>
    <w:p>
      <w:pPr>
        <w:spacing w:before="120" w:after="120"/>
      </w:pPr>
      <w:r>
        <w:rPr>
          <w:sz w:val="18"/>
        </w:rPr>
        <w:t>——————————————————————————————————————————————————————————————————————</w:t>
      </w:r>
    </w:p>
    <w:p>
      <w:pPr>
        <w:spacing w:before="160" w:after="40" w:line="240" w:lineRule="auto"/>
      </w:pPr>
      <w:r>
        <w:rPr>
          <w:b/>
        </w:rPr>
        <w:t xml:space="preserve">[611] </w:t>
      </w:r>
      <w:hyperlink r:id="rId952">
        <w:r>
          <w:rPr>
            <w:color w:val="1155CC"/>
            <w:u w:val="single"/>
          </w:rPr>
          <w:t>将遗留遗留物的路径因子演变为PEX38, 一种基本过氧化物</w:t>
        </w:r>
      </w:hyperlink>
    </w:p>
    <w:p>
      <w:pPr>
        <w:spacing w:before="0" w:after="80"/>
      </w:pPr>
      <w:r>
        <w:rPr>
          <w:i/>
          <w:sz w:val="20"/>
        </w:rPr>
        <w:t>EN: Evolutionary remodeling of a remnant GET pathway factor into PEX38, an essential peroxin</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53">
        <w:r>
          <w:rPr>
            <w:color w:val="1155CC"/>
            <w:u w:val="single"/>
          </w:rPr>
          <w:t>10.1073/pnas.2533726123</w:t>
        </w:r>
      </w:hyperlink>
    </w:p>
    <w:p>
      <w:pPr>
        <w:spacing w:before="0" w:after="120"/>
      </w:pPr>
      <w:r>
        <w:rPr>
          <w:b/>
        </w:rPr>
        <w:t xml:space="preserve">Notes: </w:t>
      </w:r>
      <w:r>
        <w:t>abstract_source=crossref</w:t>
      </w:r>
    </w:p>
    <w:p>
      <w:pPr>
        <w:spacing w:before="0" w:after="80" w:lineRule="auto" w:line="276"/>
      </w:pPr>
      <w:r>
        <w:rPr>
          <w:b/>
        </w:rPr>
        <w:t xml:space="preserve">摘要（ZH）: </w:t>
      </w:r>
      <w:r>
        <w:t>PEX19是一种细胞外线受体,它指导膜蛋白后转成过敏体,以及皮托乔因德里亚、脂液滴子和内分光性内流。一个全面的 Trypanosoma PEX19相互作用分析发现,PEX38是一种基本的Euglenozoa特定过氧化物。 PEX38 包含不同的领域,将共振胸和PEX19 的PEX3-约束性运动体捆绑在一起,表明在稳定膜蛋白和防止过早的膜对接方面发挥作用。 PEX38 显示了器官生物生成的功能重组。它源于GET/TRC路径的残余物,通常负责将尾尾部的蛋白质作为内分光体对内流体的再生蛋白。虽然Eugle没有这一机器的大多数组成部分。</w:t>
      </w:r>
    </w:p>
    <w:p>
      <w:pPr>
        <w:spacing w:before="0" w:after="200" w:lineRule="auto" w:line="276"/>
      </w:pPr>
      <w:r>
        <w:rPr>
          <w:b/>
        </w:rPr>
        <w:t xml:space="preserve">Abstract (EN): </w:t>
      </w:r>
      <w:r>
        <w:t>PEX19 is a cytosolic receptor that directs membrane proteins posttranslationally to peroxisomes, as well as to mitochondria, lipid droplets, and the endoplasmic reticulum. A comprehensive</w:t>
      </w:r>
      <w:r>
        <w:t xml:space="preserve"> </w:t>
      </w:r>
      <w:r>
        <w:t>Trypanosoma</w:t>
      </w:r>
      <w:r>
        <w:t xml:space="preserve"> </w:t>
      </w:r>
      <w:r>
        <w:t>PEX19 interactome analysis uncovered PEX38 as an essential Euglenozoa-specific peroxin. PEX38 contains distinct domains that bind the cochaperone Hip and the PEX3-binding motif of PEX19, suggesting a role in stabilizing membrane proteins and preventing premature membrane docking. PEX38 illustrates functional repurposing in organelle biogenesis. It originated from a remnant of the GET/TRC pathway, typically responsible for the targeting of tail-anchored (TA) proteins to the endoplasmic reticulum. While most components of this machinery are absent in Euglenozoa, PEX38 has been retained and adapted to mediate peroxisomal membrane protein targeting. This evolutionary adaptation is unique to Euglenozoa. Because the PEX19–PEX38 interaction is essential for parasite viability and PEX38 has no human homologs, this complex is a promising therapeutic target against trypanosomatid parasites.</w:t>
      </w:r>
    </w:p>
    <w:p>
      <w:pPr>
        <w:spacing w:before="120" w:after="120"/>
      </w:pPr>
      <w:r>
        <w:rPr>
          <w:sz w:val="18"/>
        </w:rPr>
        <w:t>——————————————————————————————————————————————————————————————————————</w:t>
      </w:r>
    </w:p>
    <w:p>
      <w:pPr>
        <w:spacing w:before="160" w:after="40" w:line="240" w:lineRule="auto"/>
      </w:pPr>
      <w:r>
        <w:rPr>
          <w:b/>
        </w:rPr>
        <w:t xml:space="preserve">[612] </w:t>
      </w:r>
      <w:hyperlink r:id="rId954">
        <w:r>
          <w:rPr>
            <w:color w:val="1155CC"/>
            <w:u w:val="single"/>
          </w:rPr>
          <w:t>在玉米叶新发展边界上获取细胞命运</w:t>
        </w:r>
      </w:hyperlink>
    </w:p>
    <w:p>
      <w:pPr>
        <w:spacing w:before="0" w:after="80"/>
      </w:pPr>
      <w:r>
        <w:rPr>
          <w:i/>
          <w:sz w:val="20"/>
        </w:rPr>
        <w:t>EN: Cell fate acquisition at a de novo developmental boundary in the maize leaf</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55">
        <w:r>
          <w:rPr>
            <w:color w:val="1155CC"/>
            <w:u w:val="single"/>
          </w:rPr>
          <w:t>10.1073/pnas.2533591123</w:t>
        </w:r>
      </w:hyperlink>
    </w:p>
    <w:p>
      <w:pPr>
        <w:spacing w:before="0" w:after="120"/>
      </w:pPr>
      <w:r>
        <w:rPr>
          <w:b/>
        </w:rPr>
        <w:t xml:space="preserve">Notes: </w:t>
      </w:r>
      <w:r>
        <w:t>abstract_source=crossref</w:t>
      </w:r>
    </w:p>
    <w:p>
      <w:pPr>
        <w:spacing w:before="0" w:after="80" w:lineRule="auto" w:line="276"/>
      </w:pPr>
      <w:r>
        <w:rPr>
          <w:b/>
        </w:rPr>
        <w:t xml:space="preserve">摘要（ZH）: </w:t>
      </w:r>
      <w:r>
        <w:t>形成具有独特基因表达和细胞命运轨迹的发展领域之间的边界,是非殖民地多细胞生物的普遍特征; 发展边界在上层生物中反复出现,其特点是僵硬、缓慢的分解细胞,对相邻和不同的形态化领域进行划界; 对这些边界内细胞命运获取的遗传机制不完全了解; 草叶是在射杀的正中间线边缘的发展边界上开始的,这是一个有机的植物干细胞群,在植物拍摄中产生所有横向器官。 在后来的原始生长过程中,玉米形成了一种新颖的发展边界,最终将阴暗的光合形叶片分离开来。</w:t>
      </w:r>
    </w:p>
    <w:p>
      <w:pPr>
        <w:spacing w:before="0" w:after="200" w:lineRule="auto" w:line="276"/>
      </w:pPr>
      <w:r>
        <w:rPr>
          <w:b/>
        </w:rPr>
        <w:t xml:space="preserve">Abstract (EN): </w:t>
      </w:r>
      <w:r>
        <w:t>The formation of boundaries separating developmental fields with distinct gene expression and cell fate trajectories is a universal feature of noncolonial multicellular organisms. Developmental boundaries arise reiteratively during ontogeny and are characterized by stiff, slowly dividing cells that demarcate adjacent and divergent morphogenetic domains; the genetic mechanisms of cell fate acquisition within these boundaries are incompletely understood. Grass leaves are initiated at a developmental boundary in the periphery of the shoot apical meristem, an organogenic pool of plant stem cells that generates all lateral organs in the plant shoot. During later primordial growth, maize leaves form a de novo developmental boundary that ultimately separates the distal, photosynthetic leaf blade from the proximal, clasping leaf sheath. Morphogenesis at this blade/sheath boundary in maize leaves generates an epidermal outgrowth called the ligule and two tissue-wedges forming the auricle, a hinge-like structure with major effects on leaf angle, light capture, and yield. Here, we use cell lineage mapping, morphometric measures of cell division and expansion, cell-specific multidimensional transcriptomic analyses, and topological landscape modeling to investigate the mechanisms of cell fate acquisition at the ligule/auricle morphogenetic boundary in the maize leaf. The data suggest a model where auricle initial cells are recruited from blade founder cells at this boundary, via repression of blade identity during early stages in auricle ontogeny. Thereafter, auricle primordial cells assume a developmental genetic trajectory that is distinct from the blade, sheath, and ligule, thereby acquiring a unique auricle cell fate in the maize leaf.</w:t>
      </w:r>
    </w:p>
    <w:p>
      <w:pPr>
        <w:spacing w:before="120" w:after="120"/>
      </w:pPr>
      <w:r>
        <w:rPr>
          <w:sz w:val="18"/>
        </w:rPr>
        <w:t>——————————————————————————————————————————————————————————————————————</w:t>
      </w:r>
    </w:p>
    <w:p>
      <w:pPr>
        <w:spacing w:before="160" w:after="40" w:line="240" w:lineRule="auto"/>
      </w:pPr>
      <w:r>
        <w:rPr>
          <w:b/>
        </w:rPr>
        <w:t xml:space="preserve">[613] </w:t>
      </w:r>
      <w:hyperlink r:id="rId956">
        <w:r>
          <w:rPr>
            <w:color w:val="1155CC"/>
            <w:u w:val="single"/>
          </w:rPr>
          <w:t>扭曲的Van der Waals外壳界面的热传导异常增强</w:t>
        </w:r>
      </w:hyperlink>
    </w:p>
    <w:p>
      <w:pPr>
        <w:spacing w:before="0" w:after="80"/>
      </w:pPr>
      <w:r>
        <w:rPr>
          <w:i/>
          <w:sz w:val="20"/>
        </w:rPr>
        <w:t>EN: Anomalous enhancement of thermal conduction across twisted van der Waals heterointerfaces</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57">
        <w:r>
          <w:rPr>
            <w:color w:val="1155CC"/>
            <w:u w:val="single"/>
          </w:rPr>
          <w:t>10.1073/pnas.2531049123</w:t>
        </w:r>
      </w:hyperlink>
    </w:p>
    <w:p>
      <w:pPr>
        <w:spacing w:before="0" w:after="120"/>
      </w:pPr>
      <w:r>
        <w:rPr>
          <w:b/>
        </w:rPr>
        <w:t xml:space="preserve">Notes: </w:t>
      </w:r>
      <w:r>
        <w:t>abstract_source=crossref</w:t>
      </w:r>
    </w:p>
    <w:p>
      <w:pPr>
        <w:spacing w:before="0" w:after="80" w:lineRule="auto" w:line="276"/>
      </w:pPr>
      <w:r>
        <w:rPr>
          <w:b/>
        </w:rPr>
        <w:t xml:space="preserve">摘要（ZH）: </w:t>
      </w:r>
      <w:r>
        <w:t>跨层曲转的到来引入了一个突破性范式,揭示了从相关绝缘状态到超导性的新物理现象。这个前所未有的平台为电子操纵提供了便利,并将能力扩展到了对bosons的有效控制。对于波孙来说,已经达成了共识,即跨层曲转在打破对称性时大大抑制了phonon运输。在这里,我们报告了一种反直观的实验观察,在这种观察中,跨层曲转能够大大促进将honons运输到一个内在不对称的异形界面。使用时空热反映射绘图技术,我们的结果显示,在扭曲时空热感应行为方面增加了2.5倍。</w:t>
      </w:r>
    </w:p>
    <w:p>
      <w:pPr>
        <w:spacing w:before="0" w:after="200" w:lineRule="auto" w:line="276"/>
      </w:pPr>
      <w:r>
        <w:rPr>
          <w:b/>
        </w:rPr>
        <w:t xml:space="preserve">Abstract (EN): </w:t>
      </w:r>
      <w:r>
        <w:t>The advent of interlayer twist has introduced a groundbreaking paradigm, unveiling novel physical phenomena spanning from correlated insulating states to superconductivity. This unprecedented platform facilitates the manipulation of electrons and extends its capabilities to the effective control of bosons. For phonons, a consensus has been reached that interlayer twist greatly suppresses phonon transport as it breaks the symmetry of the lattice. Here, we report a counterintuitive experimental observation in which the interlayer twist can significantly promote the transportation of phonons across an intrinsically asymmetric heterointerface. Employing the time-domain thermoreflectance mapping technique, our results show a 2.5-fold increase in interfacial thermal conductance (ITC) in twisted bilayer MoS</w:t>
      </w:r>
      <w:r>
        <w:rPr>
          <w:vertAlign w:val="subscript"/>
        </w:rPr>
        <w:t>2</w:t>
      </w:r>
      <w:r>
        <w:t>/WS</w:t>
      </w:r>
      <w:r>
        <w:rPr>
          <w:vertAlign w:val="subscript"/>
        </w:rPr>
        <w:t>2</w:t>
      </w:r>
      <w:r>
        <w:t>heterostructures relative to initial commensurate configurations. Combined experimental and atomic simulation results reveal the inelastic scattering-dominated nature of thermal transport at MoS</w:t>
      </w:r>
      <w:r>
        <w:rPr>
          <w:vertAlign w:val="subscript"/>
        </w:rPr>
        <w:t>2</w:t>
      </w:r>
      <w:r>
        <w:t>/WS</w:t>
      </w:r>
      <w:r>
        <w:rPr>
          <w:vertAlign w:val="subscript"/>
        </w:rPr>
        <w:t>2</w:t>
      </w:r>
      <w:r>
        <w:t>heterointerfaces. The introduction of interlayer twist amplifies this effect, triggering a reconstruction of nonequilibrium phonon temperature distributions at the interface. This phenomenon activates efficient optical-to-acoustic phonon conversion through inelastic scattering and creates additional transport channels that overcome the intrinsic phonon mismatch in heterostructures. Our work establishes a paradigm for enhancing ITC by strategically introducing interlayer perturbations to amplify inelastic scattering effects. This breakthrough opens broad avenues for advanced thermal management in integrated circuits.</w:t>
      </w:r>
    </w:p>
    <w:p>
      <w:pPr>
        <w:spacing w:before="120" w:after="120"/>
      </w:pPr>
      <w:r>
        <w:rPr>
          <w:sz w:val="18"/>
        </w:rPr>
        <w:t>——————————————————————————————————————————————————————————————————————</w:t>
      </w:r>
    </w:p>
    <w:p>
      <w:pPr>
        <w:spacing w:before="160" w:after="40" w:line="240" w:lineRule="auto"/>
      </w:pPr>
      <w:r>
        <w:rPr>
          <w:b/>
        </w:rPr>
        <w:t xml:space="preserve">[614] </w:t>
      </w:r>
      <w:hyperlink r:id="rId958">
        <w:r>
          <w:rPr>
            <w:color w:val="1155CC"/>
            <w:u w:val="single"/>
          </w:rPr>
          <w:t>HOP2-MND1-MND1 监视一个分散的 DMC1 - sDNA 综合体,以调查 dsDNA 是否在美化再组合过程中识别同族体</w:t>
        </w:r>
      </w:hyperlink>
    </w:p>
    <w:p>
      <w:pPr>
        <w:spacing w:before="0" w:after="80"/>
      </w:pPr>
      <w:r>
        <w:rPr>
          <w:i/>
          <w:sz w:val="20"/>
        </w:rPr>
        <w:t>EN: HOP2–MND1 chaperones a diffusing DMC1–ssDNA complex to survey dsDNA for homology recognition during meiotic recombination</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59">
        <w:r>
          <w:rPr>
            <w:color w:val="1155CC"/>
            <w:u w:val="single"/>
          </w:rPr>
          <w:t>10.1073/pnas.2529249123</w:t>
        </w:r>
      </w:hyperlink>
    </w:p>
    <w:p>
      <w:pPr>
        <w:spacing w:before="0" w:after="120"/>
      </w:pPr>
      <w:r>
        <w:rPr>
          <w:b/>
        </w:rPr>
        <w:t xml:space="preserve">Notes: </w:t>
      </w:r>
      <w:r>
        <w:t>abstract_source=crossref</w:t>
      </w:r>
    </w:p>
    <w:p>
      <w:pPr>
        <w:spacing w:before="0" w:after="80" w:lineRule="auto" w:line="276"/>
      </w:pPr>
      <w:r>
        <w:rPr>
          <w:b/>
        </w:rPr>
        <w:t xml:space="preserve">摘要（ZH）: </w:t>
      </w:r>
      <w:r>
        <w:t>光化再结合确保基因多样性和精确的染色体隔离。 通过在同质染色体之间进行DNA对等交换来调节基因多样性和准确的染色体隔离。 在这一过程中,基于 meispic 的重新组合酶 DMC1 在同质搜索和配对中发挥着关键作用,但其功能背后的分子机制仍然不清楚。 我们用单分子成像来证明人类 DMC1 - sDNA 预合成综合体使用基于扩散的机制来寻找同质DNA。 尽管这个分散的复合体生成了一个迁移的DNA“泡泡 ”, 在没有免费 DMC1 蛋白的情况下,它无法与同质序列相匹配。 令人惊讶的是,基于 meiscis 的特定共性复合体 HOP2 - MND1 弥补了缺少自由DMC1,并能够识别同性。 值得注意的是, HOP2 - MND1 实现了“ ” 。</w:t>
      </w:r>
    </w:p>
    <w:p>
      <w:pPr>
        <w:spacing w:before="0" w:after="200" w:lineRule="auto" w:line="276"/>
      </w:pPr>
      <w:r>
        <w:rPr>
          <w:b/>
        </w:rPr>
        <w:t xml:space="preserve">Abstract (EN): </w:t>
      </w:r>
      <w:r>
        <w:t>Meiotic recombination ensures genetic diversity and accurate chromosome segregation by mediating reciprocal DNA exchange between homologous chromosomes. In this process, the meiosis-specific recombinase DMC1 plays a pivotal role in homology search and pairing, but the molecular mechanisms underlying its function remain unclear. Using single-molecule imaging, we demonstrate that the human DMC1–ssDNA presynaptic complex employs a diffusion-based mechanism to search for homologous DNA. Although this diffusing complex generates a migrating DNA “bubble,” it cannot align with the homologous sequence in the absence of free DMC1 protein. Strikingly, the meiosis-specific cofactor complex HOP2–MND1 compensates for the lack of free DMC1 and enables homology recognition. Notably, HOP2–MND1 achieves this by codiffusing with the presynaptic complex, acting to clamp the ssDNA–dsDNA junctions and maintain an expanded DNA bubble conducive to sequence alignment. Our findings identify DMC1 together with HOP2–MND1 as a functional homology search unit and provide mechanistic insights into how auxiliary factors regulate DMC1-driven strand exchange during meiotic recombination.</w:t>
      </w:r>
    </w:p>
    <w:p>
      <w:pPr>
        <w:spacing w:before="120" w:after="120"/>
      </w:pPr>
      <w:r>
        <w:rPr>
          <w:sz w:val="18"/>
        </w:rPr>
        <w:t>——————————————————————————————————————————————————————————————————————</w:t>
      </w:r>
    </w:p>
    <w:p>
      <w:pPr>
        <w:spacing w:before="160" w:after="40" w:line="240" w:lineRule="auto"/>
      </w:pPr>
      <w:r>
        <w:rPr>
          <w:b/>
        </w:rPr>
        <w:t xml:space="preserve">[615] </w:t>
      </w:r>
      <w:hyperlink r:id="rId960">
        <w:r>
          <w:rPr>
            <w:color w:val="1155CC"/>
            <w:u w:val="single"/>
          </w:rPr>
          <w:t>为什么拜登时代清洁能源投资政策的政治回报有限</w:t>
        </w:r>
      </w:hyperlink>
    </w:p>
    <w:p>
      <w:pPr>
        <w:spacing w:before="0" w:after="80"/>
      </w:pPr>
      <w:r>
        <w:rPr>
          <w:i/>
          <w:sz w:val="20"/>
        </w:rPr>
        <w:t>EN: Why Biden-era clean energy investment policies had limited political returns</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61">
        <w:r>
          <w:rPr>
            <w:color w:val="1155CC"/>
            <w:u w:val="single"/>
          </w:rPr>
          <w:t>10.1073/pnas.2526802123</w:t>
        </w:r>
      </w:hyperlink>
    </w:p>
    <w:p>
      <w:pPr>
        <w:spacing w:before="0" w:after="120"/>
      </w:pPr>
      <w:r>
        <w:rPr>
          <w:b/>
        </w:rPr>
        <w:t xml:space="preserve">Notes: </w:t>
      </w:r>
      <w:r>
        <w:t>abstract_source=crossref</w:t>
      </w:r>
    </w:p>
    <w:p>
      <w:pPr>
        <w:spacing w:before="0" w:after="80" w:lineRule="auto" w:line="276"/>
      </w:pPr>
      <w:r>
        <w:rPr>
          <w:b/>
        </w:rPr>
        <w:t xml:space="preserve">摘要（ZH）: </w:t>
      </w:r>
      <w:r>
        <w:t>拜登政府颁布了美国历史上最大规模的联邦政策框架,鼓励清洁能源和去碳化。我们研究拜登时代绿色投资是否通过影响公众舆论而产生政治回报。我们利用与投资记录和公司及政治家声明数据库相联系的地理定位调查数据,评估项目能见度和信用归属。更接近新的可再生能源和绿色制造设施的人更有可能注意到这些投资,但不会更可能给拜登政府带来信用。相反,公众认为总督是最重要的责任人。这种信用分配模式与政治信息环境一致:总督比白宫和公司更经常要求信贷。</w:t>
      </w:r>
    </w:p>
    <w:p>
      <w:pPr>
        <w:spacing w:before="0" w:after="200" w:lineRule="auto" w:line="276"/>
      </w:pPr>
      <w:r>
        <w:rPr>
          <w:b/>
        </w:rPr>
        <w:t xml:space="preserve">Abstract (EN): </w:t>
      </w:r>
      <w:r>
        <w:t>The Biden Administration enacted the largest federal policy framework to incentivize clean energy and decarbonization in U.S. history. We examine whether Biden-era green investments produced political returns by affecting public opinion. Using geolocated survey data linked to investment records and a database of company and politician statements, we assess project visibility and credit attribution. People closer to new renewable energy and green manufacturing facilities are more likely to notice these investments but are not more likely to credit the Biden Administration. Instead, the public sees governors as most responsible. This credit allocation pattern aligns with the political message environment: Governors more frequently claim credit than the White House and companies spread recognition broadly across political actors. This fragmented information environment illustrates the limits of using less traceable forms of green spending to generate electoral gains and public support for climate policy.</w:t>
      </w:r>
    </w:p>
    <w:p>
      <w:pPr>
        <w:spacing w:before="120" w:after="120"/>
      </w:pPr>
      <w:r>
        <w:rPr>
          <w:sz w:val="18"/>
        </w:rPr>
        <w:t>——————————————————————————————————————————————————————————————————————</w:t>
      </w:r>
    </w:p>
    <w:p>
      <w:pPr>
        <w:spacing w:before="160" w:after="40" w:line="240" w:lineRule="auto"/>
      </w:pPr>
      <w:r>
        <w:rPr>
          <w:b/>
        </w:rPr>
        <w:t xml:space="preserve">[616] </w:t>
      </w:r>
      <w:hyperlink r:id="rId962">
        <w:r>
          <w:rPr>
            <w:color w:val="1155CC"/>
            <w:u w:val="single"/>
          </w:rPr>
          <w:t>Rab5影响器Rab5影响器Rabankyrin-5介质在早期进入期间内分泌聚变和贩运人口乳头瘤病毒</w:t>
        </w:r>
      </w:hyperlink>
    </w:p>
    <w:p>
      <w:pPr>
        <w:spacing w:before="0" w:after="80"/>
      </w:pPr>
      <w:r>
        <w:rPr>
          <w:i/>
          <w:sz w:val="20"/>
        </w:rPr>
        <w:t>EN: The Rab5 effector Rabankyrin-5 mediates endosomal fusion and trafficking of human papillomavirus during early entry</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63">
        <w:r>
          <w:rPr>
            <w:color w:val="1155CC"/>
            <w:u w:val="single"/>
          </w:rPr>
          <w:t>10.1073/pnas.2524765123</w:t>
        </w:r>
      </w:hyperlink>
    </w:p>
    <w:p>
      <w:pPr>
        <w:spacing w:before="0" w:after="120"/>
      </w:pPr>
      <w:r>
        <w:rPr>
          <w:b/>
        </w:rPr>
        <w:t xml:space="preserve">Notes: </w:t>
      </w:r>
      <w:r>
        <w:t>abstract_source=crossref</w:t>
      </w:r>
    </w:p>
    <w:p>
      <w:pPr>
        <w:spacing w:before="0" w:after="80" w:lineRule="auto" w:line="276"/>
      </w:pPr>
      <w:r>
        <w:rPr>
          <w:b/>
        </w:rPr>
        <w:t xml:space="preserve">摘要（ZH）: </w:t>
      </w:r>
      <w:r>
        <w:t>内分泌硬化后新形成的早期内分泌囊囊囊囊肿的融合是病毒感染的关键一步,它有助于许多病毒从病毒内分化向内分泌网络内下游细胞内贩运的过渡,最终能够将其送到细胞内复制点,尽管其意义仍然不甚清楚,但调节这些囊囊肿融合的分子机制仍然不为人所知。在这项研究中,我们表明Rabankyrin-5的Rab5效应器对于病毒进入期间人类乳头瘤病毒(HPV)携带早期内分泌囊肿至关重要。此外,Rabankyrin-5作为苯乙烯的适应器,直接约束HPV小顶蛋白L2和dyin运动综合体,将病毒携带早期内分泌物与白质运输联系起来。</w:t>
      </w:r>
    </w:p>
    <w:p>
      <w:pPr>
        <w:spacing w:before="0" w:after="200" w:lineRule="auto" w:line="276"/>
      </w:pPr>
      <w:r>
        <w:rPr>
          <w:b/>
        </w:rPr>
        <w:t xml:space="preserve">Abstract (EN): </w:t>
      </w:r>
      <w:r>
        <w:t>The fusion of newly formed early endosomal vesicles after endocytosis is a crucial step in viral infection. It facilitates the transition of many viruses from viral internalization to downstream intracellular trafficking within the endosomal network, ultimately enabling their delivery to intracellular replication sites. Despite its significance, the molecular mechanisms regulating the fusion of these vesicles remain poorly understood. In this study, we show that Rabankyrin-5, a Rab5 effector, is essential for the fusion of human papillomavirus (HPV)-carrying early endosomes during viral entry. Additionally, Rabankyrin-5 acts as a dynein adaptor, directly binding both the HPV minor capsid protein L2 and the dynein motor complex to link virus-carrying early endosomes to the dynein transport machinery, thereby promoting virus movement along microtubules. These dual functions enable the coordinated integration of endosomal fusion with microtubule-based transport during the early stages of viral entry.</w:t>
      </w:r>
    </w:p>
    <w:p>
      <w:pPr>
        <w:spacing w:before="120" w:after="120"/>
      </w:pPr>
      <w:r>
        <w:rPr>
          <w:sz w:val="18"/>
        </w:rPr>
        <w:t>——————————————————————————————————————————————————————————————————————</w:t>
      </w:r>
    </w:p>
    <w:p>
      <w:pPr>
        <w:spacing w:before="160" w:after="40" w:line="240" w:lineRule="auto"/>
      </w:pPr>
      <w:r>
        <w:rPr>
          <w:b/>
        </w:rPr>
        <w:t xml:space="preserve">[617] </w:t>
      </w:r>
      <w:hyperlink r:id="rId964">
        <w:r>
          <w:rPr>
            <w:color w:val="1155CC"/>
            <w:u w:val="single"/>
          </w:rPr>
          <w:t>直线滑动:白丝蓝球菌的右手导航</w:t>
        </w:r>
      </w:hyperlink>
    </w:p>
    <w:p>
      <w:pPr>
        <w:spacing w:before="0" w:after="80"/>
      </w:pPr>
      <w:r>
        <w:rPr>
          <w:i/>
          <w:sz w:val="20"/>
        </w:rPr>
        <w:t>EN: Chiral gliding: Right-handed navigation of filamentous cyanobacteria</w:t>
      </w:r>
    </w:p>
    <w:p>
      <w:pPr>
        <w:spacing w:before="0" w:after="120"/>
      </w:pPr>
      <w:r>
        <w:rPr>
          <w:b/>
        </w:rPr>
        <w:t xml:space="preserve">Source: </w:t>
      </w:r>
      <w:r>
        <w:t>Proceedings of the National Academy of Sciences: Keyword search for query</w:t>
      </w:r>
      <w:r>
        <w:t xml:space="preserve">    </w:t>
      </w:r>
      <w:r>
        <w:rPr>
          <w:b/>
        </w:rPr>
        <w:t xml:space="preserve">Pub date: </w:t>
      </w:r>
      <w:r>
        <w:t>2026-02-26 08:00:00+00:00</w:t>
      </w:r>
      <w:r>
        <w:t xml:space="preserve">    </w:t>
      </w:r>
      <w:r>
        <w:rPr>
          <w:b/>
        </w:rPr>
        <w:t xml:space="preserve">DOI: </w:t>
      </w:r>
      <w:hyperlink r:id="rId965">
        <w:r>
          <w:rPr>
            <w:color w:val="1155CC"/>
            <w:u w:val="single"/>
          </w:rPr>
          <w:t>10.1073/pnas.2534547123</w:t>
        </w:r>
      </w:hyperlink>
    </w:p>
    <w:p>
      <w:pPr>
        <w:spacing w:before="0" w:after="120"/>
      </w:pPr>
      <w:r>
        <w:rPr>
          <w:b/>
        </w:rPr>
        <w:t xml:space="preserve">Notes: </w:t>
      </w:r>
      <w:r>
        <w:t>abstract_source=crossref</w:t>
      </w:r>
    </w:p>
    <w:p>
      <w:pPr>
        <w:spacing w:before="0" w:after="80" w:lineRule="auto" w:line="276"/>
      </w:pPr>
      <w:r>
        <w:rPr>
          <w:b/>
        </w:rPr>
        <w:t xml:space="preserve">摘要（ZH）: </w:t>
      </w:r>
      <w:r>
        <w:t>氰化细菌是通过光合作用生成氧的最早已知生物,通过光合作用产生氧,导致氧气,从而允许更复杂的生命形态的演化。许多氰化细菌物种展示了沿表面滑动的运动机能,以绕过复杂的环境,适应波动的条件。在这里,我们研究了不同物理环境之间转变的丝状蓝菌林格比亚湖泊的滑动机能。我们发现,在干燥的表面,一丝丝丝在滑翔时会有一个弯曲的形状向右转。当一个丝状切切开滑翔的方向时,最初保存了弯曲体,而一条丝状可以左转,只要它沿着微小的轨迹向后转。我们提出了一个手性运动的模型。</w:t>
      </w:r>
    </w:p>
    <w:p>
      <w:pPr>
        <w:spacing w:before="0" w:after="200" w:lineRule="auto" w:line="276"/>
      </w:pPr>
      <w:r>
        <w:rPr>
          <w:b/>
        </w:rPr>
        <w:t xml:space="preserve">Abstract (EN): </w:t>
      </w:r>
      <w:r>
        <w:t>Cyanobacteria are the earliest known organisms that produced oxygen through photosynthesis, leading to the oxygen atmosphere that allowed the evolution of more complex life forms. Many species of cyanobacteria exhibit gliding motility along surfaces to navigate complex environments and adapt to fluctuating conditions. Here, we studied the gliding motility of filamentous cyanobacteria</w:t>
      </w:r>
      <w:r>
        <w:t xml:space="preserve"> </w:t>
      </w:r>
      <w:r>
        <w:t>Lyngbya lagerheimii</w:t>
      </w:r>
      <w:r>
        <w:t xml:space="preserve"> </w:t>
      </w:r>
      <w:r>
        <w:t>at the transition between different physical environments. We show that on a dry surface, a filament adopts a curved shape that turns right while gliding. When a filament switches the gliding direction, the curvature is initially preserved and a filament can turn left as long as it backtracks along a slime trace. We propose a model of chiral motility that explains the bending based on the right-handed rotation of gliding filaments and a velocity mismatch between the leading and the trailing end of the filament. The mechanism involves a unique way of transferring the structural chirality to the macroscale and also a unique physical navigation mechanism.</w:t>
      </w:r>
    </w:p>
    <w:p>
      <w:pPr>
        <w:spacing w:before="120" w:after="120"/>
      </w:pPr>
      <w:r>
        <w:rPr>
          <w:sz w:val="18"/>
        </w:rPr>
        <w:t>——————————————————————————————————————————————————————————————————————</w:t>
      </w:r>
    </w:p>
    <w:p>
      <w:pPr>
        <w:spacing w:before="160" w:after="40" w:line="240" w:lineRule="auto"/>
      </w:pPr>
      <w:r>
        <w:rPr>
          <w:b/>
        </w:rPr>
        <w:t xml:space="preserve">[618] </w:t>
      </w:r>
      <w:hyperlink r:id="rId966">
        <w:r>
          <w:rPr>
            <w:color w:val="1155CC"/>
            <w:u w:val="single"/>
          </w:rPr>
          <w:t>[ASAP] 哪些催化剂展示了乙醇电氧化中高C-C固态裂变能力:现场ATR-SEIRAS调查</w:t>
        </w:r>
      </w:hyperlink>
    </w:p>
    <w:p>
      <w:pPr>
        <w:spacing w:before="0" w:after="80"/>
      </w:pPr>
      <w:r>
        <w:rPr>
          <w:i/>
          <w:sz w:val="20"/>
        </w:rPr>
        <w:t>EN: [ASAP] Which Catalyst Exhibits Superior C–C Bond Cleavage Ability in Ethanol Electrooxidation: An In-Situ ATR-SEIRAS Investigation</w:t>
      </w:r>
    </w:p>
    <w:p>
      <w:pPr>
        <w:spacing w:before="0" w:after="120"/>
      </w:pPr>
      <w:r>
        <w:rPr>
          <w:b/>
        </w:rPr>
        <w:t xml:space="preserve">Source: </w:t>
      </w:r>
      <w:r>
        <w:t>Journal of the American Chemical Society: Latest Articles (ACS Publications)</w:t>
      </w:r>
      <w:r>
        <w:t xml:space="preserve">    </w:t>
      </w:r>
      <w:r>
        <w:rPr>
          <w:b/>
        </w:rPr>
        <w:t xml:space="preserve">Pub date: </w:t>
      </w:r>
      <w:r>
        <w:t>2026-02-26 09:31:35+00:00</w:t>
      </w:r>
      <w:r>
        <w:t xml:space="preserve">    </w:t>
      </w:r>
      <w:r>
        <w:rPr>
          <w:b/>
        </w:rPr>
        <w:t xml:space="preserve">DOI: </w:t>
      </w:r>
      <w:hyperlink r:id="rId967">
        <w:r>
          <w:rPr>
            <w:color w:val="1155CC"/>
            <w:u w:val="single"/>
          </w:rPr>
          <w:t>10.1021/jacs.5c20407</w:t>
        </w:r>
      </w:hyperlink>
    </w:p>
    <w:p>
      <w:pPr>
        <w:spacing w:before="0" w:after="120"/>
      </w:pPr>
      <w:r>
        <w:rPr>
          <w:b/>
        </w:rPr>
        <w:t xml:space="preserve">Notes: </w:t>
      </w:r>
      <w:r>
        <w:t>abstract_source=pubmed</w:t>
      </w:r>
    </w:p>
    <w:p>
      <w:pPr>
        <w:spacing w:before="0" w:after="80" w:lineRule="auto" w:line="276"/>
      </w:pPr>
      <w:r>
        <w:rPr>
          <w:b/>
        </w:rPr>
        <w:t xml:space="preserve">摘要（ZH）: </w:t>
      </w:r>
      <w:r>
        <w:t>白金类金属(PGMs)是乙醇氧化反应最活跃的电催化剂之一,然而,在C-C债券消除中,其内在效力仍然具有争议性,而且分子一级的明确证据仍然缺乏。要接近它,我们从热力和动能角度,在常规和薄层流动细胞下,将现场电化学减压总阻燃表面增强的红外线光谱分析作为主要方法,首次使用COad相对人口比率作为相同电极的描述器,将四个PGM的C-C债券分离活动列为碱性介质中的Ir &gt; Rh &gt; Pd &gt; Pt。</w:t>
      </w:r>
    </w:p>
    <w:p>
      <w:pPr>
        <w:spacing w:before="0" w:after="200" w:lineRule="auto" w:line="276"/>
      </w:pPr>
      <w:r>
        <w:rPr>
          <w:b/>
        </w:rPr>
        <w:t xml:space="preserve">Abstract (EN): </w:t>
      </w:r>
      <w:r>
        <w:t>Platinum-group metals (PGMs) are among the most active electrocatalysts for the ethanol oxidation reaction. Nevertheless, their intrinsic efficacy in C-C bond scission remains contentious, and unequivocal molecular-level evidence is still wanting. To approach it, we employed in situ electrochemical attenuated total-reflection surface-enhanced infrared spectroscopy under both conventional and thin-layer flow cells as the main method, for the first time, by using the relative population ratio of COad (η) as the descriptor on the identical electrode, to rank the C-C bond cleavage activity of the four PGMs as Ir &gt; Rh &gt; Pd &gt; Pt in alkaline media from both thermodynamic and kinetic perspectives. Moreover, the maximized C-C bond cleavage activity was found at 0.20 ∼ 0.30 V for Pt, Rh, and Ir and at 0.40 ∼ 0.50 V for Pd. This work develops a molecular-level strategy for probing catalytic processes through a simple descriptor and might offer a fresh perspective for investigating surface reaction pathways.</w:t>
      </w:r>
    </w:p>
    <w:p>
      <w:pPr>
        <w:spacing w:before="120" w:after="120"/>
      </w:pPr>
      <w:r>
        <w:rPr>
          <w:sz w:val="18"/>
        </w:rPr>
        <w:t>——————————————————————————————————————————————————————————————————————</w:t>
      </w:r>
    </w:p>
    <w:p>
      <w:pPr>
        <w:spacing w:before="160" w:after="40" w:line="240" w:lineRule="auto"/>
      </w:pPr>
      <w:r>
        <w:rPr>
          <w:b/>
        </w:rPr>
        <w:t xml:space="preserve">[619] </w:t>
      </w:r>
      <w:hyperlink r:id="rId968">
        <w:r>
          <w:rPr>
            <w:color w:val="1155CC"/>
            <w:u w:val="single"/>
          </w:rPr>
          <w:t>[ASAP]在对用于肿瘤诊断应用的超极分子分子探头进行的天线性活动进行动态多角度分析中[ASAP]</w:t>
        </w:r>
      </w:hyperlink>
    </w:p>
    <w:p>
      <w:pPr>
        <w:spacing w:before="0" w:after="80"/>
      </w:pPr>
      <w:r>
        <w:rPr>
          <w:i/>
          <w:sz w:val="20"/>
        </w:rPr>
        <w:t>EN: [ASAP] In Vivo Multiplexed Analysis of Aminopeptidase Activities by Hyperpolarized Molecular Probes for Tumor Diagnostic Applications</w:t>
      </w:r>
    </w:p>
    <w:p>
      <w:pPr>
        <w:spacing w:before="0" w:after="120"/>
      </w:pPr>
      <w:r>
        <w:rPr>
          <w:b/>
        </w:rPr>
        <w:t xml:space="preserve">Source: </w:t>
      </w:r>
      <w:r>
        <w:t>Journal of the American Chemical Society: Latest Articles (ACS Publications)</w:t>
      </w:r>
      <w:r>
        <w:t xml:space="preserve">    </w:t>
      </w:r>
      <w:r>
        <w:rPr>
          <w:b/>
        </w:rPr>
        <w:t xml:space="preserve">Pub date: </w:t>
      </w:r>
      <w:r>
        <w:t>2026-02-26 12:00:21+00:00</w:t>
      </w:r>
      <w:r>
        <w:t xml:space="preserve">    </w:t>
      </w:r>
      <w:r>
        <w:rPr>
          <w:b/>
        </w:rPr>
        <w:t xml:space="preserve">DOI: </w:t>
      </w:r>
      <w:hyperlink r:id="rId969">
        <w:r>
          <w:rPr>
            <w:color w:val="1155CC"/>
            <w:u w:val="single"/>
          </w:rPr>
          <w:t>10.1021/jacs.5c16910</w:t>
        </w:r>
      </w:hyperlink>
    </w:p>
    <w:p>
      <w:pPr>
        <w:spacing w:before="0" w:after="120"/>
      </w:pPr>
      <w:r>
        <w:rPr>
          <w:b/>
        </w:rPr>
        <w:t xml:space="preserve">Notes: </w:t>
      </w:r>
      <w:r>
        <w:t>abstract_source=pubmed</w:t>
      </w:r>
    </w:p>
    <w:p>
      <w:pPr>
        <w:spacing w:before="0" w:after="80" w:lineRule="auto" w:line="276"/>
      </w:pPr>
      <w:r>
        <w:rPr>
          <w:b/>
        </w:rPr>
        <w:t xml:space="preserve">摘要（ZH）: </w:t>
      </w:r>
      <w:r>
        <w:t>对与RAS有关的AP活动进行多重分析,有助于诊断包括癌症在内的疾病。动态核两极分结合磁共振成像(DNP-MRI)能够同时探测体内的多种酶活动。然而,开发实用的DNP-MRI探测器,特别是用于多氧检测的探测,仍然具有挑战性。我们在此报告设计DNP-MRI探测器,用于对AP活动进行活性多氧分析。通过整合量子机械计算、有机合成、物理化学和生化评估,我们开发了一系列具有高酶反应的AP-NDNP-MRI探测器。</w:t>
      </w:r>
    </w:p>
    <w:p>
      <w:pPr>
        <w:spacing w:before="0" w:after="200" w:lineRule="auto" w:line="276"/>
      </w:pPr>
      <w:r>
        <w:rPr>
          <w:b/>
        </w:rPr>
        <w:t xml:space="preserve">Abstract (EN): </w:t>
      </w:r>
      <w:r>
        <w:t>Aminopeptidases (APs) in the renin-angiotensin system (RAS) and their activity balance play crucial roles in regulating vascular functions. Multiplexed analysis of RAS-related AP activities is useful for diagnosing diseases including cancer. Dynamic nuclear polarization-coupled magnetic resonance imaging (DNP-MRI) enables the simultaneous detection of multiple enzymatic activities in vivo. However, developing practical DNP-MRI probes, especially for multiplexed detection, remains challenging. Here, we report the design of DNP-MRI probes for the in vivo multiplexed analysis of AP activities. By integrating quantum mechanical calculations, organic synthesis, and physicochemical and biochemical evaluations, we developed a series of AP-responsive DNP-MRI probes with high enzymatic reactivities and distinguishable chemical shifts. Using these probes, we successfully detected and visualized multiple AP activities in vivo. Furthermore, we performed in vivo multiplexed analysis of RAS-related AP activities in tumor-bearing mice, demonstrating the potential of this approach for monitoring the efficacy of antiangiogenic cancer therapy and for the accurate discrimination of tumor types.</w:t>
      </w:r>
    </w:p>
    <w:p>
      <w:pPr>
        <w:spacing w:before="120" w:after="120"/>
      </w:pPr>
      <w:r>
        <w:rPr>
          <w:sz w:val="18"/>
        </w:rPr>
        <w:t>——————————————————————————————————————————————————————————————————————</w:t>
      </w:r>
    </w:p>
    <w:p>
      <w:pPr>
        <w:spacing w:before="160" w:after="40" w:line="240" w:lineRule="auto"/>
      </w:pPr>
      <w:r>
        <w:rPr>
          <w:b/>
        </w:rPr>
        <w:t xml:space="preserve">[620] </w:t>
      </w:r>
      <w:hyperlink r:id="rId970">
        <w:r>
          <w:rPr>
            <w:color w:val="1155CC"/>
            <w:u w:val="single"/>
          </w:rPr>
          <w:t>[ASAP] 中间稳定规章和酸性CO2电压减低中隐集潜能值</w:t>
        </w:r>
      </w:hyperlink>
    </w:p>
    <w:p>
      <w:pPr>
        <w:spacing w:before="0" w:after="80"/>
      </w:pPr>
      <w:r>
        <w:rPr>
          <w:i/>
          <w:sz w:val="20"/>
        </w:rPr>
        <w:t>EN: [ASAP] Interfacial Adsorbate Competition Regulates Intermediate Stabilization and Onset Potential in Acidic CO2 Electroreduction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2026-02-26 12:45:54+00:00</w:t>
      </w:r>
      <w:r>
        <w:t xml:space="preserve">    </w:t>
      </w:r>
      <w:r>
        <w:rPr>
          <w:b/>
        </w:rPr>
        <w:t xml:space="preserve">DOI: </w:t>
      </w:r>
      <w:hyperlink r:id="rId971">
        <w:r>
          <w:rPr>
            <w:color w:val="1155CC"/>
            <w:u w:val="single"/>
          </w:rPr>
          <w:t>10.1021/jacs.5c22970</w:t>
        </w:r>
      </w:hyperlink>
    </w:p>
    <w:p>
      <w:pPr>
        <w:spacing w:before="0" w:after="120"/>
      </w:pPr>
      <w:r>
        <w:rPr>
          <w:b/>
        </w:rPr>
        <w:t xml:space="preserve">Notes: </w:t>
      </w:r>
      <w:r>
        <w:t>abstract_source=pubmed</w:t>
      </w:r>
    </w:p>
    <w:p>
      <w:pPr>
        <w:spacing w:before="0" w:after="80" w:lineRule="auto" w:line="276"/>
      </w:pPr>
      <w:r>
        <w:rPr>
          <w:b/>
        </w:rPr>
        <w:t xml:space="preserve">摘要（ZH）: </w:t>
      </w:r>
      <w:r>
        <w:t>硫酸中的电化学CO2减少(CO2R)可能会促成高碳利用率,但面临选择性挑战,特别是氢气进化反应(HER)的挑战。虽然质子和碳化浓度来源在这一平衡中起着一定的作用,但电离子的作用仍然未得到充分探讨。在这里,我们把二氧化碳在酸中时现场表面强化的拉曼光谱与理论模拟结合起来,以调查在与应用相关的当前密度(最高为0.2A.cm-2)和性能下,电离物种对铜气扩散电极的作用。我们的观察显示,硫化吸附抑制了低pH的CO2R,延迟了由氢氧化物物种共吸附促成的CO2R中间形成。这种竞争制约了碳稳定性和平衡的 *CO 覆盖。</w:t>
      </w:r>
    </w:p>
    <w:p>
      <w:pPr>
        <w:spacing w:before="0" w:after="200" w:lineRule="auto" w:line="276"/>
      </w:pPr>
      <w:r>
        <w:rPr>
          <w:b/>
        </w:rPr>
        <w:t xml:space="preserve">Abstract (EN): </w:t>
      </w:r>
      <w:r>
        <w:t>Electrochemical CO2 reduction (CO2R) in acid may enable high carbon utilization but faces selectivity challenges, particularly from the Hydrogen Evolution Reaction (HER). While the source of protons and cation concentrations play a role in this balance, the role of anions remains underexplored. Here, we combine in situ surface-enhanced Raman Spectroscopy during CO2R in acid with theoretical simulations to investigate the role of anionic species over copper gas diffusion electrodes at application-relevant current densities (up to 0.2 A·cm-2) and performance. Our observations reveal that sulfate adsorption inhibits CO2R at low pH and delays CO2R intermediate formation, which is enabled by hydroxyl species coadsorption. Such competition regulates *CO stabilization and the balanced *CO coverage needed to favor the formation of multicarbon products. These results shed light on how anion interactions govern CO2R selectivity under acidic conditions and their impact on overpotentials, offering guidance on catalyst-electrolyte interface design.</w:t>
      </w:r>
    </w:p>
    <w:p>
      <w:pPr>
        <w:spacing w:before="120" w:after="120"/>
      </w:pPr>
      <w:r>
        <w:rPr>
          <w:sz w:val="18"/>
        </w:rPr>
        <w:t>——————————————————————————————————————————————————————————————————————</w:t>
      </w:r>
    </w:p>
    <w:p>
      <w:pPr>
        <w:spacing w:before="160" w:after="40" w:line="240" w:lineRule="auto"/>
      </w:pPr>
      <w:r>
        <w:rPr>
          <w:b/>
        </w:rPr>
        <w:t xml:space="preserve">[621] </w:t>
      </w:r>
      <w:hyperlink r:id="rId972">
        <w:r>
          <w:rPr>
            <w:color w:val="1155CC"/>
            <w:u w:val="single"/>
          </w:rPr>
          <w:t>[ASAP]全面审查重叠层在光化催化整体水分分割和相关反应中的作用</w:t>
        </w:r>
      </w:hyperlink>
    </w:p>
    <w:p>
      <w:pPr>
        <w:spacing w:before="0" w:after="80"/>
      </w:pPr>
      <w:r>
        <w:rPr>
          <w:i/>
          <w:sz w:val="20"/>
        </w:rPr>
        <w:t>EN: [ASAP] A Comprehensive Review of the Role of Overlayers in Photocatalytic Overall Water Splitting and Related Reactions</w:t>
      </w:r>
    </w:p>
    <w:p>
      <w:pPr>
        <w:spacing w:before="0" w:after="120"/>
      </w:pPr>
      <w:r>
        <w:rPr>
          <w:b/>
        </w:rPr>
        <w:t xml:space="preserve">Source: </w:t>
      </w:r>
      <w:r>
        <w:t>Chemical Reviews: Latest Articles (ACS Publications)</w:t>
      </w:r>
      <w:r>
        <w:t xml:space="preserve">    </w:t>
      </w:r>
      <w:r>
        <w:rPr>
          <w:b/>
        </w:rPr>
        <w:t xml:space="preserve">Pub date: </w:t>
      </w:r>
      <w:r>
        <w:t>2026-02-26 13:59:11+00:00</w:t>
      </w:r>
      <w:r>
        <w:t xml:space="preserve">    </w:t>
      </w:r>
      <w:r>
        <w:rPr>
          <w:b/>
        </w:rPr>
        <w:t xml:space="preserve">DOI: </w:t>
      </w:r>
      <w:hyperlink r:id="rId973">
        <w:r>
          <w:rPr>
            <w:color w:val="1155CC"/>
            <w:u w:val="single"/>
          </w:rPr>
          <w:t>10.1021/acs.chemrev.5c00326</w:t>
        </w:r>
      </w:hyperlink>
    </w:p>
    <w:p>
      <w:pPr>
        <w:spacing w:before="0" w:after="120"/>
      </w:pPr>
      <w:r>
        <w:rPr>
          <w:b/>
        </w:rPr>
        <w:t xml:space="preserve">Notes: </w:t>
      </w:r>
      <w:r>
        <w:t>abstract_source=pubmed</w:t>
      </w:r>
    </w:p>
    <w:p>
      <w:pPr>
        <w:spacing w:before="0" w:after="80" w:lineRule="auto" w:line="276"/>
      </w:pPr>
      <w:r>
        <w:rPr>
          <w:b/>
        </w:rPr>
        <w:t xml:space="preserve">摘要（ZH）: </w:t>
      </w:r>
      <w:r>
        <w:t>利用经修改的古柯溶液光化催化剂对水进行整片分解时,光化催化剂的总体水分被利用,在纯水中实现高效性能面临重大挑战,因为经演进的H2和O2再生素又被古柯溶液催化回H2O-Is 催化回溯到H2OO-Is 的反反应。经修改的光化催化剂上的过层被报告防止后反应并大大加强整体分水活动。本审查全面概述了在光化整体分解水过程中利用过层抑制背反应的情况及其在促进电源分离和运输以及稳定古柯溶液和光化物方面的多功能作用。还探讨了在抑制其他光化分子的背反应中如何应用过层。</w:t>
      </w:r>
    </w:p>
    <w:p>
      <w:pPr>
        <w:spacing w:before="0" w:after="200" w:lineRule="auto" w:line="276"/>
      </w:pPr>
      <w:r>
        <w:rPr>
          <w:b/>
        </w:rPr>
        <w:t xml:space="preserve">Abstract (EN): </w:t>
      </w:r>
      <w:r>
        <w:t>Photocatalytic overall water splitting using cocatalyst-modified photocatalysts faces a significant challenge to achieve highly efficient performance in pure water, as the back reaction─where the evolved H2 and O2 recombine back into H2O─is also catalyzed by the cocatalysts. Overlayers on modified photocatalysts have been reported to prevent the back reaction and significantly enhance the overall water splitting activity. This review provides a comprehensive overview of the use of overlayers in suppressing the back reaction in photocatalytic overall water splitting and their multifunctional roles in facilitating charge separation and transport, and stabilizing cocatalysts and photocatalysts. The application of overlayers is also explored in suppressing the back reactions in other photocatalytic reactions and systems, including Z-scheme systems, electrochemical and photoelectrochemical water splitting systems, pollutant degradation reactions, and photocatalytic CO2 conversion. Furthermore, this review addresses the challenges facing overlayers, particularly their durability during photoreaction, and suggests future research areas. Overall, the knowledge gained to date emphasizes the potential of overlayers to enhance the efficiency and stability of cocatalyst-modified photocatalysts in the field of photocatalysis.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467-026-69840-z" TargetMode="External"/><Relationship Id="rId10" Type="http://schemas.openxmlformats.org/officeDocument/2006/relationships/hyperlink" Target="https://www.nature.com/articles/s41467-026-69880-5" TargetMode="External"/><Relationship Id="rId11" Type="http://schemas.openxmlformats.org/officeDocument/2006/relationships/hyperlink" Target="https://www.sciencedirect.com/science/article/pii/S0306261926002151?dgcid=rss_sd_all" TargetMode="External"/><Relationship Id="rId12" Type="http://schemas.openxmlformats.org/officeDocument/2006/relationships/hyperlink" Target="https://www.nature.com/articles/s41467-026-69864-5" TargetMode="External"/><Relationship Id="rId13" Type="http://schemas.openxmlformats.org/officeDocument/2006/relationships/hyperlink" Target="https://www.nature.com/articles/s41467-026-69852-9" TargetMode="External"/><Relationship Id="rId14" Type="http://schemas.openxmlformats.org/officeDocument/2006/relationships/hyperlink" Target="https://www.sciencedirect.com/science/article/pii/S0306261926001972?dgcid=rss_sd_all" TargetMode="External"/><Relationship Id="rId15" Type="http://schemas.openxmlformats.org/officeDocument/2006/relationships/hyperlink" Target="https://www.sciencedirect.com/science/article/pii/S0306261926002059?dgcid=rss_sd_all" TargetMode="External"/><Relationship Id="rId16" Type="http://schemas.openxmlformats.org/officeDocument/2006/relationships/hyperlink" Target="https://www.sciencedirect.com/science/article/pii/S0306261926000875?dgcid=rss_sd_all" TargetMode="External"/><Relationship Id="rId17" Type="http://schemas.openxmlformats.org/officeDocument/2006/relationships/hyperlink" Target="https://www.sciencedirect.com/science/article/pii/S0306261926001613?dgcid=rss_sd_all" TargetMode="External"/><Relationship Id="rId18" Type="http://schemas.openxmlformats.org/officeDocument/2006/relationships/hyperlink" Target="https://www.sciencedirect.com/science/article/pii/S0306261926001595?dgcid=rss_sd_all" TargetMode="External"/><Relationship Id="rId19" Type="http://schemas.openxmlformats.org/officeDocument/2006/relationships/hyperlink" Target="https://www.sciencedirect.com/science/article/pii/S0306261926001583?dgcid=rss_sd_all" TargetMode="External"/><Relationship Id="rId20" Type="http://schemas.openxmlformats.org/officeDocument/2006/relationships/hyperlink" Target="https://www.sciencedirect.com/science/article/pii/S0306261926001546?dgcid=rss_sd_all" TargetMode="External"/><Relationship Id="rId21" Type="http://schemas.openxmlformats.org/officeDocument/2006/relationships/hyperlink" Target="https://www.nature.com/articles/s41467-026-69824-z" TargetMode="External"/><Relationship Id="rId22" Type="http://schemas.openxmlformats.org/officeDocument/2006/relationships/hyperlink" Target="https://www.nature.com/articles/s41467-026-69709-1" TargetMode="External"/><Relationship Id="rId23" Type="http://schemas.openxmlformats.org/officeDocument/2006/relationships/hyperlink" Target="https://www.sciencedirect.com/science/article/pii/S0306261926001935?dgcid=rss_sd_all" TargetMode="External"/><Relationship Id="rId24" Type="http://schemas.openxmlformats.org/officeDocument/2006/relationships/hyperlink" Target="https://www.sciencedirect.com/science/article/pii/S0306261926001406?dgcid=rss_sd_all" TargetMode="External"/><Relationship Id="rId25" Type="http://schemas.openxmlformats.org/officeDocument/2006/relationships/hyperlink" Target="https://www.nature.com/articles/s41467-026-69586-8" TargetMode="External"/><Relationship Id="rId26" Type="http://schemas.openxmlformats.org/officeDocument/2006/relationships/hyperlink" Target="https://www.nature.com/articles/s41467-026-68862-x" TargetMode="External"/><Relationship Id="rId27" Type="http://schemas.openxmlformats.org/officeDocument/2006/relationships/hyperlink" Target="https://www.sciencedirect.com/science/article/pii/S030142152600128X?dgcid=rss_sd_all" TargetMode="External"/><Relationship Id="rId28" Type="http://schemas.openxmlformats.org/officeDocument/2006/relationships/hyperlink" Target="https://www.sciencedirect.com/science/article/pii/S0306261926001662?dgcid=rss_sd_all" TargetMode="External"/><Relationship Id="rId29" Type="http://schemas.openxmlformats.org/officeDocument/2006/relationships/hyperlink" Target="https://www.sciencedirect.com/science/article/pii/S0306261926001947?dgcid=rss_sd_all" TargetMode="External"/><Relationship Id="rId30" Type="http://schemas.openxmlformats.org/officeDocument/2006/relationships/hyperlink" Target="https://www.sciencedirect.com/science/article/pii/S0306261926002096?dgcid=rss_sd_all" TargetMode="External"/><Relationship Id="rId31" Type="http://schemas.openxmlformats.org/officeDocument/2006/relationships/hyperlink" Target="https://www.sciencedirect.com/science/article/pii/S030626192600173X?dgcid=rss_sd_all" TargetMode="External"/><Relationship Id="rId32" Type="http://schemas.openxmlformats.org/officeDocument/2006/relationships/hyperlink" Target="https://www.sciencedirect.com/science/article/pii/S0306261926001856?dgcid=rss_sd_all" TargetMode="External"/><Relationship Id="rId33" Type="http://schemas.openxmlformats.org/officeDocument/2006/relationships/hyperlink" Target="https://www.sciencedirect.com/science/article/pii/S0306261926001911?dgcid=rss_sd_all" TargetMode="External"/><Relationship Id="rId34" Type="http://schemas.openxmlformats.org/officeDocument/2006/relationships/hyperlink" Target="https://www.sciencedirect.com/science/article/pii/S030626192600214X?dgcid=rss_sd_all" TargetMode="External"/><Relationship Id="rId35" Type="http://schemas.openxmlformats.org/officeDocument/2006/relationships/hyperlink" Target="https://www.sciencedirect.com/science/article/pii/S0306261926001819?dgcid=rss_sd_all" TargetMode="External"/><Relationship Id="rId36" Type="http://schemas.openxmlformats.org/officeDocument/2006/relationships/hyperlink" Target="https://www.sciencedirect.com/science/article/pii/S0306261926002060?dgcid=rss_sd_all" TargetMode="External"/><Relationship Id="rId37" Type="http://schemas.openxmlformats.org/officeDocument/2006/relationships/hyperlink" Target="https://www.sciencedirect.com/science/article/pii/S0301421526001138?dgcid=rss_sd_all" TargetMode="External"/><Relationship Id="rId38" Type="http://schemas.openxmlformats.org/officeDocument/2006/relationships/hyperlink" Target="https://www.sciencedirect.com/science/article/pii/S0306261926002072?dgcid=rss_sd_all" TargetMode="External"/><Relationship Id="rId39" Type="http://schemas.openxmlformats.org/officeDocument/2006/relationships/hyperlink" Target="https://www.sciencedirect.com/science/article/pii/S0301421526001230?dgcid=rss_sd_all" TargetMode="External"/><Relationship Id="rId40" Type="http://schemas.openxmlformats.org/officeDocument/2006/relationships/hyperlink" Target="https://www.sciencedirect.com/science/article/pii/S030626192600190X?dgcid=rss_sd_all" TargetMode="External"/><Relationship Id="rId41" Type="http://schemas.openxmlformats.org/officeDocument/2006/relationships/hyperlink" Target="https://www.sciencedirect.com/science/article/pii/S0306261926001741?dgcid=rss_sd_all" TargetMode="External"/><Relationship Id="rId42" Type="http://schemas.openxmlformats.org/officeDocument/2006/relationships/hyperlink" Target="https://www.sciencedirect.com/science/article/pii/S0301421526000819?dgcid=rss_sd_all" TargetMode="External"/><Relationship Id="rId43" Type="http://schemas.openxmlformats.org/officeDocument/2006/relationships/hyperlink" Target="https://advanced.onlinelibrary.wiley.com/doi/10.1002/adma.202523315?af=R" TargetMode="External"/><Relationship Id="rId44" Type="http://schemas.openxmlformats.org/officeDocument/2006/relationships/hyperlink" Target="https://doi.org/10.1002/adma.202523315" TargetMode="External"/><Relationship Id="rId45" Type="http://schemas.openxmlformats.org/officeDocument/2006/relationships/hyperlink" Target="https://advanced.onlinelibrary.wiley.com/doi/10.1002/adma.202523580?af=R" TargetMode="External"/><Relationship Id="rId46" Type="http://schemas.openxmlformats.org/officeDocument/2006/relationships/hyperlink" Target="https://doi.org/10.1002/adma.202523580" TargetMode="External"/><Relationship Id="rId47" Type="http://schemas.openxmlformats.org/officeDocument/2006/relationships/hyperlink" Target="https://advanced.onlinelibrary.wiley.com/doi/10.1002/aenm.202506522?af=R" TargetMode="External"/><Relationship Id="rId48" Type="http://schemas.openxmlformats.org/officeDocument/2006/relationships/hyperlink" Target="https://doi.org/10.1002/aenm.202506522" TargetMode="External"/><Relationship Id="rId49" Type="http://schemas.openxmlformats.org/officeDocument/2006/relationships/hyperlink" Target="https://advanced.onlinelibrary.wiley.com/doi/10.1002/adma.72628?af=R" TargetMode="External"/><Relationship Id="rId50" Type="http://schemas.openxmlformats.org/officeDocument/2006/relationships/hyperlink" Target="https://doi.org/10.1002/adma.72628" TargetMode="External"/><Relationship Id="rId51" Type="http://schemas.openxmlformats.org/officeDocument/2006/relationships/hyperlink" Target="https://advanced.onlinelibrary.wiley.com/doi/10.1002/adma.202522615?af=R" TargetMode="External"/><Relationship Id="rId52" Type="http://schemas.openxmlformats.org/officeDocument/2006/relationships/hyperlink" Target="https://doi.org/10.1002/adma.202522615" TargetMode="External"/><Relationship Id="rId53" Type="http://schemas.openxmlformats.org/officeDocument/2006/relationships/hyperlink" Target="https://advanced.onlinelibrary.wiley.com/doi/10.1002/adma.202522623?af=R" TargetMode="External"/><Relationship Id="rId54" Type="http://schemas.openxmlformats.org/officeDocument/2006/relationships/hyperlink" Target="https://doi.org/10.1002/adma.202522623" TargetMode="External"/><Relationship Id="rId55" Type="http://schemas.openxmlformats.org/officeDocument/2006/relationships/hyperlink" Target="https://onlinelibrary.wiley.com/doi/10.1002/anie.202525030?af=R" TargetMode="External"/><Relationship Id="rId56" Type="http://schemas.openxmlformats.org/officeDocument/2006/relationships/hyperlink" Target="https://doi.org/10.1002/anie.202525030" TargetMode="External"/><Relationship Id="rId57" Type="http://schemas.openxmlformats.org/officeDocument/2006/relationships/hyperlink" Target="https://onlinelibrary.wiley.com/doi/10.1002/anie.202524753?af=R" TargetMode="External"/><Relationship Id="rId58" Type="http://schemas.openxmlformats.org/officeDocument/2006/relationships/hyperlink" Target="https://doi.org/10.1002/anie.202524753" TargetMode="External"/><Relationship Id="rId59" Type="http://schemas.openxmlformats.org/officeDocument/2006/relationships/hyperlink" Target="https://onlinelibrary.wiley.com/doi/10.1002/anie.3145716?af=R" TargetMode="External"/><Relationship Id="rId60" Type="http://schemas.openxmlformats.org/officeDocument/2006/relationships/hyperlink" Target="https://doi.org/10.1002/anie.3145716" TargetMode="External"/><Relationship Id="rId61" Type="http://schemas.openxmlformats.org/officeDocument/2006/relationships/hyperlink" Target="https://onlinelibrary.wiley.com/doi/10.1002/anie.202524237?af=R" TargetMode="External"/><Relationship Id="rId62" Type="http://schemas.openxmlformats.org/officeDocument/2006/relationships/hyperlink" Target="https://doi.org/10.1002/anie.202524237" TargetMode="External"/><Relationship Id="rId63" Type="http://schemas.openxmlformats.org/officeDocument/2006/relationships/hyperlink" Target="https://onlinelibrary.wiley.com/doi/10.1002/anie.202522431?af=R" TargetMode="External"/><Relationship Id="rId64" Type="http://schemas.openxmlformats.org/officeDocument/2006/relationships/hyperlink" Target="https://doi.org/10.1002/anie.202522431" TargetMode="External"/><Relationship Id="rId65" Type="http://schemas.openxmlformats.org/officeDocument/2006/relationships/hyperlink" Target="https://advanced.onlinelibrary.wiley.com/doi/10.1002/aenm.70786?af=R" TargetMode="External"/><Relationship Id="rId66" Type="http://schemas.openxmlformats.org/officeDocument/2006/relationships/hyperlink" Target="https://doi.org/10.1002/aenm.70786" TargetMode="External"/><Relationship Id="rId67" Type="http://schemas.openxmlformats.org/officeDocument/2006/relationships/hyperlink" Target="https://onlinelibrary.wiley.com/doi/10.1002/anie.3901082?af=R" TargetMode="External"/><Relationship Id="rId68" Type="http://schemas.openxmlformats.org/officeDocument/2006/relationships/hyperlink" Target="https://doi.org/10.1002/anie.3901082" TargetMode="External"/><Relationship Id="rId69" Type="http://schemas.openxmlformats.org/officeDocument/2006/relationships/hyperlink" Target="https://advanced.onlinelibrary.wiley.com/doi/10.1002/adma.202521363?af=R" TargetMode="External"/><Relationship Id="rId70" Type="http://schemas.openxmlformats.org/officeDocument/2006/relationships/hyperlink" Target="https://doi.org/10.1002/adma.202521363" TargetMode="External"/><Relationship Id="rId71" Type="http://schemas.openxmlformats.org/officeDocument/2006/relationships/hyperlink" Target="https://onlinelibrary.wiley.com/doi/10.1002/anie.202525780?af=R" TargetMode="External"/><Relationship Id="rId72" Type="http://schemas.openxmlformats.org/officeDocument/2006/relationships/hyperlink" Target="https://doi.org/10.1002/anie.202525780" TargetMode="External"/><Relationship Id="rId73" Type="http://schemas.openxmlformats.org/officeDocument/2006/relationships/hyperlink" Target="https://advanced.onlinelibrary.wiley.com/doi/10.1002/aenm.202505854?af=R" TargetMode="External"/><Relationship Id="rId74" Type="http://schemas.openxmlformats.org/officeDocument/2006/relationships/hyperlink" Target="https://doi.org/10.1002/aenm.202505854" TargetMode="External"/><Relationship Id="rId75" Type="http://schemas.openxmlformats.org/officeDocument/2006/relationships/hyperlink" Target="https://advanced.onlinelibrary.wiley.com/doi/10.1002/aenm.202506523?af=R" TargetMode="External"/><Relationship Id="rId76" Type="http://schemas.openxmlformats.org/officeDocument/2006/relationships/hyperlink" Target="https://doi.org/10.1002/aenm.202506523" TargetMode="External"/><Relationship Id="rId77" Type="http://schemas.openxmlformats.org/officeDocument/2006/relationships/hyperlink" Target="https://onlinelibrary.wiley.com/doi/10.1002/anie.202524299?af=R" TargetMode="External"/><Relationship Id="rId78" Type="http://schemas.openxmlformats.org/officeDocument/2006/relationships/hyperlink" Target="https://doi.org/10.1002/anie.202524299" TargetMode="External"/><Relationship Id="rId79" Type="http://schemas.openxmlformats.org/officeDocument/2006/relationships/hyperlink" Target="https://advanced.onlinelibrary.wiley.com/doi/10.1002/aenm.70777?af=R" TargetMode="External"/><Relationship Id="rId80" Type="http://schemas.openxmlformats.org/officeDocument/2006/relationships/hyperlink" Target="https://doi.org/10.1002/aenm.70777" TargetMode="External"/><Relationship Id="rId81" Type="http://schemas.openxmlformats.org/officeDocument/2006/relationships/hyperlink" Target="https://advanced.onlinelibrary.wiley.com/doi/10.1002/adma.202523017?af=R" TargetMode="External"/><Relationship Id="rId82" Type="http://schemas.openxmlformats.org/officeDocument/2006/relationships/hyperlink" Target="https://doi.org/10.1002/adma.202523017" TargetMode="External"/><Relationship Id="rId83" Type="http://schemas.openxmlformats.org/officeDocument/2006/relationships/hyperlink" Target="https://advanced.onlinelibrary.wiley.com/doi/10.1002/adma.72591?af=R" TargetMode="External"/><Relationship Id="rId84" Type="http://schemas.openxmlformats.org/officeDocument/2006/relationships/hyperlink" Target="https://doi.org/10.1002/adma.72591" TargetMode="External"/><Relationship Id="rId85" Type="http://schemas.openxmlformats.org/officeDocument/2006/relationships/hyperlink" Target="https://advanced.onlinelibrary.wiley.com/doi/10.1002/adma.72632?af=R" TargetMode="External"/><Relationship Id="rId86" Type="http://schemas.openxmlformats.org/officeDocument/2006/relationships/hyperlink" Target="https://doi.org/10.1002/adma.72632" TargetMode="External"/><Relationship Id="rId87" Type="http://schemas.openxmlformats.org/officeDocument/2006/relationships/hyperlink" Target="https://advanced.onlinelibrary.wiley.com/doi/10.1002/adma.202522504?af=R" TargetMode="External"/><Relationship Id="rId88" Type="http://schemas.openxmlformats.org/officeDocument/2006/relationships/hyperlink" Target="https://doi.org/10.1002/adma.202522504" TargetMode="External"/><Relationship Id="rId89" Type="http://schemas.openxmlformats.org/officeDocument/2006/relationships/hyperlink" Target="https://advanced.onlinelibrary.wiley.com/doi/10.1002/adma.202521831?af=R" TargetMode="External"/><Relationship Id="rId90" Type="http://schemas.openxmlformats.org/officeDocument/2006/relationships/hyperlink" Target="https://doi.org/10.1002/adma.202521831" TargetMode="External"/><Relationship Id="rId91" Type="http://schemas.openxmlformats.org/officeDocument/2006/relationships/hyperlink" Target="https://onlinelibrary.wiley.com/doi/10.1002/anie.202524655?af=R" TargetMode="External"/><Relationship Id="rId92" Type="http://schemas.openxmlformats.org/officeDocument/2006/relationships/hyperlink" Target="https://doi.org/10.1002/anie.202524655" TargetMode="External"/><Relationship Id="rId93" Type="http://schemas.openxmlformats.org/officeDocument/2006/relationships/hyperlink" Target="http://dx.doi.org/10.1021/jacs.5c17002" TargetMode="External"/><Relationship Id="rId94" Type="http://schemas.openxmlformats.org/officeDocument/2006/relationships/hyperlink" Target="https://doi.org/10.1021/jacs.5c17002" TargetMode="External"/><Relationship Id="rId95" Type="http://schemas.openxmlformats.org/officeDocument/2006/relationships/hyperlink" Target="http://dx.doi.org/10.1021/jacs.5c20391" TargetMode="External"/><Relationship Id="rId96" Type="http://schemas.openxmlformats.org/officeDocument/2006/relationships/hyperlink" Target="https://doi.org/10.1021/jacs.5c20391" TargetMode="External"/><Relationship Id="rId97" Type="http://schemas.openxmlformats.org/officeDocument/2006/relationships/hyperlink" Target="http://dx.doi.org/10.1021/jacs.6c00511" TargetMode="External"/><Relationship Id="rId98" Type="http://schemas.openxmlformats.org/officeDocument/2006/relationships/hyperlink" Target="https://doi.org/10.1021/jacs.6c00511" TargetMode="External"/><Relationship Id="rId99" Type="http://schemas.openxmlformats.org/officeDocument/2006/relationships/hyperlink" Target="https://www.sciencedirect.com/science/article/pii/S0306261926001534?dgcid=rss_sd_all" TargetMode="External"/><Relationship Id="rId100" Type="http://schemas.openxmlformats.org/officeDocument/2006/relationships/hyperlink" Target="https://www.sciencedirect.com/science/article/pii/S0306261926001637?dgcid=rss_sd_all" TargetMode="External"/><Relationship Id="rId101" Type="http://schemas.openxmlformats.org/officeDocument/2006/relationships/hyperlink" Target="https://www.nature.com/articles/s41467-026-69697-2" TargetMode="External"/><Relationship Id="rId102" Type="http://schemas.openxmlformats.org/officeDocument/2006/relationships/hyperlink" Target="https://www.sciencedirect.com/science/article/pii/S0306261926001893?dgcid=rss_sd_all" TargetMode="External"/><Relationship Id="rId103" Type="http://schemas.openxmlformats.org/officeDocument/2006/relationships/hyperlink" Target="https://www.sciencedirect.com/science/article/pii/S0306261926002084?dgcid=rss_sd_all" TargetMode="External"/><Relationship Id="rId104" Type="http://schemas.openxmlformats.org/officeDocument/2006/relationships/hyperlink" Target="https://www.sciencedirect.com/science/article/pii/S030626192600200X?dgcid=rss_sd_all" TargetMode="External"/><Relationship Id="rId105" Type="http://schemas.openxmlformats.org/officeDocument/2006/relationships/hyperlink" Target="https://www.sciencedirect.com/science/article/pii/S0306261926002175?dgcid=rss_sd_all" TargetMode="External"/><Relationship Id="rId106" Type="http://schemas.openxmlformats.org/officeDocument/2006/relationships/hyperlink" Target="https://www.sciencedirect.com/science/article/pii/S0306261926002163?dgcid=rss_sd_all" TargetMode="External"/><Relationship Id="rId107" Type="http://schemas.openxmlformats.org/officeDocument/2006/relationships/hyperlink" Target="https://www.sciencedirect.com/science/article/pii/S0301421526001308?dgcid=rss_sd_all" TargetMode="External"/><Relationship Id="rId108" Type="http://schemas.openxmlformats.org/officeDocument/2006/relationships/hyperlink" Target="https://www.sciencedirect.com/science/article/pii/S0301421526000947?dgcid=rss_sd_all" TargetMode="External"/><Relationship Id="rId109" Type="http://schemas.openxmlformats.org/officeDocument/2006/relationships/hyperlink" Target="https://www.sciencedirect.com/science/article/pii/S0306261926002126?dgcid=rss_sd_all" TargetMode="External"/><Relationship Id="rId110" Type="http://schemas.openxmlformats.org/officeDocument/2006/relationships/hyperlink" Target="https://www.sciencedirect.com/science/article/pii/S0306261926001224?dgcid=rss_sd_all" TargetMode="External"/><Relationship Id="rId111" Type="http://schemas.openxmlformats.org/officeDocument/2006/relationships/hyperlink" Target="https://www.sciencedirect.com/science/article/pii/S0301421526000844?dgcid=rss_sd_all" TargetMode="External"/><Relationship Id="rId112" Type="http://schemas.openxmlformats.org/officeDocument/2006/relationships/hyperlink" Target="https://www.sciencedirect.com/science/article/pii/S0306261926001388?dgcid=rss_sd_all" TargetMode="External"/><Relationship Id="rId113" Type="http://schemas.openxmlformats.org/officeDocument/2006/relationships/hyperlink" Target="https://www.sciencedirect.com/science/article/pii/S0301421526000881?dgcid=rss_sd_all" TargetMode="External"/><Relationship Id="rId114" Type="http://schemas.openxmlformats.org/officeDocument/2006/relationships/hyperlink" Target="https://onlinelibrary.wiley.com/doi/10.1002/anie.6482981?af=R" TargetMode="External"/><Relationship Id="rId115" Type="http://schemas.openxmlformats.org/officeDocument/2006/relationships/hyperlink" Target="https://doi.org/10.1002/anie.6482981" TargetMode="External"/><Relationship Id="rId116" Type="http://schemas.openxmlformats.org/officeDocument/2006/relationships/hyperlink" Target="https://advanced.onlinelibrary.wiley.com/doi/10.1002/adma.72587?af=R" TargetMode="External"/><Relationship Id="rId117" Type="http://schemas.openxmlformats.org/officeDocument/2006/relationships/hyperlink" Target="https://doi.org/10.1002/adma.72587" TargetMode="External"/><Relationship Id="rId118" Type="http://schemas.openxmlformats.org/officeDocument/2006/relationships/hyperlink" Target="https://advanced.onlinelibrary.wiley.com/doi/10.1002/adma.202519096?af=R" TargetMode="External"/><Relationship Id="rId119" Type="http://schemas.openxmlformats.org/officeDocument/2006/relationships/hyperlink" Target="https://doi.org/10.1002/adma.202519096" TargetMode="External"/><Relationship Id="rId120" Type="http://schemas.openxmlformats.org/officeDocument/2006/relationships/hyperlink" Target="https://onlinelibrary.wiley.com/doi/10.1002/anie.9127031?af=R" TargetMode="External"/><Relationship Id="rId121" Type="http://schemas.openxmlformats.org/officeDocument/2006/relationships/hyperlink" Target="https://doi.org/10.1002/anie.9127031" TargetMode="External"/><Relationship Id="rId122" Type="http://schemas.openxmlformats.org/officeDocument/2006/relationships/hyperlink" Target="https://advanced.onlinelibrary.wiley.com/doi/10.1002/adma.202519267?af=R" TargetMode="External"/><Relationship Id="rId123" Type="http://schemas.openxmlformats.org/officeDocument/2006/relationships/hyperlink" Target="https://doi.org/10.1002/adma.202519267" TargetMode="External"/><Relationship Id="rId124" Type="http://schemas.openxmlformats.org/officeDocument/2006/relationships/hyperlink" Target="https://onlinelibrary.wiley.com/doi/10.1002/anie.3521059?af=R" TargetMode="External"/><Relationship Id="rId125" Type="http://schemas.openxmlformats.org/officeDocument/2006/relationships/hyperlink" Target="https://doi.org/10.1002/anie.3521059" TargetMode="External"/><Relationship Id="rId126" Type="http://schemas.openxmlformats.org/officeDocument/2006/relationships/hyperlink" Target="https://advanced.onlinelibrary.wiley.com/doi/10.1002/adma.202522929?af=R" TargetMode="External"/><Relationship Id="rId127" Type="http://schemas.openxmlformats.org/officeDocument/2006/relationships/hyperlink" Target="https://doi.org/10.1002/adma.202522929" TargetMode="External"/><Relationship Id="rId128" Type="http://schemas.openxmlformats.org/officeDocument/2006/relationships/hyperlink" Target="https://onlinelibrary.wiley.com/doi/10.1002/anie.202520110?af=R" TargetMode="External"/><Relationship Id="rId129" Type="http://schemas.openxmlformats.org/officeDocument/2006/relationships/hyperlink" Target="https://doi.org/10.1002/anie.202520110" TargetMode="External"/><Relationship Id="rId130" Type="http://schemas.openxmlformats.org/officeDocument/2006/relationships/hyperlink" Target="https://onlinelibrary.wiley.com/doi/10.1002/anie.202525352?af=R" TargetMode="External"/><Relationship Id="rId131" Type="http://schemas.openxmlformats.org/officeDocument/2006/relationships/hyperlink" Target="https://doi.org/10.1002/anie.202525352" TargetMode="External"/><Relationship Id="rId132" Type="http://schemas.openxmlformats.org/officeDocument/2006/relationships/hyperlink" Target="https://onlinelibrary.wiley.com/doi/10.1002/anie.202524847?af=R" TargetMode="External"/><Relationship Id="rId133" Type="http://schemas.openxmlformats.org/officeDocument/2006/relationships/hyperlink" Target="https://doi.org/10.1002/anie.202524847" TargetMode="External"/><Relationship Id="rId134" Type="http://schemas.openxmlformats.org/officeDocument/2006/relationships/hyperlink" Target="https://onlinelibrary.wiley.com/doi/10.1002/anie.202522705?af=R" TargetMode="External"/><Relationship Id="rId135" Type="http://schemas.openxmlformats.org/officeDocument/2006/relationships/hyperlink" Target="https://doi.org/10.1002/anie.202522705" TargetMode="External"/><Relationship Id="rId136" Type="http://schemas.openxmlformats.org/officeDocument/2006/relationships/hyperlink" Target="https://onlinelibrary.wiley.com/doi/10.1002/anie.202514626?af=R" TargetMode="External"/><Relationship Id="rId137" Type="http://schemas.openxmlformats.org/officeDocument/2006/relationships/hyperlink" Target="https://doi.org/10.1002/anie.202514626" TargetMode="External"/><Relationship Id="rId138" Type="http://schemas.openxmlformats.org/officeDocument/2006/relationships/hyperlink" Target="https://onlinelibrary.wiley.com/doi/10.1002/anie.9133941?af=R" TargetMode="External"/><Relationship Id="rId139" Type="http://schemas.openxmlformats.org/officeDocument/2006/relationships/hyperlink" Target="https://doi.org/10.1002/anie.9133941" TargetMode="External"/><Relationship Id="rId140" Type="http://schemas.openxmlformats.org/officeDocument/2006/relationships/hyperlink" Target="https://onlinelibrary.wiley.com/doi/10.1002/anie.202515456?af=R" TargetMode="External"/><Relationship Id="rId141" Type="http://schemas.openxmlformats.org/officeDocument/2006/relationships/hyperlink" Target="https://doi.org/10.1002/anie.202515456" TargetMode="External"/><Relationship Id="rId142" Type="http://schemas.openxmlformats.org/officeDocument/2006/relationships/hyperlink" Target="https://advanced.onlinelibrary.wiley.com/doi/10.1002/adma.202520359?af=R" TargetMode="External"/><Relationship Id="rId143" Type="http://schemas.openxmlformats.org/officeDocument/2006/relationships/hyperlink" Target="https://doi.org/10.1002/adma.202520359" TargetMode="External"/><Relationship Id="rId144" Type="http://schemas.openxmlformats.org/officeDocument/2006/relationships/hyperlink" Target="https://onlinelibrary.wiley.com/doi/10.1002/anie.202524296?af=R" TargetMode="External"/><Relationship Id="rId145" Type="http://schemas.openxmlformats.org/officeDocument/2006/relationships/hyperlink" Target="https://doi.org/10.1002/anie.202524296" TargetMode="External"/><Relationship Id="rId146" Type="http://schemas.openxmlformats.org/officeDocument/2006/relationships/hyperlink" Target="https://onlinelibrary.wiley.com/doi/10.1002/anie.202522707?af=R" TargetMode="External"/><Relationship Id="rId147" Type="http://schemas.openxmlformats.org/officeDocument/2006/relationships/hyperlink" Target="https://doi.org/10.1002/anie.202522707" TargetMode="External"/><Relationship Id="rId148" Type="http://schemas.openxmlformats.org/officeDocument/2006/relationships/hyperlink" Target="https://onlinelibrary.wiley.com/doi/10.1002/anie.202521666?af=R" TargetMode="External"/><Relationship Id="rId149" Type="http://schemas.openxmlformats.org/officeDocument/2006/relationships/hyperlink" Target="https://doi.org/10.1002/anie.202521666" TargetMode="External"/><Relationship Id="rId150" Type="http://schemas.openxmlformats.org/officeDocument/2006/relationships/hyperlink" Target="https://onlinelibrary.wiley.com/doi/10.1002/anie.2017963?af=R" TargetMode="External"/><Relationship Id="rId151" Type="http://schemas.openxmlformats.org/officeDocument/2006/relationships/hyperlink" Target="https://doi.org/10.1002/anie.2017963" TargetMode="External"/><Relationship Id="rId152" Type="http://schemas.openxmlformats.org/officeDocument/2006/relationships/hyperlink" Target="https://onlinelibrary.wiley.com/doi/10.1002/anie.202524314?af=R" TargetMode="External"/><Relationship Id="rId153" Type="http://schemas.openxmlformats.org/officeDocument/2006/relationships/hyperlink" Target="https://doi.org/10.1002/anie.202524314" TargetMode="External"/><Relationship Id="rId154" Type="http://schemas.openxmlformats.org/officeDocument/2006/relationships/hyperlink" Target="https://onlinelibrary.wiley.com/doi/10.1002/anie.8253479?af=R" TargetMode="External"/><Relationship Id="rId155" Type="http://schemas.openxmlformats.org/officeDocument/2006/relationships/hyperlink" Target="https://doi.org/10.1002/anie.8253479" TargetMode="External"/><Relationship Id="rId156" Type="http://schemas.openxmlformats.org/officeDocument/2006/relationships/hyperlink" Target="https://onlinelibrary.wiley.com/doi/10.1002/anie.202525597?af=R" TargetMode="External"/><Relationship Id="rId157" Type="http://schemas.openxmlformats.org/officeDocument/2006/relationships/hyperlink" Target="https://doi.org/10.1002/anie.202525597" TargetMode="External"/><Relationship Id="rId158" Type="http://schemas.openxmlformats.org/officeDocument/2006/relationships/hyperlink" Target="https://onlinelibrary.wiley.com/doi/10.1002/anie.202525991?af=R" TargetMode="External"/><Relationship Id="rId159" Type="http://schemas.openxmlformats.org/officeDocument/2006/relationships/hyperlink" Target="https://doi.org/10.1002/anie.202525991" TargetMode="External"/><Relationship Id="rId160" Type="http://schemas.openxmlformats.org/officeDocument/2006/relationships/hyperlink" Target="http://dx.doi.org/10.1021/jacs.5c22563" TargetMode="External"/><Relationship Id="rId161" Type="http://schemas.openxmlformats.org/officeDocument/2006/relationships/hyperlink" Target="https://doi.org/10.1021/jacs.5c22563" TargetMode="External"/><Relationship Id="rId162" Type="http://schemas.openxmlformats.org/officeDocument/2006/relationships/hyperlink" Target="http://dx.doi.org/10.1021/jacs.5c14765" TargetMode="External"/><Relationship Id="rId163" Type="http://schemas.openxmlformats.org/officeDocument/2006/relationships/hyperlink" Target="https://doi.org/10.1021/jacs.5c14765" TargetMode="External"/><Relationship Id="rId164" Type="http://schemas.openxmlformats.org/officeDocument/2006/relationships/hyperlink" Target="http://dx.doi.org/10.1021/jacs.6c00241" TargetMode="External"/><Relationship Id="rId165" Type="http://schemas.openxmlformats.org/officeDocument/2006/relationships/hyperlink" Target="https://doi.org/10.1021/jacs.6c00241" TargetMode="External"/><Relationship Id="rId166" Type="http://schemas.openxmlformats.org/officeDocument/2006/relationships/hyperlink" Target="http://dx.doi.org/10.1021/acsenergylett.5c04103" TargetMode="External"/><Relationship Id="rId167" Type="http://schemas.openxmlformats.org/officeDocument/2006/relationships/hyperlink" Target="https://doi.org/10.1021/acsenergylett.5c04103" TargetMode="External"/><Relationship Id="rId168" Type="http://schemas.openxmlformats.org/officeDocument/2006/relationships/hyperlink" Target="http://dx.doi.org/10.1021/jacs.5c21656" TargetMode="External"/><Relationship Id="rId169" Type="http://schemas.openxmlformats.org/officeDocument/2006/relationships/hyperlink" Target="https://doi.org/10.1021/jacs.5c21656" TargetMode="External"/><Relationship Id="rId170" Type="http://schemas.openxmlformats.org/officeDocument/2006/relationships/hyperlink" Target="http://dx.doi.org/10.1021/jacs.5c19024" TargetMode="External"/><Relationship Id="rId171" Type="http://schemas.openxmlformats.org/officeDocument/2006/relationships/hyperlink" Target="https://doi.org/10.1021/jacs.5c19024" TargetMode="External"/><Relationship Id="rId172" Type="http://schemas.openxmlformats.org/officeDocument/2006/relationships/hyperlink" Target="http://dx.doi.org/10.1021/jacs.5c20219" TargetMode="External"/><Relationship Id="rId173" Type="http://schemas.openxmlformats.org/officeDocument/2006/relationships/hyperlink" Target="https://doi.org/10.1021/jacs.5c20219" TargetMode="External"/><Relationship Id="rId174" Type="http://schemas.openxmlformats.org/officeDocument/2006/relationships/hyperlink" Target="http://dx.doi.org/10.1021/jacs.5c19020" TargetMode="External"/><Relationship Id="rId175" Type="http://schemas.openxmlformats.org/officeDocument/2006/relationships/hyperlink" Target="https://doi.org/10.1021/jacs.5c19020" TargetMode="External"/><Relationship Id="rId176" Type="http://schemas.openxmlformats.org/officeDocument/2006/relationships/hyperlink" Target="http://dx.doi.org/10.1021/jacs.5c21676" TargetMode="External"/><Relationship Id="rId177" Type="http://schemas.openxmlformats.org/officeDocument/2006/relationships/hyperlink" Target="https://doi.org/10.1021/jacs.5c21676" TargetMode="External"/><Relationship Id="rId178" Type="http://schemas.openxmlformats.org/officeDocument/2006/relationships/hyperlink" Target="https://www.cell.com/joule/fulltext/S2542-4351(25)00480-5?rss=yes" TargetMode="External"/><Relationship Id="rId179" Type="http://schemas.openxmlformats.org/officeDocument/2006/relationships/hyperlink" Target="https://www.cell.com/chem/fulltext/S2451-9294(26)00035-5?rss=yes" TargetMode="External"/><Relationship Id="rId180" Type="http://schemas.openxmlformats.org/officeDocument/2006/relationships/hyperlink" Target="https://www.nature.com/articles/d41586-026-00565-1" TargetMode="External"/><Relationship Id="rId181" Type="http://schemas.openxmlformats.org/officeDocument/2006/relationships/hyperlink" Target="https://www.nature.com/articles/d41586-026-00463-6" TargetMode="External"/><Relationship Id="rId182" Type="http://schemas.openxmlformats.org/officeDocument/2006/relationships/hyperlink" Target="https://www.nature.com/articles/d41586-026-00366-6" TargetMode="External"/><Relationship Id="rId183" Type="http://schemas.openxmlformats.org/officeDocument/2006/relationships/hyperlink" Target="https://www.cell.com/chem/fulltext/S2451-9294(25)00498-X?rss=yes" TargetMode="External"/><Relationship Id="rId184" Type="http://schemas.openxmlformats.org/officeDocument/2006/relationships/hyperlink" Target="https://www.nature.com/articles/d41586-026-00585-x" TargetMode="External"/><Relationship Id="rId185" Type="http://schemas.openxmlformats.org/officeDocument/2006/relationships/hyperlink" Target="https://www.nature.com/articles/s41467-026-69649-w" TargetMode="External"/><Relationship Id="rId186" Type="http://schemas.openxmlformats.org/officeDocument/2006/relationships/hyperlink" Target="https://www.nature.com/articles/s41467-026-69897-w" TargetMode="External"/><Relationship Id="rId187" Type="http://schemas.openxmlformats.org/officeDocument/2006/relationships/hyperlink" Target="https://www.nature.com/articles/d41586-026-00568-y" TargetMode="External"/><Relationship Id="rId188" Type="http://schemas.openxmlformats.org/officeDocument/2006/relationships/hyperlink" Target="https://www.nature.com/articles/d41586-026-00535-7" TargetMode="External"/><Relationship Id="rId189" Type="http://schemas.openxmlformats.org/officeDocument/2006/relationships/hyperlink" Target="https://www.nature.com/articles/s41467-026-69805-2" TargetMode="External"/><Relationship Id="rId190" Type="http://schemas.openxmlformats.org/officeDocument/2006/relationships/hyperlink" Target="https://www.nature.com/articles/d41586-026-00567-z" TargetMode="External"/><Relationship Id="rId191" Type="http://schemas.openxmlformats.org/officeDocument/2006/relationships/hyperlink" Target="https://www.nature.com/articles/d41586-026-00566-0" TargetMode="External"/><Relationship Id="rId192" Type="http://schemas.openxmlformats.org/officeDocument/2006/relationships/hyperlink" Target="https://www.nature.com/articles/d41586-026-00545-5" TargetMode="External"/><Relationship Id="rId193" Type="http://schemas.openxmlformats.org/officeDocument/2006/relationships/hyperlink" Target="https://www.cell.com/one-earth/fulltext/S2590-3322(26)00017-5?rss=yes" TargetMode="External"/><Relationship Id="rId194" Type="http://schemas.openxmlformats.org/officeDocument/2006/relationships/hyperlink" Target="https://www.nature.com/articles/d41586-026-00536-6" TargetMode="External"/><Relationship Id="rId195" Type="http://schemas.openxmlformats.org/officeDocument/2006/relationships/hyperlink" Target="https://www.cell.com/matter/fulltext/S2590-2385(25)00674-5?rss=yes" TargetMode="External"/><Relationship Id="rId196" Type="http://schemas.openxmlformats.org/officeDocument/2006/relationships/hyperlink" Target="http://pubs.rsc.org/en/Content/ArticleLanding/2026/CS/D5CS01351H" TargetMode="External"/><Relationship Id="rId197" Type="http://schemas.openxmlformats.org/officeDocument/2006/relationships/hyperlink" Target="https://www.nature.com/articles/s44286-026-00359-2" TargetMode="External"/><Relationship Id="rId198" Type="http://schemas.openxmlformats.org/officeDocument/2006/relationships/hyperlink" Target="http://pubs.rsc.org/en/Content/ArticleLanding/2026/CS/D5CS00787A" TargetMode="External"/><Relationship Id="rId199" Type="http://schemas.openxmlformats.org/officeDocument/2006/relationships/hyperlink" Target="https://www.nature.com/articles/s41586-026-10263-7" TargetMode="External"/><Relationship Id="rId200" Type="http://schemas.openxmlformats.org/officeDocument/2006/relationships/hyperlink" Target="https://www.sciencedirect.com/science/article/pii/S0306261926002370?dgcid=rss_sd_all" TargetMode="External"/><Relationship Id="rId201" Type="http://schemas.openxmlformats.org/officeDocument/2006/relationships/hyperlink" Target="http://pubs.rsc.org/en/Content/ArticleLanding/2026/EE/D5EE07562A" TargetMode="External"/><Relationship Id="rId202" Type="http://schemas.openxmlformats.org/officeDocument/2006/relationships/hyperlink" Target="http://pubs.rsc.org/en/Content/ArticleLanding/2026/EE/D5EE07605F" TargetMode="External"/><Relationship Id="rId203" Type="http://schemas.openxmlformats.org/officeDocument/2006/relationships/hyperlink" Target="http://pubs.rsc.org/en/Content/ArticleLanding/2026/EE/D5EE07702H" TargetMode="External"/><Relationship Id="rId204" Type="http://schemas.openxmlformats.org/officeDocument/2006/relationships/hyperlink" Target="https://www.nature.com/articles/s41578-026-00896-5" TargetMode="External"/><Relationship Id="rId205" Type="http://schemas.openxmlformats.org/officeDocument/2006/relationships/hyperlink" Target="https://academic.oup.com/nsr/advance-article/doi/10.1093/nsr/nwag109/8494839?rss=1" TargetMode="External"/><Relationship Id="rId206" Type="http://schemas.openxmlformats.org/officeDocument/2006/relationships/hyperlink" Target="https://doi.org/10.1093/nsr/nwag109/8494839" TargetMode="External"/><Relationship Id="rId207" Type="http://schemas.openxmlformats.org/officeDocument/2006/relationships/hyperlink" Target="https://academic.oup.com/nsr/advance-article/doi/10.1093/nsr/nwag110/8494848?rss=1" TargetMode="External"/><Relationship Id="rId208" Type="http://schemas.openxmlformats.org/officeDocument/2006/relationships/hyperlink" Target="https://doi.org/10.1093/nsr/nwag110/8494848" TargetMode="External"/><Relationship Id="rId209" Type="http://schemas.openxmlformats.org/officeDocument/2006/relationships/hyperlink" Target="https://www.sciencedirect.com/science/article/pii/S0301421526001229?dgcid=rss_sd_all" TargetMode="External"/><Relationship Id="rId210" Type="http://schemas.openxmlformats.org/officeDocument/2006/relationships/hyperlink" Target="https://www.nature.com/articles/s41563-026-02518-5" TargetMode="External"/><Relationship Id="rId211" Type="http://schemas.openxmlformats.org/officeDocument/2006/relationships/hyperlink" Target="https://www.nature.com/articles/s41467-026-70023-z" TargetMode="External"/><Relationship Id="rId212" Type="http://schemas.openxmlformats.org/officeDocument/2006/relationships/hyperlink" Target="https://www.nature.com/articles/s41563-026-02494-w" TargetMode="External"/><Relationship Id="rId213" Type="http://schemas.openxmlformats.org/officeDocument/2006/relationships/hyperlink" Target="https://www.cell.com/joule/fulltext/S2542-4351(25)00482-9?rss=yes" TargetMode="External"/><Relationship Id="rId214" Type="http://schemas.openxmlformats.org/officeDocument/2006/relationships/hyperlink" Target="https://www.nature.com/articles/s41557-025-02052-y" TargetMode="External"/><Relationship Id="rId215" Type="http://schemas.openxmlformats.org/officeDocument/2006/relationships/hyperlink" Target="https://www.nature.com/articles/s41557-026-02075-z" TargetMode="External"/><Relationship Id="rId216" Type="http://schemas.openxmlformats.org/officeDocument/2006/relationships/hyperlink" Target="https://www.nature.com/articles/s41557-026-02076-y" TargetMode="External"/><Relationship Id="rId217" Type="http://schemas.openxmlformats.org/officeDocument/2006/relationships/hyperlink" Target="https://www.nature.com/articles/s41557-026-02070-4" TargetMode="External"/><Relationship Id="rId218" Type="http://schemas.openxmlformats.org/officeDocument/2006/relationships/hyperlink" Target="https://www.nature.com/articles/s41563-026-02516-7" TargetMode="External"/><Relationship Id="rId219" Type="http://schemas.openxmlformats.org/officeDocument/2006/relationships/hyperlink" Target="https://advanced.onlinelibrary.wiley.com/doi/10.1002/aenm.202506389?af=R" TargetMode="External"/><Relationship Id="rId220" Type="http://schemas.openxmlformats.org/officeDocument/2006/relationships/hyperlink" Target="https://doi.org/10.1002/aenm.202506389" TargetMode="External"/><Relationship Id="rId221" Type="http://schemas.openxmlformats.org/officeDocument/2006/relationships/hyperlink" Target="https://advanced.onlinelibrary.wiley.com/doi/10.1002/adma.72622?af=R" TargetMode="External"/><Relationship Id="rId222" Type="http://schemas.openxmlformats.org/officeDocument/2006/relationships/hyperlink" Target="https://doi.org/10.1002/adma.72622" TargetMode="External"/><Relationship Id="rId223" Type="http://schemas.openxmlformats.org/officeDocument/2006/relationships/hyperlink" Target="https://onlinelibrary.wiley.com/doi/10.1002/anie.202523755?af=R" TargetMode="External"/><Relationship Id="rId224" Type="http://schemas.openxmlformats.org/officeDocument/2006/relationships/hyperlink" Target="https://doi.org/10.1002/anie.202523755" TargetMode="External"/><Relationship Id="rId225" Type="http://schemas.openxmlformats.org/officeDocument/2006/relationships/hyperlink" Target="https://advanced.onlinelibrary.wiley.com/doi/10.1002/aenm.202504565?af=R" TargetMode="External"/><Relationship Id="rId226" Type="http://schemas.openxmlformats.org/officeDocument/2006/relationships/hyperlink" Target="https://doi.org/10.1002/aenm.202504565" TargetMode="External"/><Relationship Id="rId227" Type="http://schemas.openxmlformats.org/officeDocument/2006/relationships/hyperlink" Target="https://www.pnas.org/doi/abs/10.1073/pnas.2521658123?mi=eymic2&amp;af=R&amp;access=on&amp;content=articlesChapters&amp;publication=pnas&amp;sortBy=Earliest&amp;target=default" TargetMode="External"/><Relationship Id="rId228" Type="http://schemas.openxmlformats.org/officeDocument/2006/relationships/hyperlink" Target="https://doi.org/10.1073/pnas.2521658123" TargetMode="External"/><Relationship Id="rId229" Type="http://schemas.openxmlformats.org/officeDocument/2006/relationships/hyperlink" Target="https://www.pnas.org/doi/abs/10.1073/pnas.2521253123?mi=eymic2&amp;af=R&amp;access=on&amp;content=articlesChapters&amp;publication=pnas&amp;sortBy=Earliest&amp;target=default" TargetMode="External"/><Relationship Id="rId230" Type="http://schemas.openxmlformats.org/officeDocument/2006/relationships/hyperlink" Target="https://doi.org/10.1073/pnas.2521253123" TargetMode="External"/><Relationship Id="rId231" Type="http://schemas.openxmlformats.org/officeDocument/2006/relationships/hyperlink" Target="https://www.pnas.org/doi/abs/10.1073/pnas.2515835123?mi=eymic2&amp;af=R&amp;access=on&amp;content=articlesChapters&amp;publication=pnas&amp;sortBy=Earliest&amp;target=default" TargetMode="External"/><Relationship Id="rId232" Type="http://schemas.openxmlformats.org/officeDocument/2006/relationships/hyperlink" Target="https://doi.org/10.1073/pnas.2515835123" TargetMode="External"/><Relationship Id="rId233" Type="http://schemas.openxmlformats.org/officeDocument/2006/relationships/hyperlink" Target="https://www.pnas.org/doi/abs/10.1073/pnas.2521183123?mi=eymic2&amp;af=R&amp;access=on&amp;content=articlesChapters&amp;publication=pnas&amp;sortBy=Earliest&amp;target=default" TargetMode="External"/><Relationship Id="rId234" Type="http://schemas.openxmlformats.org/officeDocument/2006/relationships/hyperlink" Target="https://doi.org/10.1073/pnas.2521183123" TargetMode="External"/><Relationship Id="rId235" Type="http://schemas.openxmlformats.org/officeDocument/2006/relationships/hyperlink" Target="https://www.pnas.org/doi/abs/10.1073/pnas.2525500123?mi=eymic2&amp;af=R&amp;access=on&amp;content=articlesChapters&amp;publication=pnas&amp;sortBy=Earliest&amp;target=default" TargetMode="External"/><Relationship Id="rId236" Type="http://schemas.openxmlformats.org/officeDocument/2006/relationships/hyperlink" Target="https://doi.org/10.1073/pnas.2525500123" TargetMode="External"/><Relationship Id="rId237" Type="http://schemas.openxmlformats.org/officeDocument/2006/relationships/hyperlink" Target="https://www.pnas.org/doi/abs/10.1073/pnas.2520986123?mi=eymic2&amp;af=R&amp;access=on&amp;content=articlesChapters&amp;publication=pnas&amp;sortBy=Earliest&amp;target=default" TargetMode="External"/><Relationship Id="rId238" Type="http://schemas.openxmlformats.org/officeDocument/2006/relationships/hyperlink" Target="https://doi.org/10.1073/pnas.2520986123" TargetMode="External"/><Relationship Id="rId239" Type="http://schemas.openxmlformats.org/officeDocument/2006/relationships/hyperlink" Target="https://www.pnas.org/doi/abs/10.1073/pnas.2510849123?mi=eymic2&amp;af=R&amp;access=on&amp;content=articlesChapters&amp;publication=pnas&amp;sortBy=Earliest&amp;target=default" TargetMode="External"/><Relationship Id="rId240" Type="http://schemas.openxmlformats.org/officeDocument/2006/relationships/hyperlink" Target="https://doi.org/10.1073/pnas.2510849123" TargetMode="External"/><Relationship Id="rId241" Type="http://schemas.openxmlformats.org/officeDocument/2006/relationships/hyperlink" Target="https://www.pnas.org/doi/abs/10.1073/pnas.2537196123?mi=eymic2&amp;af=R&amp;access=on&amp;content=articlesChapters&amp;publication=pnas&amp;sortBy=Earliest&amp;target=default" TargetMode="External"/><Relationship Id="rId242" Type="http://schemas.openxmlformats.org/officeDocument/2006/relationships/hyperlink" Target="https://doi.org/10.1073/pnas.2537196123" TargetMode="External"/><Relationship Id="rId243" Type="http://schemas.openxmlformats.org/officeDocument/2006/relationships/hyperlink" Target="https://www.pnas.org/doi/abs/10.1073/pnas.2514438123?mi=eymic2&amp;af=R&amp;access=on&amp;content=articlesChapters&amp;publication=pnas&amp;sortBy=Earliest&amp;target=default" TargetMode="External"/><Relationship Id="rId244" Type="http://schemas.openxmlformats.org/officeDocument/2006/relationships/hyperlink" Target="https://doi.org/10.1073/pnas.2514438123" TargetMode="External"/><Relationship Id="rId245" Type="http://schemas.openxmlformats.org/officeDocument/2006/relationships/hyperlink" Target="https://www.pnas.org/doi/abs/10.1073/pnas.2506022123?mi=eymic2&amp;af=R&amp;access=on&amp;content=articlesChapters&amp;publication=pnas&amp;sortBy=Earliest&amp;target=default" TargetMode="External"/><Relationship Id="rId246" Type="http://schemas.openxmlformats.org/officeDocument/2006/relationships/hyperlink" Target="https://doi.org/10.1073/pnas.2506022123" TargetMode="External"/><Relationship Id="rId247" Type="http://schemas.openxmlformats.org/officeDocument/2006/relationships/hyperlink" Target="https://www.pnas.org/doi/abs/10.1073/pnas.2520385123?mi=eymic2&amp;af=R&amp;access=on&amp;content=articlesChapters&amp;publication=pnas&amp;sortBy=Earliest&amp;target=default" TargetMode="External"/><Relationship Id="rId248" Type="http://schemas.openxmlformats.org/officeDocument/2006/relationships/hyperlink" Target="https://doi.org/10.1073/pnas.2520385123" TargetMode="External"/><Relationship Id="rId249" Type="http://schemas.openxmlformats.org/officeDocument/2006/relationships/hyperlink" Target="https://www.pnas.org/doi/abs/10.1073/pnas.2526444123?mi=eymic2&amp;af=R&amp;access=on&amp;content=articlesChapters&amp;publication=pnas&amp;sortBy=Earliest&amp;target=default" TargetMode="External"/><Relationship Id="rId250" Type="http://schemas.openxmlformats.org/officeDocument/2006/relationships/hyperlink" Target="https://doi.org/10.1073/pnas.2526444123" TargetMode="External"/><Relationship Id="rId251" Type="http://schemas.openxmlformats.org/officeDocument/2006/relationships/hyperlink" Target="https://www.pnas.org/doi/abs/10.1073/pnas.2502553123?mi=eymic2&amp;af=R&amp;access=on&amp;content=articlesChapters&amp;publication=pnas&amp;sortBy=Earliest&amp;target=default" TargetMode="External"/><Relationship Id="rId252" Type="http://schemas.openxmlformats.org/officeDocument/2006/relationships/hyperlink" Target="https://doi.org/10.1073/pnas.2502553123" TargetMode="External"/><Relationship Id="rId253" Type="http://schemas.openxmlformats.org/officeDocument/2006/relationships/hyperlink" Target="https://www.pnas.org/doi/abs/10.1073/pnas.2537960123?mi=eymic2&amp;af=R&amp;access=on&amp;content=articlesChapters&amp;publication=pnas&amp;sortBy=Earliest&amp;target=default" TargetMode="External"/><Relationship Id="rId254" Type="http://schemas.openxmlformats.org/officeDocument/2006/relationships/hyperlink" Target="https://doi.org/10.1073/pnas.2537960123" TargetMode="External"/><Relationship Id="rId255" Type="http://schemas.openxmlformats.org/officeDocument/2006/relationships/hyperlink" Target="https://www.pnas.org/doi/abs/10.1073/pnas.2603871123?mi=eymic2&amp;af=R&amp;access=on&amp;content=articlesChapters&amp;publication=pnas&amp;sortBy=Earliest&amp;target=default" TargetMode="External"/><Relationship Id="rId256" Type="http://schemas.openxmlformats.org/officeDocument/2006/relationships/hyperlink" Target="https://doi.org/10.1073/pnas.2603871123" TargetMode="External"/><Relationship Id="rId257" Type="http://schemas.openxmlformats.org/officeDocument/2006/relationships/hyperlink" Target="https://www.pnas.org/doi/abs/10.1073/pnas.2537961123?mi=eymic2&amp;af=R&amp;access=on&amp;content=articlesChapters&amp;publication=pnas&amp;sortBy=Earliest&amp;target=default" TargetMode="External"/><Relationship Id="rId258" Type="http://schemas.openxmlformats.org/officeDocument/2006/relationships/hyperlink" Target="https://doi.org/10.1073/pnas.2537961123" TargetMode="External"/><Relationship Id="rId259" Type="http://schemas.openxmlformats.org/officeDocument/2006/relationships/hyperlink" Target="https://www.pnas.org/doi/abs/10.1073/pnas.2527709123?mi=eymic2&amp;af=R&amp;access=on&amp;content=articlesChapters&amp;publication=pnas&amp;sortBy=Earliest&amp;target=default" TargetMode="External"/><Relationship Id="rId260" Type="http://schemas.openxmlformats.org/officeDocument/2006/relationships/hyperlink" Target="https://doi.org/10.1073/pnas.2527709123" TargetMode="External"/><Relationship Id="rId261" Type="http://schemas.openxmlformats.org/officeDocument/2006/relationships/hyperlink" Target="https://www.pnas.org/doi/abs/10.1073/pnas.2531604123?mi=eymic2&amp;af=R&amp;access=on&amp;content=articlesChapters&amp;publication=pnas&amp;sortBy=Earliest&amp;target=default" TargetMode="External"/><Relationship Id="rId262" Type="http://schemas.openxmlformats.org/officeDocument/2006/relationships/hyperlink" Target="https://doi.org/10.1073/pnas.2531604123" TargetMode="External"/><Relationship Id="rId263" Type="http://schemas.openxmlformats.org/officeDocument/2006/relationships/hyperlink" Target="https://www.pnas.org/doi/abs/10.1073/pnas.2517957123?mi=eymic2&amp;af=R&amp;access=on&amp;content=articlesChapters&amp;publication=pnas&amp;sortBy=Earliest&amp;target=default" TargetMode="External"/><Relationship Id="rId264" Type="http://schemas.openxmlformats.org/officeDocument/2006/relationships/hyperlink" Target="https://doi.org/10.1073/pnas.2517957123" TargetMode="External"/><Relationship Id="rId265" Type="http://schemas.openxmlformats.org/officeDocument/2006/relationships/hyperlink" Target="https://www.pnas.org/doi/abs/10.1073/pnas.2516099123?mi=eymic2&amp;af=R&amp;access=on&amp;content=articlesChapters&amp;publication=pnas&amp;sortBy=Earliest&amp;target=default" TargetMode="External"/><Relationship Id="rId266" Type="http://schemas.openxmlformats.org/officeDocument/2006/relationships/hyperlink" Target="https://doi.org/10.1073/pnas.2516099123" TargetMode="External"/><Relationship Id="rId267" Type="http://schemas.openxmlformats.org/officeDocument/2006/relationships/hyperlink" Target="https://www.pnas.org/doi/abs/10.1073/pnas.2604241123?mi=eymic2&amp;af=R&amp;access=on&amp;content=articlesChapters&amp;publication=pnas&amp;sortBy=Earliest&amp;target=default" TargetMode="External"/><Relationship Id="rId268" Type="http://schemas.openxmlformats.org/officeDocument/2006/relationships/hyperlink" Target="https://doi.org/10.1073/pnas.2604241123" TargetMode="External"/><Relationship Id="rId269" Type="http://schemas.openxmlformats.org/officeDocument/2006/relationships/hyperlink" Target="https://www.pnas.org/doi/abs/10.1073/pnas.2523891123?mi=eymic2&amp;af=R&amp;access=on&amp;content=articlesChapters&amp;publication=pnas&amp;sortBy=Earliest&amp;target=default" TargetMode="External"/><Relationship Id="rId270" Type="http://schemas.openxmlformats.org/officeDocument/2006/relationships/hyperlink" Target="https://doi.org/10.1073/pnas.2523891123" TargetMode="External"/><Relationship Id="rId271" Type="http://schemas.openxmlformats.org/officeDocument/2006/relationships/hyperlink" Target="https://www.pnas.org/doi/abs/10.1073/pnas.2522021123?mi=eymic2&amp;af=R&amp;access=on&amp;content=articlesChapters&amp;publication=pnas&amp;sortBy=Earliest&amp;target=default" TargetMode="External"/><Relationship Id="rId272" Type="http://schemas.openxmlformats.org/officeDocument/2006/relationships/hyperlink" Target="https://doi.org/10.1073/pnas.2522021123" TargetMode="External"/><Relationship Id="rId273" Type="http://schemas.openxmlformats.org/officeDocument/2006/relationships/hyperlink" Target="http://dx.doi.org/10.1021/jacs.5c21993" TargetMode="External"/><Relationship Id="rId274" Type="http://schemas.openxmlformats.org/officeDocument/2006/relationships/hyperlink" Target="https://doi.org/10.1021/jacs.5c21993" TargetMode="External"/><Relationship Id="rId275" Type="http://schemas.openxmlformats.org/officeDocument/2006/relationships/hyperlink" Target="http://dx.doi.org/10.1021/jacs.5c17939" TargetMode="External"/><Relationship Id="rId276" Type="http://schemas.openxmlformats.org/officeDocument/2006/relationships/hyperlink" Target="https://doi.org/10.1021/jacs.5c17939" TargetMode="External"/><Relationship Id="rId277" Type="http://schemas.openxmlformats.org/officeDocument/2006/relationships/hyperlink" Target="http://dx.doi.org/10.1021/acsenergylett.5c04182" TargetMode="External"/><Relationship Id="rId278" Type="http://schemas.openxmlformats.org/officeDocument/2006/relationships/hyperlink" Target="https://doi.org/10.1021/acsenergylett.5c04182" TargetMode="External"/><Relationship Id="rId279" Type="http://schemas.openxmlformats.org/officeDocument/2006/relationships/hyperlink" Target="http://dx.doi.org/10.1021/jacs.5c19821" TargetMode="External"/><Relationship Id="rId280" Type="http://schemas.openxmlformats.org/officeDocument/2006/relationships/hyperlink" Target="https://doi.org/10.1021/jacs.5c19821" TargetMode="External"/><Relationship Id="rId281" Type="http://schemas.openxmlformats.org/officeDocument/2006/relationships/hyperlink" Target="https://onlinelibrary.wiley.com/doi/10.1002/anie.3296119?af=R" TargetMode="External"/><Relationship Id="rId282" Type="http://schemas.openxmlformats.org/officeDocument/2006/relationships/hyperlink" Target="https://doi.org/10.1002/anie.3296119" TargetMode="External"/><Relationship Id="rId283" Type="http://schemas.openxmlformats.org/officeDocument/2006/relationships/hyperlink" Target="https://onlinelibrary.wiley.com/doi/10.1002/anie.202521698?af=R" TargetMode="External"/><Relationship Id="rId284" Type="http://schemas.openxmlformats.org/officeDocument/2006/relationships/hyperlink" Target="https://doi.org/10.1002/anie.202521698" TargetMode="External"/><Relationship Id="rId285" Type="http://schemas.openxmlformats.org/officeDocument/2006/relationships/hyperlink" Target="https://advanced.onlinelibrary.wiley.com/doi/10.1002/adma.202523607?af=R" TargetMode="External"/><Relationship Id="rId286" Type="http://schemas.openxmlformats.org/officeDocument/2006/relationships/hyperlink" Target="https://doi.org/10.1002/adma.202523607" TargetMode="External"/><Relationship Id="rId287" Type="http://schemas.openxmlformats.org/officeDocument/2006/relationships/hyperlink" Target="https://onlinelibrary.wiley.com/doi/10.1002/anie.202525323?af=R" TargetMode="External"/><Relationship Id="rId288" Type="http://schemas.openxmlformats.org/officeDocument/2006/relationships/hyperlink" Target="https://doi.org/10.1002/anie.202525323" TargetMode="External"/><Relationship Id="rId289" Type="http://schemas.openxmlformats.org/officeDocument/2006/relationships/hyperlink" Target="https://onlinelibrary.wiley.com/doi/10.1002/anie.7836129?af=R" TargetMode="External"/><Relationship Id="rId290" Type="http://schemas.openxmlformats.org/officeDocument/2006/relationships/hyperlink" Target="https://doi.org/10.1002/anie.7836129" TargetMode="External"/><Relationship Id="rId291" Type="http://schemas.openxmlformats.org/officeDocument/2006/relationships/hyperlink" Target="https://onlinelibrary.wiley.com/doi/10.1002/anie.202522521?af=R" TargetMode="External"/><Relationship Id="rId292" Type="http://schemas.openxmlformats.org/officeDocument/2006/relationships/hyperlink" Target="https://doi.org/10.1002/anie.202522521" TargetMode="External"/><Relationship Id="rId293" Type="http://schemas.openxmlformats.org/officeDocument/2006/relationships/hyperlink" Target="https://advanced.onlinelibrary.wiley.com/doi/10.1002/adma.202518217?af=R" TargetMode="External"/><Relationship Id="rId294" Type="http://schemas.openxmlformats.org/officeDocument/2006/relationships/hyperlink" Target="https://doi.org/10.1002/adma.202518217" TargetMode="External"/><Relationship Id="rId295" Type="http://schemas.openxmlformats.org/officeDocument/2006/relationships/hyperlink" Target="https://advanced.onlinelibrary.wiley.com/doi/10.1002/adma.202519118?af=R" TargetMode="External"/><Relationship Id="rId296" Type="http://schemas.openxmlformats.org/officeDocument/2006/relationships/hyperlink" Target="https://doi.org/10.1002/adma.202519118" TargetMode="External"/><Relationship Id="rId297" Type="http://schemas.openxmlformats.org/officeDocument/2006/relationships/hyperlink" Target="https://onlinelibrary.wiley.com/doi/10.1002/anie.202517752?af=R" TargetMode="External"/><Relationship Id="rId298" Type="http://schemas.openxmlformats.org/officeDocument/2006/relationships/hyperlink" Target="https://doi.org/10.1002/anie.202517752" TargetMode="External"/><Relationship Id="rId299" Type="http://schemas.openxmlformats.org/officeDocument/2006/relationships/hyperlink" Target="http://dx.doi.org/10.1021/jacs.5c19641" TargetMode="External"/><Relationship Id="rId300" Type="http://schemas.openxmlformats.org/officeDocument/2006/relationships/hyperlink" Target="https://doi.org/10.1021/jacs.5c19641" TargetMode="External"/><Relationship Id="rId301" Type="http://schemas.openxmlformats.org/officeDocument/2006/relationships/hyperlink" Target="https://onlinelibrary.wiley.com/doi/10.1002/anie.5912572?af=R" TargetMode="External"/><Relationship Id="rId302" Type="http://schemas.openxmlformats.org/officeDocument/2006/relationships/hyperlink" Target="https://doi.org/10.1002/anie.5912572" TargetMode="External"/><Relationship Id="rId303" Type="http://schemas.openxmlformats.org/officeDocument/2006/relationships/hyperlink" Target="https://onlinelibrary.wiley.com/doi/10.1002/anie.202525844?af=R" TargetMode="External"/><Relationship Id="rId304" Type="http://schemas.openxmlformats.org/officeDocument/2006/relationships/hyperlink" Target="https://doi.org/10.1002/anie.202525844" TargetMode="External"/><Relationship Id="rId305" Type="http://schemas.openxmlformats.org/officeDocument/2006/relationships/hyperlink" Target="http://dx.doi.org/10.1021/acsenergylett.6c00092" TargetMode="External"/><Relationship Id="rId306" Type="http://schemas.openxmlformats.org/officeDocument/2006/relationships/hyperlink" Target="https://doi.org/10.1021/acsenergylett.6c00092" TargetMode="External"/><Relationship Id="rId307" Type="http://schemas.openxmlformats.org/officeDocument/2006/relationships/hyperlink" Target="https://onlinelibrary.wiley.com/doi/10.1002/anie.202526118?af=R" TargetMode="External"/><Relationship Id="rId308" Type="http://schemas.openxmlformats.org/officeDocument/2006/relationships/hyperlink" Target="https://doi.org/10.1002/anie.202526118" TargetMode="External"/><Relationship Id="rId309" Type="http://schemas.openxmlformats.org/officeDocument/2006/relationships/hyperlink" Target="https://onlinelibrary.wiley.com/doi/10.1002/anie.202523739?af=R" TargetMode="External"/><Relationship Id="rId310" Type="http://schemas.openxmlformats.org/officeDocument/2006/relationships/hyperlink" Target="https://doi.org/10.1002/anie.202523739" TargetMode="External"/><Relationship Id="rId311" Type="http://schemas.openxmlformats.org/officeDocument/2006/relationships/hyperlink" Target="http://dx.doi.org/10.1021/jacs.5c22091" TargetMode="External"/><Relationship Id="rId312" Type="http://schemas.openxmlformats.org/officeDocument/2006/relationships/hyperlink" Target="https://doi.org/10.1021/jacs.5c22091" TargetMode="External"/><Relationship Id="rId313" Type="http://schemas.openxmlformats.org/officeDocument/2006/relationships/hyperlink" Target="http://dx.doi.org/10.1021/acsenergylett.5c04226" TargetMode="External"/><Relationship Id="rId314" Type="http://schemas.openxmlformats.org/officeDocument/2006/relationships/hyperlink" Target="https://doi.org/10.1021/acsenergylett.5c04226" TargetMode="External"/><Relationship Id="rId315" Type="http://schemas.openxmlformats.org/officeDocument/2006/relationships/hyperlink" Target="http://dx.doi.org/10.1021/jacs.5c22627" TargetMode="External"/><Relationship Id="rId316" Type="http://schemas.openxmlformats.org/officeDocument/2006/relationships/hyperlink" Target="https://doi.org/10.1021/jacs.5c22627" TargetMode="External"/><Relationship Id="rId317" Type="http://schemas.openxmlformats.org/officeDocument/2006/relationships/hyperlink" Target="http://dx.doi.org/10.1021/jacs.5c20947" TargetMode="External"/><Relationship Id="rId318" Type="http://schemas.openxmlformats.org/officeDocument/2006/relationships/hyperlink" Target="https://doi.org/10.1021/jacs.5c20947" TargetMode="External"/><Relationship Id="rId319" Type="http://schemas.openxmlformats.org/officeDocument/2006/relationships/hyperlink" Target="http://dx.doi.org/10.1021/jacs.5c19046" TargetMode="External"/><Relationship Id="rId320" Type="http://schemas.openxmlformats.org/officeDocument/2006/relationships/hyperlink" Target="https://doi.org/10.1021/jacs.5c19046" TargetMode="External"/><Relationship Id="rId321" Type="http://schemas.openxmlformats.org/officeDocument/2006/relationships/hyperlink" Target="http://dx.doi.org/10.1021/jacs.5c18989" TargetMode="External"/><Relationship Id="rId322" Type="http://schemas.openxmlformats.org/officeDocument/2006/relationships/hyperlink" Target="https://doi.org/10.1021/jacs.5c18989" TargetMode="External"/><Relationship Id="rId323" Type="http://schemas.openxmlformats.org/officeDocument/2006/relationships/hyperlink" Target="http://dx.doi.org/10.1021/jacs.5c21051" TargetMode="External"/><Relationship Id="rId324" Type="http://schemas.openxmlformats.org/officeDocument/2006/relationships/hyperlink" Target="https://doi.org/10.1021/jacs.5c21051" TargetMode="External"/><Relationship Id="rId325" Type="http://schemas.openxmlformats.org/officeDocument/2006/relationships/hyperlink" Target="http://dx.doi.org/10.1021/jacs.5c23226" TargetMode="External"/><Relationship Id="rId326" Type="http://schemas.openxmlformats.org/officeDocument/2006/relationships/hyperlink" Target="https://doi.org/10.1021/jacs.5c23226" TargetMode="External"/><Relationship Id="rId327" Type="http://schemas.openxmlformats.org/officeDocument/2006/relationships/hyperlink" Target="http://dx.doi.org/10.1021/jacs.5c12231" TargetMode="External"/><Relationship Id="rId328" Type="http://schemas.openxmlformats.org/officeDocument/2006/relationships/hyperlink" Target="https://doi.org/10.1021/jacs.5c12231" TargetMode="External"/><Relationship Id="rId329" Type="http://schemas.openxmlformats.org/officeDocument/2006/relationships/hyperlink" Target="http://dx.doi.org/10.1021/jacs.5c20677" TargetMode="External"/><Relationship Id="rId330" Type="http://schemas.openxmlformats.org/officeDocument/2006/relationships/hyperlink" Target="https://doi.org/10.1021/jacs.5c20677" TargetMode="External"/><Relationship Id="rId331" Type="http://schemas.openxmlformats.org/officeDocument/2006/relationships/hyperlink" Target="http://dx.doi.org/10.1021/jacs.5c21094" TargetMode="External"/><Relationship Id="rId332" Type="http://schemas.openxmlformats.org/officeDocument/2006/relationships/hyperlink" Target="https://doi.org/10.1021/jacs.5c21094" TargetMode="External"/><Relationship Id="rId333" Type="http://schemas.openxmlformats.org/officeDocument/2006/relationships/hyperlink" Target="http://dx.doi.org/10.1021/jacs.5c16886" TargetMode="External"/><Relationship Id="rId334" Type="http://schemas.openxmlformats.org/officeDocument/2006/relationships/hyperlink" Target="https://doi.org/10.1021/jacs.5c16886" TargetMode="External"/><Relationship Id="rId335" Type="http://schemas.openxmlformats.org/officeDocument/2006/relationships/hyperlink" Target="http://dx.doi.org/10.1021/acsenergylett.5c03293" TargetMode="External"/><Relationship Id="rId336" Type="http://schemas.openxmlformats.org/officeDocument/2006/relationships/hyperlink" Target="https://doi.org/10.1021/acsenergylett.5c03293" TargetMode="External"/><Relationship Id="rId337" Type="http://schemas.openxmlformats.org/officeDocument/2006/relationships/hyperlink" Target="http://dx.doi.org/10.1021/jacs.5c20312" TargetMode="External"/><Relationship Id="rId338" Type="http://schemas.openxmlformats.org/officeDocument/2006/relationships/hyperlink" Target="https://doi.org/10.1021/jacs.5c20312" TargetMode="External"/><Relationship Id="rId339" Type="http://schemas.openxmlformats.org/officeDocument/2006/relationships/hyperlink" Target="http://dx.doi.org/10.1021/jacs.5c22312" TargetMode="External"/><Relationship Id="rId340" Type="http://schemas.openxmlformats.org/officeDocument/2006/relationships/hyperlink" Target="https://doi.org/10.1021/jacs.5c22312" TargetMode="External"/><Relationship Id="rId341" Type="http://schemas.openxmlformats.org/officeDocument/2006/relationships/hyperlink" Target="http://dx.doi.org/10.1021/acs.chemrev.5c00921" TargetMode="External"/><Relationship Id="rId342" Type="http://schemas.openxmlformats.org/officeDocument/2006/relationships/hyperlink" Target="https://doi.org/10.1021/acs.chemrev.5c00921" TargetMode="External"/><Relationship Id="rId343" Type="http://schemas.openxmlformats.org/officeDocument/2006/relationships/hyperlink" Target="http://dx.doi.org/10.1021/jacs.5c23233" TargetMode="External"/><Relationship Id="rId344" Type="http://schemas.openxmlformats.org/officeDocument/2006/relationships/hyperlink" Target="https://doi.org/10.1021/jacs.5c23233" TargetMode="External"/><Relationship Id="rId345" Type="http://schemas.openxmlformats.org/officeDocument/2006/relationships/hyperlink" Target="http://dx.doi.org/10.1021/acsenergylett.5c03764" TargetMode="External"/><Relationship Id="rId346" Type="http://schemas.openxmlformats.org/officeDocument/2006/relationships/hyperlink" Target="https://doi.org/10.1021/acsenergylett.5c03764" TargetMode="External"/><Relationship Id="rId347" Type="http://schemas.openxmlformats.org/officeDocument/2006/relationships/hyperlink" Target="http://dx.doi.org/10.1021/jacs.5c22256" TargetMode="External"/><Relationship Id="rId348" Type="http://schemas.openxmlformats.org/officeDocument/2006/relationships/hyperlink" Target="https://doi.org/10.1021/jacs.5c22256" TargetMode="External"/><Relationship Id="rId349" Type="http://schemas.openxmlformats.org/officeDocument/2006/relationships/hyperlink" Target="http://dx.doi.org/10.1021/jacs.5c21514" TargetMode="External"/><Relationship Id="rId350" Type="http://schemas.openxmlformats.org/officeDocument/2006/relationships/hyperlink" Target="https://doi.org/10.1021/jacs.5c21514" TargetMode="External"/><Relationship Id="rId351" Type="http://schemas.openxmlformats.org/officeDocument/2006/relationships/hyperlink" Target="http://dx.doi.org/10.1021/jacs.5c13000" TargetMode="External"/><Relationship Id="rId352" Type="http://schemas.openxmlformats.org/officeDocument/2006/relationships/hyperlink" Target="https://doi.org/10.1021/jacs.5c13000" TargetMode="External"/><Relationship Id="rId353" Type="http://schemas.openxmlformats.org/officeDocument/2006/relationships/hyperlink" Target="https://www.nature.com/articles/d41586-026-00517-9" TargetMode="External"/><Relationship Id="rId354" Type="http://schemas.openxmlformats.org/officeDocument/2006/relationships/hyperlink" Target="https://www.nature.com/articles/d41586-026-00514-y" TargetMode="External"/><Relationship Id="rId355" Type="http://schemas.openxmlformats.org/officeDocument/2006/relationships/hyperlink" Target="https://www.nature.com/articles/d41586-026-00530-y" TargetMode="External"/><Relationship Id="rId356" Type="http://schemas.openxmlformats.org/officeDocument/2006/relationships/hyperlink" Target="https://www.nature.com/articles/d41586-026-00298-1" TargetMode="External"/><Relationship Id="rId357" Type="http://schemas.openxmlformats.org/officeDocument/2006/relationships/hyperlink" Target="https://www.cell.com/matter/fulltext/S2590-2385(25)00664-2?rss=yes" TargetMode="External"/><Relationship Id="rId358" Type="http://schemas.openxmlformats.org/officeDocument/2006/relationships/hyperlink" Target="https://www.sciencedirect.com/science/article/pii/S0301421526001266?dgcid=rss_sd_all" TargetMode="External"/><Relationship Id="rId359" Type="http://schemas.openxmlformats.org/officeDocument/2006/relationships/hyperlink" Target="https://www.nature.com/articles/s41467-026-69996-8" TargetMode="External"/><Relationship Id="rId360" Type="http://schemas.openxmlformats.org/officeDocument/2006/relationships/hyperlink" Target="https://www.nature.com/articles/d41586-026-00562-4" TargetMode="External"/><Relationship Id="rId361" Type="http://schemas.openxmlformats.org/officeDocument/2006/relationships/hyperlink" Target="https://www.nature.com/articles/s41467-026-69975-z" TargetMode="External"/><Relationship Id="rId362" Type="http://schemas.openxmlformats.org/officeDocument/2006/relationships/hyperlink" Target="https://www.nature.com/articles/s41467-026-69973-1" TargetMode="External"/><Relationship Id="rId363" Type="http://schemas.openxmlformats.org/officeDocument/2006/relationships/hyperlink" Target="https://www.nature.com/articles/s41560-026-01982-2" TargetMode="External"/><Relationship Id="rId364" Type="http://schemas.openxmlformats.org/officeDocument/2006/relationships/hyperlink" Target="https://www.nature.com/articles/s41467-026-69904-0" TargetMode="External"/><Relationship Id="rId365" Type="http://schemas.openxmlformats.org/officeDocument/2006/relationships/hyperlink" Target="https://www.nature.com/articles/s41565-025-02065-1" TargetMode="External"/><Relationship Id="rId366" Type="http://schemas.openxmlformats.org/officeDocument/2006/relationships/hyperlink" Target="https://www.nature.com/articles/s41578-026-00897-4" TargetMode="External"/><Relationship Id="rId367" Type="http://schemas.openxmlformats.org/officeDocument/2006/relationships/hyperlink" Target="https://www.nature.com/articles/s41586-026-10294-0" TargetMode="External"/><Relationship Id="rId368" Type="http://schemas.openxmlformats.org/officeDocument/2006/relationships/hyperlink" Target="https://www.nature.com/articles/s41586-026-10298-w" TargetMode="External"/><Relationship Id="rId369" Type="http://schemas.openxmlformats.org/officeDocument/2006/relationships/hyperlink" Target="https://www.nature.com/articles/s41467-026-69815-0" TargetMode="External"/><Relationship Id="rId370" Type="http://schemas.openxmlformats.org/officeDocument/2006/relationships/hyperlink" Target="https://www.nature.com/articles/s41467-026-69791-5" TargetMode="External"/><Relationship Id="rId371" Type="http://schemas.openxmlformats.org/officeDocument/2006/relationships/hyperlink" Target="https://www.nature.com/articles/s41467-026-69784-4" TargetMode="External"/><Relationship Id="rId372" Type="http://schemas.openxmlformats.org/officeDocument/2006/relationships/hyperlink" Target="https://www.nature.com/articles/s41893-026-01773-3" TargetMode="External"/><Relationship Id="rId373" Type="http://schemas.openxmlformats.org/officeDocument/2006/relationships/hyperlink" Target="https://www.nature.com/articles/s41893-026-01774-2" TargetMode="External"/><Relationship Id="rId374" Type="http://schemas.openxmlformats.org/officeDocument/2006/relationships/hyperlink" Target="https://www.nature.com/articles/s41893-026-01777-z" TargetMode="External"/><Relationship Id="rId375" Type="http://schemas.openxmlformats.org/officeDocument/2006/relationships/hyperlink" Target="https://www.nature.com/articles/s41893-026-01786-y" TargetMode="External"/><Relationship Id="rId376" Type="http://schemas.openxmlformats.org/officeDocument/2006/relationships/hyperlink" Target="https://www.nature.com/articles/s41893-026-01788-w" TargetMode="External"/><Relationship Id="rId377" Type="http://schemas.openxmlformats.org/officeDocument/2006/relationships/hyperlink" Target="https://www.sciencedirect.com/science/article/pii/S0306261926001510?dgcid=rss_sd_all" TargetMode="External"/><Relationship Id="rId378" Type="http://schemas.openxmlformats.org/officeDocument/2006/relationships/hyperlink" Target="https://www.nature.com/articles/s44286-026-00358-3" TargetMode="External"/><Relationship Id="rId379" Type="http://schemas.openxmlformats.org/officeDocument/2006/relationships/hyperlink" Target="https://www.nature.com/articles/s44286-026-00366-3" TargetMode="External"/><Relationship Id="rId380" Type="http://schemas.openxmlformats.org/officeDocument/2006/relationships/hyperlink" Target="https://www.nature.com/articles/s44359-026-00155-4" TargetMode="External"/><Relationship Id="rId381" Type="http://schemas.openxmlformats.org/officeDocument/2006/relationships/hyperlink" Target="https://www.sciencedirect.com/science/article/pii/S0306261926001996?dgcid=rss_sd_all" TargetMode="External"/><Relationship Id="rId382" Type="http://schemas.openxmlformats.org/officeDocument/2006/relationships/hyperlink" Target="https://www.nature.com/articles/d41586-026-00593-x" TargetMode="External"/><Relationship Id="rId383" Type="http://schemas.openxmlformats.org/officeDocument/2006/relationships/hyperlink" Target="https://www.nature.com/articles/d41586-026-00592-y" TargetMode="External"/><Relationship Id="rId384" Type="http://schemas.openxmlformats.org/officeDocument/2006/relationships/hyperlink" Target="https://www.nature.com/articles/d41586-026-00591-z" TargetMode="External"/><Relationship Id="rId385" Type="http://schemas.openxmlformats.org/officeDocument/2006/relationships/hyperlink" Target="https://www.nature.com/articles/d41586-026-00590-0" TargetMode="External"/><Relationship Id="rId386" Type="http://schemas.openxmlformats.org/officeDocument/2006/relationships/hyperlink" Target="https://www.sciencedirect.com/science/article/pii/S0306261926002011?dgcid=rss_sd_all" TargetMode="External"/><Relationship Id="rId387" Type="http://schemas.openxmlformats.org/officeDocument/2006/relationships/hyperlink" Target="https://www.nature.com/articles/d41586-026-00564-2" TargetMode="External"/><Relationship Id="rId388" Type="http://schemas.openxmlformats.org/officeDocument/2006/relationships/hyperlink" Target="https://www.nature.com/articles/d41586-026-00561-5" TargetMode="External"/><Relationship Id="rId389" Type="http://schemas.openxmlformats.org/officeDocument/2006/relationships/hyperlink" Target="https://www.nature.com/articles/s41467-026-70025-x" TargetMode="External"/><Relationship Id="rId390" Type="http://schemas.openxmlformats.org/officeDocument/2006/relationships/hyperlink" Target="https://www.nature.com/articles/d41586-026-00609-6" TargetMode="External"/><Relationship Id="rId391" Type="http://schemas.openxmlformats.org/officeDocument/2006/relationships/hyperlink" Target="https://www.sciencedirect.com/science/article/pii/S0306261926002102?dgcid=rss_sd_all" TargetMode="External"/><Relationship Id="rId392" Type="http://schemas.openxmlformats.org/officeDocument/2006/relationships/hyperlink" Target="https://www.cell.com/chem/fulltext/S2451-9294(25)00501-7?rss=yes" TargetMode="External"/><Relationship Id="rId393" Type="http://schemas.openxmlformats.org/officeDocument/2006/relationships/hyperlink" Target="https://www.cell.com/chem/fulltext/S2451-9294(25)00503-0?rss=yes" TargetMode="External"/><Relationship Id="rId394" Type="http://schemas.openxmlformats.org/officeDocument/2006/relationships/hyperlink" Target="https://www.sciencedirect.com/science/article/pii/S0306261926002382?dgcid=rss_sd_all" TargetMode="External"/><Relationship Id="rId395" Type="http://schemas.openxmlformats.org/officeDocument/2006/relationships/hyperlink" Target="https://www.sciencedirect.com/science/article/pii/S0306261926002205?dgcid=rss_sd_all" TargetMode="External"/><Relationship Id="rId396" Type="http://schemas.openxmlformats.org/officeDocument/2006/relationships/hyperlink" Target="http://pubs.rsc.org/en/Content/ArticleLanding/2026/CS/D5CS00923E" TargetMode="External"/><Relationship Id="rId397" Type="http://schemas.openxmlformats.org/officeDocument/2006/relationships/hyperlink" Target="https://www.sciencedirect.com/science/article/pii/S0306261926002187?dgcid=rss_sd_all" TargetMode="External"/><Relationship Id="rId398" Type="http://schemas.openxmlformats.org/officeDocument/2006/relationships/hyperlink" Target="https://academic.oup.com/nsr/advance-article/doi/10.1093/nsr/nwag116/8496058?rss=1" TargetMode="External"/><Relationship Id="rId399" Type="http://schemas.openxmlformats.org/officeDocument/2006/relationships/hyperlink" Target="https://doi.org/10.1093/nsr/nwag116/8496058" TargetMode="External"/><Relationship Id="rId400" Type="http://schemas.openxmlformats.org/officeDocument/2006/relationships/hyperlink" Target="http://pubs.rsc.org/en/Content/ArticleLanding/2026/EE/D5EE07819A" TargetMode="External"/><Relationship Id="rId401" Type="http://schemas.openxmlformats.org/officeDocument/2006/relationships/hyperlink" Target="https://www.sciencedirect.com/science/article/pii/S0306261926002278?dgcid=rss_sd_all" TargetMode="External"/><Relationship Id="rId402" Type="http://schemas.openxmlformats.org/officeDocument/2006/relationships/hyperlink" Target="http://pubs.rsc.org/en/Content/ArticleLanding/2026/EE/D5EE06797A" TargetMode="External"/><Relationship Id="rId403" Type="http://schemas.openxmlformats.org/officeDocument/2006/relationships/hyperlink" Target="http://pubs.rsc.org/en/Content/ArticleLanding/2026/CS/D5CS01550B" TargetMode="External"/><Relationship Id="rId404" Type="http://schemas.openxmlformats.org/officeDocument/2006/relationships/hyperlink" Target="https://www.pnas.org/doi/abs/10.1073/pnas.2535073123?mi=eymic2&amp;af=R&amp;access=on&amp;content=articlesChapters&amp;publication=pnas&amp;sortBy=Earliest&amp;target=default" TargetMode="External"/><Relationship Id="rId405" Type="http://schemas.openxmlformats.org/officeDocument/2006/relationships/hyperlink" Target="https://doi.org/10.1073/pnas.2535073123" TargetMode="External"/><Relationship Id="rId406" Type="http://schemas.openxmlformats.org/officeDocument/2006/relationships/hyperlink" Target="https://www.pnas.org/doi/abs/10.1073/iti0826123?mi=eymic2&amp;af=R&amp;access=on&amp;content=articlesChapters&amp;publication=pnas&amp;sortBy=Earliest&amp;target=default" TargetMode="External"/><Relationship Id="rId407" Type="http://schemas.openxmlformats.org/officeDocument/2006/relationships/hyperlink" Target="https://doi.org/10.1073/iti0826123" TargetMode="External"/><Relationship Id="rId408" Type="http://schemas.openxmlformats.org/officeDocument/2006/relationships/hyperlink" Target="https://www.pnas.org/doi/abs/10.1073/pnas.2503721123?mi=eymic2&amp;af=R&amp;access=on&amp;content=articlesChapters&amp;publication=pnas&amp;sortBy=Earliest&amp;target=default" TargetMode="External"/><Relationship Id="rId409" Type="http://schemas.openxmlformats.org/officeDocument/2006/relationships/hyperlink" Target="https://doi.org/10.1073/pnas.2503721123" TargetMode="External"/><Relationship Id="rId410" Type="http://schemas.openxmlformats.org/officeDocument/2006/relationships/hyperlink" Target="https://www.pnas.org/doi/abs/10.1073/pnas.2524463123?mi=eymic2&amp;af=R&amp;access=on&amp;content=articlesChapters&amp;publication=pnas&amp;sortBy=Earliest&amp;target=default" TargetMode="External"/><Relationship Id="rId411" Type="http://schemas.openxmlformats.org/officeDocument/2006/relationships/hyperlink" Target="https://doi.org/10.1073/pnas.2524463123" TargetMode="External"/><Relationship Id="rId412" Type="http://schemas.openxmlformats.org/officeDocument/2006/relationships/hyperlink" Target="https://www.pnas.org/doi/abs/10.1073/pnas.2532817123?mi=eymic2&amp;af=R&amp;access=on&amp;content=articlesChapters&amp;publication=pnas&amp;sortBy=Earliest&amp;target=default" TargetMode="External"/><Relationship Id="rId413" Type="http://schemas.openxmlformats.org/officeDocument/2006/relationships/hyperlink" Target="https://doi.org/10.1073/pnas.2532817123" TargetMode="External"/><Relationship Id="rId414" Type="http://schemas.openxmlformats.org/officeDocument/2006/relationships/hyperlink" Target="https://www.pnas.org/doi/abs/10.1073/pnas.2510334123?mi=eymic2&amp;af=R&amp;access=on&amp;content=articlesChapters&amp;publication=pnas&amp;sortBy=Earliest&amp;target=default" TargetMode="External"/><Relationship Id="rId415" Type="http://schemas.openxmlformats.org/officeDocument/2006/relationships/hyperlink" Target="https://doi.org/10.1073/pnas.2510334123" TargetMode="External"/><Relationship Id="rId416" Type="http://schemas.openxmlformats.org/officeDocument/2006/relationships/hyperlink" Target="https://www.pnas.org/doi/abs/10.1073/pnas.2527567123?mi=eymic2&amp;af=R&amp;access=on&amp;content=articlesChapters&amp;publication=pnas&amp;sortBy=Earliest&amp;target=default" TargetMode="External"/><Relationship Id="rId417" Type="http://schemas.openxmlformats.org/officeDocument/2006/relationships/hyperlink" Target="https://doi.org/10.1073/pnas.2527567123" TargetMode="External"/><Relationship Id="rId418" Type="http://schemas.openxmlformats.org/officeDocument/2006/relationships/hyperlink" Target="https://www.pnas.org/doi/abs/10.1073/pnas.2526734123?mi=eymic2&amp;af=R&amp;access=on&amp;content=articlesChapters&amp;publication=pnas&amp;sortBy=Earliest&amp;target=default" TargetMode="External"/><Relationship Id="rId419" Type="http://schemas.openxmlformats.org/officeDocument/2006/relationships/hyperlink" Target="https://doi.org/10.1073/pnas.2526734123" TargetMode="External"/><Relationship Id="rId420" Type="http://schemas.openxmlformats.org/officeDocument/2006/relationships/hyperlink" Target="https://www.pnas.org/doi/abs/10.1073/pnas.2514343123?mi=eymic2&amp;af=R&amp;access=on&amp;content=articlesChapters&amp;publication=pnas&amp;sortBy=Earliest&amp;target=default" TargetMode="External"/><Relationship Id="rId421" Type="http://schemas.openxmlformats.org/officeDocument/2006/relationships/hyperlink" Target="https://doi.org/10.1073/pnas.2514343123" TargetMode="External"/><Relationship Id="rId422" Type="http://schemas.openxmlformats.org/officeDocument/2006/relationships/hyperlink" Target="https://www.pnas.org/doi/abs/10.1073/pnas.2522313123?mi=eymic2&amp;af=R&amp;access=on&amp;content=articlesChapters&amp;publication=pnas&amp;sortBy=Earliest&amp;target=default" TargetMode="External"/><Relationship Id="rId423" Type="http://schemas.openxmlformats.org/officeDocument/2006/relationships/hyperlink" Target="https://doi.org/10.1073/pnas.2522313123" TargetMode="External"/><Relationship Id="rId424" Type="http://schemas.openxmlformats.org/officeDocument/2006/relationships/hyperlink" Target="https://www.pnas.org/doi/abs/10.1073/pnas.2522764123?mi=eymic2&amp;af=R&amp;access=on&amp;content=articlesChapters&amp;publication=pnas&amp;sortBy=Earliest&amp;target=default" TargetMode="External"/><Relationship Id="rId425" Type="http://schemas.openxmlformats.org/officeDocument/2006/relationships/hyperlink" Target="https://doi.org/10.1073/pnas.2522764123" TargetMode="External"/><Relationship Id="rId426" Type="http://schemas.openxmlformats.org/officeDocument/2006/relationships/hyperlink" Target="http://dx.doi.org/10.1021/jacs.6c00769" TargetMode="External"/><Relationship Id="rId427" Type="http://schemas.openxmlformats.org/officeDocument/2006/relationships/hyperlink" Target="https://doi.org/10.1021/jacs.6c00769" TargetMode="External"/><Relationship Id="rId428" Type="http://schemas.openxmlformats.org/officeDocument/2006/relationships/hyperlink" Target="https://advanced.onlinelibrary.wiley.com/doi/10.1002/adma.202520030?af=R" TargetMode="External"/><Relationship Id="rId429" Type="http://schemas.openxmlformats.org/officeDocument/2006/relationships/hyperlink" Target="https://doi.org/10.1002/adma.202520030" TargetMode="External"/><Relationship Id="rId430" Type="http://schemas.openxmlformats.org/officeDocument/2006/relationships/hyperlink" Target="https://advanced.onlinelibrary.wiley.com/doi/10.1002/adma.202518572?af=R" TargetMode="External"/><Relationship Id="rId431" Type="http://schemas.openxmlformats.org/officeDocument/2006/relationships/hyperlink" Target="https://doi.org/10.1002/adma.202518572" TargetMode="External"/><Relationship Id="rId432" Type="http://schemas.openxmlformats.org/officeDocument/2006/relationships/hyperlink" Target="https://advanced.onlinelibrary.wiley.com/doi/10.1002/adma.202522703?af=R" TargetMode="External"/><Relationship Id="rId433" Type="http://schemas.openxmlformats.org/officeDocument/2006/relationships/hyperlink" Target="https://doi.org/10.1002/adma.202522703" TargetMode="External"/><Relationship Id="rId434" Type="http://schemas.openxmlformats.org/officeDocument/2006/relationships/hyperlink" Target="http://dx.doi.org/10.1021/jacs.5c22150" TargetMode="External"/><Relationship Id="rId435" Type="http://schemas.openxmlformats.org/officeDocument/2006/relationships/hyperlink" Target="https://doi.org/10.1021/jacs.5c22150" TargetMode="External"/><Relationship Id="rId436" Type="http://schemas.openxmlformats.org/officeDocument/2006/relationships/hyperlink" Target="http://dx.doi.org/10.1021/jacs.5c13802" TargetMode="External"/><Relationship Id="rId437" Type="http://schemas.openxmlformats.org/officeDocument/2006/relationships/hyperlink" Target="https://doi.org/10.1021/jacs.5c13802" TargetMode="External"/><Relationship Id="rId438" Type="http://schemas.openxmlformats.org/officeDocument/2006/relationships/hyperlink" Target="https://onlinelibrary.wiley.com/doi/10.1002/anie.9929509?af=R" TargetMode="External"/><Relationship Id="rId439" Type="http://schemas.openxmlformats.org/officeDocument/2006/relationships/hyperlink" Target="https://doi.org/10.1002/anie.9929509" TargetMode="External"/><Relationship Id="rId440" Type="http://schemas.openxmlformats.org/officeDocument/2006/relationships/hyperlink" Target="https://advanced.onlinelibrary.wiley.com/doi/10.1002/adma.202522994?af=R" TargetMode="External"/><Relationship Id="rId441" Type="http://schemas.openxmlformats.org/officeDocument/2006/relationships/hyperlink" Target="https://doi.org/10.1002/adma.202522994" TargetMode="External"/><Relationship Id="rId442" Type="http://schemas.openxmlformats.org/officeDocument/2006/relationships/hyperlink" Target="https://advanced.onlinelibrary.wiley.com/doi/10.1002/adma.202517594?af=R" TargetMode="External"/><Relationship Id="rId443" Type="http://schemas.openxmlformats.org/officeDocument/2006/relationships/hyperlink" Target="https://doi.org/10.1002/adma.202517594" TargetMode="External"/><Relationship Id="rId444" Type="http://schemas.openxmlformats.org/officeDocument/2006/relationships/hyperlink" Target="https://advanced.onlinelibrary.wiley.com/doi/10.1002/adma.202522939?af=R" TargetMode="External"/><Relationship Id="rId445" Type="http://schemas.openxmlformats.org/officeDocument/2006/relationships/hyperlink" Target="https://doi.org/10.1002/adma.202522939" TargetMode="External"/><Relationship Id="rId446" Type="http://schemas.openxmlformats.org/officeDocument/2006/relationships/hyperlink" Target="https://onlinelibrary.wiley.com/doi/10.1002/anie.202525558?af=R" TargetMode="External"/><Relationship Id="rId447" Type="http://schemas.openxmlformats.org/officeDocument/2006/relationships/hyperlink" Target="https://doi.org/10.1002/anie.202525558" TargetMode="External"/><Relationship Id="rId448" Type="http://schemas.openxmlformats.org/officeDocument/2006/relationships/hyperlink" Target="https://advanced.onlinelibrary.wiley.com/doi/10.1002/adma.202521475?af=R" TargetMode="External"/><Relationship Id="rId449" Type="http://schemas.openxmlformats.org/officeDocument/2006/relationships/hyperlink" Target="https://doi.org/10.1002/adma.202521475" TargetMode="External"/><Relationship Id="rId450" Type="http://schemas.openxmlformats.org/officeDocument/2006/relationships/hyperlink" Target="https://onlinelibrary.wiley.com/doi/10.1002/anie.202524232?af=R" TargetMode="External"/><Relationship Id="rId451" Type="http://schemas.openxmlformats.org/officeDocument/2006/relationships/hyperlink" Target="https://doi.org/10.1002/anie.202524232" TargetMode="External"/><Relationship Id="rId452" Type="http://schemas.openxmlformats.org/officeDocument/2006/relationships/hyperlink" Target="https://onlinelibrary.wiley.com/doi/10.1002/anie.202525769?af=R" TargetMode="External"/><Relationship Id="rId453" Type="http://schemas.openxmlformats.org/officeDocument/2006/relationships/hyperlink" Target="https://doi.org/10.1002/anie.202525769" TargetMode="External"/><Relationship Id="rId454" Type="http://schemas.openxmlformats.org/officeDocument/2006/relationships/hyperlink" Target="https://advanced.onlinelibrary.wiley.com/doi/10.1002/adma.202521012?af=R" TargetMode="External"/><Relationship Id="rId455" Type="http://schemas.openxmlformats.org/officeDocument/2006/relationships/hyperlink" Target="https://doi.org/10.1002/adma.202521012" TargetMode="External"/><Relationship Id="rId456" Type="http://schemas.openxmlformats.org/officeDocument/2006/relationships/hyperlink" Target="http://dx.doi.org/10.1021/jacs.6c01756" TargetMode="External"/><Relationship Id="rId457" Type="http://schemas.openxmlformats.org/officeDocument/2006/relationships/hyperlink" Target="https://doi.org/10.1021/jacs.6c01756" TargetMode="External"/><Relationship Id="rId458" Type="http://schemas.openxmlformats.org/officeDocument/2006/relationships/hyperlink" Target="http://dx.doi.org/10.1021/jacs.6c02114" TargetMode="External"/><Relationship Id="rId459" Type="http://schemas.openxmlformats.org/officeDocument/2006/relationships/hyperlink" Target="https://doi.org/10.1021/jacs.6c02114" TargetMode="External"/><Relationship Id="rId460" Type="http://schemas.openxmlformats.org/officeDocument/2006/relationships/hyperlink" Target="http://dx.doi.org/10.1021/jacs.5c21287" TargetMode="External"/><Relationship Id="rId461" Type="http://schemas.openxmlformats.org/officeDocument/2006/relationships/hyperlink" Target="https://doi.org/10.1021/jacs.5c21287" TargetMode="External"/><Relationship Id="rId462" Type="http://schemas.openxmlformats.org/officeDocument/2006/relationships/hyperlink" Target="http://dx.doi.org/10.1021/jacs.5c19539" TargetMode="External"/><Relationship Id="rId463" Type="http://schemas.openxmlformats.org/officeDocument/2006/relationships/hyperlink" Target="https://doi.org/10.1021/jacs.5c19539" TargetMode="External"/><Relationship Id="rId464" Type="http://schemas.openxmlformats.org/officeDocument/2006/relationships/hyperlink" Target="http://dx.doi.org/10.1021/jacs.6c01318" TargetMode="External"/><Relationship Id="rId465" Type="http://schemas.openxmlformats.org/officeDocument/2006/relationships/hyperlink" Target="https://doi.org/10.1021/jacs.6c01318" TargetMode="External"/><Relationship Id="rId466" Type="http://schemas.openxmlformats.org/officeDocument/2006/relationships/hyperlink" Target="http://dx.doi.org/10.1021/jacs.6c01503" TargetMode="External"/><Relationship Id="rId467" Type="http://schemas.openxmlformats.org/officeDocument/2006/relationships/hyperlink" Target="https://doi.org/10.1021/jacs.6c01503" TargetMode="External"/><Relationship Id="rId468" Type="http://schemas.openxmlformats.org/officeDocument/2006/relationships/hyperlink" Target="http://dx.doi.org/10.1021/acsenergylett.6c00122" TargetMode="External"/><Relationship Id="rId469" Type="http://schemas.openxmlformats.org/officeDocument/2006/relationships/hyperlink" Target="https://doi.org/10.1021/acsenergylett.6c00122" TargetMode="External"/><Relationship Id="rId470" Type="http://schemas.openxmlformats.org/officeDocument/2006/relationships/hyperlink" Target="http://dx.doi.org/10.1021/jacs.6c01708" TargetMode="External"/><Relationship Id="rId471" Type="http://schemas.openxmlformats.org/officeDocument/2006/relationships/hyperlink" Target="https://doi.org/10.1021/jacs.6c01708" TargetMode="External"/><Relationship Id="rId472" Type="http://schemas.openxmlformats.org/officeDocument/2006/relationships/hyperlink" Target="http://dx.doi.org/10.1021/acs.chemrev.6c00071" TargetMode="External"/><Relationship Id="rId473" Type="http://schemas.openxmlformats.org/officeDocument/2006/relationships/hyperlink" Target="https://doi.org/10.1021/acs.chemrev.6c00071" TargetMode="External"/><Relationship Id="rId474" Type="http://schemas.openxmlformats.org/officeDocument/2006/relationships/hyperlink" Target="http://dx.doi.org/10.1021/acsenergylett.6c00094" TargetMode="External"/><Relationship Id="rId475" Type="http://schemas.openxmlformats.org/officeDocument/2006/relationships/hyperlink" Target="https://doi.org/10.1021/acsenergylett.6c00094" TargetMode="External"/><Relationship Id="rId476" Type="http://schemas.openxmlformats.org/officeDocument/2006/relationships/hyperlink" Target="http://dx.doi.org/10.1021/acsenergylett.5c03154" TargetMode="External"/><Relationship Id="rId477" Type="http://schemas.openxmlformats.org/officeDocument/2006/relationships/hyperlink" Target="https://doi.org/10.1021/acsenergylett.5c03154" TargetMode="External"/><Relationship Id="rId478" Type="http://schemas.openxmlformats.org/officeDocument/2006/relationships/hyperlink" Target="http://dx.doi.org/10.1021/jacs.5c21300" TargetMode="External"/><Relationship Id="rId479" Type="http://schemas.openxmlformats.org/officeDocument/2006/relationships/hyperlink" Target="https://doi.org/10.1021/jacs.5c21300" TargetMode="External"/><Relationship Id="rId480" Type="http://schemas.openxmlformats.org/officeDocument/2006/relationships/hyperlink" Target="http://dx.doi.org/10.1021/acs.chemrev.5c00527" TargetMode="External"/><Relationship Id="rId481" Type="http://schemas.openxmlformats.org/officeDocument/2006/relationships/hyperlink" Target="https://doi.org/10.1021/acs.chemrev.5c00527" TargetMode="External"/><Relationship Id="rId482" Type="http://schemas.openxmlformats.org/officeDocument/2006/relationships/hyperlink" Target="http://dx.doi.org/10.1021/acsenergylett.6c00100" TargetMode="External"/><Relationship Id="rId483" Type="http://schemas.openxmlformats.org/officeDocument/2006/relationships/hyperlink" Target="https://doi.org/10.1021/acsenergylett.6c00100" TargetMode="External"/><Relationship Id="rId484" Type="http://schemas.openxmlformats.org/officeDocument/2006/relationships/hyperlink" Target="http://dx.doi.org/10.1021/jacs.5c20533" TargetMode="External"/><Relationship Id="rId485" Type="http://schemas.openxmlformats.org/officeDocument/2006/relationships/hyperlink" Target="https://doi.org/10.1021/jacs.5c20533" TargetMode="External"/><Relationship Id="rId486" Type="http://schemas.openxmlformats.org/officeDocument/2006/relationships/hyperlink" Target="http://dx.doi.org/10.1021/jacs.5c20976" TargetMode="External"/><Relationship Id="rId487" Type="http://schemas.openxmlformats.org/officeDocument/2006/relationships/hyperlink" Target="https://doi.org/10.1021/jacs.5c20976" TargetMode="External"/><Relationship Id="rId488" Type="http://schemas.openxmlformats.org/officeDocument/2006/relationships/hyperlink" Target="http://dx.doi.org/10.1021/jacs.6c01667" TargetMode="External"/><Relationship Id="rId489" Type="http://schemas.openxmlformats.org/officeDocument/2006/relationships/hyperlink" Target="https://doi.org/10.1021/jacs.6c01667" TargetMode="External"/><Relationship Id="rId490" Type="http://schemas.openxmlformats.org/officeDocument/2006/relationships/hyperlink" Target="http://dx.doi.org/10.1021/jacs.6c01709" TargetMode="External"/><Relationship Id="rId491" Type="http://schemas.openxmlformats.org/officeDocument/2006/relationships/hyperlink" Target="https://doi.org/10.1021/jacs.6c01709" TargetMode="External"/><Relationship Id="rId492" Type="http://schemas.openxmlformats.org/officeDocument/2006/relationships/hyperlink" Target="http://dx.doi.org/10.1021/jacs.5c19650" TargetMode="External"/><Relationship Id="rId493" Type="http://schemas.openxmlformats.org/officeDocument/2006/relationships/hyperlink" Target="https://doi.org/10.1021/jacs.5c19650" TargetMode="External"/><Relationship Id="rId494" Type="http://schemas.openxmlformats.org/officeDocument/2006/relationships/hyperlink" Target="http://dx.doi.org/10.1021/jacs.6c00523" TargetMode="External"/><Relationship Id="rId495" Type="http://schemas.openxmlformats.org/officeDocument/2006/relationships/hyperlink" Target="https://doi.org/10.1021/jacs.6c00523" TargetMode="External"/><Relationship Id="rId496" Type="http://schemas.openxmlformats.org/officeDocument/2006/relationships/hyperlink" Target="http://dx.doi.org/10.1021/acsenergylett.5c03797" TargetMode="External"/><Relationship Id="rId497" Type="http://schemas.openxmlformats.org/officeDocument/2006/relationships/hyperlink" Target="https://doi.org/10.1021/acsenergylett.5c03797" TargetMode="External"/><Relationship Id="rId498" Type="http://schemas.openxmlformats.org/officeDocument/2006/relationships/hyperlink" Target="https://www.nature.com/articles/s41560-026-02002-z" TargetMode="External"/><Relationship Id="rId499" Type="http://schemas.openxmlformats.org/officeDocument/2006/relationships/hyperlink" Target="http://pubs.rsc.org/en/Content/ArticleLanding/2026/EE/D5EE05955K" TargetMode="External"/><Relationship Id="rId500" Type="http://schemas.openxmlformats.org/officeDocument/2006/relationships/hyperlink" Target="https://www.nature.com/articles/s41586-025-10062-6" TargetMode="External"/><Relationship Id="rId501" Type="http://schemas.openxmlformats.org/officeDocument/2006/relationships/hyperlink" Target="https://www.nature.com/articles/s41586-025-10064-4" TargetMode="External"/><Relationship Id="rId502" Type="http://schemas.openxmlformats.org/officeDocument/2006/relationships/hyperlink" Target="https://www.cell.com/joule/fulltext/S2542-4351(25)00483-0?rss=yes" TargetMode="External"/><Relationship Id="rId503" Type="http://schemas.openxmlformats.org/officeDocument/2006/relationships/hyperlink" Target="http://pubs.rsc.org/en/Content/ArticleLanding/2026/EE/D5EE06226H" TargetMode="External"/><Relationship Id="rId504" Type="http://schemas.openxmlformats.org/officeDocument/2006/relationships/hyperlink" Target="http://pubs.rsc.org/en/Content/ArticleLanding/2026/EE/D5EE07166F" TargetMode="External"/><Relationship Id="rId505" Type="http://schemas.openxmlformats.org/officeDocument/2006/relationships/hyperlink" Target="https://www.nature.com/articles/s41563-026-02513-w" TargetMode="External"/><Relationship Id="rId506" Type="http://schemas.openxmlformats.org/officeDocument/2006/relationships/hyperlink" Target="https://www.sciencedirect.com/science/article/pii/S0306261926002357?dgcid=rss_sd_all" TargetMode="External"/><Relationship Id="rId507" Type="http://schemas.openxmlformats.org/officeDocument/2006/relationships/hyperlink" Target="https://www.nature.com/articles/s41565-026-02127-y" TargetMode="External"/><Relationship Id="rId508" Type="http://schemas.openxmlformats.org/officeDocument/2006/relationships/hyperlink" Target="https://academic.oup.com/nsr/advance-article/doi/10.1093/nsr/nwag115/8497412?rss=1" TargetMode="External"/><Relationship Id="rId509" Type="http://schemas.openxmlformats.org/officeDocument/2006/relationships/hyperlink" Target="https://doi.org/10.1093/nsr/nwag115/8497412" TargetMode="External"/><Relationship Id="rId510" Type="http://schemas.openxmlformats.org/officeDocument/2006/relationships/hyperlink" Target="https://academic.oup.com/nsr/advance-article/doi/10.1093/nsr/nwag117/8497410?rss=1" TargetMode="External"/><Relationship Id="rId511" Type="http://schemas.openxmlformats.org/officeDocument/2006/relationships/hyperlink" Target="https://doi.org/10.1093/nsr/nwag117/8497410" TargetMode="External"/><Relationship Id="rId512" Type="http://schemas.openxmlformats.org/officeDocument/2006/relationships/hyperlink" Target="https://www.nature.com/articles/s41560-026-02003-y" TargetMode="External"/><Relationship Id="rId513" Type="http://schemas.openxmlformats.org/officeDocument/2006/relationships/hyperlink" Target="https://www.nature.com/articles/s41563-026-02493-x" TargetMode="External"/><Relationship Id="rId514" Type="http://schemas.openxmlformats.org/officeDocument/2006/relationships/hyperlink" Target="https://www.nature.com/articles/s41563-026-02490-0" TargetMode="External"/><Relationship Id="rId515" Type="http://schemas.openxmlformats.org/officeDocument/2006/relationships/hyperlink" Target="https://www.nature.com/articles/s41560-026-02001-0" TargetMode="External"/><Relationship Id="rId516" Type="http://schemas.openxmlformats.org/officeDocument/2006/relationships/hyperlink" Target="https://www.nature.com/articles/s41560-026-02005-w" TargetMode="External"/><Relationship Id="rId517" Type="http://schemas.openxmlformats.org/officeDocument/2006/relationships/hyperlink" Target="https://www.nature.com/articles/s41578-026-00898-3" TargetMode="External"/><Relationship Id="rId518" Type="http://schemas.openxmlformats.org/officeDocument/2006/relationships/hyperlink" Target="https://www.nature.com/articles/s41586-026-10126-1" TargetMode="External"/><Relationship Id="rId519" Type="http://schemas.openxmlformats.org/officeDocument/2006/relationships/hyperlink" Target="http://pubs.rsc.org/en/Content/ArticleLanding/2026/EE/D5EE03704B" TargetMode="External"/><Relationship Id="rId520" Type="http://schemas.openxmlformats.org/officeDocument/2006/relationships/hyperlink" Target="https://www.nature.com/articles/s41586-026-10132-3" TargetMode="External"/><Relationship Id="rId521" Type="http://schemas.openxmlformats.org/officeDocument/2006/relationships/hyperlink" Target="https://www.sciencedirect.com/science/article/pii/S0301421526001278?dgcid=rss_sd_all" TargetMode="External"/><Relationship Id="rId522" Type="http://schemas.openxmlformats.org/officeDocument/2006/relationships/hyperlink" Target="https://www.sciencedirect.com/science/article/pii/S0301421526001291?dgcid=rss_sd_all" TargetMode="External"/><Relationship Id="rId523" Type="http://schemas.openxmlformats.org/officeDocument/2006/relationships/hyperlink" Target="https://www.sciencedirect.com/science/article/pii/S030142152600131X?dgcid=rss_sd_all" TargetMode="External"/><Relationship Id="rId524" Type="http://schemas.openxmlformats.org/officeDocument/2006/relationships/hyperlink" Target="https://www.sciencedirect.com/science/article/pii/S0301421526001357?dgcid=rss_sd_all" TargetMode="External"/><Relationship Id="rId525" Type="http://schemas.openxmlformats.org/officeDocument/2006/relationships/hyperlink" Target="https://www.sciencedirect.com/science/article/pii/S0306261926002503?dgcid=rss_sd_all" TargetMode="External"/><Relationship Id="rId526" Type="http://schemas.openxmlformats.org/officeDocument/2006/relationships/hyperlink" Target="https://www.nature.com/articles/s44359-026-00150-9" TargetMode="External"/><Relationship Id="rId527" Type="http://schemas.openxmlformats.org/officeDocument/2006/relationships/hyperlink" Target="https://www.nature.com/articles/s41928-026-01577-5" TargetMode="External"/><Relationship Id="rId528" Type="http://schemas.openxmlformats.org/officeDocument/2006/relationships/hyperlink" Target="http://pubs.rsc.org/en/Content/ArticleLanding/2026/CS/D5CS01522G" TargetMode="External"/><Relationship Id="rId529" Type="http://schemas.openxmlformats.org/officeDocument/2006/relationships/hyperlink" Target="https://www.nature.com/articles/s41586-026-10217-z" TargetMode="External"/><Relationship Id="rId530" Type="http://schemas.openxmlformats.org/officeDocument/2006/relationships/hyperlink" Target="https://www.nature.com/articles/s41586-026-10210-6" TargetMode="External"/><Relationship Id="rId531" Type="http://schemas.openxmlformats.org/officeDocument/2006/relationships/hyperlink" Target="https://www.nature.com/articles/s41586-026-10207-1" TargetMode="External"/><Relationship Id="rId532" Type="http://schemas.openxmlformats.org/officeDocument/2006/relationships/hyperlink" Target="https://www.nature.com/articles/s41586-026-10194-3" TargetMode="External"/><Relationship Id="rId533" Type="http://schemas.openxmlformats.org/officeDocument/2006/relationships/hyperlink" Target="https://www.nature.com/articles/s41586-026-10190-7" TargetMode="External"/><Relationship Id="rId534" Type="http://schemas.openxmlformats.org/officeDocument/2006/relationships/hyperlink" Target="https://www.nature.com/articles/s41586-026-10187-2" TargetMode="External"/><Relationship Id="rId535" Type="http://schemas.openxmlformats.org/officeDocument/2006/relationships/hyperlink" Target="https://www.nature.com/articles/s41586-026-10175-6" TargetMode="External"/><Relationship Id="rId536" Type="http://schemas.openxmlformats.org/officeDocument/2006/relationships/hyperlink" Target="https://www.nature.com/articles/s41586-026-10171-w" TargetMode="External"/><Relationship Id="rId537" Type="http://schemas.openxmlformats.org/officeDocument/2006/relationships/hyperlink" Target="https://www.nature.com/articles/s41586-026-10169-4" TargetMode="External"/><Relationship Id="rId538" Type="http://schemas.openxmlformats.org/officeDocument/2006/relationships/hyperlink" Target="https://www.nature.com/articles/s41586-026-10164-9" TargetMode="External"/><Relationship Id="rId539" Type="http://schemas.openxmlformats.org/officeDocument/2006/relationships/hyperlink" Target="https://www.nature.com/articles/s41586-026-10163-w" TargetMode="External"/><Relationship Id="rId540" Type="http://schemas.openxmlformats.org/officeDocument/2006/relationships/hyperlink" Target="https://www.nature.com/articles/s41586-026-10162-x" TargetMode="External"/><Relationship Id="rId541" Type="http://schemas.openxmlformats.org/officeDocument/2006/relationships/hyperlink" Target="https://www.nature.com/articles/s41586-026-10161-y" TargetMode="External"/><Relationship Id="rId542" Type="http://schemas.openxmlformats.org/officeDocument/2006/relationships/hyperlink" Target="https://www.nature.com/articles/s41586-026-10159-6" TargetMode="External"/><Relationship Id="rId543" Type="http://schemas.openxmlformats.org/officeDocument/2006/relationships/hyperlink" Target="https://www.nature.com/articles/s41586-026-10158-7" TargetMode="External"/><Relationship Id="rId544" Type="http://schemas.openxmlformats.org/officeDocument/2006/relationships/hyperlink" Target="https://www.nature.com/articles/s41586-026-10150-1" TargetMode="External"/><Relationship Id="rId545" Type="http://schemas.openxmlformats.org/officeDocument/2006/relationships/hyperlink" Target="https://www.nature.com/articles/s41586-026-10149-8" TargetMode="External"/><Relationship Id="rId546" Type="http://schemas.openxmlformats.org/officeDocument/2006/relationships/hyperlink" Target="https://www.nature.com/articles/s41586-026-10142-1" TargetMode="External"/><Relationship Id="rId547" Type="http://schemas.openxmlformats.org/officeDocument/2006/relationships/hyperlink" Target="https://www.nature.com/articles/s41586-026-10137-y" TargetMode="External"/><Relationship Id="rId548" Type="http://schemas.openxmlformats.org/officeDocument/2006/relationships/hyperlink" Target="https://www.nature.com/articles/s41586-026-10127-0" TargetMode="External"/><Relationship Id="rId549" Type="http://schemas.openxmlformats.org/officeDocument/2006/relationships/hyperlink" Target="https://www.nature.com/articles/s41560-026-02000-1" TargetMode="External"/><Relationship Id="rId550" Type="http://schemas.openxmlformats.org/officeDocument/2006/relationships/hyperlink" Target="https://www.nature.com/articles/s41586-026-10121-6" TargetMode="External"/><Relationship Id="rId551" Type="http://schemas.openxmlformats.org/officeDocument/2006/relationships/hyperlink" Target="https://www.nature.com/articles/s41560-026-01993-z" TargetMode="External"/><Relationship Id="rId552" Type="http://schemas.openxmlformats.org/officeDocument/2006/relationships/hyperlink" Target="https://www.nature.com/articles/d41586-026-00544-6" TargetMode="External"/><Relationship Id="rId553" Type="http://schemas.openxmlformats.org/officeDocument/2006/relationships/hyperlink" Target="https://www.nature.com/articles/s41560-026-01998-8" TargetMode="External"/><Relationship Id="rId554" Type="http://schemas.openxmlformats.org/officeDocument/2006/relationships/hyperlink" Target="https://www.nature.com/articles/d41586-026-00554-4" TargetMode="External"/><Relationship Id="rId555" Type="http://schemas.openxmlformats.org/officeDocument/2006/relationships/hyperlink" Target="https://www.nature.com/articles/d41586-026-00560-6" TargetMode="External"/><Relationship Id="rId556" Type="http://schemas.openxmlformats.org/officeDocument/2006/relationships/hyperlink" Target="https://www.sciencedirect.com/science/article/pii/S0306261926002199?dgcid=rss_sd_all" TargetMode="External"/><Relationship Id="rId557" Type="http://schemas.openxmlformats.org/officeDocument/2006/relationships/hyperlink" Target="https://www.nature.com/articles/d41586-026-00563-3" TargetMode="External"/><Relationship Id="rId558" Type="http://schemas.openxmlformats.org/officeDocument/2006/relationships/hyperlink" Target="https://www.nature.com/articles/d41586-026-00569-x" TargetMode="External"/><Relationship Id="rId559" Type="http://schemas.openxmlformats.org/officeDocument/2006/relationships/hyperlink" Target="https://www.nature.com/articles/d41586-026-00515-x" TargetMode="External"/><Relationship Id="rId560" Type="http://schemas.openxmlformats.org/officeDocument/2006/relationships/hyperlink" Target="https://www.nature.com/articles/d41586-026-00570-4" TargetMode="External"/><Relationship Id="rId561" Type="http://schemas.openxmlformats.org/officeDocument/2006/relationships/hyperlink" Target="https://www.nature.com/articles/d41586-026-00578-w" TargetMode="External"/><Relationship Id="rId562" Type="http://schemas.openxmlformats.org/officeDocument/2006/relationships/hyperlink" Target="https://www.nature.com/articles/d41586-026-00580-2" TargetMode="External"/><Relationship Id="rId563" Type="http://schemas.openxmlformats.org/officeDocument/2006/relationships/hyperlink" Target="https://www.nature.com/articles/d41586-026-00584-y" TargetMode="External"/><Relationship Id="rId564" Type="http://schemas.openxmlformats.org/officeDocument/2006/relationships/hyperlink" Target="https://www.nature.com/articles/d41586-026-00599-5" TargetMode="External"/><Relationship Id="rId565" Type="http://schemas.openxmlformats.org/officeDocument/2006/relationships/hyperlink" Target="https://www.nature.com/articles/d41586-026-00619-4" TargetMode="External"/><Relationship Id="rId566" Type="http://schemas.openxmlformats.org/officeDocument/2006/relationships/hyperlink" Target="https://www.nature.com/articles/d41586-026-00620-x" TargetMode="External"/><Relationship Id="rId567" Type="http://schemas.openxmlformats.org/officeDocument/2006/relationships/hyperlink" Target="https://www.sciencedirect.com/science/article/pii/S0306261926002229?dgcid=rss_sd_all" TargetMode="External"/><Relationship Id="rId568" Type="http://schemas.openxmlformats.org/officeDocument/2006/relationships/hyperlink" Target="https://www.nature.com/articles/d41586-026-00573-1" TargetMode="External"/><Relationship Id="rId569" Type="http://schemas.openxmlformats.org/officeDocument/2006/relationships/hyperlink" Target="https://www.nature.com/articles/d41586-026-00623-8" TargetMode="External"/><Relationship Id="rId570" Type="http://schemas.openxmlformats.org/officeDocument/2006/relationships/hyperlink" Target="https://www.cell.com/chem/fulltext/S2451-9294(25)00467-X?rss=yes" TargetMode="External"/><Relationship Id="rId571" Type="http://schemas.openxmlformats.org/officeDocument/2006/relationships/hyperlink" Target="https://www.nature.com/articles/d41586-026-00374-6" TargetMode="External"/><Relationship Id="rId572" Type="http://schemas.openxmlformats.org/officeDocument/2006/relationships/hyperlink" Target="https://www.cell.com/chem/fulltext/S2451-9294(26)00060-4?rss=yes" TargetMode="External"/><Relationship Id="rId573" Type="http://schemas.openxmlformats.org/officeDocument/2006/relationships/hyperlink" Target="https://www.cell.com/matter/fulltext/S2590-2385(25)00666-6?rss=yes" TargetMode="External"/><Relationship Id="rId574" Type="http://schemas.openxmlformats.org/officeDocument/2006/relationships/hyperlink" Target="https://www.cell.com/matter/fulltext/S2590-2385(25)00667-8?rss=yes" TargetMode="External"/><Relationship Id="rId575" Type="http://schemas.openxmlformats.org/officeDocument/2006/relationships/hyperlink" Target="https://www.cell.com/matter/fulltext/S2590-2385(25)00669-1?rss=yes" TargetMode="External"/><Relationship Id="rId576" Type="http://schemas.openxmlformats.org/officeDocument/2006/relationships/hyperlink" Target="https://www.cell.com/matter/fulltext/S2590-2385(25)00671-X?rss=yes" TargetMode="External"/><Relationship Id="rId577" Type="http://schemas.openxmlformats.org/officeDocument/2006/relationships/hyperlink" Target="https://www.cell.com/chem/fulltext/S2451-9294(25)00513-3?rss=yes" TargetMode="External"/><Relationship Id="rId578" Type="http://schemas.openxmlformats.org/officeDocument/2006/relationships/hyperlink" Target="https://www.cell.com/chem/fulltext/S2451-9294(25)00508-X?rss=yes" TargetMode="External"/><Relationship Id="rId579" Type="http://schemas.openxmlformats.org/officeDocument/2006/relationships/hyperlink" Target="https://www.nature.com/articles/d41586-026-00446-7" TargetMode="External"/><Relationship Id="rId580" Type="http://schemas.openxmlformats.org/officeDocument/2006/relationships/hyperlink" Target="https://www.nature.com/articles/d41586-025-04161-7" TargetMode="External"/><Relationship Id="rId581" Type="http://schemas.openxmlformats.org/officeDocument/2006/relationships/hyperlink" Target="https://www.nature.com/articles/d41586-026-00132-8" TargetMode="External"/><Relationship Id="rId582" Type="http://schemas.openxmlformats.org/officeDocument/2006/relationships/hyperlink" Target="https://www.cell.com/chem/fulltext/S2451-9294(25)00505-4?rss=yes" TargetMode="External"/><Relationship Id="rId583" Type="http://schemas.openxmlformats.org/officeDocument/2006/relationships/hyperlink" Target="https://www.nature.com/articles/d41586-026-00292-7" TargetMode="External"/><Relationship Id="rId584" Type="http://schemas.openxmlformats.org/officeDocument/2006/relationships/hyperlink" Target="https://www.nature.com/articles/d41586-026-00293-6" TargetMode="External"/><Relationship Id="rId585" Type="http://schemas.openxmlformats.org/officeDocument/2006/relationships/hyperlink" Target="https://www.nature.com/articles/d41586-026-00294-5" TargetMode="External"/><Relationship Id="rId586" Type="http://schemas.openxmlformats.org/officeDocument/2006/relationships/hyperlink" Target="https://www.nature.com/articles/d41586-026-00295-4" TargetMode="External"/><Relationship Id="rId587" Type="http://schemas.openxmlformats.org/officeDocument/2006/relationships/hyperlink" Target="https://www.nature.com/articles/d41586-026-00296-3" TargetMode="External"/><Relationship Id="rId588" Type="http://schemas.openxmlformats.org/officeDocument/2006/relationships/hyperlink" Target="https://www.nature.com/articles/d41586-026-00040-x" TargetMode="External"/><Relationship Id="rId589" Type="http://schemas.openxmlformats.org/officeDocument/2006/relationships/hyperlink" Target="https://www.nature.com/articles/s41467-026-68511-3" TargetMode="External"/><Relationship Id="rId590" Type="http://schemas.openxmlformats.org/officeDocument/2006/relationships/hyperlink" Target="https://www.sciencedirect.com/science/article/pii/S0301421525005300?dgcid=rss_sd_all" TargetMode="External"/><Relationship Id="rId591" Type="http://schemas.openxmlformats.org/officeDocument/2006/relationships/hyperlink" Target="https://www.sciencedirect.com/science/article/pii/S030626192600231X?dgcid=rss_sd_all" TargetMode="External"/><Relationship Id="rId592" Type="http://schemas.openxmlformats.org/officeDocument/2006/relationships/hyperlink" Target="https://www.nature.com/articles/s41557-026-02074-0" TargetMode="External"/><Relationship Id="rId593" Type="http://schemas.openxmlformats.org/officeDocument/2006/relationships/hyperlink" Target="https://www.nature.com/articles/s41557-026-02072-2" TargetMode="External"/><Relationship Id="rId594" Type="http://schemas.openxmlformats.org/officeDocument/2006/relationships/hyperlink" Target="https://www.nature.com/articles/s41467-026-70053-7" TargetMode="External"/><Relationship Id="rId595" Type="http://schemas.openxmlformats.org/officeDocument/2006/relationships/hyperlink" Target="https://www.sciencedirect.com/science/article/pii/S0306261926002345?dgcid=rss_sd_all" TargetMode="External"/><Relationship Id="rId596" Type="http://schemas.openxmlformats.org/officeDocument/2006/relationships/hyperlink" Target="https://www.nature.com/articles/s41467-026-70024-y" TargetMode="External"/><Relationship Id="rId597" Type="http://schemas.openxmlformats.org/officeDocument/2006/relationships/hyperlink" Target="https://www.sciencedirect.com/science/article/pii/S0306261926002242?dgcid=rss_sd_all" TargetMode="External"/><Relationship Id="rId598" Type="http://schemas.openxmlformats.org/officeDocument/2006/relationships/hyperlink" Target="https://www.nature.com/articles/s41467-026-70001-5" TargetMode="External"/><Relationship Id="rId599" Type="http://schemas.openxmlformats.org/officeDocument/2006/relationships/hyperlink" Target="https://www.nature.com/articles/s41467-026-69963-3" TargetMode="External"/><Relationship Id="rId600" Type="http://schemas.openxmlformats.org/officeDocument/2006/relationships/hyperlink" Target="https://www.nature.com/articles/s41557-026-02079-9" TargetMode="External"/><Relationship Id="rId601" Type="http://schemas.openxmlformats.org/officeDocument/2006/relationships/hyperlink" Target="https://www.nature.com/articles/s41467-026-69916-w" TargetMode="External"/><Relationship Id="rId602" Type="http://schemas.openxmlformats.org/officeDocument/2006/relationships/hyperlink" Target="https://www.nature.com/articles/s41560-026-01987-x" TargetMode="External"/><Relationship Id="rId603" Type="http://schemas.openxmlformats.org/officeDocument/2006/relationships/hyperlink" Target="https://www.sciencedirect.com/science/article/pii/S0306261926002333?dgcid=rss_sd_all" TargetMode="External"/><Relationship Id="rId604" Type="http://schemas.openxmlformats.org/officeDocument/2006/relationships/hyperlink" Target="https://www.nature.com/articles/s41467-026-69956-2" TargetMode="External"/><Relationship Id="rId605" Type="http://schemas.openxmlformats.org/officeDocument/2006/relationships/hyperlink" Target="https://www.sciencedirect.com/science/article/pii/S0306261926002321?dgcid=rss_sd_all" TargetMode="External"/><Relationship Id="rId606" Type="http://schemas.openxmlformats.org/officeDocument/2006/relationships/hyperlink" Target="https://advanced.onlinelibrary.wiley.com/doi/10.1002/adma.202521697?af=R" TargetMode="External"/><Relationship Id="rId607" Type="http://schemas.openxmlformats.org/officeDocument/2006/relationships/hyperlink" Target="https://doi.org/10.1002/adma.202521697" TargetMode="External"/><Relationship Id="rId608" Type="http://schemas.openxmlformats.org/officeDocument/2006/relationships/hyperlink" Target="https://advanced.onlinelibrary.wiley.com/doi/10.1002/adma.202515400?af=R" TargetMode="External"/><Relationship Id="rId609" Type="http://schemas.openxmlformats.org/officeDocument/2006/relationships/hyperlink" Target="https://doi.org/10.1002/adma.202515400" TargetMode="External"/><Relationship Id="rId610" Type="http://schemas.openxmlformats.org/officeDocument/2006/relationships/hyperlink" Target="https://advanced.onlinelibrary.wiley.com/doi/10.1002/adma.202519568?af=R" TargetMode="External"/><Relationship Id="rId611" Type="http://schemas.openxmlformats.org/officeDocument/2006/relationships/hyperlink" Target="https://doi.org/10.1002/adma.202519568" TargetMode="External"/><Relationship Id="rId612" Type="http://schemas.openxmlformats.org/officeDocument/2006/relationships/hyperlink" Target="https://advanced.onlinelibrary.wiley.com/doi/10.1002/adma.202521736?af=R" TargetMode="External"/><Relationship Id="rId613" Type="http://schemas.openxmlformats.org/officeDocument/2006/relationships/hyperlink" Target="https://doi.org/10.1002/adma.202521736" TargetMode="External"/><Relationship Id="rId614" Type="http://schemas.openxmlformats.org/officeDocument/2006/relationships/hyperlink" Target="https://onlinelibrary.wiley.com/doi/10.1002/anie.202526035?af=R" TargetMode="External"/><Relationship Id="rId615" Type="http://schemas.openxmlformats.org/officeDocument/2006/relationships/hyperlink" Target="https://doi.org/10.1002/anie.202526035" TargetMode="External"/><Relationship Id="rId616" Type="http://schemas.openxmlformats.org/officeDocument/2006/relationships/hyperlink" Target="https://advanced.onlinelibrary.wiley.com/doi/10.1002/aenm.202506750?af=R" TargetMode="External"/><Relationship Id="rId617" Type="http://schemas.openxmlformats.org/officeDocument/2006/relationships/hyperlink" Target="https://doi.org/10.1002/aenm.202506750" TargetMode="External"/><Relationship Id="rId618" Type="http://schemas.openxmlformats.org/officeDocument/2006/relationships/hyperlink" Target="https://onlinelibrary.wiley.com/doi/10.1002/anie.202525355?af=R" TargetMode="External"/><Relationship Id="rId619" Type="http://schemas.openxmlformats.org/officeDocument/2006/relationships/hyperlink" Target="https://doi.org/10.1002/anie.202525355" TargetMode="External"/><Relationship Id="rId620" Type="http://schemas.openxmlformats.org/officeDocument/2006/relationships/hyperlink" Target="https://advanced.onlinelibrary.wiley.com/doi/10.1002/aenm.202505903?af=R" TargetMode="External"/><Relationship Id="rId621" Type="http://schemas.openxmlformats.org/officeDocument/2006/relationships/hyperlink" Target="https://doi.org/10.1002/aenm.202505903" TargetMode="External"/><Relationship Id="rId622" Type="http://schemas.openxmlformats.org/officeDocument/2006/relationships/hyperlink" Target="https://advanced.onlinelibrary.wiley.com/doi/10.1002/adma.72464?af=R" TargetMode="External"/><Relationship Id="rId623" Type="http://schemas.openxmlformats.org/officeDocument/2006/relationships/hyperlink" Target="https://doi.org/10.1002/adma.72464" TargetMode="External"/><Relationship Id="rId624" Type="http://schemas.openxmlformats.org/officeDocument/2006/relationships/hyperlink" Target="https://advanced.onlinelibrary.wiley.com/doi/10.1002/adma.72465?af=R" TargetMode="External"/><Relationship Id="rId625" Type="http://schemas.openxmlformats.org/officeDocument/2006/relationships/hyperlink" Target="https://doi.org/10.1002/adma.72465" TargetMode="External"/><Relationship Id="rId626" Type="http://schemas.openxmlformats.org/officeDocument/2006/relationships/hyperlink" Target="https://advanced.onlinelibrary.wiley.com/doi/10.1002/adma.72466?af=R" TargetMode="External"/><Relationship Id="rId627" Type="http://schemas.openxmlformats.org/officeDocument/2006/relationships/hyperlink" Target="https://doi.org/10.1002/adma.72466" TargetMode="External"/><Relationship Id="rId628" Type="http://schemas.openxmlformats.org/officeDocument/2006/relationships/hyperlink" Target="https://advanced.onlinelibrary.wiley.com/doi/10.1002/adma.72467?af=R" TargetMode="External"/><Relationship Id="rId629" Type="http://schemas.openxmlformats.org/officeDocument/2006/relationships/hyperlink" Target="https://doi.org/10.1002/adma.72467" TargetMode="External"/><Relationship Id="rId630" Type="http://schemas.openxmlformats.org/officeDocument/2006/relationships/hyperlink" Target="https://www.science.org/doi/abs/10.1126/sciadv.ady0441?af=R" TargetMode="External"/><Relationship Id="rId631" Type="http://schemas.openxmlformats.org/officeDocument/2006/relationships/hyperlink" Target="https://doi.org/10.1126/sciadv.ady0441" TargetMode="External"/><Relationship Id="rId632" Type="http://schemas.openxmlformats.org/officeDocument/2006/relationships/hyperlink" Target="https://www.science.org/doi/abs/10.1126/sciadv.aec3641?af=R" TargetMode="External"/><Relationship Id="rId633" Type="http://schemas.openxmlformats.org/officeDocument/2006/relationships/hyperlink" Target="https://doi.org/10.1126/sciadv.aec3641" TargetMode="External"/><Relationship Id="rId634" Type="http://schemas.openxmlformats.org/officeDocument/2006/relationships/hyperlink" Target="https://www.pnas.org/doi/abs/10.1073/pnas.2535298123?mi=eymic2&amp;af=R&amp;access=on&amp;content=articlesChapters&amp;publication=pnas&amp;sortBy=Earliest&amp;target=default" TargetMode="External"/><Relationship Id="rId635" Type="http://schemas.openxmlformats.org/officeDocument/2006/relationships/hyperlink" Target="https://doi.org/10.1073/pnas.2535298123" TargetMode="External"/><Relationship Id="rId636" Type="http://schemas.openxmlformats.org/officeDocument/2006/relationships/hyperlink" Target="https://www.pnas.org/doi/abs/10.1073/pnas.2532868123?mi=eymic2&amp;af=R&amp;access=on&amp;content=articlesChapters&amp;publication=pnas&amp;sortBy=Earliest&amp;target=default" TargetMode="External"/><Relationship Id="rId637" Type="http://schemas.openxmlformats.org/officeDocument/2006/relationships/hyperlink" Target="https://doi.org/10.1073/pnas.2532868123" TargetMode="External"/><Relationship Id="rId638" Type="http://schemas.openxmlformats.org/officeDocument/2006/relationships/hyperlink" Target="https://www.science.org/doi/abs/10.1126/sciadv.aec7443?af=R" TargetMode="External"/><Relationship Id="rId639" Type="http://schemas.openxmlformats.org/officeDocument/2006/relationships/hyperlink" Target="https://doi.org/10.1126/sciadv.aec7443" TargetMode="External"/><Relationship Id="rId640" Type="http://schemas.openxmlformats.org/officeDocument/2006/relationships/hyperlink" Target="https://www.pnas.org/doi/abs/10.1073/pnas.2535701123?mi=eymic2&amp;af=R&amp;access=on&amp;content=articlesChapters&amp;publication=pnas&amp;sortBy=Earliest&amp;target=default" TargetMode="External"/><Relationship Id="rId641" Type="http://schemas.openxmlformats.org/officeDocument/2006/relationships/hyperlink" Target="https://doi.org/10.1073/pnas.2535701123" TargetMode="External"/><Relationship Id="rId642" Type="http://schemas.openxmlformats.org/officeDocument/2006/relationships/hyperlink" Target="https://www.science.org/doi/abs/10.1126/sciadv.adw1599?af=R" TargetMode="External"/><Relationship Id="rId643" Type="http://schemas.openxmlformats.org/officeDocument/2006/relationships/hyperlink" Target="https://doi.org/10.1126/sciadv.adw1599" TargetMode="External"/><Relationship Id="rId644" Type="http://schemas.openxmlformats.org/officeDocument/2006/relationships/hyperlink" Target="https://www.pnas.org/doi/abs/10.1073/pnas.2531477123?mi=eymic2&amp;af=R&amp;access=on&amp;content=articlesChapters&amp;publication=pnas&amp;sortBy=Earliest&amp;target=default" TargetMode="External"/><Relationship Id="rId645" Type="http://schemas.openxmlformats.org/officeDocument/2006/relationships/hyperlink" Target="https://doi.org/10.1073/pnas.2531477123" TargetMode="External"/><Relationship Id="rId646" Type="http://schemas.openxmlformats.org/officeDocument/2006/relationships/hyperlink" Target="https://www.science.org/doi/abs/10.1126/sciadv.adw9320?af=R" TargetMode="External"/><Relationship Id="rId647" Type="http://schemas.openxmlformats.org/officeDocument/2006/relationships/hyperlink" Target="https://doi.org/10.1126/sciadv.adw9320" TargetMode="External"/><Relationship Id="rId648" Type="http://schemas.openxmlformats.org/officeDocument/2006/relationships/hyperlink" Target="https://www.pnas.org/doi/abs/10.1073/pnas.2527981123?mi=eymic2&amp;af=R&amp;access=on&amp;content=articlesChapters&amp;publication=pnas&amp;sortBy=Earliest&amp;target=default" TargetMode="External"/><Relationship Id="rId649" Type="http://schemas.openxmlformats.org/officeDocument/2006/relationships/hyperlink" Target="https://doi.org/10.1073/pnas.2527981123" TargetMode="External"/><Relationship Id="rId650" Type="http://schemas.openxmlformats.org/officeDocument/2006/relationships/hyperlink" Target="https://www.science.org/doi/abs/10.1126/sciadv.aec2376?af=R" TargetMode="External"/><Relationship Id="rId651" Type="http://schemas.openxmlformats.org/officeDocument/2006/relationships/hyperlink" Target="https://doi.org/10.1126/sciadv.aec2376" TargetMode="External"/><Relationship Id="rId652" Type="http://schemas.openxmlformats.org/officeDocument/2006/relationships/hyperlink" Target="https://www.science.org/doi/abs/10.1126/sciadv.ady0883?af=R" TargetMode="External"/><Relationship Id="rId653" Type="http://schemas.openxmlformats.org/officeDocument/2006/relationships/hyperlink" Target="https://doi.org/10.1126/sciadv.ady0883" TargetMode="External"/><Relationship Id="rId654" Type="http://schemas.openxmlformats.org/officeDocument/2006/relationships/hyperlink" Target="https://www.science.org/doi/abs/10.1126/sciadv.adz4967?af=R" TargetMode="External"/><Relationship Id="rId655" Type="http://schemas.openxmlformats.org/officeDocument/2006/relationships/hyperlink" Target="https://doi.org/10.1126/sciadv.adz4967" TargetMode="External"/><Relationship Id="rId656" Type="http://schemas.openxmlformats.org/officeDocument/2006/relationships/hyperlink" Target="https://www.science.org/doi/abs/10.1126/sciadv.ady9407?af=R" TargetMode="External"/><Relationship Id="rId657" Type="http://schemas.openxmlformats.org/officeDocument/2006/relationships/hyperlink" Target="https://doi.org/10.1126/sciadv.ady9407" TargetMode="External"/><Relationship Id="rId658" Type="http://schemas.openxmlformats.org/officeDocument/2006/relationships/hyperlink" Target="https://www.science.org/doi/abs/10.1126/sciadv.aeb3756?af=R" TargetMode="External"/><Relationship Id="rId659" Type="http://schemas.openxmlformats.org/officeDocument/2006/relationships/hyperlink" Target="https://doi.org/10.1126/sciadv.aeb3756" TargetMode="External"/><Relationship Id="rId660" Type="http://schemas.openxmlformats.org/officeDocument/2006/relationships/hyperlink" Target="https://www.science.org/doi/abs/10.1126/sciadv.aeb3338?af=R" TargetMode="External"/><Relationship Id="rId661" Type="http://schemas.openxmlformats.org/officeDocument/2006/relationships/hyperlink" Target="https://doi.org/10.1126/sciadv.aeb3338" TargetMode="External"/><Relationship Id="rId662" Type="http://schemas.openxmlformats.org/officeDocument/2006/relationships/hyperlink" Target="https://www.science.org/doi/abs/10.1126/sciadv.aeb0049?af=R" TargetMode="External"/><Relationship Id="rId663" Type="http://schemas.openxmlformats.org/officeDocument/2006/relationships/hyperlink" Target="https://doi.org/10.1126/sciadv.aeb0049" TargetMode="External"/><Relationship Id="rId664" Type="http://schemas.openxmlformats.org/officeDocument/2006/relationships/hyperlink" Target="https://www.science.org/doi/abs/10.1126/sciadv.aea9947?af=R" TargetMode="External"/><Relationship Id="rId665" Type="http://schemas.openxmlformats.org/officeDocument/2006/relationships/hyperlink" Target="https://doi.org/10.1126/sciadv.aea9947" TargetMode="External"/><Relationship Id="rId666" Type="http://schemas.openxmlformats.org/officeDocument/2006/relationships/hyperlink" Target="https://www.science.org/doi/abs/10.1126/sciadv.aea9091?af=R" TargetMode="External"/><Relationship Id="rId667" Type="http://schemas.openxmlformats.org/officeDocument/2006/relationships/hyperlink" Target="https://doi.org/10.1126/sciadv.aea9091" TargetMode="External"/><Relationship Id="rId668" Type="http://schemas.openxmlformats.org/officeDocument/2006/relationships/hyperlink" Target="https://www.science.org/doi/abs/10.1126/sciadv.aea8560?af=R" TargetMode="External"/><Relationship Id="rId669" Type="http://schemas.openxmlformats.org/officeDocument/2006/relationships/hyperlink" Target="https://doi.org/10.1126/sciadv.aea8560" TargetMode="External"/><Relationship Id="rId670" Type="http://schemas.openxmlformats.org/officeDocument/2006/relationships/hyperlink" Target="https://www.science.org/doi/abs/10.1126/sciadv.ady8018?af=R" TargetMode="External"/><Relationship Id="rId671" Type="http://schemas.openxmlformats.org/officeDocument/2006/relationships/hyperlink" Target="https://doi.org/10.1126/sciadv.ady8018" TargetMode="External"/><Relationship Id="rId672" Type="http://schemas.openxmlformats.org/officeDocument/2006/relationships/hyperlink" Target="https://www.science.org/doi/abs/10.1126/sciadv.aea8247?af=R" TargetMode="External"/><Relationship Id="rId673" Type="http://schemas.openxmlformats.org/officeDocument/2006/relationships/hyperlink" Target="https://doi.org/10.1126/sciadv.aea8247" TargetMode="External"/><Relationship Id="rId674" Type="http://schemas.openxmlformats.org/officeDocument/2006/relationships/hyperlink" Target="https://www.science.org/doi/abs/10.1126/sciadv.aea6522?af=R" TargetMode="External"/><Relationship Id="rId675" Type="http://schemas.openxmlformats.org/officeDocument/2006/relationships/hyperlink" Target="https://doi.org/10.1126/sciadv.aea6522" TargetMode="External"/><Relationship Id="rId676" Type="http://schemas.openxmlformats.org/officeDocument/2006/relationships/hyperlink" Target="https://www.science.org/doi/abs/10.1126/sciadv.aea3355?af=R" TargetMode="External"/><Relationship Id="rId677" Type="http://schemas.openxmlformats.org/officeDocument/2006/relationships/hyperlink" Target="https://doi.org/10.1126/sciadv.aea3355" TargetMode="External"/><Relationship Id="rId678" Type="http://schemas.openxmlformats.org/officeDocument/2006/relationships/hyperlink" Target="https://www.science.org/doi/abs/10.1126/sciadv.aea0326?af=R" TargetMode="External"/><Relationship Id="rId679" Type="http://schemas.openxmlformats.org/officeDocument/2006/relationships/hyperlink" Target="https://doi.org/10.1126/sciadv.aea0326" TargetMode="External"/><Relationship Id="rId680" Type="http://schemas.openxmlformats.org/officeDocument/2006/relationships/hyperlink" Target="https://www.science.org/doi/abs/10.1126/sciadv.aea0109?af=R" TargetMode="External"/><Relationship Id="rId681" Type="http://schemas.openxmlformats.org/officeDocument/2006/relationships/hyperlink" Target="https://doi.org/10.1126/sciadv.aea0109" TargetMode="External"/><Relationship Id="rId682" Type="http://schemas.openxmlformats.org/officeDocument/2006/relationships/hyperlink" Target="https://www.science.org/doi/abs/10.1126/sciadv.adz6964?af=R" TargetMode="External"/><Relationship Id="rId683" Type="http://schemas.openxmlformats.org/officeDocument/2006/relationships/hyperlink" Target="https://doi.org/10.1126/sciadv.adz6964" TargetMode="External"/><Relationship Id="rId684" Type="http://schemas.openxmlformats.org/officeDocument/2006/relationships/hyperlink" Target="https://www.science.org/doi/abs/10.1126/sciadv.adz0425?af=R" TargetMode="External"/><Relationship Id="rId685" Type="http://schemas.openxmlformats.org/officeDocument/2006/relationships/hyperlink" Target="https://doi.org/10.1126/sciadv.adz0425" TargetMode="External"/><Relationship Id="rId686" Type="http://schemas.openxmlformats.org/officeDocument/2006/relationships/hyperlink" Target="https://www.science.org/doi/abs/10.1126/sciadv.aea8116?af=R" TargetMode="External"/><Relationship Id="rId687" Type="http://schemas.openxmlformats.org/officeDocument/2006/relationships/hyperlink" Target="https://doi.org/10.1126/sciadv.aea8116" TargetMode="External"/><Relationship Id="rId688" Type="http://schemas.openxmlformats.org/officeDocument/2006/relationships/hyperlink" Target="https://www.science.org/doi/abs/10.1126/sciadv.aec9991?af=R" TargetMode="External"/><Relationship Id="rId689" Type="http://schemas.openxmlformats.org/officeDocument/2006/relationships/hyperlink" Target="https://doi.org/10.1126/sciadv.aec9991" TargetMode="External"/><Relationship Id="rId690" Type="http://schemas.openxmlformats.org/officeDocument/2006/relationships/hyperlink" Target="https://www.science.org/doi/abs/10.1126/sciadv.aec1018?af=R" TargetMode="External"/><Relationship Id="rId691" Type="http://schemas.openxmlformats.org/officeDocument/2006/relationships/hyperlink" Target="https://doi.org/10.1126/sciadv.aec1018" TargetMode="External"/><Relationship Id="rId692" Type="http://schemas.openxmlformats.org/officeDocument/2006/relationships/hyperlink" Target="https://www.pnas.org/doi/abs/10.1073/pnas.2520991123?mi=eymic2&amp;af=R&amp;access=on&amp;content=articlesChapters&amp;publication=pnas&amp;sortBy=Earliest&amp;target=default" TargetMode="External"/><Relationship Id="rId693" Type="http://schemas.openxmlformats.org/officeDocument/2006/relationships/hyperlink" Target="https://doi.org/10.1073/pnas.2520991123" TargetMode="External"/><Relationship Id="rId694" Type="http://schemas.openxmlformats.org/officeDocument/2006/relationships/hyperlink" Target="https://www.science.org/doi/abs/10.1126/sciadv.aee6950?af=R" TargetMode="External"/><Relationship Id="rId695" Type="http://schemas.openxmlformats.org/officeDocument/2006/relationships/hyperlink" Target="https://doi.org/10.1126/sciadv.aee6950" TargetMode="External"/><Relationship Id="rId696" Type="http://schemas.openxmlformats.org/officeDocument/2006/relationships/hyperlink" Target="https://www.pnas.org/doi/abs/10.1073/pnas.2518816123?mi=eymic2&amp;af=R&amp;access=on&amp;content=articlesChapters&amp;publication=pnas&amp;sortBy=Earliest&amp;target=default" TargetMode="External"/><Relationship Id="rId697" Type="http://schemas.openxmlformats.org/officeDocument/2006/relationships/hyperlink" Target="https://doi.org/10.1073/pnas.2518816123" TargetMode="External"/><Relationship Id="rId698" Type="http://schemas.openxmlformats.org/officeDocument/2006/relationships/hyperlink" Target="https://www.science.org/doi/abs/10.1126/sciadv.aed1319?af=R" TargetMode="External"/><Relationship Id="rId699" Type="http://schemas.openxmlformats.org/officeDocument/2006/relationships/hyperlink" Target="https://doi.org/10.1126/sciadv.aed1319" TargetMode="External"/><Relationship Id="rId700" Type="http://schemas.openxmlformats.org/officeDocument/2006/relationships/hyperlink" Target="https://www.science.org/doi/abs/10.1126/sciadv.aeb5612?af=R" TargetMode="External"/><Relationship Id="rId701" Type="http://schemas.openxmlformats.org/officeDocument/2006/relationships/hyperlink" Target="https://doi.org/10.1126/sciadv.aeb5612" TargetMode="External"/><Relationship Id="rId702" Type="http://schemas.openxmlformats.org/officeDocument/2006/relationships/hyperlink" Target="https://www.pnas.org/doi/abs/10.1073/pnas.2420493123?mi=eymic2&amp;af=R&amp;access=on&amp;content=articlesChapters&amp;publication=pnas&amp;sortBy=Earliest&amp;target=default" TargetMode="External"/><Relationship Id="rId703" Type="http://schemas.openxmlformats.org/officeDocument/2006/relationships/hyperlink" Target="https://doi.org/10.1073/pnas.2420493123" TargetMode="External"/><Relationship Id="rId704" Type="http://schemas.openxmlformats.org/officeDocument/2006/relationships/hyperlink" Target="https://www.pnas.org/doi/abs/10.1073/pnas.2521210123?mi=eymic2&amp;af=R&amp;access=on&amp;content=articlesChapters&amp;publication=pnas&amp;sortBy=Earliest&amp;target=default" TargetMode="External"/><Relationship Id="rId705" Type="http://schemas.openxmlformats.org/officeDocument/2006/relationships/hyperlink" Target="https://doi.org/10.1073/pnas.2521210123" TargetMode="External"/><Relationship Id="rId706" Type="http://schemas.openxmlformats.org/officeDocument/2006/relationships/hyperlink" Target="https://www.pnas.org/doi/abs/10.1073/pnas.2515503123?mi=eymic2&amp;af=R&amp;access=on&amp;content=articlesChapters&amp;publication=pnas&amp;sortBy=Earliest&amp;target=default" TargetMode="External"/><Relationship Id="rId707" Type="http://schemas.openxmlformats.org/officeDocument/2006/relationships/hyperlink" Target="https://doi.org/10.1073/pnas.2515503123" TargetMode="External"/><Relationship Id="rId708" Type="http://schemas.openxmlformats.org/officeDocument/2006/relationships/hyperlink" Target="https://www.pnas.org/doi/abs/10.1073/pnas.2513242123?mi=eymic2&amp;af=R&amp;access=on&amp;content=articlesChapters&amp;publication=pnas&amp;sortBy=Earliest&amp;target=default" TargetMode="External"/><Relationship Id="rId709" Type="http://schemas.openxmlformats.org/officeDocument/2006/relationships/hyperlink" Target="https://doi.org/10.1073/pnas.2513242123" TargetMode="External"/><Relationship Id="rId710" Type="http://schemas.openxmlformats.org/officeDocument/2006/relationships/hyperlink" Target="https://www.pnas.org/doi/abs/10.1073/pnas.2513642123?mi=eymic2&amp;af=R&amp;access=on&amp;content=articlesChapters&amp;publication=pnas&amp;sortBy=Earliest&amp;target=default" TargetMode="External"/><Relationship Id="rId711" Type="http://schemas.openxmlformats.org/officeDocument/2006/relationships/hyperlink" Target="https://doi.org/10.1073/pnas.2513642123" TargetMode="External"/><Relationship Id="rId712" Type="http://schemas.openxmlformats.org/officeDocument/2006/relationships/hyperlink" Target="https://onlinelibrary.wiley.com/doi/10.1002/anie.7602426?af=R" TargetMode="External"/><Relationship Id="rId713" Type="http://schemas.openxmlformats.org/officeDocument/2006/relationships/hyperlink" Target="https://doi.org/10.1002/anie.7602426" TargetMode="External"/><Relationship Id="rId714" Type="http://schemas.openxmlformats.org/officeDocument/2006/relationships/hyperlink" Target="https://onlinelibrary.wiley.com/doi/10.1002/anie.9692519?af=R" TargetMode="External"/><Relationship Id="rId715" Type="http://schemas.openxmlformats.org/officeDocument/2006/relationships/hyperlink" Target="https://doi.org/10.1002/anie.9692519" TargetMode="External"/><Relationship Id="rId716" Type="http://schemas.openxmlformats.org/officeDocument/2006/relationships/hyperlink" Target="https://onlinelibrary.wiley.com/doi/10.1002/anie.202525892?af=R" TargetMode="External"/><Relationship Id="rId717" Type="http://schemas.openxmlformats.org/officeDocument/2006/relationships/hyperlink" Target="https://doi.org/10.1002/anie.202525892" TargetMode="External"/><Relationship Id="rId718" Type="http://schemas.openxmlformats.org/officeDocument/2006/relationships/hyperlink" Target="https://onlinelibrary.wiley.com/doi/10.1002/anie.8742316?af=R" TargetMode="External"/><Relationship Id="rId719" Type="http://schemas.openxmlformats.org/officeDocument/2006/relationships/hyperlink" Target="https://doi.org/10.1002/anie.8742316" TargetMode="External"/><Relationship Id="rId720" Type="http://schemas.openxmlformats.org/officeDocument/2006/relationships/hyperlink" Target="https://onlinelibrary.wiley.com/doi/10.1002/anie.5033273?af=R" TargetMode="External"/><Relationship Id="rId721" Type="http://schemas.openxmlformats.org/officeDocument/2006/relationships/hyperlink" Target="https://doi.org/10.1002/anie.5033273" TargetMode="External"/><Relationship Id="rId722" Type="http://schemas.openxmlformats.org/officeDocument/2006/relationships/hyperlink" Target="https://onlinelibrary.wiley.com/doi/10.1002/anie.202524246?af=R" TargetMode="External"/><Relationship Id="rId723" Type="http://schemas.openxmlformats.org/officeDocument/2006/relationships/hyperlink" Target="https://doi.org/10.1002/anie.202524246" TargetMode="External"/><Relationship Id="rId724" Type="http://schemas.openxmlformats.org/officeDocument/2006/relationships/hyperlink" Target="https://onlinelibrary.wiley.com/doi/10.1002/anie.5390746?af=R" TargetMode="External"/><Relationship Id="rId725" Type="http://schemas.openxmlformats.org/officeDocument/2006/relationships/hyperlink" Target="https://doi.org/10.1002/anie.5390746" TargetMode="External"/><Relationship Id="rId726" Type="http://schemas.openxmlformats.org/officeDocument/2006/relationships/hyperlink" Target="http://dx.doi.org/10.1021/jacs.6c00478" TargetMode="External"/><Relationship Id="rId727" Type="http://schemas.openxmlformats.org/officeDocument/2006/relationships/hyperlink" Target="https://doi.org/10.1021/jacs.6c00478" TargetMode="External"/><Relationship Id="rId728" Type="http://schemas.openxmlformats.org/officeDocument/2006/relationships/hyperlink" Target="https://onlinelibrary.wiley.com/doi/10.1002/anie.202525282?af=R" TargetMode="External"/><Relationship Id="rId729" Type="http://schemas.openxmlformats.org/officeDocument/2006/relationships/hyperlink" Target="https://doi.org/10.1002/anie.202525282" TargetMode="External"/><Relationship Id="rId730" Type="http://schemas.openxmlformats.org/officeDocument/2006/relationships/hyperlink" Target="http://dx.doi.org/10.1021/acsenergylett.6c00073" TargetMode="External"/><Relationship Id="rId731" Type="http://schemas.openxmlformats.org/officeDocument/2006/relationships/hyperlink" Target="https://doi.org/10.1021/acsenergylett.6c00073" TargetMode="External"/><Relationship Id="rId732" Type="http://schemas.openxmlformats.org/officeDocument/2006/relationships/hyperlink" Target="https://onlinelibrary.wiley.com/doi/10.1002/anie.202525047?af=R" TargetMode="External"/><Relationship Id="rId733" Type="http://schemas.openxmlformats.org/officeDocument/2006/relationships/hyperlink" Target="https://doi.org/10.1002/anie.202525047" TargetMode="External"/><Relationship Id="rId734" Type="http://schemas.openxmlformats.org/officeDocument/2006/relationships/hyperlink" Target="http://dx.doi.org/10.1021/jacs.6c00844" TargetMode="External"/><Relationship Id="rId735" Type="http://schemas.openxmlformats.org/officeDocument/2006/relationships/hyperlink" Target="https://doi.org/10.1021/jacs.6c00844" TargetMode="External"/><Relationship Id="rId736" Type="http://schemas.openxmlformats.org/officeDocument/2006/relationships/hyperlink" Target="http://dx.doi.org/10.1021/jacs.5c20339" TargetMode="External"/><Relationship Id="rId737" Type="http://schemas.openxmlformats.org/officeDocument/2006/relationships/hyperlink" Target="https://doi.org/10.1021/jacs.5c20339" TargetMode="External"/><Relationship Id="rId738" Type="http://schemas.openxmlformats.org/officeDocument/2006/relationships/hyperlink" Target="https://onlinelibrary.wiley.com/doi/10.1002/anie.202525900?af=R" TargetMode="External"/><Relationship Id="rId739" Type="http://schemas.openxmlformats.org/officeDocument/2006/relationships/hyperlink" Target="https://doi.org/10.1002/anie.202525900" TargetMode="External"/><Relationship Id="rId740" Type="http://schemas.openxmlformats.org/officeDocument/2006/relationships/hyperlink" Target="https://onlinelibrary.wiley.com/doi/10.1002/anie.4054670?af=R" TargetMode="External"/><Relationship Id="rId741" Type="http://schemas.openxmlformats.org/officeDocument/2006/relationships/hyperlink" Target="https://doi.org/10.1002/anie.4054670" TargetMode="External"/><Relationship Id="rId742" Type="http://schemas.openxmlformats.org/officeDocument/2006/relationships/hyperlink" Target="https://onlinelibrary.wiley.com/doi/10.1002/anie.202524255?af=R" TargetMode="External"/><Relationship Id="rId743" Type="http://schemas.openxmlformats.org/officeDocument/2006/relationships/hyperlink" Target="https://doi.org/10.1002/anie.202524255" TargetMode="External"/><Relationship Id="rId744" Type="http://schemas.openxmlformats.org/officeDocument/2006/relationships/hyperlink" Target="https://advanced.onlinelibrary.wiley.com/doi/10.1002/adma.202520519?af=R" TargetMode="External"/><Relationship Id="rId745" Type="http://schemas.openxmlformats.org/officeDocument/2006/relationships/hyperlink" Target="https://doi.org/10.1002/adma.202520519" TargetMode="External"/><Relationship Id="rId746" Type="http://schemas.openxmlformats.org/officeDocument/2006/relationships/hyperlink" Target="https://advanced.onlinelibrary.wiley.com/doi/10.1002/adma.202520184?af=R" TargetMode="External"/><Relationship Id="rId747" Type="http://schemas.openxmlformats.org/officeDocument/2006/relationships/hyperlink" Target="https://doi.org/10.1002/adma.202520184" TargetMode="External"/><Relationship Id="rId748" Type="http://schemas.openxmlformats.org/officeDocument/2006/relationships/hyperlink" Target="http://dx.doi.org/10.1021/jacs.5c22620" TargetMode="External"/><Relationship Id="rId749" Type="http://schemas.openxmlformats.org/officeDocument/2006/relationships/hyperlink" Target="https://doi.org/10.1021/jacs.5c22620" TargetMode="External"/><Relationship Id="rId750" Type="http://schemas.openxmlformats.org/officeDocument/2006/relationships/hyperlink" Target="http://dx.doi.org/10.1021/jacs.6c01168" TargetMode="External"/><Relationship Id="rId751" Type="http://schemas.openxmlformats.org/officeDocument/2006/relationships/hyperlink" Target="https://doi.org/10.1021/jacs.6c01168" TargetMode="External"/><Relationship Id="rId752" Type="http://schemas.openxmlformats.org/officeDocument/2006/relationships/hyperlink" Target="https://onlinelibrary.wiley.com/doi/10.1002/anie.3278432?af=R" TargetMode="External"/><Relationship Id="rId753" Type="http://schemas.openxmlformats.org/officeDocument/2006/relationships/hyperlink" Target="https://doi.org/10.1002/anie.3278432" TargetMode="External"/><Relationship Id="rId754" Type="http://schemas.openxmlformats.org/officeDocument/2006/relationships/hyperlink" Target="https://advanced.onlinelibrary.wiley.com/doi/10.1002/adma.202522938?af=R" TargetMode="External"/><Relationship Id="rId755" Type="http://schemas.openxmlformats.org/officeDocument/2006/relationships/hyperlink" Target="https://doi.org/10.1002/adma.202522938" TargetMode="External"/><Relationship Id="rId756" Type="http://schemas.openxmlformats.org/officeDocument/2006/relationships/hyperlink" Target="https://advanced.onlinelibrary.wiley.com/doi/10.1002/adma.202513458?af=R" TargetMode="External"/><Relationship Id="rId757" Type="http://schemas.openxmlformats.org/officeDocument/2006/relationships/hyperlink" Target="https://doi.org/10.1002/adma.202513458" TargetMode="External"/><Relationship Id="rId758" Type="http://schemas.openxmlformats.org/officeDocument/2006/relationships/hyperlink" Target="https://advanced.onlinelibrary.wiley.com/doi/10.1002/adma.202521003?af=R" TargetMode="External"/><Relationship Id="rId759" Type="http://schemas.openxmlformats.org/officeDocument/2006/relationships/hyperlink" Target="https://doi.org/10.1002/adma.202521003" TargetMode="External"/><Relationship Id="rId760" Type="http://schemas.openxmlformats.org/officeDocument/2006/relationships/hyperlink" Target="https://onlinelibrary.wiley.com/doi/10.1002/anie.2935372?af=R" TargetMode="External"/><Relationship Id="rId761" Type="http://schemas.openxmlformats.org/officeDocument/2006/relationships/hyperlink" Target="https://doi.org/10.1002/anie.2935372" TargetMode="External"/><Relationship Id="rId762" Type="http://schemas.openxmlformats.org/officeDocument/2006/relationships/hyperlink" Target="https://advanced.onlinelibrary.wiley.com/doi/10.1002/adma.202522776?af=R" TargetMode="External"/><Relationship Id="rId763" Type="http://schemas.openxmlformats.org/officeDocument/2006/relationships/hyperlink" Target="https://doi.org/10.1002/adma.202522776" TargetMode="External"/><Relationship Id="rId764" Type="http://schemas.openxmlformats.org/officeDocument/2006/relationships/hyperlink" Target="http://dx.doi.org/10.1021/jacs.5c19318" TargetMode="External"/><Relationship Id="rId765" Type="http://schemas.openxmlformats.org/officeDocument/2006/relationships/hyperlink" Target="https://doi.org/10.1021/jacs.5c19318" TargetMode="External"/><Relationship Id="rId766" Type="http://schemas.openxmlformats.org/officeDocument/2006/relationships/hyperlink" Target="https://advanced.onlinelibrary.wiley.com/doi/10.1002/adma.202521163?af=R" TargetMode="External"/><Relationship Id="rId767" Type="http://schemas.openxmlformats.org/officeDocument/2006/relationships/hyperlink" Target="https://doi.org/10.1002/adma.202521163" TargetMode="External"/><Relationship Id="rId768" Type="http://schemas.openxmlformats.org/officeDocument/2006/relationships/hyperlink" Target="http://dx.doi.org/10.1021/acsenergylett.5c03788" TargetMode="External"/><Relationship Id="rId769" Type="http://schemas.openxmlformats.org/officeDocument/2006/relationships/hyperlink" Target="https://doi.org/10.1021/acsenergylett.5c03788" TargetMode="External"/><Relationship Id="rId770" Type="http://schemas.openxmlformats.org/officeDocument/2006/relationships/hyperlink" Target="http://dx.doi.org/10.1021/acsenergylett.6c00205" TargetMode="External"/><Relationship Id="rId771" Type="http://schemas.openxmlformats.org/officeDocument/2006/relationships/hyperlink" Target="https://doi.org/10.1021/acsenergylett.6c00205" TargetMode="External"/><Relationship Id="rId772" Type="http://schemas.openxmlformats.org/officeDocument/2006/relationships/hyperlink" Target="https://advanced.onlinelibrary.wiley.com/doi/10.1002/adma.72638?af=R" TargetMode="External"/><Relationship Id="rId773" Type="http://schemas.openxmlformats.org/officeDocument/2006/relationships/hyperlink" Target="https://doi.org/10.1002/adma.72638" TargetMode="External"/><Relationship Id="rId774" Type="http://schemas.openxmlformats.org/officeDocument/2006/relationships/hyperlink" Target="https://advanced.onlinelibrary.wiley.com/doi/10.1002/aenm.70742?af=R" TargetMode="External"/><Relationship Id="rId775" Type="http://schemas.openxmlformats.org/officeDocument/2006/relationships/hyperlink" Target="https://doi.org/10.1002/aenm.70742" TargetMode="External"/><Relationship Id="rId776" Type="http://schemas.openxmlformats.org/officeDocument/2006/relationships/hyperlink" Target="https://advanced.onlinelibrary.wiley.com/doi/10.1002/aenm.70744?af=R" TargetMode="External"/><Relationship Id="rId777" Type="http://schemas.openxmlformats.org/officeDocument/2006/relationships/hyperlink" Target="https://doi.org/10.1002/aenm.70744" TargetMode="External"/><Relationship Id="rId778" Type="http://schemas.openxmlformats.org/officeDocument/2006/relationships/hyperlink" Target="https://advanced.onlinelibrary.wiley.com/doi/10.1002/aenm.70743?af=R" TargetMode="External"/><Relationship Id="rId779" Type="http://schemas.openxmlformats.org/officeDocument/2006/relationships/hyperlink" Target="https://doi.org/10.1002/aenm.70743" TargetMode="External"/><Relationship Id="rId780" Type="http://schemas.openxmlformats.org/officeDocument/2006/relationships/hyperlink" Target="https://advanced.onlinelibrary.wiley.com/doi/10.1002/aenm.70741?af=R" TargetMode="External"/><Relationship Id="rId781" Type="http://schemas.openxmlformats.org/officeDocument/2006/relationships/hyperlink" Target="https://doi.org/10.1002/aenm.70741" TargetMode="External"/><Relationship Id="rId782" Type="http://schemas.openxmlformats.org/officeDocument/2006/relationships/hyperlink" Target="http://dx.doi.org/10.1021/jacs.6c01078" TargetMode="External"/><Relationship Id="rId783" Type="http://schemas.openxmlformats.org/officeDocument/2006/relationships/hyperlink" Target="https://doi.org/10.1021/jacs.6c01078" TargetMode="External"/><Relationship Id="rId784" Type="http://schemas.openxmlformats.org/officeDocument/2006/relationships/hyperlink" Target="http://dx.doi.org/10.1021/jacs.5c22161" TargetMode="External"/><Relationship Id="rId785" Type="http://schemas.openxmlformats.org/officeDocument/2006/relationships/hyperlink" Target="https://doi.org/10.1021/jacs.5c22161" TargetMode="External"/><Relationship Id="rId786" Type="http://schemas.openxmlformats.org/officeDocument/2006/relationships/hyperlink" Target="http://dx.doi.org/10.1021/jacs.6c01162" TargetMode="External"/><Relationship Id="rId787" Type="http://schemas.openxmlformats.org/officeDocument/2006/relationships/hyperlink" Target="https://doi.org/10.1021/jacs.6c01162" TargetMode="External"/><Relationship Id="rId788" Type="http://schemas.openxmlformats.org/officeDocument/2006/relationships/hyperlink" Target="http://dx.doi.org/10.1021/jacs.5c19141" TargetMode="External"/><Relationship Id="rId789" Type="http://schemas.openxmlformats.org/officeDocument/2006/relationships/hyperlink" Target="https://doi.org/10.1021/jacs.5c19141" TargetMode="External"/><Relationship Id="rId790" Type="http://schemas.openxmlformats.org/officeDocument/2006/relationships/hyperlink" Target="http://dx.doi.org/10.1021/jacs.5c21368" TargetMode="External"/><Relationship Id="rId791" Type="http://schemas.openxmlformats.org/officeDocument/2006/relationships/hyperlink" Target="https://doi.org/10.1021/jacs.5c21368" TargetMode="External"/><Relationship Id="rId792" Type="http://schemas.openxmlformats.org/officeDocument/2006/relationships/hyperlink" Target="http://dx.doi.org/10.1021/jacs.5c19355" TargetMode="External"/><Relationship Id="rId793" Type="http://schemas.openxmlformats.org/officeDocument/2006/relationships/hyperlink" Target="https://doi.org/10.1021/jacs.5c19355" TargetMode="External"/><Relationship Id="rId794" Type="http://schemas.openxmlformats.org/officeDocument/2006/relationships/hyperlink" Target="http://dx.doi.org/10.1021/jacs.5c22210" TargetMode="External"/><Relationship Id="rId795" Type="http://schemas.openxmlformats.org/officeDocument/2006/relationships/hyperlink" Target="https://doi.org/10.1021/jacs.5c22210" TargetMode="External"/><Relationship Id="rId796" Type="http://schemas.openxmlformats.org/officeDocument/2006/relationships/hyperlink" Target="http://dx.doi.org/10.1021/jacs.5c22441" TargetMode="External"/><Relationship Id="rId797" Type="http://schemas.openxmlformats.org/officeDocument/2006/relationships/hyperlink" Target="https://doi.org/10.1021/jacs.5c22441" TargetMode="External"/><Relationship Id="rId798" Type="http://schemas.openxmlformats.org/officeDocument/2006/relationships/hyperlink" Target="http://dx.doi.org/10.1021/jacs.5c21100" TargetMode="External"/><Relationship Id="rId799" Type="http://schemas.openxmlformats.org/officeDocument/2006/relationships/hyperlink" Target="https://doi.org/10.1021/jacs.5c21100" TargetMode="External"/><Relationship Id="rId800" Type="http://schemas.openxmlformats.org/officeDocument/2006/relationships/hyperlink" Target="http://dx.doi.org/10.1021/acs.chemrev.5c00581" TargetMode="External"/><Relationship Id="rId801" Type="http://schemas.openxmlformats.org/officeDocument/2006/relationships/hyperlink" Target="https://doi.org/10.1021/acs.chemrev.5c00581" TargetMode="External"/><Relationship Id="rId802" Type="http://schemas.openxmlformats.org/officeDocument/2006/relationships/hyperlink" Target="http://dx.doi.org/10.1021/jacs.5c13087" TargetMode="External"/><Relationship Id="rId803" Type="http://schemas.openxmlformats.org/officeDocument/2006/relationships/hyperlink" Target="https://doi.org/10.1021/jacs.5c13087" TargetMode="External"/><Relationship Id="rId804" Type="http://schemas.openxmlformats.org/officeDocument/2006/relationships/hyperlink" Target="https://www.sciencedirect.com/science/article/pii/S0306261926002515?dgcid=rss_sd_all" TargetMode="External"/><Relationship Id="rId805" Type="http://schemas.openxmlformats.org/officeDocument/2006/relationships/hyperlink" Target="https://www.sciencedirect.com/science/article/pii/S0306261926002023?dgcid=rss_sd_all" TargetMode="External"/><Relationship Id="rId806" Type="http://schemas.openxmlformats.org/officeDocument/2006/relationships/hyperlink" Target="https://www.sciencedirect.com/science/article/pii/S030626192600187X?dgcid=rss_sd_all" TargetMode="External"/><Relationship Id="rId807" Type="http://schemas.openxmlformats.org/officeDocument/2006/relationships/hyperlink" Target="https://www.sciencedirect.com/science/article/pii/S0306261926002643?dgcid=rss_sd_all" TargetMode="External"/><Relationship Id="rId808" Type="http://schemas.openxmlformats.org/officeDocument/2006/relationships/hyperlink" Target="https://www.nature.com/articles/s41928-026-01573-9" TargetMode="External"/><Relationship Id="rId809" Type="http://schemas.openxmlformats.org/officeDocument/2006/relationships/hyperlink" Target="https://www.cell.com/chem/fulltext/S2451-9294(26)00024-0?rss=yes" TargetMode="External"/><Relationship Id="rId810" Type="http://schemas.openxmlformats.org/officeDocument/2006/relationships/hyperlink" Target="https://www.cell.com/chem/fulltext/S2451-9294(26)00062-8?rss=yes" TargetMode="External"/><Relationship Id="rId811" Type="http://schemas.openxmlformats.org/officeDocument/2006/relationships/hyperlink" Target="https://www.nature.com/articles/s44286-026-00362-7" TargetMode="External"/><Relationship Id="rId812" Type="http://schemas.openxmlformats.org/officeDocument/2006/relationships/hyperlink" Target="https://www.cell.com/joule/fulltext/S2542-4351(25)00457-X?rss=yes" TargetMode="External"/><Relationship Id="rId813" Type="http://schemas.openxmlformats.org/officeDocument/2006/relationships/hyperlink" Target="https://www.nature.com/articles/s41928-026-01567-7" TargetMode="External"/><Relationship Id="rId814" Type="http://schemas.openxmlformats.org/officeDocument/2006/relationships/hyperlink" Target="https://www.nature.com/articles/s41586-026-10283-3" TargetMode="External"/><Relationship Id="rId815" Type="http://schemas.openxmlformats.org/officeDocument/2006/relationships/hyperlink" Target="https://www.nature.com/articles/s41578-026-00905-7" TargetMode="External"/><Relationship Id="rId816" Type="http://schemas.openxmlformats.org/officeDocument/2006/relationships/hyperlink" Target="https://www.nature.com/articles/s41578-026-00904-8" TargetMode="External"/><Relationship Id="rId817" Type="http://schemas.openxmlformats.org/officeDocument/2006/relationships/hyperlink" Target="https://www.nature.com/articles/s41578-026-00903-9" TargetMode="External"/><Relationship Id="rId818" Type="http://schemas.openxmlformats.org/officeDocument/2006/relationships/hyperlink" Target="https://www.nature.com/articles/s41578-026-00902-w" TargetMode="External"/><Relationship Id="rId819" Type="http://schemas.openxmlformats.org/officeDocument/2006/relationships/hyperlink" Target="https://www.nature.com/articles/s41565-025-02116-7" TargetMode="External"/><Relationship Id="rId820" Type="http://schemas.openxmlformats.org/officeDocument/2006/relationships/hyperlink" Target="https://www.nature.com/articles/s41563-026-02514-9" TargetMode="External"/><Relationship Id="rId821" Type="http://schemas.openxmlformats.org/officeDocument/2006/relationships/hyperlink" Target="https://www.nature.com/articles/s41560-026-01996-w" TargetMode="External"/><Relationship Id="rId822" Type="http://schemas.openxmlformats.org/officeDocument/2006/relationships/hyperlink" Target="https://www.cell.com/chem/fulltext/S2451-9294(25)00502-9?rss=yes" TargetMode="External"/><Relationship Id="rId823" Type="http://schemas.openxmlformats.org/officeDocument/2006/relationships/hyperlink" Target="https://www.nature.com/articles/s41467-026-70096-w" TargetMode="External"/><Relationship Id="rId824" Type="http://schemas.openxmlformats.org/officeDocument/2006/relationships/hyperlink" Target="https://www.nature.com/articles/s41467-026-70009-x" TargetMode="External"/><Relationship Id="rId825" Type="http://schemas.openxmlformats.org/officeDocument/2006/relationships/hyperlink" Target="https://www.nature.com/articles/s41467-026-69932-w" TargetMode="External"/><Relationship Id="rId826" Type="http://schemas.openxmlformats.org/officeDocument/2006/relationships/hyperlink" Target="https://www.nature.com/articles/s41467-026-69925-9" TargetMode="External"/><Relationship Id="rId827" Type="http://schemas.openxmlformats.org/officeDocument/2006/relationships/hyperlink" Target="https://www.nature.com/articles/s41467-026-69913-z" TargetMode="External"/><Relationship Id="rId828" Type="http://schemas.openxmlformats.org/officeDocument/2006/relationships/hyperlink" Target="https://www.nature.com/articles/s41467-026-69638-z" TargetMode="External"/><Relationship Id="rId829" Type="http://schemas.openxmlformats.org/officeDocument/2006/relationships/hyperlink" Target="https://www.nature.com/articles/d41586-026-00622-9" TargetMode="External"/><Relationship Id="rId830" Type="http://schemas.openxmlformats.org/officeDocument/2006/relationships/hyperlink" Target="https://www.sciencedirect.com/science/article/pii/S0306261926002631?dgcid=rss_sd_all" TargetMode="External"/><Relationship Id="rId831" Type="http://schemas.openxmlformats.org/officeDocument/2006/relationships/hyperlink" Target="https://www.nature.com/articles/d41586-026-00603-y" TargetMode="External"/><Relationship Id="rId832" Type="http://schemas.openxmlformats.org/officeDocument/2006/relationships/hyperlink" Target="https://www.nature.com/articles/d41586-026-00602-z" TargetMode="External"/><Relationship Id="rId833" Type="http://schemas.openxmlformats.org/officeDocument/2006/relationships/hyperlink" Target="https://www.nature.com/articles/d41586-026-00583-z" TargetMode="External"/><Relationship Id="rId834" Type="http://schemas.openxmlformats.org/officeDocument/2006/relationships/hyperlink" Target="https://www.nature.com/articles/d41586-026-00555-3" TargetMode="External"/><Relationship Id="rId835" Type="http://schemas.openxmlformats.org/officeDocument/2006/relationships/hyperlink" Target="https://www.nature.com/articles/d41586-026-00542-8" TargetMode="External"/><Relationship Id="rId836" Type="http://schemas.openxmlformats.org/officeDocument/2006/relationships/hyperlink" Target="https://www.nature.com/articles/d41586-026-00158-y" TargetMode="External"/><Relationship Id="rId837" Type="http://schemas.openxmlformats.org/officeDocument/2006/relationships/hyperlink" Target="https://www.nature.com/articles/s41467-026-70049-3" TargetMode="External"/><Relationship Id="rId838" Type="http://schemas.openxmlformats.org/officeDocument/2006/relationships/hyperlink" Target="https://www.cell.com/joule/fulltext/S2542-4351(25)00485-4?rss=yes" TargetMode="External"/><Relationship Id="rId839" Type="http://schemas.openxmlformats.org/officeDocument/2006/relationships/hyperlink" Target="https://www.cell.com/joule/fulltext/S2542-4351(25)00484-2?rss=yes" TargetMode="External"/><Relationship Id="rId840" Type="http://schemas.openxmlformats.org/officeDocument/2006/relationships/hyperlink" Target="http://pubs.rsc.org/en/Content/ArticleLanding/2026/EE/D5EE07165H" TargetMode="External"/><Relationship Id="rId841" Type="http://schemas.openxmlformats.org/officeDocument/2006/relationships/hyperlink" Target="http://pubs.rsc.org/en/Content/ArticleLanding/2026/EE/D5EE07705B" TargetMode="External"/><Relationship Id="rId842" Type="http://schemas.openxmlformats.org/officeDocument/2006/relationships/hyperlink" Target="https://advanced.onlinelibrary.wiley.com/doi/10.1002/aenm.202506610?af=R" TargetMode="External"/><Relationship Id="rId843" Type="http://schemas.openxmlformats.org/officeDocument/2006/relationships/hyperlink" Target="https://doi.org/10.1002/aenm.202506610" TargetMode="External"/><Relationship Id="rId844" Type="http://schemas.openxmlformats.org/officeDocument/2006/relationships/hyperlink" Target="https://advanced.onlinelibrary.wiley.com/doi/10.1002/adma.202521410?af=R" TargetMode="External"/><Relationship Id="rId845" Type="http://schemas.openxmlformats.org/officeDocument/2006/relationships/hyperlink" Target="https://doi.org/10.1002/adma.202521410" TargetMode="External"/><Relationship Id="rId846" Type="http://schemas.openxmlformats.org/officeDocument/2006/relationships/hyperlink" Target="https://advanced.onlinelibrary.wiley.com/doi/10.1002/aenm.70792?af=R" TargetMode="External"/><Relationship Id="rId847" Type="http://schemas.openxmlformats.org/officeDocument/2006/relationships/hyperlink" Target="https://doi.org/10.1002/aenm.70792" TargetMode="External"/><Relationship Id="rId848" Type="http://schemas.openxmlformats.org/officeDocument/2006/relationships/hyperlink" Target="https://onlinelibrary.wiley.com/doi/10.1002/anie.4039681?af=R" TargetMode="External"/><Relationship Id="rId849" Type="http://schemas.openxmlformats.org/officeDocument/2006/relationships/hyperlink" Target="https://doi.org/10.1002/anie.4039681" TargetMode="External"/><Relationship Id="rId850" Type="http://schemas.openxmlformats.org/officeDocument/2006/relationships/hyperlink" Target="https://onlinelibrary.wiley.com/doi/10.1002/anie.202523307?af=R" TargetMode="External"/><Relationship Id="rId851" Type="http://schemas.openxmlformats.org/officeDocument/2006/relationships/hyperlink" Target="https://doi.org/10.1002/anie.202523307" TargetMode="External"/><Relationship Id="rId852" Type="http://schemas.openxmlformats.org/officeDocument/2006/relationships/hyperlink" Target="https://onlinelibrary.wiley.com/doi/10.1002/anie.202522726?af=R" TargetMode="External"/><Relationship Id="rId853" Type="http://schemas.openxmlformats.org/officeDocument/2006/relationships/hyperlink" Target="https://doi.org/10.1002/anie.202522726" TargetMode="External"/><Relationship Id="rId854" Type="http://schemas.openxmlformats.org/officeDocument/2006/relationships/hyperlink" Target="https://onlinelibrary.wiley.com/doi/10.1002/anie.7328455?af=R" TargetMode="External"/><Relationship Id="rId855" Type="http://schemas.openxmlformats.org/officeDocument/2006/relationships/hyperlink" Target="https://doi.org/10.1002/anie.7328455" TargetMode="External"/><Relationship Id="rId856" Type="http://schemas.openxmlformats.org/officeDocument/2006/relationships/hyperlink" Target="https://advanced.onlinelibrary.wiley.com/doi/10.1002/aenm.202506549?af=R" TargetMode="External"/><Relationship Id="rId857" Type="http://schemas.openxmlformats.org/officeDocument/2006/relationships/hyperlink" Target="https://doi.org/10.1002/aenm.202506549" TargetMode="External"/><Relationship Id="rId858" Type="http://schemas.openxmlformats.org/officeDocument/2006/relationships/hyperlink" Target="https://onlinelibrary.wiley.com/doi/10.1002/anie.3633333?af=R" TargetMode="External"/><Relationship Id="rId859" Type="http://schemas.openxmlformats.org/officeDocument/2006/relationships/hyperlink" Target="https://doi.org/10.1002/anie.3633333" TargetMode="External"/><Relationship Id="rId860" Type="http://schemas.openxmlformats.org/officeDocument/2006/relationships/hyperlink" Target="https://www.science.org/doi/abs/10.1126/science.aef2236?af=R" TargetMode="External"/><Relationship Id="rId861" Type="http://schemas.openxmlformats.org/officeDocument/2006/relationships/hyperlink" Target="https://doi.org/10.1126/science.aef2236" TargetMode="External"/><Relationship Id="rId862" Type="http://schemas.openxmlformats.org/officeDocument/2006/relationships/hyperlink" Target="https://www.science.org/doi/abs/10.1126/science.aef2227?af=R" TargetMode="External"/><Relationship Id="rId863" Type="http://schemas.openxmlformats.org/officeDocument/2006/relationships/hyperlink" Target="https://doi.org/10.1126/science.aef2227" TargetMode="External"/><Relationship Id="rId864" Type="http://schemas.openxmlformats.org/officeDocument/2006/relationships/hyperlink" Target="https://www.science.org/doi/abs/10.1126/science.aef2220?af=R" TargetMode="External"/><Relationship Id="rId865" Type="http://schemas.openxmlformats.org/officeDocument/2006/relationships/hyperlink" Target="https://doi.org/10.1126/science.aef2220" TargetMode="External"/><Relationship Id="rId866" Type="http://schemas.openxmlformats.org/officeDocument/2006/relationships/hyperlink" Target="https://www.science.org/doi/abs/10.1126/science.aee7957?af=R" TargetMode="External"/><Relationship Id="rId867" Type="http://schemas.openxmlformats.org/officeDocument/2006/relationships/hyperlink" Target="https://doi.org/10.1126/science.aee7957" TargetMode="External"/><Relationship Id="rId868" Type="http://schemas.openxmlformats.org/officeDocument/2006/relationships/hyperlink" Target="https://www.science.org/doi/abs/10.1126/science.aee7241?af=R" TargetMode="External"/><Relationship Id="rId869" Type="http://schemas.openxmlformats.org/officeDocument/2006/relationships/hyperlink" Target="https://doi.org/10.1126/science.aee7241" TargetMode="External"/><Relationship Id="rId870" Type="http://schemas.openxmlformats.org/officeDocument/2006/relationships/hyperlink" Target="https://www.science.org/doi/abs/10.1126/science.aee2603?af=R" TargetMode="External"/><Relationship Id="rId871" Type="http://schemas.openxmlformats.org/officeDocument/2006/relationships/hyperlink" Target="https://doi.org/10.1126/science.aee2603" TargetMode="External"/><Relationship Id="rId872" Type="http://schemas.openxmlformats.org/officeDocument/2006/relationships/hyperlink" Target="https://www.science.org/doi/abs/10.1126/science.aec8992?af=R" TargetMode="External"/><Relationship Id="rId873" Type="http://schemas.openxmlformats.org/officeDocument/2006/relationships/hyperlink" Target="https://doi.org/10.1126/science.aec8992" TargetMode="External"/><Relationship Id="rId874" Type="http://schemas.openxmlformats.org/officeDocument/2006/relationships/hyperlink" Target="https://www.science.org/doi/abs/10.1126/science.aef5612?af=R" TargetMode="External"/><Relationship Id="rId875" Type="http://schemas.openxmlformats.org/officeDocument/2006/relationships/hyperlink" Target="https://doi.org/10.1126/science.aef5612" TargetMode="External"/><Relationship Id="rId876" Type="http://schemas.openxmlformats.org/officeDocument/2006/relationships/hyperlink" Target="https://www.science.org/doi/abs/10.1126/science.aeb8384?af=R" TargetMode="External"/><Relationship Id="rId877" Type="http://schemas.openxmlformats.org/officeDocument/2006/relationships/hyperlink" Target="https://doi.org/10.1126/science.aeb8384" TargetMode="External"/><Relationship Id="rId878" Type="http://schemas.openxmlformats.org/officeDocument/2006/relationships/hyperlink" Target="https://www.science.org/doi/abs/10.1126/science.aeb4867?af=R" TargetMode="External"/><Relationship Id="rId879" Type="http://schemas.openxmlformats.org/officeDocument/2006/relationships/hyperlink" Target="https://doi.org/10.1126/science.aeb4867" TargetMode="External"/><Relationship Id="rId880" Type="http://schemas.openxmlformats.org/officeDocument/2006/relationships/hyperlink" Target="https://www.science.org/doi/abs/10.1126/science.aea6774?af=R" TargetMode="External"/><Relationship Id="rId881" Type="http://schemas.openxmlformats.org/officeDocument/2006/relationships/hyperlink" Target="https://doi.org/10.1126/science.aea6774" TargetMode="External"/><Relationship Id="rId882" Type="http://schemas.openxmlformats.org/officeDocument/2006/relationships/hyperlink" Target="https://www.science.org/doi/abs/10.1126/science.aea3339?af=R" TargetMode="External"/><Relationship Id="rId883" Type="http://schemas.openxmlformats.org/officeDocument/2006/relationships/hyperlink" Target="https://doi.org/10.1126/science.aea3339" TargetMode="External"/><Relationship Id="rId884" Type="http://schemas.openxmlformats.org/officeDocument/2006/relationships/hyperlink" Target="https://www.science.org/doi/abs/10.1126/science.adv7378?af=R" TargetMode="External"/><Relationship Id="rId885" Type="http://schemas.openxmlformats.org/officeDocument/2006/relationships/hyperlink" Target="https://doi.org/10.1126/science.adv7378" TargetMode="External"/><Relationship Id="rId886" Type="http://schemas.openxmlformats.org/officeDocument/2006/relationships/hyperlink" Target="https://www.science.org/doi/abs/10.1126/science.aee2317?af=R" TargetMode="External"/><Relationship Id="rId887" Type="http://schemas.openxmlformats.org/officeDocument/2006/relationships/hyperlink" Target="https://doi.org/10.1126/science.aee2317" TargetMode="External"/><Relationship Id="rId888" Type="http://schemas.openxmlformats.org/officeDocument/2006/relationships/hyperlink" Target="https://www.science.org/doi/abs/10.1126/science.aef5647?af=R" TargetMode="External"/><Relationship Id="rId889" Type="http://schemas.openxmlformats.org/officeDocument/2006/relationships/hyperlink" Target="https://doi.org/10.1126/science.aef5647" TargetMode="External"/><Relationship Id="rId890" Type="http://schemas.openxmlformats.org/officeDocument/2006/relationships/hyperlink" Target="https://www.science.org/doi/abs/10.1126/science.aef5650?af=R" TargetMode="External"/><Relationship Id="rId891" Type="http://schemas.openxmlformats.org/officeDocument/2006/relationships/hyperlink" Target="https://doi.org/10.1126/science.aef5650" TargetMode="External"/><Relationship Id="rId892" Type="http://schemas.openxmlformats.org/officeDocument/2006/relationships/hyperlink" Target="https://www.science.org/doi/abs/10.1126/science.aef9576?af=R" TargetMode="External"/><Relationship Id="rId893" Type="http://schemas.openxmlformats.org/officeDocument/2006/relationships/hyperlink" Target="https://doi.org/10.1126/science.aef9576" TargetMode="External"/><Relationship Id="rId894" Type="http://schemas.openxmlformats.org/officeDocument/2006/relationships/hyperlink" Target="https://www.science.org/doi/abs/10.1126/science.aeg7168?af=R" TargetMode="External"/><Relationship Id="rId895" Type="http://schemas.openxmlformats.org/officeDocument/2006/relationships/hyperlink" Target="https://doi.org/10.1126/science.aeg7168" TargetMode="External"/><Relationship Id="rId896" Type="http://schemas.openxmlformats.org/officeDocument/2006/relationships/hyperlink" Target="https://www.science.org/doi/abs/10.1126/science.aeg7166?af=R" TargetMode="External"/><Relationship Id="rId897" Type="http://schemas.openxmlformats.org/officeDocument/2006/relationships/hyperlink" Target="https://doi.org/10.1126/science.aeg7166" TargetMode="External"/><Relationship Id="rId898" Type="http://schemas.openxmlformats.org/officeDocument/2006/relationships/hyperlink" Target="https://www.science.org/doi/abs/10.1126/science.aeg7164?af=R" TargetMode="External"/><Relationship Id="rId899" Type="http://schemas.openxmlformats.org/officeDocument/2006/relationships/hyperlink" Target="https://doi.org/10.1126/science.aeg7164" TargetMode="External"/><Relationship Id="rId900" Type="http://schemas.openxmlformats.org/officeDocument/2006/relationships/hyperlink" Target="https://www.science.org/doi/abs/10.1126/science.aeg7163?af=R" TargetMode="External"/><Relationship Id="rId901" Type="http://schemas.openxmlformats.org/officeDocument/2006/relationships/hyperlink" Target="https://doi.org/10.1126/science.aeg7163" TargetMode="External"/><Relationship Id="rId902" Type="http://schemas.openxmlformats.org/officeDocument/2006/relationships/hyperlink" Target="https://www.science.org/doi/abs/10.1126/science.aeg6836?af=R" TargetMode="External"/><Relationship Id="rId903" Type="http://schemas.openxmlformats.org/officeDocument/2006/relationships/hyperlink" Target="https://doi.org/10.1126/science.aeg6836" TargetMode="External"/><Relationship Id="rId904" Type="http://schemas.openxmlformats.org/officeDocument/2006/relationships/hyperlink" Target="https://www.science.org/doi/abs/10.1126/science.aeg7162?af=R" TargetMode="External"/><Relationship Id="rId905" Type="http://schemas.openxmlformats.org/officeDocument/2006/relationships/hyperlink" Target="https://doi.org/10.1126/science.aeg7162" TargetMode="External"/><Relationship Id="rId906" Type="http://schemas.openxmlformats.org/officeDocument/2006/relationships/hyperlink" Target="https://www.science.org/doi/abs/10.1126/science.aeg6834?af=R" TargetMode="External"/><Relationship Id="rId907" Type="http://schemas.openxmlformats.org/officeDocument/2006/relationships/hyperlink" Target="https://doi.org/10.1126/science.aeg6834" TargetMode="External"/><Relationship Id="rId908" Type="http://schemas.openxmlformats.org/officeDocument/2006/relationships/hyperlink" Target="https://www.science.org/doi/abs/10.1126/science.ady1729?af=R" TargetMode="External"/><Relationship Id="rId909" Type="http://schemas.openxmlformats.org/officeDocument/2006/relationships/hyperlink" Target="https://doi.org/10.1126/science.ady1729" TargetMode="External"/><Relationship Id="rId910" Type="http://schemas.openxmlformats.org/officeDocument/2006/relationships/hyperlink" Target="https://www.science.org/doi/abs/10.1126/science.aeg6310?af=R" TargetMode="External"/><Relationship Id="rId911" Type="http://schemas.openxmlformats.org/officeDocument/2006/relationships/hyperlink" Target="https://doi.org/10.1126/science.aeg6310" TargetMode="External"/><Relationship Id="rId912" Type="http://schemas.openxmlformats.org/officeDocument/2006/relationships/hyperlink" Target="https://www.science.org/doi/abs/10.1126/science.ads0871?af=R" TargetMode="External"/><Relationship Id="rId913" Type="http://schemas.openxmlformats.org/officeDocument/2006/relationships/hyperlink" Target="https://doi.org/10.1126/science.ads0871" TargetMode="External"/><Relationship Id="rId914" Type="http://schemas.openxmlformats.org/officeDocument/2006/relationships/hyperlink" Target="https://www.science.org/doi/abs/10.1126/science.aeg6835?af=R" TargetMode="External"/><Relationship Id="rId915" Type="http://schemas.openxmlformats.org/officeDocument/2006/relationships/hyperlink" Target="https://doi.org/10.1126/science.aeg6835" TargetMode="External"/><Relationship Id="rId916" Type="http://schemas.openxmlformats.org/officeDocument/2006/relationships/hyperlink" Target="https://www.science.org/doi/abs/10.1126/science.aeg6833?af=R" TargetMode="External"/><Relationship Id="rId917" Type="http://schemas.openxmlformats.org/officeDocument/2006/relationships/hyperlink" Target="https://doi.org/10.1126/science.aeg6833" TargetMode="External"/><Relationship Id="rId918" Type="http://schemas.openxmlformats.org/officeDocument/2006/relationships/hyperlink" Target="https://onlinelibrary.wiley.com/doi/10.1002/anie.202518530?af=R" TargetMode="External"/><Relationship Id="rId919" Type="http://schemas.openxmlformats.org/officeDocument/2006/relationships/hyperlink" Target="https://doi.org/10.1002/anie.202518530" TargetMode="External"/><Relationship Id="rId920" Type="http://schemas.openxmlformats.org/officeDocument/2006/relationships/hyperlink" Target="https://onlinelibrary.wiley.com/doi/10.1002/anie.2644336?af=R" TargetMode="External"/><Relationship Id="rId921" Type="http://schemas.openxmlformats.org/officeDocument/2006/relationships/hyperlink" Target="https://doi.org/10.1002/anie.2644336" TargetMode="External"/><Relationship Id="rId922" Type="http://schemas.openxmlformats.org/officeDocument/2006/relationships/hyperlink" Target="https://onlinelibrary.wiley.com/doi/10.1002/anie.4703576?af=R" TargetMode="External"/><Relationship Id="rId923" Type="http://schemas.openxmlformats.org/officeDocument/2006/relationships/hyperlink" Target="https://doi.org/10.1002/anie.4703576" TargetMode="External"/><Relationship Id="rId924" Type="http://schemas.openxmlformats.org/officeDocument/2006/relationships/hyperlink" Target="https://onlinelibrary.wiley.com/doi/10.1002/anie.7982319?af=R" TargetMode="External"/><Relationship Id="rId925" Type="http://schemas.openxmlformats.org/officeDocument/2006/relationships/hyperlink" Target="https://doi.org/10.1002/anie.7982319" TargetMode="External"/><Relationship Id="rId926" Type="http://schemas.openxmlformats.org/officeDocument/2006/relationships/hyperlink" Target="https://www.science.org/doi/abs/10.1126/science.aea0296?af=R" TargetMode="External"/><Relationship Id="rId927" Type="http://schemas.openxmlformats.org/officeDocument/2006/relationships/hyperlink" Target="https://doi.org/10.1126/science.aea0296" TargetMode="External"/><Relationship Id="rId928" Type="http://schemas.openxmlformats.org/officeDocument/2006/relationships/hyperlink" Target="https://www.pnas.org/doi/abs/10.1073/pnas.2519498123?mi=eymic2&amp;af=R&amp;access=on&amp;content=articlesChapters&amp;publication=pnas&amp;sortBy=Earliest&amp;target=default" TargetMode="External"/><Relationship Id="rId929" Type="http://schemas.openxmlformats.org/officeDocument/2006/relationships/hyperlink" Target="https://doi.org/10.1073/pnas.2519498123" TargetMode="External"/><Relationship Id="rId930" Type="http://schemas.openxmlformats.org/officeDocument/2006/relationships/hyperlink" Target="https://www.science.org/doi/abs/10.1126/science.aea1546?af=R" TargetMode="External"/><Relationship Id="rId931" Type="http://schemas.openxmlformats.org/officeDocument/2006/relationships/hyperlink" Target="https://doi.org/10.1126/science.aea1546" TargetMode="External"/><Relationship Id="rId932" Type="http://schemas.openxmlformats.org/officeDocument/2006/relationships/hyperlink" Target="https://www.science.org/doi/abs/10.1126/science.aef2849?af=R" TargetMode="External"/><Relationship Id="rId933" Type="http://schemas.openxmlformats.org/officeDocument/2006/relationships/hyperlink" Target="https://doi.org/10.1126/science.aef2849" TargetMode="External"/><Relationship Id="rId934" Type="http://schemas.openxmlformats.org/officeDocument/2006/relationships/hyperlink" Target="https://www.science.org/doi/abs/10.1126/science.aeg5565?af=R" TargetMode="External"/><Relationship Id="rId935" Type="http://schemas.openxmlformats.org/officeDocument/2006/relationships/hyperlink" Target="https://doi.org/10.1126/science.aeg5565" TargetMode="External"/><Relationship Id="rId936" Type="http://schemas.openxmlformats.org/officeDocument/2006/relationships/hyperlink" Target="https://www.science.org/doi/abs/10.1126/science.ady2822?af=R" TargetMode="External"/><Relationship Id="rId937" Type="http://schemas.openxmlformats.org/officeDocument/2006/relationships/hyperlink" Target="https://doi.org/10.1126/science.ady2822" TargetMode="External"/><Relationship Id="rId938" Type="http://schemas.openxmlformats.org/officeDocument/2006/relationships/hyperlink" Target="https://www.science.org/doi/abs/10.1126/science.adw6273?af=R" TargetMode="External"/><Relationship Id="rId939" Type="http://schemas.openxmlformats.org/officeDocument/2006/relationships/hyperlink" Target="https://doi.org/10.1126/science.adw6273" TargetMode="External"/><Relationship Id="rId940" Type="http://schemas.openxmlformats.org/officeDocument/2006/relationships/hyperlink" Target="https://www.science.org/doi/abs/10.1126/science.adt1522?af=R" TargetMode="External"/><Relationship Id="rId941" Type="http://schemas.openxmlformats.org/officeDocument/2006/relationships/hyperlink" Target="https://doi.org/10.1126/science.adt1522" TargetMode="External"/><Relationship Id="rId942" Type="http://schemas.openxmlformats.org/officeDocument/2006/relationships/hyperlink" Target="https://www.science.org/doi/abs/10.1126/science.adz3121?af=R" TargetMode="External"/><Relationship Id="rId943" Type="http://schemas.openxmlformats.org/officeDocument/2006/relationships/hyperlink" Target="https://doi.org/10.1126/science.adz3121" TargetMode="External"/><Relationship Id="rId944" Type="http://schemas.openxmlformats.org/officeDocument/2006/relationships/hyperlink" Target="https://www.science.org/doi/abs/10.1126/sciadv.adz0269?af=R" TargetMode="External"/><Relationship Id="rId945" Type="http://schemas.openxmlformats.org/officeDocument/2006/relationships/hyperlink" Target="https://doi.org/10.1126/sciadv.adz0269" TargetMode="External"/><Relationship Id="rId946" Type="http://schemas.openxmlformats.org/officeDocument/2006/relationships/hyperlink" Target="https://www.science.org/doi/abs/10.1126/science.ads4405?af=R" TargetMode="External"/><Relationship Id="rId947" Type="http://schemas.openxmlformats.org/officeDocument/2006/relationships/hyperlink" Target="https://doi.org/10.1126/science.ads4405" TargetMode="External"/><Relationship Id="rId948" Type="http://schemas.openxmlformats.org/officeDocument/2006/relationships/hyperlink" Target="https://www.pnas.org/doi/abs/10.1073/pnas.2534387123?mi=eymic2&amp;af=R&amp;access=on&amp;content=articlesChapters&amp;publication=pnas&amp;sortBy=Earliest&amp;target=default" TargetMode="External"/><Relationship Id="rId949" Type="http://schemas.openxmlformats.org/officeDocument/2006/relationships/hyperlink" Target="https://doi.org/10.1073/pnas.2534387123" TargetMode="External"/><Relationship Id="rId950" Type="http://schemas.openxmlformats.org/officeDocument/2006/relationships/hyperlink" Target="https://www.pnas.org/doi/abs/10.1073/pnas.2533803123?mi=eymic2&amp;af=R&amp;access=on&amp;content=articlesChapters&amp;publication=pnas&amp;sortBy=Earliest&amp;target=default" TargetMode="External"/><Relationship Id="rId951" Type="http://schemas.openxmlformats.org/officeDocument/2006/relationships/hyperlink" Target="https://doi.org/10.1073/pnas.2533803123" TargetMode="External"/><Relationship Id="rId952" Type="http://schemas.openxmlformats.org/officeDocument/2006/relationships/hyperlink" Target="https://www.pnas.org/doi/abs/10.1073/pnas.2533726123?mi=eymic2&amp;af=R&amp;access=on&amp;content=articlesChapters&amp;publication=pnas&amp;sortBy=Earliest&amp;target=default" TargetMode="External"/><Relationship Id="rId953" Type="http://schemas.openxmlformats.org/officeDocument/2006/relationships/hyperlink" Target="https://doi.org/10.1073/pnas.2533726123" TargetMode="External"/><Relationship Id="rId954" Type="http://schemas.openxmlformats.org/officeDocument/2006/relationships/hyperlink" Target="https://www.pnas.org/doi/abs/10.1073/pnas.2533591123?mi=eymic2&amp;af=R&amp;access=on&amp;content=articlesChapters&amp;publication=pnas&amp;sortBy=Earliest&amp;target=default" TargetMode="External"/><Relationship Id="rId955" Type="http://schemas.openxmlformats.org/officeDocument/2006/relationships/hyperlink" Target="https://doi.org/10.1073/pnas.2533591123" TargetMode="External"/><Relationship Id="rId956" Type="http://schemas.openxmlformats.org/officeDocument/2006/relationships/hyperlink" Target="https://www.pnas.org/doi/abs/10.1073/pnas.2531049123?mi=eymic2&amp;af=R&amp;access=on&amp;content=articlesChapters&amp;publication=pnas&amp;sortBy=Earliest&amp;target=default" TargetMode="External"/><Relationship Id="rId957" Type="http://schemas.openxmlformats.org/officeDocument/2006/relationships/hyperlink" Target="https://doi.org/10.1073/pnas.2531049123" TargetMode="External"/><Relationship Id="rId958" Type="http://schemas.openxmlformats.org/officeDocument/2006/relationships/hyperlink" Target="https://www.pnas.org/doi/abs/10.1073/pnas.2529249123?mi=eymic2&amp;af=R&amp;access=on&amp;content=articlesChapters&amp;publication=pnas&amp;sortBy=Earliest&amp;target=default" TargetMode="External"/><Relationship Id="rId959" Type="http://schemas.openxmlformats.org/officeDocument/2006/relationships/hyperlink" Target="https://doi.org/10.1073/pnas.2529249123" TargetMode="External"/><Relationship Id="rId960" Type="http://schemas.openxmlformats.org/officeDocument/2006/relationships/hyperlink" Target="https://www.pnas.org/doi/abs/10.1073/pnas.2526802123?mi=eymic2&amp;af=R&amp;access=on&amp;content=articlesChapters&amp;publication=pnas&amp;sortBy=Earliest&amp;target=default" TargetMode="External"/><Relationship Id="rId961" Type="http://schemas.openxmlformats.org/officeDocument/2006/relationships/hyperlink" Target="https://doi.org/10.1073/pnas.2526802123" TargetMode="External"/><Relationship Id="rId962" Type="http://schemas.openxmlformats.org/officeDocument/2006/relationships/hyperlink" Target="https://www.pnas.org/doi/abs/10.1073/pnas.2524765123?mi=eymic2&amp;af=R&amp;access=on&amp;content=articlesChapters&amp;publication=pnas&amp;sortBy=Earliest&amp;target=default" TargetMode="External"/><Relationship Id="rId963" Type="http://schemas.openxmlformats.org/officeDocument/2006/relationships/hyperlink" Target="https://doi.org/10.1073/pnas.2524765123" TargetMode="External"/><Relationship Id="rId964" Type="http://schemas.openxmlformats.org/officeDocument/2006/relationships/hyperlink" Target="https://www.pnas.org/doi/abs/10.1073/pnas.2534547123?mi=eymic2&amp;af=R&amp;access=on&amp;content=articlesChapters&amp;publication=pnas&amp;sortBy=Earliest&amp;target=default" TargetMode="External"/><Relationship Id="rId965" Type="http://schemas.openxmlformats.org/officeDocument/2006/relationships/hyperlink" Target="https://doi.org/10.1073/pnas.2534547123" TargetMode="External"/><Relationship Id="rId966" Type="http://schemas.openxmlformats.org/officeDocument/2006/relationships/hyperlink" Target="http://dx.doi.org/10.1021/jacs.5c20407" TargetMode="External"/><Relationship Id="rId967" Type="http://schemas.openxmlformats.org/officeDocument/2006/relationships/hyperlink" Target="https://doi.org/10.1021/jacs.5c20407" TargetMode="External"/><Relationship Id="rId968" Type="http://schemas.openxmlformats.org/officeDocument/2006/relationships/hyperlink" Target="http://dx.doi.org/10.1021/jacs.5c16910" TargetMode="External"/><Relationship Id="rId969" Type="http://schemas.openxmlformats.org/officeDocument/2006/relationships/hyperlink" Target="https://doi.org/10.1021/jacs.5c16910" TargetMode="External"/><Relationship Id="rId970" Type="http://schemas.openxmlformats.org/officeDocument/2006/relationships/hyperlink" Target="http://dx.doi.org/10.1021/jacs.5c22970" TargetMode="External"/><Relationship Id="rId971" Type="http://schemas.openxmlformats.org/officeDocument/2006/relationships/hyperlink" Target="https://doi.org/10.1021/jacs.5c22970" TargetMode="External"/><Relationship Id="rId972" Type="http://schemas.openxmlformats.org/officeDocument/2006/relationships/hyperlink" Target="http://dx.doi.org/10.1021/acs.chemrev.5c00326" TargetMode="External"/><Relationship Id="rId973" Type="http://schemas.openxmlformats.org/officeDocument/2006/relationships/hyperlink" Target="https://doi.org/10.1021/acs.chemrev.5c00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