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2026-03-06</w:t>
      </w:r>
    </w:p>
    <w:p>
      <w:pPr>
        <w:spacing w:before="160" w:after="120"/>
      </w:pPr>
      <w:r>
        <w:rPr>
          <w:b/>
          <w:sz w:val="28"/>
        </w:rPr>
        <w:t>【光伏】</w:t>
      </w:r>
    </w:p>
    <w:p>
      <w:pPr>
        <w:spacing w:before="160" w:after="40" w:line="240" w:lineRule="auto"/>
      </w:pPr>
      <w:r>
        <w:rPr>
          <w:b/>
        </w:rPr>
        <w:t xml:space="preserve">[1] </w:t>
      </w:r>
      <w:hyperlink r:id="rId9">
        <w:r>
          <w:rPr>
            <w:color w:val="1155CC"/>
            <w:u w:val="single"/>
          </w:rPr>
          <w:t>TinyML驱动的无人机检查用于太阳能电池板监测的优化路径规划</w:t>
        </w:r>
      </w:hyperlink>
    </w:p>
    <w:p>
      <w:pPr>
        <w:spacing w:before="0" w:after="80"/>
      </w:pPr>
      <w:r>
        <w:rPr>
          <w:i/>
          <w:sz w:val="20"/>
        </w:rPr>
        <w:t>EN: TinyML powered UAV inspection for solar panel monitoring with optimized path planning</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光伏退化的气候驱动因素：区域变异性和材料途径</w:t>
        </w:r>
      </w:hyperlink>
    </w:p>
    <w:p>
      <w:pPr>
        <w:spacing w:before="0" w:after="80"/>
      </w:pPr>
      <w:r>
        <w:rPr>
          <w:i/>
          <w:sz w:val="20"/>
        </w:rPr>
        <w:t>EN: Climate drivers of photovoltaic degradation: Regional variability and material pathways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卤化物钙钛矿的边缘：表面和界面驱动太阳能效率和稳定性</w:t>
        </w:r>
      </w:hyperlink>
    </w:p>
    <w:p>
      <w:pPr>
        <w:spacing w:before="0" w:after="80"/>
      </w:pPr>
      <w:r>
        <w:rPr>
          <w:i/>
          <w:sz w:val="20"/>
        </w:rPr>
        <w:t>EN: The edge of halide perovskites: surfaces and interfaces drive solar efficiency and stability</w:t>
      </w:r>
    </w:p>
    <w:p>
      <w:pPr>
        <w:spacing w:before="0" w:after="120"/>
      </w:pPr>
      <w:r>
        <w:rPr>
          <w:b/>
        </w:rPr>
        <w:t xml:space="preserve">Source: </w:t>
      </w:r>
      <w:r>
        <w:t>RSC - Chem. Soc. Rev. latest articles</w:t>
      </w:r>
      <w:r>
        <w:t xml:space="preserve">    </w:t>
      </w:r>
      <w:r>
        <w:rPr>
          <w:b/>
        </w:rPr>
        <w:t xml:space="preserve">Pub date: </w:t>
      </w:r>
      <w:r>
        <w:t>2026-03-02 00:00:00+00:00</w:t>
      </w:r>
    </w:p>
    <w:p>
      <w:pPr>
        <w:spacing w:before="0" w:after="120"/>
      </w:pPr>
      <w:r>
        <w:rPr>
          <w:b/>
        </w:rPr>
        <w:t xml:space="preserve">Notes: </w:t>
      </w:r>
      <w:r>
        <w:t>abstract_source=rsc_html</w:t>
      </w:r>
    </w:p>
    <w:p>
      <w:pPr>
        <w:spacing w:before="0" w:after="80" w:lineRule="auto" w:line="276"/>
      </w:pPr>
      <w:r>
        <w:rPr>
          <w:b/>
        </w:rPr>
        <w:t xml:space="preserve">摘要（ZH）: </w:t>
      </w:r>
      <w:r>
        <w:t>卤化物钙钛矿太阳能电池（PSCs）因其高转换效率、低制造成本和广泛的材料可调性而成为最有前途的下一代光伏技术之一，而无需显著的合成努力。早期进展将材料筛选引导至通过成分和形态优化来提高效率。突出挑战包括对寄生损失路径的精细控制，如在电荷收集电极处的表面复合，以及长期稳定性。在本综述中，我们确定了界面设计的关键标准，以促进性能和耐久性。考虑的关键点包括支撑电荷收集选择性的近表面化学-电子特性连接，缺陷介导的再</w:t>
      </w:r>
    </w:p>
    <w:p>
      <w:pPr>
        <w:spacing w:before="0" w:after="200" w:lineRule="auto" w:line="276"/>
      </w:pPr>
      <w:r>
        <w:rPr>
          <w:b/>
        </w:rPr>
        <w:t xml:space="preserve">Abstract (EN): </w:t>
      </w:r>
      <w:r>
        <w:t>Halide perovskite solar cells (PSCs) have emerged as one of the most promising next-generation photovoltaic technologies, owing to high conversion efficiencies, low fabrication costs, and broad material tunability without significant synthetic effort. Early progress directed material screening to boost efficiencies via compositional and morphological optimization. Outstanding challenges include refined control over parasitic loss pathways, such as surface recombination at charge harvesting electrodes, and long-term stability. In this review, we identify critical design criteria of interfaces to promote both performance and durability. Key points of consideration include near-surface chemistry-electronic property connections underpinning charge harvesting selectivity, how defect-mediated recombination at interfaces lowers device performance, and how interfacial instabilities underlie many failure mechanisms in perovskite solar cells. This review surveys current materials strategies for interfacial engineering, including transport layer design and surface passivation, as well as advanced characterization techniques that offer insights into materials surfaces and buried interfaces. By integrating theoretical understanding with empirical approaches, we aim to provide a framework for rational interface design to unlock scalable, stable, and efficient perovskite photovoltaics.</w:t>
      </w:r>
    </w:p>
    <w:p>
      <w:pPr>
        <w:spacing w:before="120" w:after="120"/>
      </w:pPr>
      <w:r>
        <w:rPr>
          <w:sz w:val="18"/>
        </w:rPr>
        <w:t>——————————————————————————————————————————————————————————————————————</w:t>
      </w:r>
    </w:p>
    <w:p>
      <w:pPr>
        <w:spacing w:before="160" w:after="40" w:line="240" w:lineRule="auto"/>
      </w:pPr>
      <w:r>
        <w:rPr>
          <w:b/>
        </w:rPr>
        <w:t xml:space="preserve">[4] </w:t>
      </w:r>
      <w:hyperlink r:id="rId12">
        <w:r>
          <w:rPr>
            <w:color w:val="1155CC"/>
            <w:u w:val="single"/>
          </w:rPr>
          <w:t>用于高效和可扩展钙钛矿太阳能电池的稳定综合掺杂剂</w:t>
        </w:r>
      </w:hyperlink>
    </w:p>
    <w:p>
      <w:pPr>
        <w:spacing w:before="0" w:after="80"/>
      </w:pPr>
      <w:r>
        <w:rPr>
          <w:i/>
          <w:sz w:val="20"/>
        </w:rPr>
        <w:t>EN: Stable comprehensive dopants for efficient and scalable perovskite solar cells</w:t>
      </w:r>
    </w:p>
    <w:p>
      <w:pPr>
        <w:spacing w:before="0" w:after="120"/>
      </w:pPr>
      <w:r>
        <w:rPr>
          <w:b/>
        </w:rPr>
        <w:t xml:space="preserve">Source: </w:t>
      </w:r>
      <w:r>
        <w:t>Joule</w:t>
      </w:r>
      <w:r>
        <w:t xml:space="preserve">    </w:t>
      </w:r>
      <w:r>
        <w:rPr>
          <w:b/>
        </w:rPr>
        <w:t xml:space="preserve">Pub date: </w:t>
      </w:r>
      <w:r>
        <w:t>2026-03-02 00:00:00+00:00</w:t>
      </w:r>
      <w:r>
        <w:t xml:space="preserve">    </w:t>
      </w:r>
      <w:r>
        <w:rPr>
          <w:b/>
        </w:rPr>
        <w:t xml:space="preserve">DOI: </w:t>
      </w:r>
      <w:hyperlink r:id="rId13">
        <w:r>
          <w:rPr>
            <w:color w:val="1155CC"/>
            <w:u w:val="single"/>
          </w:rPr>
          <w:t>10.1016/j.joule.2025.102310</w:t>
        </w:r>
      </w:hyperlink>
    </w:p>
    <w:p>
      <w:pPr>
        <w:spacing w:before="0" w:after="120"/>
      </w:pPr>
      <w:r>
        <w:rPr>
          <w:b/>
        </w:rPr>
        <w:t xml:space="preserve">Notes: </w:t>
      </w:r>
      <w:r>
        <w:t>abstract_source=rss_cell</w:t>
      </w:r>
    </w:p>
    <w:p>
      <w:pPr>
        <w:spacing w:before="0" w:after="80" w:lineRule="auto" w:line="276"/>
      </w:pPr>
      <w:r>
        <w:rPr>
          <w:b/>
        </w:rPr>
        <w:t xml:space="preserve">摘要（ZH）: </w:t>
      </w:r>
      <w:r>
        <w:t>尽管在过去十年中发现了许多缺点，复杂的多组分锂基掺杂方案仍然主导着n-i-p钙钛矿太阳能电池的应用。在此，展示了一种使用方便且高度可调的铁氰化合物的单组分氧化掺杂方法。尽管掺杂剂的负载量极低，但实现了优异的器件效率和稳定性，创纪录的器件达到了26.13%的功率转换效率，并在连续运行1000小时后保持了其初始效率的95%以上。</w:t>
      </w:r>
    </w:p>
    <w:p>
      <w:pPr>
        <w:spacing w:before="0" w:after="200" w:lineRule="auto" w:line="276"/>
      </w:pPr>
      <w:r>
        <w:rPr>
          <w:b/>
        </w:rPr>
        <w:t xml:space="preserve">Abstract (EN): </w:t>
      </w:r>
      <w:r>
        <w:t>Despite the multitude of drawbacks discovered over the last decade, complex multicomponent Li-based doping schemes continue to dominate n-i-p perovskite solar cell applications. Herein, a single-component oxidative doping approach is demonstrated using convenient and highly tunable ferrocenium compounds. Despite the ultra-low dopant loadings, excellent device efficiency and stability are achieved, with record devices reaching power conversion efficiencies of 26.13% and maintaining &gt;95% of their initial efficiency after 1,000 h of continuous operation.</w:t>
      </w:r>
    </w:p>
    <w:p>
      <w:pPr>
        <w:spacing w:before="120" w:after="120"/>
      </w:pPr>
      <w:r>
        <w:rPr>
          <w:sz w:val="18"/>
        </w:rPr>
        <w:t>——————————————————————————————————————————————————————————————————————</w:t>
      </w:r>
    </w:p>
    <w:p>
      <w:pPr>
        <w:spacing w:before="160" w:after="40" w:line="240" w:lineRule="auto"/>
      </w:pPr>
      <w:r>
        <w:rPr>
          <w:b/>
        </w:rPr>
        <w:t xml:space="preserve">[5] </w:t>
      </w:r>
      <w:hyperlink r:id="rId14">
        <w:r>
          <w:rPr>
            <w:color w:val="1155CC"/>
            <w:u w:val="single"/>
          </w:rPr>
          <w:t>回复杨等人：光伏发展与创新农业实践之间的协同作用以应对荒漠化</w:t>
        </w:r>
      </w:hyperlink>
    </w:p>
    <w:p>
      <w:pPr>
        <w:spacing w:before="0" w:after="80"/>
      </w:pPr>
      <w:r>
        <w:rPr>
          <w:i/>
          <w:sz w:val="20"/>
        </w:rPr>
        <w:t>EN: Reply to Yang et al.: Synergies between photovoltaic development and innovative agricultural practices for combating desertification</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15">
        <w:r>
          <w:rPr>
            <w:color w:val="1155CC"/>
            <w:u w:val="single"/>
          </w:rPr>
          <w:t>10.1073/pnas.2603130123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6">
        <w:r>
          <w:rPr>
            <w:color w:val="1155CC"/>
            <w:u w:val="single"/>
          </w:rPr>
          <w:t>沙漠中的快速太阳能发展：荒漠化控制和实现可持续发展目标的缺失元素</w:t>
        </w:r>
      </w:hyperlink>
    </w:p>
    <w:p>
      <w:pPr>
        <w:spacing w:before="0" w:after="80"/>
      </w:pPr>
      <w:r>
        <w:rPr>
          <w:i/>
          <w:sz w:val="20"/>
        </w:rPr>
        <w:t>EN: Rapid solar energy development in deserts: A missing element in desertification control and achieving Sustainable Development Goals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17">
        <w:r>
          <w:rPr>
            <w:color w:val="1155CC"/>
            <w:u w:val="single"/>
          </w:rPr>
          <w:t>10.1073/pnas.2601509123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8">
        <w:r>
          <w:rPr>
            <w:color w:val="1155CC"/>
            <w:u w:val="single"/>
          </w:rPr>
          <w:t>气候驱动的农业光伏生物物理和经济影响的分歧</w:t>
        </w:r>
      </w:hyperlink>
    </w:p>
    <w:p>
      <w:pPr>
        <w:spacing w:before="0" w:after="80"/>
      </w:pPr>
      <w:r>
        <w:rPr>
          <w:i/>
          <w:sz w:val="20"/>
        </w:rPr>
        <w:t>EN: Climate-driven divergence in biophysical and economic impacts of agrivoltaics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19">
        <w:r>
          <w:rPr>
            <w:color w:val="1155CC"/>
            <w:u w:val="single"/>
          </w:rPr>
          <w:t>10.1073/pnas.2514380123</w:t>
        </w:r>
      </w:hyperlink>
    </w:p>
    <w:p>
      <w:pPr>
        <w:spacing w:before="0" w:after="120"/>
      </w:pPr>
      <w:r>
        <w:rPr>
          <w:b/>
        </w:rPr>
        <w:t xml:space="preserve">Notes: </w:t>
      </w:r>
      <w:r>
        <w:t>abstract_source=crossref</w:t>
      </w:r>
    </w:p>
    <w:p>
      <w:pPr>
        <w:spacing w:before="0" w:after="80" w:lineRule="auto" w:line="276"/>
      </w:pPr>
      <w:r>
        <w:rPr>
          <w:b/>
        </w:rPr>
        <w:t xml:space="preserve">摘要（ZH）: </w:t>
      </w:r>
      <w:r>
        <w:t>全球对食品和能源的需求增加需要创新的土地利用解决方案。农业光伏，即将太阳能光伏与农业结合，显示出前景，但其广泛采用面临着在气候变化中复杂的生物物理和经济权衡。在此，我们开发了一个综合的生物物理-经济建模框架，以量化农业光伏在美国中西部地区在当前和预测气候条件下对生物物理和经济影响的影响。我们发现，由气候梯度驱动的强烈区域分歧。在潮湿的中西部东部，太阳能板遮荫限制了光合作用，导致产量下降（玉米-24%；大豆-16%）和农民盈利能力降低（玉米-16%；大豆-2%），与传统农业相比。相反，在</w:t>
      </w:r>
    </w:p>
    <w:p>
      <w:pPr>
        <w:spacing w:before="0" w:after="200" w:lineRule="auto" w:line="276"/>
      </w:pPr>
      <w:r>
        <w:rPr>
          <w:b/>
        </w:rPr>
        <w:t xml:space="preserve">Abstract (EN): </w:t>
      </w:r>
      <w:r>
        <w:t>Increasing global demands for food and energy necessitate innovative land-use solutions. Agrivoltaics, colocating solar photovoltaics with agriculture, shows promise, but its widespread adoption faces complex biophysical and economic trade-offs in a changing climate. Here, we develop an integrated biophysical–economic modeling framework to quantify how agrivoltaics affect biophysical and economic impacts across the Midwestern United States under both current and project climate conditions. We find strong regional divergences driven by climate gradients. In the humid eastern Midwest, solar panel shading limits photosynthesis, leading to reduced yields (maize −24%; soybean −16%) and lower farmers’ profitability (maize −16%; soybean −2%) compared to conventional agriculture. Conversely, in the semiarid western region, shading alleviates heat and water stress, moderating yield reductions for maize (−12%) and even boosting soybean yields (+6%), resulting in improved economic returns (−6% for maize; +9% for soybean), for a scenario with 33% photovoltaic ground coverage ratio. Although agrivoltaics generate substantial electrical energy across all regions, high upfront installation costs challenge solar developers compared to standalone solar photovoltaics. However, our analysis identifies “win-win” opportunities where soybean-based agrivoltaics in the semiarid region produce economic benefits for both farmers and solar developers, highlighting the necessity for region-specific designs tailored to local climate conditions. Critically, future climate projections indicate eastward expansion of semiarid conditions, broadening areas where agrivoltaics can mitigate crop yield penalties (even boosting yield) and improve overall profitability, especially under high-emission scenarios. The results provide a mechanistic and economically integrated understanding essential for developing evidence-based and region-specific strategies to scale agrivoltaics in a changing climate.</w:t>
      </w:r>
    </w:p>
    <w:p>
      <w:pPr>
        <w:spacing w:before="120" w:after="120"/>
      </w:pPr>
      <w:r>
        <w:rPr>
          <w:sz w:val="18"/>
        </w:rPr>
        <w:t>——————————————————————————————————————————————————————————————————————</w:t>
      </w:r>
    </w:p>
    <w:p>
      <w:pPr>
        <w:spacing w:before="160" w:after="40" w:line="240" w:lineRule="auto"/>
      </w:pPr>
      <w:r>
        <w:rPr>
          <w:b/>
        </w:rPr>
        <w:t xml:space="preserve">[8] </w:t>
      </w:r>
      <w:hyperlink r:id="rId20">
        <w:r>
          <w:rPr>
            <w:color w:val="1155CC"/>
            <w:u w:val="single"/>
          </w:rPr>
          <w:t>[ASAP] 有机阳离子对二维金属卤化物钙钛矿中有机-无机热平衡的影响</w:t>
        </w:r>
      </w:hyperlink>
    </w:p>
    <w:p>
      <w:pPr>
        <w:spacing w:before="0" w:after="80"/>
      </w:pPr>
      <w:r>
        <w:rPr>
          <w:i/>
          <w:sz w:val="20"/>
        </w:rPr>
        <w:t>EN: [ASAP] Organic Cation Influence on Organic–Inorganic Thermal Equilibration within 2D Metal Halide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2026-03-02 09:21:27+00:00</w:t>
      </w:r>
      <w:r>
        <w:t xml:space="preserve">    </w:t>
      </w:r>
      <w:r>
        <w:rPr>
          <w:b/>
        </w:rPr>
        <w:t xml:space="preserve">DOI: </w:t>
      </w:r>
      <w:hyperlink r:id="rId21">
        <w:r>
          <w:rPr>
            <w:color w:val="1155CC"/>
            <w:u w:val="single"/>
          </w:rPr>
          <w:t>10.1021/jacs.5c22889</w:t>
        </w:r>
      </w:hyperlink>
    </w:p>
    <w:p>
      <w:pPr>
        <w:spacing w:before="0" w:after="120"/>
      </w:pPr>
      <w:r>
        <w:rPr>
          <w:b/>
        </w:rPr>
        <w:t xml:space="preserve">Notes: </w:t>
      </w:r>
      <w:r>
        <w:t>abstract_source=pubmed</w:t>
      </w:r>
    </w:p>
    <w:p>
      <w:pPr>
        <w:spacing w:before="0" w:after="80" w:lineRule="auto" w:line="276"/>
      </w:pPr>
      <w:r>
        <w:rPr>
          <w:b/>
        </w:rPr>
        <w:t xml:space="preserve">摘要（ZH）: </w:t>
      </w:r>
      <w:r>
        <w:t>二维无机-有机卤化铅钙钛矿表现出可调的光电特性，这些特性由金属卤化物八面体和有机阳离子交替层决定。在这种混合材料中，低质量、绝缘的有机阳离子间隔物与高质量无机八面体之间的振动耦合和热化仍然理解不足。在此，使用飞秒红外泵浦电子探针（IPEP）光谱，我们研究了有机阳离子身份对振动能量交换动力学和子晶格机械耦合的作用。含有4、6或8个碳的线性脂肪族阳离子2D钙钛矿（丁基铵=BA，己基铵=HA，辛基铵=OA）被制成薄膜和中红外泵浦脉冲，然后选择</w:t>
      </w:r>
    </w:p>
    <w:p>
      <w:pPr>
        <w:spacing w:before="0" w:after="200" w:lineRule="auto" w:line="276"/>
      </w:pPr>
      <w:r>
        <w:rPr>
          <w:b/>
        </w:rPr>
        <w:t xml:space="preserve">Abstract (EN): </w:t>
      </w:r>
      <w:r>
        <w:t>Two-dimensional inorganic-organic lead halide perovskites exhibit tunable optoelectronic properties that are dictated by alternating layers of metal halide octahedra and organic cations. In such hybrid materials, vibrational coupling and thermalization between the low mass, insulating, organic cation spacers, and high mass inorganic octahedra remains poorly understood. Here, using femtosecond infrared-pump electronic-probe (IPEP) spectroscopy, we investigate the role of organic cation identity regarding the kinetics of vibrational energy exchange and sublattice mechanical coupling. Linear aliphatic cation-containing 2D perovskites with 4, 6, or 8 carbons (butylammonium = BA, hexylammonium = HA, and octylammonium = OA) were produced as thin films and mid-infrared pump pulses and then selectively excited organic cation stretch vibrations. Thermal energy introduction was evaluated via visible-wavelength optical probing that conveys inorganic octahedra response, owing to changes in electronic absorption. Multiple distinct spectral shifts appear upon excitation of the organic cations. Following an initial optical Stark shift caused by pump-probe temporal overlap, a redshift occurs within the first 10 ps that we attribute to compression of the octahedra by the expanded organic layers. Subsequently, a blueshift of the bandgap occurs commensurate with equilibration of both sublattices at an elevated temperature with a time constant of 21.8 to 31.6 ps depending on the spacer identity, with thermal energy transfer slowing by nearly 50% for the longest linker. By examining the effect that altered cation identity has on vibrational energy exchange, this work begins to offer routes to tune nonequilibrium response as well as provides insight into the fundamental impacts of organic spacers on thermal energy exchange in perovskite materials.</w:t>
      </w:r>
    </w:p>
    <w:p>
      <w:pPr>
        <w:spacing w:before="120" w:after="120"/>
      </w:pPr>
      <w:r>
        <w:rPr>
          <w:sz w:val="18"/>
        </w:rPr>
        <w:t>——————————————————————————————————————————————————————————————————————</w:t>
      </w:r>
    </w:p>
    <w:p>
      <w:pPr>
        <w:spacing w:before="160" w:after="40" w:line="240" w:lineRule="auto"/>
      </w:pPr>
      <w:r>
        <w:rPr>
          <w:b/>
        </w:rPr>
        <w:t xml:space="preserve">[9] </w:t>
      </w:r>
      <w:hyperlink r:id="rId22">
        <w:r>
          <w:rPr>
            <w:color w:val="1155CC"/>
            <w:u w:val="single"/>
          </w:rPr>
          <w:t>[ASAP] 酯-烷基连接子调控的头对头二聚体分子折叠在有机太阳能电池中实现超过20%的效率</w:t>
        </w:r>
      </w:hyperlink>
    </w:p>
    <w:p>
      <w:pPr>
        <w:spacing w:before="0" w:after="80"/>
      </w:pPr>
      <w:r>
        <w:rPr>
          <w:i/>
          <w:sz w:val="20"/>
        </w:rPr>
        <w:t>EN: [ASAP] Ester–Alkyl Linker-Regulated Molecular Folding in Head-to-Head Dimers Enabling &gt;20% Efficiency in Organic Solar Cells</w:t>
      </w:r>
    </w:p>
    <w:p>
      <w:pPr>
        <w:spacing w:before="0" w:after="120"/>
      </w:pPr>
      <w:r>
        <w:rPr>
          <w:b/>
        </w:rPr>
        <w:t xml:space="preserve">Source: </w:t>
      </w:r>
      <w:r>
        <w:t>Journal of the American Chemical Society: Latest Articles (ACS Publications)</w:t>
      </w:r>
      <w:r>
        <w:t xml:space="preserve">    </w:t>
      </w:r>
      <w:r>
        <w:rPr>
          <w:b/>
        </w:rPr>
        <w:t xml:space="preserve">Pub date: </w:t>
      </w:r>
      <w:r>
        <w:t>2026-03-02 15:51:58+00:00</w:t>
      </w:r>
      <w:r>
        <w:t xml:space="preserve">    </w:t>
      </w:r>
      <w:r>
        <w:rPr>
          <w:b/>
        </w:rPr>
        <w:t xml:space="preserve">DOI: </w:t>
      </w:r>
      <w:hyperlink r:id="rId23">
        <w:r>
          <w:rPr>
            <w:color w:val="1155CC"/>
            <w:u w:val="single"/>
          </w:rPr>
          <w:t>10.1021/jacs.5c20384</w:t>
        </w:r>
      </w:hyperlink>
    </w:p>
    <w:p>
      <w:pPr>
        <w:spacing w:before="0" w:after="120"/>
      </w:pPr>
      <w:r>
        <w:rPr>
          <w:b/>
        </w:rPr>
        <w:t xml:space="preserve">Notes: </w:t>
      </w:r>
      <w:r>
        <w:t>abstract_source=pubmed</w:t>
      </w:r>
    </w:p>
    <w:p>
      <w:pPr>
        <w:spacing w:before="0" w:after="80" w:lineRule="auto" w:line="276"/>
      </w:pPr>
      <w:r>
        <w:rPr>
          <w:b/>
        </w:rPr>
        <w:t xml:space="preserve">摘要（ZH）: </w:t>
      </w:r>
      <w:r>
        <w:t>二聚体受体在有机太阳能电池（OSCs）中同时实现高效率、良好稳定性甚至可拉伸性方面表现出显著潜力。然而，大多数二聚体受体由于形态控制不足而效率受损。在此，我们通过系统地改变烷基链长度通过酯化反应，设计并合成了三个头对头柔性烷基链连接的二聚体受体CH-E2、CH-E6和CH-E10及其单体对应物CH-E1。这种合成方法避免了传统的金属催化偶联反应，消除了对昂贵催化剂和有毒中间体（如有机锡试剂）的需求。结果表明，链长对分子构象具有关键性影响。</w:t>
      </w:r>
    </w:p>
    <w:p>
      <w:pPr>
        <w:spacing w:before="0" w:after="200" w:lineRule="auto" w:line="276"/>
      </w:pPr>
      <w:r>
        <w:rPr>
          <w:b/>
        </w:rPr>
        <w:t xml:space="preserve">Abstract (EN): </w:t>
      </w:r>
      <w:r>
        <w:t>Dimeric acceptors have demonstrated significant potential for the simultaneous realization of high efficiency, good stability, and even stretchability in organic solar cells (OSCs). However, most dimeric acceptors suffer from compromised efficiency due to insufficient morphological control. Herein, we design and synthesize three head-to-head flexible alkyl-chain-linked dimeric acceptors, CH-E2, CH-E6, and CH-E10, along with their monomeric counterpart CH-E1, by systematically varying the alkyl linker lengths via esterification. This synthetic approach avoids conventional metal-catalyzed coupling reactions, eliminating the need for expensive catalysts and toxic intermediates, such as organotin reagents. Results demonstrate that the linker lengths critically govern molecular conformations, packing motifs, and aggregation behavior. The binary PM6:CH-E6 and ternary PM6:CH-E6:CH-E1 devices, benefiting from favorable film microstructures, enhanced charge carrier dynamics, and reduced Eloss, achieve PCEs of 19.17 and 20.14%, respectively. Furthermore, the flexible alkyl chain linkage inhibits molecular diffusion, thereby stabilizing the active layer morphology under thermal and mechanical stress. Thus, CH-E6-based devices exhibit significantly improved MPP operational stability and thermal endurance. The crack-onset strain (COS) of the PM6:CH-E6 blend film reaches 20%, twice that of PM6:CH-E1.</w:t>
      </w:r>
    </w:p>
    <w:p>
      <w:pPr>
        <w:spacing w:before="120" w:after="120"/>
      </w:pPr>
      <w:r>
        <w:rPr>
          <w:sz w:val="18"/>
        </w:rPr>
        <w:t>——————————————————————————————————————————————————————————————————————</w:t>
      </w:r>
    </w:p>
    <w:p>
      <w:pPr>
        <w:spacing w:before="160" w:after="40" w:line="240" w:lineRule="auto"/>
      </w:pPr>
      <w:r>
        <w:rPr>
          <w:b/>
        </w:rPr>
        <w:t xml:space="preserve">[10] </w:t>
      </w:r>
      <w:hyperlink r:id="rId24">
        <w:r>
          <w:rPr>
            <w:color w:val="1155CC"/>
            <w:u w:val="single"/>
          </w:rPr>
          <w:t>揭示电荷传输的色散特性对有机太阳能电池稳定性的影响</w:t>
        </w:r>
      </w:hyperlink>
    </w:p>
    <w:p>
      <w:pPr>
        <w:spacing w:before="0" w:after="80"/>
      </w:pPr>
      <w:r>
        <w:rPr>
          <w:i/>
          <w:sz w:val="20"/>
        </w:rPr>
        <w:t>EN: Revealing the influence of the dispersion property of charge transport on the stability of organic solar cells</w:t>
      </w:r>
    </w:p>
    <w:p>
      <w:pPr>
        <w:spacing w:before="0" w:after="120"/>
      </w:pPr>
      <w:r>
        <w:rPr>
          <w:b/>
        </w:rPr>
        <w:t xml:space="preserve">Source: </w:t>
      </w:r>
      <w:r>
        <w:t>Joule</w:t>
      </w:r>
      <w:r>
        <w:t xml:space="preserve">    </w:t>
      </w:r>
      <w:r>
        <w:rPr>
          <w:b/>
        </w:rPr>
        <w:t xml:space="preserve">Pub date: </w:t>
      </w:r>
      <w:r>
        <w:t>2026-03-03 00:00:00+00:00</w:t>
      </w:r>
      <w:r>
        <w:t xml:space="preserve">    </w:t>
      </w:r>
      <w:r>
        <w:rPr>
          <w:b/>
        </w:rPr>
        <w:t xml:space="preserve">DOI: </w:t>
      </w:r>
      <w:hyperlink r:id="rId25">
        <w:r>
          <w:rPr>
            <w:color w:val="1155CC"/>
            <w:u w:val="single"/>
          </w:rPr>
          <w:t>10.1016/j.joule.2025.102313</w:t>
        </w:r>
      </w:hyperlink>
    </w:p>
    <w:p>
      <w:pPr>
        <w:spacing w:before="0" w:after="120"/>
      </w:pPr>
      <w:r>
        <w:rPr>
          <w:b/>
        </w:rPr>
        <w:t xml:space="preserve">Notes: </w:t>
      </w:r>
      <w:r>
        <w:t>abstract_source=rss_cell</w:t>
      </w:r>
    </w:p>
    <w:p>
      <w:pPr>
        <w:spacing w:before="0" w:after="80" w:lineRule="auto" w:line="276"/>
      </w:pPr>
      <w:r>
        <w:rPr>
          <w:b/>
        </w:rPr>
        <w:t xml:space="preserve">摘要（ZH）: </w:t>
      </w:r>
      <w:r>
        <w:t>器件稳定性对于有机太阳能电池（OSCs）的广泛应用至关重要。我们表明，色散参数是影响器件稳定性的另一个关键因素，但常常被忽视。更广泛的色散意味着更多缓慢移动的载流子，导致有害的能量损失。研究表明，活性层的初始形态决定了这两个关键传输参数中的哪一个会退化，为实现长期器件稳定性提供了新的设计规则。</w:t>
      </w:r>
    </w:p>
    <w:p>
      <w:pPr>
        <w:spacing w:before="0" w:after="200" w:lineRule="auto" w:line="276"/>
      </w:pPr>
      <w:r>
        <w:rPr>
          <w:b/>
        </w:rPr>
        <w:t xml:space="preserve">Abstract (EN): </w:t>
      </w:r>
      <w:r>
        <w:t>Device stability is crucial for the widespread adoption of organic solar cells (OSCs). We show that the dispersion parameter is another critical factor influencing device stability, yet it is often overlooked. A broader dispersion means more slow-moving carriers, leading to detrimental energy loss. The study demonstrates that the initial morphology of the active layer governs which of these two key transport parameters degrades, providing a new design rule for achieving long-term device stability.</w:t>
      </w:r>
    </w:p>
    <w:p>
      <w:pPr>
        <w:spacing w:before="120" w:after="120"/>
      </w:pPr>
      <w:r>
        <w:rPr>
          <w:sz w:val="18"/>
        </w:rPr>
        <w:t>——————————————————————————————————————————————————————————————————————</w:t>
      </w:r>
    </w:p>
    <w:p>
      <w:pPr>
        <w:spacing w:before="160" w:after="40" w:line="240" w:lineRule="auto"/>
      </w:pPr>
      <w:r>
        <w:rPr>
          <w:b/>
        </w:rPr>
        <w:t xml:space="preserve">[11] </w:t>
      </w:r>
      <w:hyperlink r:id="rId26">
        <w:r>
          <w:rPr>
            <w:color w:val="1155CC"/>
            <w:u w:val="single"/>
          </w:rPr>
          <w:t>立面集成低浓度光伏系统的长期气候依赖性能和成本效益分析</w:t>
        </w:r>
      </w:hyperlink>
    </w:p>
    <w:p>
      <w:pPr>
        <w:spacing w:before="0" w:after="80"/>
      </w:pPr>
      <w:r>
        <w:rPr>
          <w:i/>
          <w:sz w:val="20"/>
        </w:rPr>
        <w:t>EN: Long-term climate-dependent performance and cost-benefit analysis of façade-integrated low-concentration photovoltaic systems</w:t>
      </w:r>
    </w:p>
    <w:p>
      <w:pPr>
        <w:spacing w:before="0" w:after="120"/>
      </w:pPr>
      <w:r>
        <w:rPr>
          <w:b/>
        </w:rPr>
        <w:t xml:space="preserve">Source: </w:t>
      </w:r>
      <w:r>
        <w:t>ScienceDirect Publication: Applied Energy</w:t>
      </w:r>
      <w:r>
        <w:t xml:space="preserve">    </w:t>
      </w:r>
      <w:r>
        <w:rPr>
          <w:b/>
        </w:rPr>
        <w:t xml:space="preserve">Pub date: </w:t>
      </w:r>
      <w:r>
        <w:t>2026-03-03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7">
        <w:r>
          <w:rPr>
            <w:color w:val="1155CC"/>
            <w:u w:val="single"/>
          </w:rPr>
          <w:t>热力学抑制宽带隙钙钛矿中富溴相的成核以实现操作稳定的串联太阳能电池</w:t>
        </w:r>
      </w:hyperlink>
    </w:p>
    <w:p>
      <w:pPr>
        <w:spacing w:before="0" w:after="80"/>
      </w:pPr>
      <w:r>
        <w:rPr>
          <w:i/>
          <w:sz w:val="20"/>
        </w:rPr>
        <w:t>EN: Thermodynamic inhibition of bromine-rich phase nucleation in wide-bandgap perovskites for operationally stable tandem solar cells</w:t>
      </w:r>
    </w:p>
    <w:p>
      <w:pPr>
        <w:spacing w:before="0" w:after="120"/>
      </w:pPr>
      <w:r>
        <w:rPr>
          <w:b/>
        </w:rPr>
        <w:t xml:space="preserve">Source: </w:t>
      </w:r>
      <w:r>
        <w:t>RSC - Energy Environ. Sci. latest articles</w:t>
      </w:r>
      <w:r>
        <w:t xml:space="preserve">    </w:t>
      </w:r>
      <w:r>
        <w:rPr>
          <w:b/>
        </w:rPr>
        <w:t xml:space="preserve">Pub date: </w:t>
      </w:r>
      <w:r>
        <w:t>2026-03-04 00:00:00+00:00</w:t>
      </w:r>
    </w:p>
    <w:p>
      <w:pPr>
        <w:spacing w:before="0" w:after="120"/>
      </w:pPr>
      <w:r>
        <w:rPr>
          <w:b/>
        </w:rPr>
        <w:t xml:space="preserve">Notes: </w:t>
      </w:r>
      <w:r>
        <w:t>abstract_source=rsc_html</w:t>
      </w:r>
    </w:p>
    <w:p>
      <w:pPr>
        <w:spacing w:before="0" w:after="80" w:lineRule="auto" w:line="276"/>
      </w:pPr>
      <w:r>
        <w:rPr>
          <w:b/>
        </w:rPr>
        <w:t xml:space="preserve">摘要（ZH）: </w:t>
      </w:r>
      <w:r>
        <w:t>宽带隙（WBG）钙钛矿的操作不稳定性，主要由光诱导卤化物相分离引起，仍然是钙钛矿基叠层太阳能电池商业化的主要障碍。目前的策略侧重于减轻卤化物迁移的后果，而不是针对其根本原因。在这项研究中，我们揭示了在薄膜形成过程中溴富相的优先成核引发了内在的成分不均匀性，随后在操作压力下加速了卤化物迁移和相分离。我们通过引入硫氰酸钾开发了一种预防性抑制策略，该策略通过从一开始就提高溴富相的成核能垒来抑制卤化物分离，从而实现</w:t>
      </w:r>
    </w:p>
    <w:p>
      <w:pPr>
        <w:spacing w:before="0" w:after="200" w:lineRule="auto" w:line="276"/>
      </w:pPr>
      <w:r>
        <w:rPr>
          <w:b/>
        </w:rPr>
        <w:t xml:space="preserve">Abstract (EN): </w:t>
      </w:r>
      <w:r>
        <w:t>Operational instability in wide-bandgap (WBG) perovskites, predominantly caused by light-induced halide phase segregation, remains a major obstacle to the commercialization of perovskite-based tandem solar cells. Current strategies focus on mitigating the consequences of halide migration rather than targeting its fundamental origin. In this study, we reveal that the preferential nucleation of bromine-rich phases during film formation initiates intrinsic compositional inhomogeneity, which subsequently accelerates halide migration and phase segregation under operational stressors. We develop a preemptive inhibition strategy by introducing potassium thiocyanate, which suppresses halide segregation by raising the nucleation energy barrier of bromine-rich phases from the outset, thereby achieving a thermodynamically stabilized halide distribution. This approach enables 1.68 eV single-junction devices to achieve a high power conversion efficiency of 23.50%, with the devices simultaneously demonstrating excellent stability by maintaining 98% of their initial efficiency over 2240 hours of continuous maximum power point tracking. Leveraging this stable absorber, we realize a perovskite-silicon tandem solar cell with a remarkable efficiency of 33.08% (certified 32.52%), which retains its performance over 540 hours of outdoor operation and achieves an extrapolated T90 lifetime exceeding 9700 hours under continuous maximum power point tracking. Furthermore, we demonstrate the broad applicability of this stabilization strategy across WBG perovskites. The 1.68-1.88 eV compositions show exceptional spectral stability with negligible photoluminescence shifts under identical stress conditions, enabling efficient single-junction devices with efficiencies of 20.37% (1.77 eV) and 18.11% (1.88 eV), as well as high-performance all-perovskite (28.18%, certified 28.17%) and perovskite-organic (25.66%) tandem solar cells.</w:t>
      </w:r>
    </w:p>
    <w:p>
      <w:pPr>
        <w:spacing w:before="120" w:after="120"/>
      </w:pPr>
      <w:r>
        <w:rPr>
          <w:sz w:val="18"/>
        </w:rPr>
        <w:t>——————————————————————————————————————————————————————————————————————</w:t>
      </w:r>
    </w:p>
    <w:p>
      <w:pPr>
        <w:spacing w:before="160" w:after="40" w:line="240" w:lineRule="auto"/>
      </w:pPr>
      <w:r>
        <w:rPr>
          <w:b/>
        </w:rPr>
        <w:t xml:space="preserve">[13] </w:t>
      </w:r>
      <w:hyperlink r:id="rId28">
        <w:r>
          <w:rPr>
            <w:color w:val="1155CC"/>
            <w:u w:val="single"/>
          </w:rPr>
          <w:t>基于图像的太阳能电池板污垢引起的功率损失预测：通过强化学习的新型神经架构搜索方法</w:t>
        </w:r>
      </w:hyperlink>
    </w:p>
    <w:p>
      <w:pPr>
        <w:spacing w:before="0" w:after="80"/>
      </w:pPr>
      <w:r>
        <w:rPr>
          <w:i/>
          <w:sz w:val="20"/>
        </w:rPr>
        <w:t>EN: Image-based prediction of soiling-induced power loss in solar panels: A novel neural architecture search method via reinforcement learning</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9">
        <w:r>
          <w:rPr>
            <w:color w:val="1155CC"/>
            <w:u w:val="single"/>
          </w:rPr>
          <w:t>报废光伏板的技术路线：从循环经济和能源系统角度的系统综述</w:t>
        </w:r>
      </w:hyperlink>
    </w:p>
    <w:p>
      <w:pPr>
        <w:spacing w:before="0" w:after="80"/>
      </w:pPr>
      <w:r>
        <w:rPr>
          <w:i/>
          <w:sz w:val="20"/>
        </w:rPr>
        <w:t>EN: Technological routes for end-of-life photovoltaic panels: a systematic review from a circular economy and energy systems perspective</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0">
        <w:r>
          <w:rPr>
            <w:color w:val="1155CC"/>
            <w:u w:val="single"/>
          </w:rPr>
          <w:t>通过双功能聚合物在环境空气中制造宽带隙钙钛矿用于全钙钛矿叠层太阳能模块</w:t>
        </w:r>
      </w:hyperlink>
    </w:p>
    <w:p>
      <w:pPr>
        <w:spacing w:before="0" w:after="80"/>
      </w:pPr>
      <w:r>
        <w:rPr>
          <w:i/>
          <w:sz w:val="20"/>
        </w:rPr>
        <w:t>EN: Ambient-air fabrication of wide-band-gap perovskites via a dual-functional polymer for all-perovskite tandem solar modules</w:t>
      </w:r>
    </w:p>
    <w:p>
      <w:pPr>
        <w:spacing w:before="0" w:after="120"/>
      </w:pPr>
      <w:r>
        <w:rPr>
          <w:b/>
        </w:rPr>
        <w:t xml:space="preserve">Source: </w:t>
      </w:r>
      <w:r>
        <w:t>Joule</w:t>
      </w:r>
      <w:r>
        <w:t xml:space="preserve">    </w:t>
      </w:r>
      <w:r>
        <w:rPr>
          <w:b/>
        </w:rPr>
        <w:t xml:space="preserve">Pub date: </w:t>
      </w:r>
      <w:r>
        <w:t>2026-03-04 00:00:00+00:00</w:t>
      </w:r>
      <w:r>
        <w:t xml:space="preserve">    </w:t>
      </w:r>
      <w:r>
        <w:rPr>
          <w:b/>
        </w:rPr>
        <w:t xml:space="preserve">DOI: </w:t>
      </w:r>
      <w:hyperlink r:id="rId31">
        <w:r>
          <w:rPr>
            <w:color w:val="1155CC"/>
            <w:u w:val="single"/>
          </w:rPr>
          <w:t>10.1016/j.joule.2025.102316</w:t>
        </w:r>
      </w:hyperlink>
    </w:p>
    <w:p>
      <w:pPr>
        <w:spacing w:before="0" w:after="120"/>
      </w:pPr>
      <w:r>
        <w:rPr>
          <w:b/>
        </w:rPr>
        <w:t xml:space="preserve">Notes: </w:t>
      </w:r>
      <w:r>
        <w:t>abstract_source=rss_cell</w:t>
      </w:r>
    </w:p>
    <w:p>
      <w:pPr>
        <w:spacing w:before="0" w:after="80" w:lineRule="auto" w:line="276"/>
      </w:pPr>
      <w:r>
        <w:rPr>
          <w:b/>
        </w:rPr>
        <w:t xml:space="preserve">摘要（ZH）: </w:t>
      </w:r>
      <w:r>
        <w:t>在环境空气中制造高质量宽带隙钙钛矿太阳能电池是商业化串联电池的关键，但仍然具有挑战性。这项工作引入了一种分子设计的聚合物，使得晶体均匀化和防潮保护，实现了电池和模块的创纪录效率。它为全钙钛矿串联光伏的工业规模生产提供了一条可行的途径。</w:t>
      </w:r>
    </w:p>
    <w:p>
      <w:pPr>
        <w:spacing w:before="0" w:after="200" w:lineRule="auto" w:line="276"/>
      </w:pPr>
      <w:r>
        <w:rPr>
          <w:b/>
        </w:rPr>
        <w:t xml:space="preserve">Abstract (EN): </w:t>
      </w:r>
      <w:r>
        <w:t>Fabricating high-quality wide-band-gap perovskite solar cells in ambient air is key for commercializing tandem cells but remains challenging. This work introduces a molecularly designed polymer that enables uniform crystallization and moisture protection, achieving record efficiency for cells and modules. It provides a viable pathway toward industrial-scale production of all-perovskite tandem photovoltaics.</w:t>
      </w:r>
    </w:p>
    <w:p>
      <w:pPr>
        <w:spacing w:before="120" w:after="120"/>
      </w:pPr>
      <w:r>
        <w:rPr>
          <w:sz w:val="18"/>
        </w:rPr>
        <w:t>——————————————————————————————————————————————————————————————————————</w:t>
      </w:r>
    </w:p>
    <w:p>
      <w:pPr>
        <w:spacing w:before="160" w:after="40" w:line="240" w:lineRule="auto"/>
      </w:pPr>
      <w:r>
        <w:rPr>
          <w:b/>
        </w:rPr>
        <w:t xml:space="preserve">[16] </w:t>
      </w:r>
      <w:hyperlink r:id="rId32">
        <w:r>
          <w:rPr>
            <w:color w:val="1155CC"/>
            <w:u w:val="single"/>
          </w:rPr>
          <w:t>通过选择性分子工程稳定钙钛矿太阳能电池</w:t>
        </w:r>
      </w:hyperlink>
    </w:p>
    <w:p>
      <w:pPr>
        <w:spacing w:before="0" w:after="80"/>
      </w:pPr>
      <w:r>
        <w:rPr>
          <w:i/>
          <w:sz w:val="20"/>
        </w:rPr>
        <w:t>EN: Stabilizing perovskite solar cells via facet-selective molecular engineering</w:t>
      </w:r>
    </w:p>
    <w:p>
      <w:pPr>
        <w:spacing w:before="0" w:after="120"/>
      </w:pPr>
      <w:r>
        <w:rPr>
          <w:b/>
        </w:rPr>
        <w:t xml:space="preserve">Source: </w:t>
      </w:r>
      <w:r>
        <w:t>Joule</w:t>
      </w:r>
      <w:r>
        <w:t xml:space="preserve">    </w:t>
      </w:r>
      <w:r>
        <w:rPr>
          <w:b/>
        </w:rPr>
        <w:t xml:space="preserve">Pub date: </w:t>
      </w:r>
      <w:r>
        <w:t>2026-03-04 00:00:00+00:00</w:t>
      </w:r>
      <w:r>
        <w:t xml:space="preserve">    </w:t>
      </w:r>
      <w:r>
        <w:rPr>
          <w:b/>
        </w:rPr>
        <w:t xml:space="preserve">DOI: </w:t>
      </w:r>
      <w:hyperlink r:id="rId33">
        <w:r>
          <w:rPr>
            <w:color w:val="1155CC"/>
            <w:u w:val="single"/>
          </w:rPr>
          <w:t>10.1016/j.joule.2025.102315</w:t>
        </w:r>
      </w:hyperlink>
    </w:p>
    <w:p>
      <w:pPr>
        <w:spacing w:before="0" w:after="120"/>
      </w:pPr>
      <w:r>
        <w:rPr>
          <w:b/>
        </w:rPr>
        <w:t xml:space="preserve">Notes: </w:t>
      </w:r>
      <w:r>
        <w:t>abstract_source=rss_cell</w:t>
      </w:r>
    </w:p>
    <w:p>
      <w:pPr>
        <w:spacing w:before="0" w:after="80" w:lineRule="auto" w:line="276"/>
      </w:pPr>
      <w:r>
        <w:rPr>
          <w:b/>
        </w:rPr>
        <w:t xml:space="preserve">摘要（ZH）: </w:t>
      </w:r>
      <w:r>
        <w:t>这项工作表明，三(4-甲酰基苯基)胺（TFPA）选择性结合FAPbI3的(100)晶面，引导生长到稳定的面向(111)晶面，并产生额外的极化子模式，从而实现了26.4%的效率和卓越的操作稳定性。</w:t>
      </w:r>
    </w:p>
    <w:p>
      <w:pPr>
        <w:spacing w:before="0" w:after="200" w:lineRule="auto" w:line="276"/>
      </w:pPr>
      <w:r>
        <w:rPr>
          <w:b/>
        </w:rPr>
        <w:t xml:space="preserve">Abstract (EN): </w:t>
      </w:r>
      <w:r>
        <w:t>This work demonstrates that tris(4-formylphenyl)amine (TFPA) selectively binds (100) facets in FAPbI3, directing growth to stable, face-on (111) facets and generating an extra polaron mode, which yields a 26.4% efficiency and exceptional operational stability.</w:t>
      </w:r>
    </w:p>
    <w:p>
      <w:pPr>
        <w:spacing w:before="120" w:after="120"/>
      </w:pPr>
      <w:r>
        <w:rPr>
          <w:sz w:val="18"/>
        </w:rPr>
        <w:t>——————————————————————————————————————————————————————————————————————</w:t>
      </w:r>
    </w:p>
    <w:p>
      <w:pPr>
        <w:spacing w:before="160" w:after="40" w:line="240" w:lineRule="auto"/>
      </w:pPr>
      <w:r>
        <w:rPr>
          <w:b/>
        </w:rPr>
        <w:t xml:space="preserve">[17] </w:t>
      </w:r>
      <w:hyperlink r:id="rId34">
        <w:r>
          <w:rPr>
            <w:color w:val="1155CC"/>
            <w:u w:val="single"/>
          </w:rPr>
          <w:t>有机光伏中A‐D‐A型受体的能量无序：融合环与非融合环系统</w:t>
        </w:r>
      </w:hyperlink>
    </w:p>
    <w:p>
      <w:pPr>
        <w:spacing w:before="0" w:after="80"/>
      </w:pPr>
      <w:r>
        <w:rPr>
          <w:i/>
          <w:sz w:val="20"/>
        </w:rPr>
        <w:t>EN: Energetic Disorder in A‐D‐A Type Acceptors for Organic Photovoltaics: Fused‐Ring vs. Nonfused‐Ring Systems</w:t>
      </w:r>
    </w:p>
    <w:p>
      <w:pPr>
        <w:spacing w:before="0" w:after="120"/>
      </w:pPr>
      <w:r>
        <w:rPr>
          <w:b/>
        </w:rPr>
        <w:t xml:space="preserve">Source: </w:t>
      </w:r>
      <w:r>
        <w:t>Wiley: Advanced Materials: Table of Contents</w:t>
      </w:r>
      <w:r>
        <w:t xml:space="preserve">    </w:t>
      </w:r>
      <w:r>
        <w:rPr>
          <w:b/>
        </w:rPr>
        <w:t xml:space="preserve">Pub date: </w:t>
      </w:r>
      <w:r>
        <w:t>2026-03-04 07:26:02+00:00</w:t>
      </w:r>
      <w:r>
        <w:t xml:space="preserve">    </w:t>
      </w:r>
      <w:r>
        <w:rPr>
          <w:b/>
        </w:rPr>
        <w:t xml:space="preserve">DOI: </w:t>
      </w:r>
      <w:hyperlink r:id="rId35">
        <w:r>
          <w:rPr>
            <w:color w:val="1155CC"/>
            <w:u w:val="single"/>
          </w:rPr>
          <w:t>10.1002/adma.202523666</w:t>
        </w:r>
      </w:hyperlink>
    </w:p>
    <w:p>
      <w:pPr>
        <w:spacing w:before="0" w:after="120"/>
      </w:pPr>
      <w:r>
        <w:rPr>
          <w:b/>
        </w:rPr>
        <w:t xml:space="preserve">Notes: </w:t>
      </w:r>
      <w:r>
        <w:t>abstract_source=pubmed</w:t>
      </w:r>
    </w:p>
    <w:p>
      <w:pPr>
        <w:spacing w:before="0" w:after="80" w:lineRule="auto" w:line="276"/>
      </w:pPr>
      <w:r>
        <w:rPr>
          <w:b/>
        </w:rPr>
        <w:t xml:space="preserve">摘要（ZH）: </w:t>
      </w:r>
      <w:r>
        <w:t>减少能量无序对于提高有机光伏的效率至关重要。鉴于融合环和非融合环A-D-A型受体的高性能，一个基本问题出现了：是否需要一个融合环D单元来获得低能量无序？在此，我们通过结合分子动力学模拟和密度泛函理论计算，系统地研究了代表性融合环和非融合环A-D-A型受体的电子能量无序（由最低未占分子轨道（LUMO）能量的标准偏差σLUMO描述）。结果表明，对于融合环和非融合环系统，σLUMO主要由动态无序主导。此外，对于所有这些受体，LUMO在</w:t>
      </w:r>
    </w:p>
    <w:p>
      <w:pPr>
        <w:spacing w:before="0" w:after="200" w:lineRule="auto" w:line="276"/>
      </w:pPr>
      <w:r>
        <w:rPr>
          <w:b/>
        </w:rPr>
        <w:t xml:space="preserve">Abstract (EN): </w:t>
      </w:r>
      <w:r>
        <w:t>Reducing the energetic disorder is crucial to improve the efficiencies of organic photovoltaics. Given the high performance of both fused-ring and nonfused-ring A-D-A type acceptors, a fundamental question arises: is a fused-ring D-unit necessary to obtain low energetic disorder? Here, we have systematically investigated the energetic disorder for electrons (described by the standard deviation of the lowest unoccupied molecular orbital (LUMO) energy, σLUMO) in representative fused-ring and nonfused-ring A-D-A type acceptors by combining molecular dynamics simulations with density functional theory calculations. The results point out that the σLUMO is dominated by the dynamic disorder for both fused-ring and nonfused-ring systems. Moreover, for all these acceptors, the LUMO is delocalized over the entire molecular backbone, which benefits to reduce the electron-vibration coupling. Consequently, both fused-ring and nonfused-ring systems exhibit low σLUMO values of 48-56 and 50-71 meV, respectively. Compared to the fused-ring systems with similar conjugation lengths, the σLUMO is slightly increased for the nonfused-ring systems due to the extra rotation-induced static disorder. Notably, the σLUMO of the nonfused-ring systems can be effectively reduced by extending the D-units and restricting the conformational rotation. This work provides helpful insights for developing cost-effective nonfused-ring acceptors with low energetic disorder.</w:t>
      </w:r>
    </w:p>
    <w:p>
      <w:pPr>
        <w:spacing w:before="120" w:after="120"/>
      </w:pPr>
      <w:r>
        <w:rPr>
          <w:sz w:val="18"/>
        </w:rPr>
        <w:t>——————————————————————————————————————————————————————————————————————</w:t>
      </w:r>
    </w:p>
    <w:p>
      <w:pPr>
        <w:spacing w:before="160" w:after="40" w:line="240" w:lineRule="auto"/>
      </w:pPr>
      <w:r>
        <w:rPr>
          <w:b/>
        </w:rPr>
        <w:t xml:space="preserve">[18] </w:t>
      </w:r>
      <w:hyperlink r:id="rId36">
        <w:r>
          <w:rPr>
            <w:color w:val="1155CC"/>
            <w:u w:val="single"/>
          </w:rPr>
          <w:t>卤化物钙钛矿中的可逆光诱导晶格畸变</w:t>
        </w:r>
      </w:hyperlink>
    </w:p>
    <w:p>
      <w:pPr>
        <w:spacing w:before="0" w:after="80"/>
      </w:pPr>
      <w:r>
        <w:rPr>
          <w:i/>
          <w:sz w:val="20"/>
        </w:rPr>
        <w:t>EN: Reversible, Photo‐Induced Lattice Distortions in Halide Perovskites</w:t>
      </w:r>
    </w:p>
    <w:p>
      <w:pPr>
        <w:spacing w:before="0" w:after="120"/>
      </w:pPr>
      <w:r>
        <w:rPr>
          <w:b/>
        </w:rPr>
        <w:t xml:space="preserve">Source: </w:t>
      </w:r>
      <w:r>
        <w:t>Wiley: Advanced Materials: Table of Contents</w:t>
      </w:r>
      <w:r>
        <w:t xml:space="preserve">    </w:t>
      </w:r>
      <w:r>
        <w:rPr>
          <w:b/>
        </w:rPr>
        <w:t xml:space="preserve">Pub date: </w:t>
      </w:r>
      <w:r>
        <w:t>2026-03-04 07:36:22+00:00</w:t>
      </w:r>
      <w:r>
        <w:t xml:space="preserve">    </w:t>
      </w:r>
      <w:r>
        <w:rPr>
          <w:b/>
        </w:rPr>
        <w:t xml:space="preserve">DOI: </w:t>
      </w:r>
      <w:hyperlink r:id="rId37">
        <w:r>
          <w:rPr>
            <w:color w:val="1155CC"/>
            <w:u w:val="single"/>
          </w:rPr>
          <w:t>10.1002/adma.202521800</w:t>
        </w:r>
      </w:hyperlink>
    </w:p>
    <w:p>
      <w:pPr>
        <w:spacing w:before="0" w:after="120"/>
      </w:pPr>
      <w:r>
        <w:rPr>
          <w:b/>
        </w:rPr>
        <w:t xml:space="preserve">Notes: </w:t>
      </w:r>
      <w:r>
        <w:t>abstract_source=pubmed</w:t>
      </w:r>
    </w:p>
    <w:p>
      <w:pPr>
        <w:spacing w:before="0" w:after="80" w:lineRule="auto" w:line="276"/>
      </w:pPr>
      <w:r>
        <w:rPr>
          <w:b/>
        </w:rPr>
        <w:t xml:space="preserve">摘要（ZH）: </w:t>
      </w:r>
      <w:r>
        <w:t>软晶格卤化物钙钛矿（HPs）的独特特性激发了对其在半导体器件中应用的广泛研究。单晶HPs中的机械和化学调制应变提高了稳定性和相纯度。然而，由于强电子-声子耦合与A位阳离子动态相结合而引起的光激发驱动晶格畸变的全面理解仍不完善。在此，我们展示了单晶MAPbBr3、FAPbBr3和CsPbBr3在超带隙光激发下发生的瞬态晶格畸变。使用X射线探针，我们揭示了可逆且无滞后的光诱导晶格畸变。我们发现HPs中的光诱导畸变是泵浦功率的函数</w:t>
      </w:r>
    </w:p>
    <w:p>
      <w:pPr>
        <w:spacing w:before="0" w:after="200" w:lineRule="auto" w:line="276"/>
      </w:pPr>
      <w:r>
        <w:rPr>
          <w:b/>
        </w:rPr>
        <w:t xml:space="preserve">Abstract (EN): </w:t>
      </w:r>
      <w:r>
        <w:t>The unique characteristics of soft-lattice halide perovskites (HPs) have motivated extensive research into their application in semiconductor devices. Mechanically and chemically modulated strain in monocrystalline HPs improves stability and phase purity. However, a comprehensive understanding of the photoexcitation-driven lattice distortions arising from the strong electron-phonon coupling paired with the dynamics of the A-site cation remains underdeveloped. Here, we present the transient lattice distortions occurring in single crystal MAPbBr3, FAPbBr3, and CsPbBr3 in response to above-bandgap light excitation. Using an X-ray probe, we uncover reversible and hysteresis-free photoinduced lattice distortion. We find that the photoinduced distortion in the HPs is a function of the pump power, with CsPbBr3 showing the highest resilience against lattice deformation with a 0.062% change in its out-of-plane lattice parameter. Conversely, the organic HPs unveil a stronger interaction with photocarriers resulting in more significant yet elastic distortion, with MAPbBr3 exhibiting up to 0.3% change. We demonstrate the modality of this distortion by varying the excitation power over 20 distinct states and cycles, highlighting the suitability of HPs as building blocks for electrostriction devices. Our findings represent a key step toward establishing HPs as ideal platforms for optical and strain-driven switchable photonic devices.</w:t>
      </w:r>
    </w:p>
    <w:p>
      <w:pPr>
        <w:spacing w:before="120" w:after="120"/>
      </w:pPr>
      <w:r>
        <w:rPr>
          <w:sz w:val="18"/>
        </w:rPr>
        <w:t>——————————————————————————————————————————————————————————————————————</w:t>
      </w:r>
    </w:p>
    <w:p>
      <w:pPr>
        <w:spacing w:before="160" w:after="40" w:line="240" w:lineRule="auto"/>
      </w:pPr>
      <w:r>
        <w:rPr>
          <w:b/>
        </w:rPr>
        <w:t xml:space="preserve">[19] </w:t>
      </w:r>
      <w:hyperlink r:id="rId38">
        <w:r>
          <w:rPr>
            <w:color w:val="1155CC"/>
            <w:u w:val="single"/>
          </w:rPr>
          <w:t>原位TEM揭示卤化物钙钛矿中残余局部应变对光诱导相分离的作用</w:t>
        </w:r>
      </w:hyperlink>
    </w:p>
    <w:p>
      <w:pPr>
        <w:spacing w:before="0" w:after="80"/>
      </w:pPr>
      <w:r>
        <w:rPr>
          <w:i/>
          <w:sz w:val="20"/>
        </w:rPr>
        <w:t>EN: In situ TEM unveils the role of residual local strain on light-induced phase segregation in halide perovskites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39">
        <w:r>
          <w:rPr>
            <w:color w:val="1155CC"/>
            <w:u w:val="single"/>
          </w:rPr>
          <w:t>10.1126/sciadv.aeb3559</w:t>
        </w:r>
      </w:hyperlink>
    </w:p>
    <w:p>
      <w:pPr>
        <w:spacing w:before="0" w:after="120"/>
      </w:pPr>
      <w:r>
        <w:rPr>
          <w:b/>
        </w:rPr>
        <w:t xml:space="preserve">Notes: </w:t>
      </w:r>
      <w:r>
        <w:t>abstract_source=crossref</w:t>
      </w:r>
    </w:p>
    <w:p>
      <w:pPr>
        <w:spacing w:before="0" w:after="80" w:lineRule="auto" w:line="276"/>
      </w:pPr>
      <w:r>
        <w:rPr>
          <w:b/>
        </w:rPr>
        <w:t xml:space="preserve">摘要（ZH）: </w:t>
      </w:r>
      <w:r>
        <w:t>解码混合卤化物钙钛矿中光诱导相分离的机制对于释放其在稳定、高性能光电应用中的全部潜力至关重要。我们揭示了残余局部应变如何作为光诱导相分离的关键驱动力。通过结合原位透射电子显微镜和光致发光光谱，我们观察到相分离期间和重新混合后的结构演变和光载流子行为。尽管卤化物分离在成分上是可逆的，但钙钛矿晶格保留了残余局部应变，这是先前分离的卤化物域的“记忆”，并在每个相分离周期中随时间和空间演变。残余局部应变随后作为驱动因素</w:t>
      </w:r>
    </w:p>
    <w:p>
      <w:pPr>
        <w:spacing w:before="0" w:after="200" w:lineRule="auto" w:line="276"/>
      </w:pPr>
      <w:r>
        <w:rPr>
          <w:b/>
        </w:rPr>
        <w:t xml:space="preserve">Abstract (EN): </w:t>
      </w:r>
      <w:r>
        <w:t>Deciphering the mechanisms governing photoinduced phase segregation in mixed halide perovskites is essential to unlock their full potential in stable, high-performance optoelectronic applications. We uncover the mechanism by which residual local strain acts as a key driving force of light-induced phase segregation. By combining in situ transmission electron microscopy with photoluminescence spectroscopy, we observe structural evolution and photocarrier behavior during phase segregation and after re-mixing. Although halide segregation is compositionally reversible, the perovskite lattice retains residual local strain, a “memory” of previously segregated halide domains, which evolves spatiotemporally with each phase segregation cycle. Residual local strain subsequently serves as a driver for successive phase segregation by trapping photocarriers and acts as the nucleation sites for iodide-rich domains. Our findings identify local strain as an intrinsic, evolving driving force of phase segregation, which offers a paradigm for improving the long-term stability of halide perovskites through strain management and compositional engineering.</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0">
        <w:r>
          <w:rPr>
            <w:color w:val="1155CC"/>
            <w:u w:val="single"/>
          </w:rPr>
          <w:t>内建电场调节相变并抑制钠离子电池锰基磷酸盐阴极的电压滞后</w:t>
        </w:r>
      </w:hyperlink>
    </w:p>
    <w:p>
      <w:pPr>
        <w:spacing w:before="0" w:after="80"/>
      </w:pPr>
      <w:r>
        <w:rPr>
          <w:i/>
          <w:sz w:val="20"/>
        </w:rPr>
        <w:t>EN: Built‐In Electric Field Modulates Phase Transition and Suppresses Voltage Hysteresis in Mn‐Based Phosphates Cathode for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2026-02-28 08:07:59+00:00</w:t>
      </w:r>
      <w:r>
        <w:t xml:space="preserve">    </w:t>
      </w:r>
      <w:r>
        <w:rPr>
          <w:b/>
        </w:rPr>
        <w:t xml:space="preserve">DOI: </w:t>
      </w:r>
      <w:hyperlink r:id="rId41">
        <w:r>
          <w:rPr>
            <w:color w:val="1155CC"/>
            <w:u w:val="single"/>
          </w:rPr>
          <w:t>10.1002/anie.202522507</w:t>
        </w:r>
      </w:hyperlink>
    </w:p>
    <w:p>
      <w:pPr>
        <w:spacing w:before="0" w:after="120"/>
      </w:pPr>
      <w:r>
        <w:rPr>
          <w:b/>
        </w:rPr>
        <w:t xml:space="preserve">Notes: </w:t>
      </w:r>
      <w:r>
        <w:t>abstract_source=pubmed</w:t>
      </w:r>
    </w:p>
    <w:p>
      <w:pPr>
        <w:spacing w:before="0" w:after="80" w:lineRule="auto" w:line="276"/>
      </w:pPr>
      <w:r>
        <w:rPr>
          <w:b/>
        </w:rPr>
        <w:t xml:space="preserve">摘要（ZH）: </w:t>
      </w:r>
      <w:r>
        <w:t>锰基混合磷酸盐正极的电压滞后和缓慢动力学显著阻碍了其发展和应用。在此，这项工作制造了一种异质复合正极（NFMVP (9-1)-rGO），具有内置电场和加速的电子通道。作为关键的动力学驱动力，内置电场可以选择性地促进Na+在Na3MnFe(PO4)P2O7相中的扩散，同时抑制Na4MnV(PO4)3相在高电压下由于Na+的“雪崩提取”而导致的结构退化。双碳层的引入进一步在整个电极中建立了一个稳健的导电框架。至关重要的是，基于分布松弛时间的原位电化学阻抗谱揭示了内置</w:t>
      </w:r>
    </w:p>
    <w:p>
      <w:pPr>
        <w:spacing w:before="0" w:after="200" w:lineRule="auto" w:line="276"/>
      </w:pPr>
      <w:r>
        <w:rPr>
          <w:b/>
        </w:rPr>
        <w:t xml:space="preserve">Abstract (EN): </w:t>
      </w:r>
      <w:r>
        <w:t>The voltage hysteresis and sluggish kinetics of Mn-based mixed phosphate cathode significantly hinder their development and application. Herein, this work fabricates a heterogeneous composite cathode (NFMVP (9-1)-rGO) with a built-in electric field and accelerated electronic pathway. As the key kinetic driving force, the built-in electric field, can selectively promote the diffusion of Na+ in the Na3MnFe(PO4)P2O7 phase while simultaneously suppress the structural degradation of the Na4MnV(PO4)3 phase caused by the "avalanche extraction" of Na+ under high-voltage. The introduction of the dual-carbon layer further establishes a robust conductive framework throughout the electrode. Crucially, in situ electrochemical impedance spectra based on distribution relaxation time reveal that the built-in electric field modulates the phase transition mechanism from a two-phase reaction to a solid-solution behavior in the high-voltage region, significantly accelerating the reaction kinetics and greatly suppressing voltage hysteresis. As a result, NFMVP (9-1)-rGO exhibits excellent capacity delivery (120.2 mAh g-1), high practical energy density (378.3 Wh kg-1), and outstanding long-term cycling stability. Our findings enlighten a new paradigm in the kinetic driving force from built-in electric field and the phase transition regulation mechanism in heterogeneous structures toward high-energy Mn-based sodium-ion batteries.</w:t>
      </w:r>
    </w:p>
    <w:p>
      <w:pPr>
        <w:spacing w:before="120" w:after="120"/>
      </w:pPr>
      <w:r>
        <w:rPr>
          <w:sz w:val="18"/>
        </w:rPr>
        <w:t>——————————————————————————————————————————————————————————————————————</w:t>
      </w:r>
    </w:p>
    <w:p>
      <w:pPr>
        <w:spacing w:before="160" w:after="40" w:line="240" w:lineRule="auto"/>
      </w:pPr>
      <w:r>
        <w:rPr>
          <w:b/>
        </w:rPr>
        <w:t xml:space="preserve">[2] </w:t>
      </w:r>
      <w:hyperlink r:id="rId42">
        <w:r>
          <w:rPr>
            <w:color w:val="1155CC"/>
            <w:u w:val="single"/>
          </w:rPr>
          <w:t>均匀的孔结构使未掺杂和未涂层的富镍正极材料几乎没有降解</w:t>
        </w:r>
      </w:hyperlink>
    </w:p>
    <w:p>
      <w:pPr>
        <w:spacing w:before="0" w:after="80"/>
      </w:pPr>
      <w:r>
        <w:rPr>
          <w:i/>
          <w:sz w:val="20"/>
        </w:rPr>
        <w:t>EN: Uniform pore structure enables negligible degradation in undoped and uncoated Ni-rich cathodes</w:t>
      </w:r>
    </w:p>
    <w:p>
      <w:pPr>
        <w:spacing w:before="0" w:after="120"/>
      </w:pPr>
      <w:r>
        <w:rPr>
          <w:b/>
        </w:rPr>
        <w:t xml:space="preserve">Source: </w:t>
      </w:r>
      <w:r>
        <w:t>Nature Energy</w:t>
      </w:r>
      <w:r>
        <w:t xml:space="preserve">    </w:t>
      </w:r>
      <w:r>
        <w:rPr>
          <w:b/>
        </w:rPr>
        <w:t xml:space="preserve">Pub date: </w:t>
      </w:r>
      <w:r>
        <w:t>2026-03-02 00:00:00+00:00</w:t>
      </w:r>
      <w:r>
        <w:t xml:space="preserve">    </w:t>
      </w:r>
      <w:r>
        <w:rPr>
          <w:b/>
        </w:rPr>
        <w:t xml:space="preserve">DOI: </w:t>
      </w:r>
      <w:hyperlink r:id="rId43">
        <w:r>
          <w:rPr>
            <w:color w:val="1155CC"/>
            <w:u w:val="single"/>
          </w:rPr>
          <w:t>10.1038/s41560-026-01988-w</w:t>
        </w:r>
      </w:hyperlink>
    </w:p>
    <w:p>
      <w:pPr>
        <w:spacing w:before="0" w:after="120"/>
      </w:pPr>
      <w:r>
        <w:rPr>
          <w:b/>
        </w:rPr>
        <w:t xml:space="preserve">Notes: </w:t>
      </w:r>
      <w:r>
        <w:t>abstract_source=nature_html</w:t>
      </w:r>
    </w:p>
    <w:p>
      <w:pPr>
        <w:spacing w:before="0" w:after="80" w:lineRule="auto" w:line="276"/>
      </w:pPr>
      <w:r>
        <w:rPr>
          <w:b/>
        </w:rPr>
        <w:t xml:space="preserve">摘要（ZH）: </w:t>
      </w:r>
      <w:r>
        <w:t>富镍层状氧化物锂离子电池正极表现出化学机械失效，普遍认为这是由于高电压相变引起的。现有的缓解策略依赖于成分修改（例如掺杂）、纳米结构化（例如涂层和初级颗粒工程）和微观结构修改，但这些方法增加了合成的复杂性。在此，我们展示了一种简单的合成策略，使得富镍正极在没有掺杂、涂层或浓度梯度的情况下表现出异常稳定性。我们表明，化学机械失效与微观结构不均匀性（特别是纳米级孔隙）密切相关，这源于在煅烧过程中固态反应物之间接触有限。通过增加LiOH的熔化速率</w:t>
      </w:r>
    </w:p>
    <w:p>
      <w:pPr>
        <w:spacing w:before="0" w:after="200" w:lineRule="auto" w:line="276"/>
      </w:pPr>
      <w:r>
        <w:rPr>
          <w:b/>
        </w:rPr>
        <w:t xml:space="preserve">Abstract (EN): </w:t>
      </w:r>
      <w:r>
        <w:t>Ni-rich layered oxide cathodes for lithium-ion batteries exhibit chemomechanical failures, with the consensus attributing this to high-voltage phase transitions. Existing mitigation strategies rely on compositional modifications (for example, doping), nanostructuring (for example, coatings and primary-particle engineering) and microstructure modifications, but these approaches increase synthesis complexity. Here, we demonstrate a simple synthesis strategy that enables exceptionally stable Ni-rich cathodes without doping, coating or concentration gradients. We show that chemomechanical failure is closely linked to microstructural non-uniformity (specifically, nanoscale pores), stemming from limited contact between solid-state reactants during calcination. By increasing the LiOH melting rate, we enhance liquid–solid interfacial contact between precursors, resulting in uniformly evolved microstructures. This uniformity leads to excellent cycle life by dissipating strain energy and mitigating chemomechanical failure even in the presence of high-voltage phase transition. Our findings challenge the prevailing belief that suppressing this phase transition and hierarchal material design are necessary for stable Ni-rich cathodes.</w:t>
      </w:r>
    </w:p>
    <w:p>
      <w:pPr>
        <w:spacing w:before="120" w:after="120"/>
      </w:pPr>
      <w:r>
        <w:rPr>
          <w:sz w:val="18"/>
        </w:rPr>
        <w:t>——————————————————————————————————————————————————————————————————————</w:t>
      </w:r>
    </w:p>
    <w:p>
      <w:pPr>
        <w:spacing w:before="160" w:after="40" w:line="240" w:lineRule="auto"/>
      </w:pPr>
      <w:r>
        <w:rPr>
          <w:b/>
        </w:rPr>
        <w:t xml:space="preserve">[3] </w:t>
      </w:r>
      <w:hyperlink r:id="rId44">
        <w:r>
          <w:rPr>
            <w:color w:val="1155CC"/>
            <w:u w:val="single"/>
          </w:rPr>
          <w:t>固溶相工程实现从废旧电池中超高倍率LiFePO4再生</w:t>
        </w:r>
      </w:hyperlink>
    </w:p>
    <w:p>
      <w:pPr>
        <w:spacing w:before="0" w:after="80"/>
      </w:pPr>
      <w:r>
        <w:rPr>
          <w:i/>
          <w:sz w:val="20"/>
        </w:rPr>
        <w:t>EN: Solid-solution phase engineering enables ultrahigh-rate LiFePO4 regeneration from spent batteries</w:t>
      </w:r>
    </w:p>
    <w:p>
      <w:pPr>
        <w:spacing w:before="0" w:after="120"/>
      </w:pPr>
      <w:r>
        <w:rPr>
          <w:b/>
        </w:rPr>
        <w:t xml:space="preserve">Source: </w:t>
      </w:r>
      <w:r>
        <w:t>Joule</w:t>
      </w:r>
      <w:r>
        <w:t xml:space="preserve">    </w:t>
      </w:r>
      <w:r>
        <w:rPr>
          <w:b/>
        </w:rPr>
        <w:t xml:space="preserve">Pub date: </w:t>
      </w:r>
      <w:r>
        <w:t>2026-03-02 00:00:00+00:00</w:t>
      </w:r>
      <w:r>
        <w:t xml:space="preserve">    </w:t>
      </w:r>
      <w:r>
        <w:rPr>
          <w:b/>
        </w:rPr>
        <w:t xml:space="preserve">DOI: </w:t>
      </w:r>
      <w:hyperlink r:id="rId45">
        <w:r>
          <w:rPr>
            <w:color w:val="1155CC"/>
            <w:u w:val="single"/>
          </w:rPr>
          <w:t>10.1016/j.joule.2025.102312</w:t>
        </w:r>
      </w:hyperlink>
    </w:p>
    <w:p>
      <w:pPr>
        <w:spacing w:before="0" w:after="120"/>
      </w:pPr>
      <w:r>
        <w:rPr>
          <w:b/>
        </w:rPr>
        <w:t xml:space="preserve">Notes: </w:t>
      </w:r>
      <w:r>
        <w:t>abstract_source=rss_cell</w:t>
      </w:r>
    </w:p>
    <w:p>
      <w:pPr>
        <w:spacing w:before="0" w:after="80" w:lineRule="auto" w:line="276"/>
      </w:pPr>
      <w:r>
        <w:rPr>
          <w:b/>
        </w:rPr>
        <w:t xml:space="preserve">摘要（ZH）: </w:t>
      </w:r>
      <w:r>
        <w:t>废弃LiFePO4正极材料的高效直接回收受到结构异质性的阻碍，限制了性能和可扩展性。该工作引入了一种固溶相工程策略，克服了这一障碍，实现了LiFePO4的通用再生，具有超高倍率能力和在实际电池中稳定的长期循环。</w:t>
      </w:r>
    </w:p>
    <w:p>
      <w:pPr>
        <w:spacing w:before="0" w:after="200" w:lineRule="auto" w:line="276"/>
      </w:pPr>
      <w:r>
        <w:rPr>
          <w:b/>
        </w:rPr>
        <w:t xml:space="preserve">Abstract (EN): </w:t>
      </w:r>
      <w:r>
        <w:t>Efficient direct recycling of spent LiFePO4 cathode materials is hindered by structural heterogeneity, which limits performance and scalability. This work introduces a solid-solution phase-engineering strategy that overcomes this barrier, enabling universal regeneration of LiFePO4 with ultrahigh-rate capability and stable long-term cycling in practical cells.</w:t>
      </w:r>
    </w:p>
    <w:p>
      <w:pPr>
        <w:spacing w:before="120" w:after="120"/>
      </w:pPr>
      <w:r>
        <w:rPr>
          <w:sz w:val="18"/>
        </w:rPr>
        <w:t>——————————————————————————————————————————————————————————————————————</w:t>
      </w:r>
    </w:p>
    <w:p>
      <w:pPr>
        <w:spacing w:before="160" w:after="40" w:line="240" w:lineRule="auto"/>
      </w:pPr>
      <w:r>
        <w:rPr>
          <w:b/>
        </w:rPr>
        <w:t xml:space="preserve">[4] </w:t>
      </w:r>
      <w:hyperlink r:id="rId46">
        <w:r>
          <w:rPr>
            <w:color w:val="1155CC"/>
            <w:u w:val="single"/>
          </w:rPr>
          <w:t>表面偏析辅助的直接再生废旧层状阴极</w:t>
        </w:r>
      </w:hyperlink>
    </w:p>
    <w:p>
      <w:pPr>
        <w:spacing w:before="0" w:after="80"/>
      </w:pPr>
      <w:r>
        <w:rPr>
          <w:i/>
          <w:sz w:val="20"/>
        </w:rPr>
        <w:t>EN: Surface Segregation‐Assisted Direct Regeneration of Spent Layer Cathodes</w:t>
      </w:r>
    </w:p>
    <w:p>
      <w:pPr>
        <w:spacing w:before="0" w:after="120"/>
      </w:pPr>
      <w:r>
        <w:rPr>
          <w:b/>
        </w:rPr>
        <w:t xml:space="preserve">Source: </w:t>
      </w:r>
      <w:r>
        <w:t>Wiley: Angewandte Chemie International Edition: Table of Contents</w:t>
      </w:r>
      <w:r>
        <w:t xml:space="preserve">    </w:t>
      </w:r>
      <w:r>
        <w:rPr>
          <w:b/>
        </w:rPr>
        <w:t xml:space="preserve">Pub date: </w:t>
      </w:r>
      <w:r>
        <w:t>2026-03-02 06:07:35+00:00</w:t>
      </w:r>
      <w:r>
        <w:t xml:space="preserve">    </w:t>
      </w:r>
      <w:r>
        <w:rPr>
          <w:b/>
        </w:rPr>
        <w:t xml:space="preserve">DOI: </w:t>
      </w:r>
      <w:hyperlink r:id="rId47">
        <w:r>
          <w:rPr>
            <w:color w:val="1155CC"/>
            <w:u w:val="single"/>
          </w:rPr>
          <w:t>10.1002/anie.5713677</w:t>
        </w:r>
      </w:hyperlink>
    </w:p>
    <w:p>
      <w:pPr>
        <w:spacing w:before="0" w:after="120"/>
      </w:pPr>
      <w:r>
        <w:rPr>
          <w:b/>
        </w:rPr>
        <w:t xml:space="preserve">Notes: </w:t>
      </w:r>
      <w:r>
        <w:t>abstract_source=pubmed</w:t>
      </w:r>
    </w:p>
    <w:p>
      <w:pPr>
        <w:spacing w:before="0" w:after="80" w:lineRule="auto" w:line="276"/>
      </w:pPr>
      <w:r>
        <w:rPr>
          <w:b/>
        </w:rPr>
        <w:t xml:space="preserve">摘要（ZH）: </w:t>
      </w:r>
      <w:r>
        <w:t>直接再生因其经济和环境优势而成为一种有前景的方法。然而，锂补充和相重构的效率——再生过程中的核心步骤——受到废阴极材料惰性岩盐相的严重阻碍。在此，我们提出了一种分离辅助再生策略，利用高价元素的分离行为来调节再生过程中的反应热力学，从而优先诱导NiO型岩盐相的原位转化。这种转化促进了锂离子的扩散，加速了层状结构的重构，并增强了整体结构稳定性。作为概念验证，引入了钨（W6+）</w:t>
      </w:r>
    </w:p>
    <w:p>
      <w:pPr>
        <w:spacing w:before="0" w:after="200" w:lineRule="auto" w:line="276"/>
      </w:pPr>
      <w:r>
        <w:rPr>
          <w:b/>
        </w:rPr>
        <w:t xml:space="preserve">Abstract (EN): </w:t>
      </w:r>
      <w:r>
        <w:t>Direct regeneration has emerged as a promising approach, owing to its economic and environmental advantages. However, the efficiency of lithium replenishment and phase reconstruction-the core steps in the regeneration process-is critically hindered by the inert rock-salt phase of spent cathode materials. Herein, we propose a segregation-assisted regeneration strategy that leverages the segregation behavior of high-valence elements to regulate reaction thermodynamics during the regeneration process, thereby preferentially inducing the in situ transformation of the NiO-type rock-salt phase. This transformation facilitates Li-ion diffusion, accelerates the reconstruction of the layered structure, and enhances the overall structural stability. As proof of concept, tungsten (W6+) is introduced into the regeneration process of spent LiNi0.5Co0.2Mn0.3O2 (NCM523) cathodes, leading to the formation of Li-W-Ni-O compounds and Li2WO4, which collectively facilitate the direct regeneration of the degraded material. The regenerated NCM523 delivers a high reversible capacity of 150 mAh g-1 at 0.5 C, outperforming commercial counterparts, and retains 83% of its capacity after 800 cycles in a 1.1 Ah pouch cell. Moreover, this strategy demonstrates broad applicability to other degraded layered cathode materials, including LiNi0.6Co0.2Mn0.2O2 and LiNi0.8Co0.1Mn0.1O2. This work provides a scalable, energy-efficient, and sustainable route for regenerating spent cathodes.</w:t>
      </w:r>
    </w:p>
    <w:p>
      <w:pPr>
        <w:spacing w:before="120" w:after="120"/>
      </w:pPr>
      <w:r>
        <w:rPr>
          <w:sz w:val="18"/>
        </w:rPr>
        <w:t>——————————————————————————————————————————————————————————————————————</w:t>
      </w:r>
    </w:p>
    <w:p>
      <w:pPr>
        <w:spacing w:before="160" w:after="40" w:line="240" w:lineRule="auto"/>
      </w:pPr>
      <w:r>
        <w:rPr>
          <w:b/>
        </w:rPr>
        <w:t xml:space="preserve">[5] </w:t>
      </w:r>
      <w:hyperlink r:id="rId48">
        <w:r>
          <w:rPr>
            <w:color w:val="1155CC"/>
            <w:u w:val="single"/>
          </w:rPr>
          <w:t>δ‐MnO2中的电子驱动质子插层以解锁快速充电水系锌离子电池</w:t>
        </w:r>
      </w:hyperlink>
    </w:p>
    <w:p>
      <w:pPr>
        <w:spacing w:before="0" w:after="80"/>
      </w:pPr>
      <w:r>
        <w:rPr>
          <w:i/>
          <w:sz w:val="20"/>
        </w:rPr>
        <w:t>EN: Electron‐Driven‐Proton Intercalation in δ‐MnO2 to Unlock Fast‐Charging Aqueous Zinc‐Ion Batteries</w:t>
      </w:r>
    </w:p>
    <w:p>
      <w:pPr>
        <w:spacing w:before="0" w:after="120"/>
      </w:pPr>
      <w:r>
        <w:rPr>
          <w:b/>
        </w:rPr>
        <w:t xml:space="preserve">Source: </w:t>
      </w:r>
      <w:r>
        <w:t>Wiley: Advanced Energy Materials: Table of Contents</w:t>
      </w:r>
      <w:r>
        <w:t xml:space="preserve">    </w:t>
      </w:r>
      <w:r>
        <w:rPr>
          <w:b/>
        </w:rPr>
        <w:t xml:space="preserve">Pub date: </w:t>
      </w:r>
      <w:r>
        <w:t>2026-03-02 08:38:52+00:00</w:t>
      </w:r>
      <w:r>
        <w:t xml:space="preserve">    </w:t>
      </w:r>
      <w:r>
        <w:rPr>
          <w:b/>
        </w:rPr>
        <w:t xml:space="preserve">DOI: </w:t>
      </w:r>
      <w:hyperlink r:id="rId49">
        <w:r>
          <w:rPr>
            <w:color w:val="1155CC"/>
            <w:u w:val="single"/>
          </w:rPr>
          <w:t>10.1002/aenm.202506142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50">
        <w:r>
          <w:rPr>
            <w:color w:val="1155CC"/>
            <w:u w:val="single"/>
          </w:rPr>
          <w:t>用于稳定富镍层状氧化物正极的多功能天然粘土矿物添加剂</w:t>
        </w:r>
      </w:hyperlink>
    </w:p>
    <w:p>
      <w:pPr>
        <w:spacing w:before="0" w:after="80"/>
      </w:pPr>
      <w:r>
        <w:rPr>
          <w:i/>
          <w:sz w:val="20"/>
        </w:rPr>
        <w:t>EN: A Multifunctional Natural Clay Mineral Additive for Stabilizing Ni-Rich Layered Oxide Cathodes</w:t>
      </w:r>
    </w:p>
    <w:p>
      <w:pPr>
        <w:spacing w:before="0" w:after="120"/>
      </w:pPr>
      <w:r>
        <w:rPr>
          <w:b/>
        </w:rPr>
        <w:t xml:space="preserve">Source: </w:t>
      </w:r>
      <w:r>
        <w:t>RSC - Energy Environ. Sci. latest articles</w:t>
      </w:r>
      <w:r>
        <w:t xml:space="preserve">    </w:t>
      </w:r>
      <w:r>
        <w:rPr>
          <w:b/>
        </w:rPr>
        <w:t xml:space="preserve">Pub date: </w:t>
      </w:r>
      <w:r>
        <w:t>2026-03-03 00:00:00+00:00</w:t>
      </w:r>
    </w:p>
    <w:p>
      <w:pPr>
        <w:spacing w:before="0" w:after="120"/>
      </w:pPr>
      <w:r>
        <w:rPr>
          <w:b/>
        </w:rPr>
        <w:t xml:space="preserve">Notes: </w:t>
      </w:r>
      <w:r>
        <w:t>abstract_source=rsc_html</w:t>
      </w:r>
    </w:p>
    <w:p>
      <w:pPr>
        <w:spacing w:before="0" w:after="80" w:lineRule="auto" w:line="276"/>
      </w:pPr>
      <w:r>
        <w:rPr>
          <w:b/>
        </w:rPr>
        <w:t xml:space="preserve">摘要（ZH）: </w:t>
      </w:r>
      <w:r>
        <w:t>富镍层状锂过渡金属氧化物在各种先进储能系统中表现出高比容量和广泛的应用潜力。然而，即使是电解液中的微量水也会引发不可逆的相变和有害的界面反应，如过渡金属离子（TMs）溶解和HF诱导的腐蚀，最终导致电池过早失效。在此，自然粘土矿物高岭石（7Å HNT）作为多功能添加剂应用于LiNi 0.6 Mn 0.2 Co 0.2 O 2（NCM622）电极中，以提高其循环稳定性。HNT的外部Si-O-Si表面和内部Al-OH腔体可以有效清除H 2 O/HF并抑制TMs溶解，从而防止阴极微观结构退化并减轻腐蚀。</w:t>
      </w:r>
    </w:p>
    <w:p>
      <w:pPr>
        <w:spacing w:before="0" w:after="200" w:lineRule="auto" w:line="276"/>
      </w:pPr>
      <w:r>
        <w:rPr>
          <w:b/>
        </w:rPr>
        <w:t xml:space="preserve">Abstract (EN): </w:t>
      </w:r>
      <w:r>
        <w:t>Layered Ni-rich lithium transition metal oxides exhibit high specific capacities and broad application potential in various advanced energy storage systems. However, even trace amounts of water in the electrolyte can trigger irreversible phase transitions and detrimental interfacial reactions, such as transition metal ions (TMs) dissolution and HF-induced corrosion, ultimately leading to premature battery failure. Herein, natural clay mineral halloysite (7Å HNT) acts as a multifunctional additive and is applied in the LiNi 0.6 Mn 0.2 Co 0.2 O 2 (NCM622) electrode to improve its cycle stability. The external Si-O-Si surface and internal Al-OH lumen of HNT can effectively scavenge H 2 O/HF and suppress TMs dissolution, thereby preventing cathode microstructural degradation and mitigating crosstalk side reactions. Additionally, the negatively charged outer surface of HNT promotes the accumulation of Li⁺ near the electrode interface, which helps to alleviate concentration polarization and enhance interfacial lithium-ion transport, thereby improving the rate capability. As a result, the assembled HNT-LiNi 0.6 Mn 0.2 Co 0.2 O 2 //Li (HNT-NCM) cell displays a high capacity retention of 86.6% after 500 cycles at 2 C. Even at 55 °C, the HNT-NCM//Li cell retains 79.5% of its original capacity after 150 cycles, exhibiting a 22.1% enhancement in capacity retention compared to the pristine NCM//Li cell. This work proposed a straightforward yet efficient approach for constructing a protective barrier to mitigate the hazards of H 2 O, TMs, and HF in modern battery systems.Broader contextNi-rich layered oxide cathodes such as LiNi 0.6 Mn₀ 0.2 Co 0.2 O 2 (NCM622) hold great promise for high-energy lithium batteries owing to their high capacity and cost-effectiveness. However, their interfacial and structural instability under high-voltage and high-temperature conditions, aggravated by trace moisture-induced HF corrosion and transition metal dissolution, severely limits their practical application. This study introduces a green and sustainable strategy using natural halloysite (HNT) as a multifunctional cathode additive to scavenge H 2 O/HF and capture dissolved metal ions, thereby suppressing electrolyte decomposition and cathode degradation. The external Si-O-Si surface and internal Al-OH lumen of HNT provide abundant active sites for impurity adsorption, while its negatively charged surface enriches Li + at the interface, reducing concentration polarization and enhancing ion transport. The natural HNT-based design of the multifunctional cathode presents a promising strategy for achieving stable, high-rate, and high-temperature performance in next-generation Ni-rich lithium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51">
        <w:r>
          <w:rPr>
            <w:color w:val="1155CC"/>
            <w:u w:val="single"/>
          </w:rPr>
          <w:t>高性能锂/钠离子电容器电极的缺陷工程：机制、进展和未来展望</w:t>
        </w:r>
      </w:hyperlink>
    </w:p>
    <w:p>
      <w:pPr>
        <w:spacing w:before="0" w:after="80"/>
      </w:pPr>
      <w:r>
        <w:rPr>
          <w:i/>
          <w:sz w:val="20"/>
        </w:rPr>
        <w:t>EN: Defect engineering for high-performance lithium/sodium-ion capacitor electrodes: mechanisms, advances, and future perspectives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52">
        <w:r>
          <w:rPr>
            <w:color w:val="1155CC"/>
            <w:u w:val="single"/>
          </w:rPr>
          <w:t>[ASAP] 通过尿素添加剂调节煤衍生硬碳的微观结构和官能团用于165 Wh kg–1钠离子软包电池</w:t>
        </w:r>
      </w:hyperlink>
    </w:p>
    <w:p>
      <w:pPr>
        <w:spacing w:before="0" w:after="80"/>
      </w:pPr>
      <w:r>
        <w:rPr>
          <w:i/>
          <w:sz w:val="20"/>
        </w:rPr>
        <w:t>EN: [ASAP] Tuning the Microstructure and Functional Groups of Coal-Derived Hard Carbons by Urea Additives for 165 Wh kg–1 Sodium Ion Pouch Cells</w:t>
      </w:r>
    </w:p>
    <w:p>
      <w:pPr>
        <w:spacing w:before="0" w:after="120"/>
      </w:pPr>
      <w:r>
        <w:rPr>
          <w:b/>
        </w:rPr>
        <w:t xml:space="preserve">Source: </w:t>
      </w:r>
      <w:r>
        <w:t>ACS Energy Letters: Latest Articles (ACS Publications)</w:t>
      </w:r>
      <w:r>
        <w:t xml:space="preserve">    </w:t>
      </w:r>
      <w:r>
        <w:rPr>
          <w:b/>
        </w:rPr>
        <w:t xml:space="preserve">Pub date: </w:t>
      </w:r>
      <w:r>
        <w:t>2026-03-01 14:56:05+00:00</w:t>
      </w:r>
      <w:r>
        <w:t xml:space="preserve">    </w:t>
      </w:r>
      <w:r>
        <w:rPr>
          <w:b/>
        </w:rPr>
        <w:t xml:space="preserve">DOI: </w:t>
      </w:r>
      <w:hyperlink r:id="rId53">
        <w:r>
          <w:rPr>
            <w:color w:val="1155CC"/>
            <w:u w:val="single"/>
          </w:rPr>
          <w:t>10.1021/acsenergylett.5c03861</w:t>
        </w:r>
      </w:hyperlink>
    </w:p>
    <w:p>
      <w:pPr>
        <w:spacing w:before="0" w:after="120"/>
      </w:pPr>
      <w:r>
        <w:rPr>
          <w:b/>
        </w:rPr>
        <w:t xml:space="preserve">Notes: </w:t>
      </w:r>
      <w:r>
        <w:t>abstract_source=openalex</w:t>
      </w:r>
    </w:p>
    <w:p>
      <w:pPr>
        <w:spacing w:before="0" w:after="80" w:lineRule="auto" w:line="276"/>
      </w:pPr>
      <w:r>
        <w:rPr>
          <w:b/>
        </w:rPr>
        <w:t xml:space="preserve">摘要（ZH）: </w:t>
      </w:r>
      <w:r>
        <w:t>优化硬碳（HC）的微观结构和官能团对于提高其钠离子（Na+）存储性能至关重要。在此，通过在煤中碳化尿素添加剂来改性HC的微观结构和官能团。所获得的HC含有丰富的带电负官能团（吡咯-N、吡啶-N、氧化-N和C═O），具有Na+亲和性，伪石墨纳米晶体具有短的横向尺寸但厚的石墨层，以及平均直径为2.5 nm的封闭孔，表现出“吸附-插层/孔填充”Na+存储机制。HC半电池在25°C下提供356.0 mAh g–1的可逆容量，在60°C下提供458.4 mAh g–1的可逆容量，电流密度为0.1C。与Na3V2(PO4)3正极的全电池显示出91.2%的容量保持率</w:t>
      </w:r>
    </w:p>
    <w:p>
      <w:pPr>
        <w:spacing w:before="0" w:after="200" w:lineRule="auto" w:line="276"/>
      </w:pPr>
      <w:r>
        <w:rPr>
          <w:b/>
        </w:rPr>
        <w:t xml:space="preserve">Abstract (EN): </w:t>
      </w:r>
      <w:r>
        <w:t>Optimizing the microstructure and functional groups of hard carbon (HC) is critical to enhancing its sodium ion (Na+) storage performance. Herein, the microstructure and functional groups of HC are modified through the carbonization of urea additives in coal. The as-received HC contains rich electronegative functional groups (pyrrolic-N, pyridinic-N,, oxidized-N, and C═O) with Na+ affinity, pseudographitic nanocrystals with short lateral dimension but thick graphitic layers, and closed pores with an average diameter of 2.5 nm that exhibit an “adsorption-intercalation/pore-filling” Na+ storage mechanism. The HC half-cell delivers a reversible capacity of 356.0 mAh g–1 at 25 °C and 458.4 mAh g–1 at 60 °C at 0.1C. The full cell with a Na3V2(PO4)3 cathode shows a capacity retention of 91.2% after 2000 cycles at 5C. The 1.2 Ah pouch cell with a NaNi1/3Fe1/3Mn1/3O2 cathode exhibits an energy density of 165 Wh kg–1. This work contributes to our understanding of sodium storage mechanisms and offers guidance for the design of carbon-based anodes for sodium-ion batteries.</w:t>
      </w:r>
    </w:p>
    <w:p>
      <w:pPr>
        <w:spacing w:before="120" w:after="120"/>
      </w:pPr>
      <w:r>
        <w:rPr>
          <w:sz w:val="18"/>
        </w:rPr>
        <w:t>——————————————————————————————————————————————————————————————————————</w:t>
      </w:r>
    </w:p>
    <w:p>
      <w:pPr>
        <w:spacing w:before="160" w:after="40" w:line="240" w:lineRule="auto"/>
      </w:pPr>
      <w:r>
        <w:rPr>
          <w:b/>
        </w:rPr>
        <w:t xml:space="preserve">[3] </w:t>
      </w:r>
      <w:hyperlink r:id="rId54">
        <w:r>
          <w:rPr>
            <w:color w:val="1155CC"/>
            <w:u w:val="single"/>
          </w:rPr>
          <w:t>反应性碱金属电池材料的相关成像和分析指南</w:t>
        </w:r>
      </w:hyperlink>
    </w:p>
    <w:p>
      <w:pPr>
        <w:spacing w:before="0" w:after="80"/>
      </w:pPr>
      <w:r>
        <w:rPr>
          <w:i/>
          <w:sz w:val="20"/>
        </w:rPr>
        <w:t>EN: Guidelines for correlative imaging and analysis of reactive alkali metal battery materials</w:t>
      </w:r>
    </w:p>
    <w:p>
      <w:pPr>
        <w:spacing w:before="0" w:after="120"/>
      </w:pPr>
      <w:r>
        <w:rPr>
          <w:b/>
        </w:rPr>
        <w:t xml:space="preserve">Source: </w:t>
      </w:r>
      <w:r>
        <w:t>Joule</w:t>
      </w:r>
      <w:r>
        <w:t xml:space="preserve">    </w:t>
      </w:r>
      <w:r>
        <w:rPr>
          <w:b/>
        </w:rPr>
        <w:t xml:space="preserve">Pub date: </w:t>
      </w:r>
      <w:r>
        <w:t>2026-03-02 00:00:00+00:00</w:t>
      </w:r>
      <w:r>
        <w:t xml:space="preserve">    </w:t>
      </w:r>
      <w:r>
        <w:rPr>
          <w:b/>
        </w:rPr>
        <w:t xml:space="preserve">DOI: </w:t>
      </w:r>
      <w:hyperlink r:id="rId55">
        <w:r>
          <w:rPr>
            <w:color w:val="1155CC"/>
            <w:u w:val="single"/>
          </w:rPr>
          <w:t>10.1016/j.joule.2025.102311</w:t>
        </w:r>
      </w:hyperlink>
    </w:p>
    <w:p>
      <w:pPr>
        <w:spacing w:before="0" w:after="120"/>
      </w:pPr>
      <w:r>
        <w:rPr>
          <w:b/>
        </w:rPr>
        <w:t xml:space="preserve">Notes: </w:t>
      </w:r>
      <w:r>
        <w:t>abstract_source=rss_cell</w:t>
      </w:r>
    </w:p>
    <w:p>
      <w:pPr>
        <w:spacing w:before="0" w:after="80" w:lineRule="auto" w:line="276"/>
      </w:pPr>
      <w:r>
        <w:rPr>
          <w:b/>
        </w:rPr>
        <w:t xml:space="preserve">摘要（ZH）: </w:t>
      </w:r>
      <w:r>
        <w:t>活性碱金属是下一代电池的核心，但其极端敏感性长期以来使可靠成像变得复杂。本研究建立了一个统一的工作流程——从储存到离子束铣削再到电子显微镜——以保留锂和钠金属及其SEI的原生结构和化学性质。通过阐明何时需要低温条件并确定对光束敏感相的剂量限制，该工作为电池领域的可重复、无伪影表征提供了基础。</w:t>
      </w:r>
    </w:p>
    <w:p>
      <w:pPr>
        <w:spacing w:before="0" w:after="200" w:lineRule="auto" w:line="276"/>
      </w:pPr>
      <w:r>
        <w:rPr>
          <w:b/>
        </w:rPr>
        <w:t xml:space="preserve">Abstract (EN): </w:t>
      </w:r>
      <w:r>
        <w:t>Reactive alkali metals are central to next-generation batteries, yet their extreme sensitivity has long complicated reliable imaging. This study establishes a unified workflow—from storage to ion-beam milling to electron microscopy—that preserves the native structure and chemistry of lithium and sodium metals and their SEIs. By clarifying when cryogenic conditions are required and identifying dose limits for beam-sensitive phases, the work provides a foundation for reproducible, artifact-free characterization across the battery community.</w:t>
      </w:r>
    </w:p>
    <w:p>
      <w:pPr>
        <w:spacing w:before="120" w:after="120"/>
      </w:pPr>
      <w:r>
        <w:rPr>
          <w:sz w:val="18"/>
        </w:rPr>
        <w:t>——————————————————————————————————————————————————————————————————————</w:t>
      </w:r>
    </w:p>
    <w:p>
      <w:pPr>
        <w:spacing w:before="160" w:after="40" w:line="240" w:lineRule="auto"/>
      </w:pPr>
      <w:r>
        <w:rPr>
          <w:b/>
        </w:rPr>
        <w:t xml:space="preserve">[4] </w:t>
      </w:r>
      <w:hyperlink r:id="rId56">
        <w:r>
          <w:rPr>
            <w:color w:val="1155CC"/>
            <w:u w:val="single"/>
          </w:rPr>
          <w:t>[ASAP] 动态激光干涉揭示Zn电沉积中界面离子动力学和枝晶演变</w:t>
        </w:r>
      </w:hyperlink>
    </w:p>
    <w:p>
      <w:pPr>
        <w:spacing w:before="0" w:after="80"/>
      </w:pPr>
      <w:r>
        <w:rPr>
          <w:i/>
          <w:sz w:val="20"/>
        </w:rPr>
        <w:t>EN: [ASAP] Dynamic Laser Interferometry Unveils Interfacial Ion Dynamics and Dendrite Evolution in Zn Electrodeposition</w:t>
      </w:r>
    </w:p>
    <w:p>
      <w:pPr>
        <w:spacing w:before="0" w:after="120"/>
      </w:pPr>
      <w:r>
        <w:rPr>
          <w:b/>
        </w:rPr>
        <w:t xml:space="preserve">Source: </w:t>
      </w:r>
      <w:r>
        <w:t>ACS Energy Letters: Latest Articles (ACS Publications)</w:t>
      </w:r>
      <w:r>
        <w:t xml:space="preserve">    </w:t>
      </w:r>
      <w:r>
        <w:rPr>
          <w:b/>
        </w:rPr>
        <w:t xml:space="preserve">Pub date: </w:t>
      </w:r>
      <w:r>
        <w:t>2026-03-02 19:21:13+00:00</w:t>
      </w:r>
      <w:r>
        <w:t xml:space="preserve">    </w:t>
      </w:r>
      <w:r>
        <w:rPr>
          <w:b/>
        </w:rPr>
        <w:t xml:space="preserve">DOI: </w:t>
      </w:r>
      <w:hyperlink r:id="rId57">
        <w:r>
          <w:rPr>
            <w:color w:val="1155CC"/>
            <w:u w:val="single"/>
          </w:rPr>
          <w:t>10.1021/acsenergylett.6c00140</w:t>
        </w:r>
      </w:hyperlink>
    </w:p>
    <w:p>
      <w:pPr>
        <w:spacing w:before="0" w:after="120"/>
      </w:pPr>
      <w:r>
        <w:rPr>
          <w:b/>
        </w:rPr>
        <w:t xml:space="preserve">Notes: </w:t>
      </w:r>
      <w:r>
        <w:t>abstract_source=openalex</w:t>
      </w:r>
    </w:p>
    <w:p>
      <w:pPr>
        <w:spacing w:before="0" w:after="80" w:lineRule="auto" w:line="276"/>
      </w:pPr>
      <w:r>
        <w:rPr>
          <w:b/>
        </w:rPr>
        <w:t xml:space="preserve">摘要（ZH）: </w:t>
      </w:r>
      <w:r>
        <w:t>锌电沉积过程中枝晶的形成是限制可充电锌电池性能和寿命的关键挑战。使用高分辨率激光干涉成像平台（2.2 μm空间，50 ms时间，10–3 M浓度），我们直接可视化了电极-电解质界面处的Zn2+浓度梯度。识别出一个四阶段的枝晶生长演化模型，每个阶段由不同的局部浓度场控制：（I）在均匀浓度分布下的苔藓状生长；（II）由新出现的浓度不均匀性驱动的异质沉积；（III）在高浓度区域的局部加速生长以及接近零的耗尽区；（IV）优先沉积限制在高浓</w:t>
      </w:r>
    </w:p>
    <w:p>
      <w:pPr>
        <w:spacing w:before="0" w:after="200" w:lineRule="auto" w:line="276"/>
      </w:pPr>
      <w:r>
        <w:rPr>
          <w:b/>
        </w:rPr>
        <w:t xml:space="preserve">Abstract (EN): </w:t>
      </w:r>
      <w:r>
        <w:t>The formation of dendrites during zinc electrodeposition is a pivotal challenge that limits the performance and lifespan of rechargeable zinc batteries. Using a high-resolution laser interferometric imaging platform (2.2 μm spatial, 50 ms temporal, 10–3 M concentration), we directly visualized Zn2+ concentration gradients at the electrode–electrolyte interface. A four-stage evolution model for dendrite growth was identified, with each stage governed by distinct local concentration fields: (I) mossy growth under a uniform concentration distribution; (II) heterogeneous deposition driven by emerging concentration inhomogeneity; (III) localized, accelerated growth in regions of high concentration alongside depletion zones approaching zero; and (IV) preferential deposition confined to high-concentration regions at dendritic tips. Guided by this mechanism, pulsed current was applied to modulate the concentration field, reducing the average dendrite growth rate by 42% compared to galvanostatic deposition. This work provides fundamental insights into zinc electrodeposition and offers a framework for studying other metal battery systems.</w:t>
      </w:r>
    </w:p>
    <w:p>
      <w:pPr>
        <w:spacing w:before="120" w:after="120"/>
      </w:pPr>
      <w:r>
        <w:rPr>
          <w:sz w:val="18"/>
        </w:rPr>
        <w:t>——————————————————————————————————————————————————————————————————————</w:t>
      </w:r>
    </w:p>
    <w:p>
      <w:pPr>
        <w:spacing w:before="160" w:after="40" w:line="240" w:lineRule="auto"/>
      </w:pPr>
      <w:r>
        <w:rPr>
          <w:b/>
        </w:rPr>
        <w:t xml:space="preserve">[5] </w:t>
      </w:r>
      <w:hyperlink r:id="rId58">
        <w:r>
          <w:rPr>
            <w:color w:val="1155CC"/>
            <w:u w:val="single"/>
          </w:rPr>
          <w:t>锂离子电池中固态电解质界面形成动态的直接光学观察</w:t>
        </w:r>
      </w:hyperlink>
    </w:p>
    <w:p>
      <w:pPr>
        <w:spacing w:before="0" w:after="80"/>
      </w:pPr>
      <w:r>
        <w:rPr>
          <w:i/>
          <w:sz w:val="20"/>
        </w:rPr>
        <w:t>EN: Direct optical observation of solid electrolyte interphase formation dynamics in lithium-ion batteries</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9">
        <w:r>
          <w:rPr>
            <w:color w:val="1155CC"/>
            <w:u w:val="single"/>
          </w:rPr>
          <w:t>10.1073/pnas.2531794123</w:t>
        </w:r>
      </w:hyperlink>
    </w:p>
    <w:p>
      <w:pPr>
        <w:spacing w:before="0" w:after="120"/>
      </w:pPr>
      <w:r>
        <w:rPr>
          <w:b/>
        </w:rPr>
        <w:t xml:space="preserve">Notes: </w:t>
      </w:r>
      <w:r>
        <w:t>abstract_source=crossref</w:t>
      </w:r>
    </w:p>
    <w:p>
      <w:pPr>
        <w:spacing w:before="0" w:after="80" w:lineRule="auto" w:line="276"/>
      </w:pPr>
      <w:r>
        <w:rPr>
          <w:b/>
        </w:rPr>
        <w:t xml:space="preserve">摘要（ZH）: </w:t>
      </w:r>
      <w:r>
        <w:t>锂离子电池的形成是决定性能、寿命和制造安全的关键步骤。在这一过程中，固体电解质界面（SEI）的形成和演变是核心，其纳米级厚度、高环境敏感性和动态行为长期以来阻碍了直接表征。在此，我们利用SEI引起的折射率匹配效应，并使用原位光学显微镜直接实时观察SEI的生长。我们的观察揭示了石墨阳极首次锂化过程中明显的横向异质性和不同步性。令人惊讶的是，高形成电流促进了同步SEI生长，导致更均匀的SEI覆盖。基于这一机制洞察，我们设计了一种脉冲高电流</w:t>
      </w:r>
    </w:p>
    <w:p>
      <w:pPr>
        <w:spacing w:before="0" w:after="200" w:lineRule="auto" w:line="276"/>
      </w:pPr>
      <w:r>
        <w:rPr>
          <w:b/>
        </w:rPr>
        <w:t xml:space="preserve">Abstract (EN): </w:t>
      </w:r>
      <w:r>
        <w:t>Lithium-ion battery formation is a pivotal step that dictates performance, longevity, and manufacturing safety. At the core of this process is the formation and evolution of the solid electrolyte interphase (SEI), whose nanoscale thickness, high environmental sensitivity, and dynamic behavior have long hindered direct characterization. Here, we exploit the SEI-induced refractive index matching effect and utilize operando optical microscopy to directly visualize SEI growth in real time. Our observations reveal pronounced lateral heterogeneity and asynchronicity during the first lithiation of graphite anodes. Surprisingly, high formation current promotes synchronized SEI growth, leading to a more uniform SEI coverage. Building on this mechanistic insight, we designed a pulsed high-current formation protocol for 2 Ah LiFePO</w:t>
      </w:r>
      <w:r>
        <w:rPr>
          <w:vertAlign w:val="subscript"/>
        </w:rPr>
        <w:t>4</w:t>
      </w:r>
      <w:r>
        <w:t>(LFP)/graphite pouch cells, achieving nearly an order-of-magnitude reduction in formation time while simultaneously enhancing the cycling performance. These findings challenge the prevailing belief that low currents are essential for developing a uniform SEI and pave a path toward safer and more efficient large-scale battery production.</w:t>
      </w:r>
    </w:p>
    <w:p>
      <w:pPr>
        <w:spacing w:before="120" w:after="120"/>
      </w:pPr>
      <w:r>
        <w:rPr>
          <w:sz w:val="18"/>
        </w:rPr>
        <w:t>——————————————————————————————————————————————————————————————————————</w:t>
      </w:r>
    </w:p>
    <w:p>
      <w:pPr>
        <w:spacing w:before="160" w:after="40" w:line="240" w:lineRule="auto"/>
      </w:pPr>
      <w:r>
        <w:rPr>
          <w:b/>
        </w:rPr>
        <w:t xml:space="preserve">[6] </w:t>
      </w:r>
      <w:hyperlink r:id="rId60">
        <w:r>
          <w:rPr>
            <w:color w:val="1155CC"/>
            <w:u w:val="single"/>
          </w:rPr>
          <w:t>[ASAP] 通过自组装胶体液晶相工程自由支撑多孔碳电极</w:t>
        </w:r>
      </w:hyperlink>
    </w:p>
    <w:p>
      <w:pPr>
        <w:spacing w:before="0" w:after="80"/>
      </w:pPr>
      <w:r>
        <w:rPr>
          <w:i/>
          <w:sz w:val="20"/>
        </w:rPr>
        <w:t>EN: [ASAP] Engineering Freestanding Porous Carbon Electrodes by Self-Assembled Colloidal Liquid Crystalline Phase</w:t>
      </w:r>
    </w:p>
    <w:p>
      <w:pPr>
        <w:spacing w:before="0" w:after="120"/>
      </w:pPr>
      <w:r>
        <w:rPr>
          <w:b/>
        </w:rPr>
        <w:t xml:space="preserve">Source: </w:t>
      </w:r>
      <w:r>
        <w:t>Journal of the American Chemical Society: Latest Articles (ACS Publications)</w:t>
      </w:r>
      <w:r>
        <w:t xml:space="preserve">    </w:t>
      </w:r>
      <w:r>
        <w:rPr>
          <w:b/>
        </w:rPr>
        <w:t xml:space="preserve">Pub date: </w:t>
      </w:r>
      <w:r>
        <w:t>2026-03-03 12:39:04+00:00</w:t>
      </w:r>
      <w:r>
        <w:t xml:space="preserve">    </w:t>
      </w:r>
      <w:r>
        <w:rPr>
          <w:b/>
        </w:rPr>
        <w:t xml:space="preserve">DOI: </w:t>
      </w:r>
      <w:hyperlink r:id="rId61">
        <w:r>
          <w:rPr>
            <w:color w:val="1155CC"/>
            <w:u w:val="single"/>
          </w:rPr>
          <w:t>10.1021/jacs.5c22053</w:t>
        </w:r>
      </w:hyperlink>
    </w:p>
    <w:p>
      <w:pPr>
        <w:spacing w:before="0" w:after="120"/>
      </w:pPr>
      <w:r>
        <w:rPr>
          <w:b/>
        </w:rPr>
        <w:t xml:space="preserve">Notes: </w:t>
      </w:r>
      <w:r>
        <w:t>abstract_source=pubmed</w:t>
      </w:r>
    </w:p>
    <w:p>
      <w:pPr>
        <w:spacing w:before="0" w:after="80" w:lineRule="auto" w:line="276"/>
      </w:pPr>
      <w:r>
        <w:rPr>
          <w:b/>
        </w:rPr>
        <w:t xml:space="preserve">摘要（ZH）: </w:t>
      </w:r>
      <w:r>
        <w:t>高度有序的孔道可以有效改善多孔电极中的质量传输。然而，由于高孔隙率和结构规则性之间的固有权衡，在实际高孔隙率电极材料中实现有序孔道仍然是一个挑战。为了解决这个问题，我们提出了一种简单但高效的胶体自组装（SA）方法，能够构建各种有序结构。通过沉降驱动的SA，我们证明了可以实现向列液晶（LC）碳环电极。这些电极是自支撑的且无粘合剂。特别是，它们具有沿电极方向排列的定向大孔道，并在Li-O2电池中表现出高达32785 mAh g-1的高放电比容量。这代表</w:t>
      </w:r>
    </w:p>
    <w:p>
      <w:pPr>
        <w:spacing w:before="0" w:after="200" w:lineRule="auto" w:line="276"/>
      </w:pPr>
      <w:r>
        <w:rPr>
          <w:b/>
        </w:rPr>
        <w:t xml:space="preserve">Abstract (EN): </w:t>
      </w:r>
      <w:r>
        <w:t>Highly ordered pore channels can effectively improve mass transport in porous electrodes. However, due to the inherent trade-off between high porosity and structural regularity, achieving an ordered pore channel in practical highly porous electrode materials remains a challenge. To address this issue, we present a simple but highly efficient colloidal self-assembly (SA) route that is capable of constructing various ordered structures. By sedimentation-driven SA, we demonstrate that nematic liquid crystal (LC) carbon ring electrodes can be achieved. The electrodes are self-standing and binder-free. In particular, they have directional macropore channels aligned along the electrode direction and exhibit a high discharge specific capacity of up to 32785 mAh g-1 in Li-O2 batteries. This represents a 60% improvement compared to the disordered counterpart under the same conditions. As we demonstrated, the discharge specific capacities have a strong positive correlation with the degree of orientational order of carbon rings in the electrodes. The superior electrochemical performance can be attributed to the synergistic effect of directional Li-ion transport, more uniform junction distribution, and more uniform electric field distribution, which are brought about by the nematic LC structure. We expect to provide a new guideline for electrode structure design by using colloidal SA to regulate electrode structures.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62">
        <w:r>
          <w:rPr>
            <w:color w:val="1155CC"/>
            <w:u w:val="single"/>
          </w:rPr>
          <w:t>低锂含量的多阴离子稳定无定形卤化物电解质用于全固态锂电池</w:t>
        </w:r>
      </w:hyperlink>
    </w:p>
    <w:p>
      <w:pPr>
        <w:spacing w:before="0" w:after="80"/>
      </w:pPr>
      <w:r>
        <w:rPr>
          <w:i/>
          <w:sz w:val="20"/>
        </w:rPr>
        <w:t>EN: Polyanion-stabilized amorphous halide electrolytes with low lithium content for all-solid-state lithium batteries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63">
        <w:r>
          <w:rPr>
            <w:color w:val="1155CC"/>
            <w:u w:val="single"/>
          </w:rPr>
          <w:t>10.1038/s41467-026-69737-x</w:t>
        </w:r>
      </w:hyperlink>
    </w:p>
    <w:p>
      <w:pPr>
        <w:spacing w:before="0" w:after="120"/>
      </w:pPr>
      <w:r>
        <w:rPr>
          <w:b/>
        </w:rPr>
        <w:t xml:space="preserve">Notes: </w:t>
      </w:r>
      <w:r>
        <w:t>abstract_source=nature_html</w:t>
      </w:r>
    </w:p>
    <w:p>
      <w:pPr>
        <w:spacing w:before="0" w:after="80" w:lineRule="auto" w:line="276"/>
      </w:pPr>
      <w:r>
        <w:rPr>
          <w:b/>
        </w:rPr>
        <w:t xml:space="preserve">摘要（ZH）: </w:t>
      </w:r>
      <w:r>
        <w:t>锂卤化物固体电解质因其高离子电导率和正极兼容性而受到广泛关注。然而，实现目标离子电导率通常需要在最佳结构中具有高锂浓度（&gt;4.3 wt%），这增加了成本并加剧了对空气的敏感性。在此，我们利用阴离子簇合成了一系列无定形卤化物电解质xLi2SO4-ZrCl4，在30°C时具有1.5 mS cm-1的最佳离子电导率，并且锂含量显著降低至2.4 wt%，同时具有良好的空气稳定性。通过中子/同步辐射X射线实验、第一性原理计算和机器学习加速的分子动力学模拟，我们揭示了[ZraCl4a(SO4)]2-（1 ≤ a ≤ 4）的无序骨架，这使得快速L</w:t>
      </w:r>
    </w:p>
    <w:p>
      <w:pPr>
        <w:spacing w:before="0" w:after="200" w:lineRule="auto" w:line="276"/>
      </w:pPr>
      <w:r>
        <w:rPr>
          <w:b/>
        </w:rPr>
        <w:t xml:space="preserve">Abstract (EN): </w:t>
      </w:r>
      <w:r>
        <w:t>Lithium halide solid electrolytes have garnered significant attention owing to their high ionic conductivity and positive electrode compatibility. However, achieving target ionic conductivity typically requires high lithium concentration (&gt;4.3 wt%) within optimal structure, which raises costs and exacerbates air sensitivity. Here, we leverage anion clusters to synthesize a series of amorphous halide electrolytes xLi2SO4-ZrCl4, with optimal ionic conductivities of 1.5 mS cm-1 at 30 °C and a significantly reduced lithium content of 2.4 wt%, alongside good air stability. Through neutron/synchrotron X-ray experiments, first-principles calculations and machine learning-accelerated molecular dynamics simulations, we reveal a disordered backbone of [ZraCl4a(SO4)]2- (1 ≤ a ≤ 4) that enables fast Li-ion diffusion via under-coordinated oxygen sites. All-solid-state lithium batteries employing these electrolytes and LiNi0.8Co0.1Mn0.1O2 positive electrode exhibit 81.1% capacity retention after 1400 cycles at 1 C (60 min) and 30 °C. Our findings reveal anion-cluster chemistry as an approach that transforms solid electrolyte design for advanced batteries, bridging materials science with practical energy storage innovation.</w:t>
      </w:r>
    </w:p>
    <w:p>
      <w:pPr>
        <w:spacing w:before="120" w:after="120"/>
      </w:pPr>
      <w:r>
        <w:rPr>
          <w:sz w:val="18"/>
        </w:rPr>
        <w:t>——————————————————————————————————————————————————————————————————————</w:t>
      </w:r>
    </w:p>
    <w:p>
      <w:pPr>
        <w:spacing w:before="160" w:after="40" w:line="240" w:lineRule="auto"/>
      </w:pPr>
      <w:r>
        <w:rPr>
          <w:b/>
        </w:rPr>
        <w:t xml:space="preserve">[2] </w:t>
      </w:r>
      <w:hyperlink r:id="rId64">
        <w:r>
          <w:rPr>
            <w:color w:val="1155CC"/>
            <w:u w:val="single"/>
          </w:rPr>
          <w:t>宽温度范围水系锌离子电池的电解质设计策略、失效机制和未来展望</w:t>
        </w:r>
      </w:hyperlink>
    </w:p>
    <w:p>
      <w:pPr>
        <w:spacing w:before="0" w:after="80"/>
      </w:pPr>
      <w:r>
        <w:rPr>
          <w:i/>
          <w:sz w:val="20"/>
        </w:rPr>
        <w:t>EN: Electrolyte design strategies, failure mechanisms, and future perspectives for wide-temperature-range aqueous zinc-ion batteries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65">
        <w:r>
          <w:rPr>
            <w:color w:val="1155CC"/>
            <w:u w:val="single"/>
          </w:rPr>
          <w:t>从锂聚合物到‘钠聚合物’技术：功能化聚合物实现快速充电</w:t>
        </w:r>
      </w:hyperlink>
    </w:p>
    <w:p>
      <w:pPr>
        <w:spacing w:before="0" w:after="80"/>
      </w:pPr>
      <w:r>
        <w:rPr>
          <w:i/>
          <w:sz w:val="20"/>
        </w:rPr>
        <w:t>EN: From Li-Po to ‘Na-Po’ technology: functionalised polymer enables fast charging</w:t>
      </w:r>
    </w:p>
    <w:p>
      <w:pPr>
        <w:spacing w:before="0" w:after="120"/>
      </w:pPr>
      <w:r>
        <w:rPr>
          <w:b/>
        </w:rPr>
        <w:t xml:space="preserve">Source: </w:t>
      </w:r>
      <w:r>
        <w:t>National Science Review Advance Access</w:t>
      </w:r>
      <w:r>
        <w:t xml:space="preserve">    </w:t>
      </w:r>
      <w:r>
        <w:rPr>
          <w:b/>
        </w:rPr>
        <w:t xml:space="preserve">Pub date: </w:t>
      </w:r>
      <w:r>
        <w:t>2026-03-03 00:00:00+00:00</w:t>
      </w:r>
      <w:r>
        <w:t xml:space="preserve">    </w:t>
      </w:r>
      <w:r>
        <w:rPr>
          <w:b/>
        </w:rPr>
        <w:t xml:space="preserve">DOI: </w:t>
      </w:r>
      <w:hyperlink r:id="rId66">
        <w:r>
          <w:rPr>
            <w:color w:val="1155CC"/>
            <w:u w:val="single"/>
          </w:rPr>
          <w:t>10.1093/nsr/nwag122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67">
        <w:r>
          <w:rPr>
            <w:color w:val="1155CC"/>
            <w:u w:val="single"/>
          </w:rPr>
          <w:t>揭示全固态电池中应力演变机制：用于电池设计的非侵入性参数识别框架</w:t>
        </w:r>
      </w:hyperlink>
    </w:p>
    <w:p>
      <w:pPr>
        <w:spacing w:before="0" w:after="80"/>
      </w:pPr>
      <w:r>
        <w:rPr>
          <w:i/>
          <w:sz w:val="20"/>
        </w:rPr>
        <w:t>EN: Revealing stress evolution mechanisms in all-solid-state batteries: a non-invasive parameter identification framework for battery design</w:t>
      </w:r>
    </w:p>
    <w:p>
      <w:pPr>
        <w:spacing w:before="0" w:after="120"/>
      </w:pPr>
      <w:r>
        <w:rPr>
          <w:b/>
        </w:rPr>
        <w:t xml:space="preserve">Source: </w:t>
      </w:r>
      <w:r>
        <w:t>ScienceDirect Publication: Applied Energy</w:t>
      </w:r>
      <w:r>
        <w:t xml:space="preserve">    </w:t>
      </w:r>
      <w:r>
        <w:rPr>
          <w:b/>
        </w:rPr>
        <w:t xml:space="preserve">Pub date: </w:t>
      </w:r>
      <w:r>
        <w:t>2026-03-03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68">
        <w:r>
          <w:rPr>
            <w:color w:val="1155CC"/>
            <w:u w:val="single"/>
          </w:rPr>
          <w:t>通过阳离子-氧耦合改性制备的无定形铝基氧氯化物超离子导体用于耐用的高倍率全固态锂电池</w:t>
        </w:r>
      </w:hyperlink>
    </w:p>
    <w:p>
      <w:pPr>
        <w:spacing w:before="0" w:after="80"/>
      </w:pPr>
      <w:r>
        <w:rPr>
          <w:i/>
          <w:sz w:val="20"/>
        </w:rPr>
        <w:t>EN: Amorphous aluminum-based oxychloride superionic conductors via cation–oxygen coupled modification for durable high-rate all-solid-state lithium batteries</w:t>
      </w:r>
    </w:p>
    <w:p>
      <w:pPr>
        <w:spacing w:before="0" w:after="120"/>
      </w:pPr>
      <w:r>
        <w:rPr>
          <w:b/>
        </w:rPr>
        <w:t xml:space="preserve">Source: </w:t>
      </w:r>
      <w:r>
        <w:t>RSC - Energy Environ. Sci. latest articles</w:t>
      </w:r>
      <w:r>
        <w:t xml:space="preserve">    </w:t>
      </w:r>
      <w:r>
        <w:rPr>
          <w:b/>
        </w:rPr>
        <w:t xml:space="preserve">Pub date: </w:t>
      </w:r>
      <w:r>
        <w:t>2026-03-03 00:00:00+00:00</w:t>
      </w:r>
    </w:p>
    <w:p>
      <w:pPr>
        <w:spacing w:before="0" w:after="120"/>
      </w:pPr>
      <w:r>
        <w:rPr>
          <w:b/>
        </w:rPr>
        <w:t xml:space="preserve">Notes: </w:t>
      </w:r>
      <w:r>
        <w:t>abstract_source=rsc_html</w:t>
      </w:r>
    </w:p>
    <w:p>
      <w:pPr>
        <w:spacing w:before="0" w:after="80" w:lineRule="auto" w:line="276"/>
      </w:pPr>
      <w:r>
        <w:rPr>
          <w:b/>
        </w:rPr>
        <w:t xml:space="preserve">摘要（ZH）: </w:t>
      </w:r>
      <w:r>
        <w:t>基于铝的氯化物由于其低成本和元素丰富性而受到广泛关注，成为有前景的固体电解质（SEs）。然而，Li3AlCl6的强晶格有序性和致密的配位框架导致其在室温下固有的离子电导率低，严重限制了其实际应用性。相比之下，无晶界的无定形SEs能够实现紧密的固-固接触和均匀的Li+传输，为高性能全固态锂电池（ASSLBs）提供了一条有效途径。在这项工作中，我们提出了一种异价阳离子-阴离子共掺杂策略，引入地球丰富且低成本的元素Zr，以及与Zr共存于锆矿中的Hf，并部分用O2−替代Cl−，以显著提高性能。</w:t>
      </w:r>
    </w:p>
    <w:p>
      <w:pPr>
        <w:spacing w:before="0" w:after="200" w:lineRule="auto" w:line="276"/>
      </w:pPr>
      <w:r>
        <w:rPr>
          <w:b/>
        </w:rPr>
        <w:t xml:space="preserve">Abstract (EN): </w:t>
      </w:r>
      <w:r>
        <w:t>Al-based chlorides have garnered significant attention as promising solid electrolytes (SEs) due to their low cost and elemental abundance. However, the strong lattice ordering and the dense coordination framework of Li3AlCl6 result in intrinsically low ionic conductivity at room temperature, severely limiting its practical applicability. In contrast, the absence of grain boundaries in amorphous SEs enables intimate solid–solid contact and uniform Li+ transport, offering an effective pathway toward high-performance all-solid-state lithium batteries (ASSLBs). In this work, we propose a heterovalent cation–anion co-doping strategy of introducing Zr, an earth-abundant and low-cost element, and Hf coexisting with Zr in zircon minerals, along with partial substitution of Cl− by O2− to markedly enhance ionic conductivity. The resulting amorphous electrolytes, Li2.7Al0.7Zr0.3Cl3.3O1.35 and Li2.7Al0.7Hf0.3Cl3.3O1.35, exhibit ionic conductivities of 1.63 and 1.65 mS cm−1, respectively, nearly two orders of magnitude higher than that of Li3AlCl6. Structural analysis reveals that the co-doping of O2− with Zr4+/Hf4+ induces a highly disordered local structure, thereby facilitating Li+ migration. Furthermore, Li2.7Al0.7Zr0.3Cl3.3O1.35 demonstrates high electrochemical stability and a low estimated cost of 45.96 USD kg−1. The LiIn|Li10GeP2S12|Li2.7Al0.7Zr0.3Cl3.3O1.35|LiNi0.83Co0.12Mn0.05O2 full cell retains 90.3% capacity after 4000 cycles at 5C, highlighting the great potential of amorphous aluminum-based SEs for next-generation ASSLBs.</w:t>
      </w:r>
    </w:p>
    <w:p>
      <w:pPr>
        <w:spacing w:before="120" w:after="120"/>
      </w:pPr>
      <w:r>
        <w:rPr>
          <w:sz w:val="18"/>
        </w:rPr>
        <w:t>——————————————————————————————————————————————————————————————————————</w:t>
      </w:r>
    </w:p>
    <w:p>
      <w:pPr>
        <w:spacing w:before="160" w:after="40" w:line="240" w:lineRule="auto"/>
      </w:pPr>
      <w:r>
        <w:rPr>
          <w:b/>
        </w:rPr>
        <w:t xml:space="preserve">[6] </w:t>
      </w:r>
      <w:hyperlink r:id="rId58">
        <w:r>
          <w:rPr>
            <w:color w:val="1155CC"/>
            <w:u w:val="single"/>
          </w:rPr>
          <w:t>锂离子电池中固态电解质界面形成动态的直接光学观察</w:t>
        </w:r>
      </w:hyperlink>
    </w:p>
    <w:p>
      <w:pPr>
        <w:spacing w:before="0" w:after="80"/>
      </w:pPr>
      <w:r>
        <w:rPr>
          <w:i/>
          <w:sz w:val="20"/>
        </w:rPr>
        <w:t>EN: Direct optical observation of solid electrolyte interphase formation dynamics in lithium-ion batteries</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9">
        <w:r>
          <w:rPr>
            <w:color w:val="1155CC"/>
            <w:u w:val="single"/>
          </w:rPr>
          <w:t>10.1073/pnas.2531794123</w:t>
        </w:r>
      </w:hyperlink>
    </w:p>
    <w:p>
      <w:pPr>
        <w:spacing w:before="0" w:after="120"/>
      </w:pPr>
      <w:r>
        <w:rPr>
          <w:b/>
        </w:rPr>
        <w:t xml:space="preserve">Notes: </w:t>
      </w:r>
      <w:r>
        <w:t>abstract_source=crossref</w:t>
      </w:r>
    </w:p>
    <w:p>
      <w:pPr>
        <w:spacing w:before="0" w:after="80" w:lineRule="auto" w:line="276"/>
      </w:pPr>
      <w:r>
        <w:rPr>
          <w:b/>
        </w:rPr>
        <w:t xml:space="preserve">摘要（ZH）: </w:t>
      </w:r>
      <w:r>
        <w:t>锂离子电池的形成是决定性能、寿命和制造安全的关键步骤。在这一过程中，固体电解质界面（SEI）的形成和演变是核心，其纳米级厚度、高环境敏感性和动态行为长期以来阻碍了直接表征。在此，我们利用SEI引起的折射率匹配效应，并使用原位光学显微镜直接实时观察SEI的生长。我们的观察揭示了石墨阳极首次锂化过程中明显的横向异质性和不同步性。令人惊讶的是，高形成电流促进了同步SEI生长，导致更均匀的SEI覆盖。基于这一机制洞察，我们设计了一种脉冲高电流</w:t>
      </w:r>
    </w:p>
    <w:p>
      <w:pPr>
        <w:spacing w:before="0" w:after="200" w:lineRule="auto" w:line="276"/>
      </w:pPr>
      <w:r>
        <w:rPr>
          <w:b/>
        </w:rPr>
        <w:t xml:space="preserve">Abstract (EN): </w:t>
      </w:r>
      <w:r>
        <w:t>Lithium-ion battery formation is a pivotal step that dictates performance, longevity, and manufacturing safety. At the core of this process is the formation and evolution of the solid electrolyte interphase (SEI), whose nanoscale thickness, high environmental sensitivity, and dynamic behavior have long hindered direct characterization. Here, we exploit the SEI-induced refractive index matching effect and utilize operando optical microscopy to directly visualize SEI growth in real time. Our observations reveal pronounced lateral heterogeneity and asynchronicity during the first lithiation of graphite anodes. Surprisingly, high formation current promotes synchronized SEI growth, leading to a more uniform SEI coverage. Building on this mechanistic insight, we designed a pulsed high-current formation protocol for 2 Ah LiFePO</w:t>
      </w:r>
      <w:r>
        <w:rPr>
          <w:vertAlign w:val="subscript"/>
        </w:rPr>
        <w:t>4</w:t>
      </w:r>
      <w:r>
        <w:t>(LFP)/graphite pouch cells, achieving nearly an order-of-magnitude reduction in formation time while simultaneously enhancing the cycling performance. These findings challenge the prevailing belief that low currents are essential for developing a uniform SEI and pave a path toward safer and more efficient large-scale battery production.</w:t>
      </w:r>
    </w:p>
    <w:p>
      <w:pPr>
        <w:spacing w:before="120" w:after="120"/>
      </w:pPr>
      <w:r>
        <w:rPr>
          <w:sz w:val="18"/>
        </w:rPr>
        <w:t>——————————————————————————————————————————————————————————————————————</w:t>
      </w:r>
    </w:p>
    <w:p>
      <w:pPr>
        <w:spacing w:before="160" w:after="40" w:line="240" w:lineRule="auto"/>
      </w:pPr>
      <w:r>
        <w:rPr>
          <w:b/>
        </w:rPr>
        <w:t xml:space="preserve">[7] </w:t>
      </w:r>
      <w:hyperlink r:id="rId69">
        <w:r>
          <w:rPr>
            <w:color w:val="1155CC"/>
            <w:u w:val="single"/>
          </w:rPr>
          <w:t>[ASAP] 仿生催化剂/电解质界面氢键网络工程促进甘油电氧化的质子转移加速</w:t>
        </w:r>
      </w:hyperlink>
    </w:p>
    <w:p>
      <w:pPr>
        <w:spacing w:before="0" w:after="80"/>
      </w:pPr>
      <w:r>
        <w:rPr>
          <w:i/>
          <w:sz w:val="20"/>
        </w:rPr>
        <w:t>EN: [ASAP] Bioinspired Catalyst/Electrolyte Interfacial Hydrogen-Bond Network Engineering toward Proton Transfer Acceleration for Glycerol Electrooxidation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2026-03-03 10:49:08+00:00</w:t>
      </w:r>
      <w:r>
        <w:t xml:space="preserve">    </w:t>
      </w:r>
      <w:r>
        <w:rPr>
          <w:b/>
        </w:rPr>
        <w:t xml:space="preserve">DOI: </w:t>
      </w:r>
      <w:hyperlink r:id="rId70">
        <w:r>
          <w:rPr>
            <w:color w:val="1155CC"/>
            <w:u w:val="single"/>
          </w:rPr>
          <w:t>10.1021/jacs.5c22753</w:t>
        </w:r>
      </w:hyperlink>
    </w:p>
    <w:p>
      <w:pPr>
        <w:spacing w:before="0" w:after="120"/>
      </w:pPr>
      <w:r>
        <w:rPr>
          <w:b/>
        </w:rPr>
        <w:t xml:space="preserve">Notes: </w:t>
      </w:r>
      <w:r>
        <w:t>abstract_source=pubmed</w:t>
      </w:r>
    </w:p>
    <w:p>
      <w:pPr>
        <w:spacing w:before="0" w:after="80" w:lineRule="auto" w:line="276"/>
      </w:pPr>
      <w:r>
        <w:rPr>
          <w:b/>
        </w:rPr>
        <w:t xml:space="preserve">摘要（ZH）: </w:t>
      </w:r>
      <w:r>
        <w:t>生物质衍生醇的电催化氧化提供了一条可持续的途径来获得有价值的化学品，但通常受到缓慢的质子耦合电子转移（PCET）动力学的阻碍，限制了活性和长期稳定性。受酶质子中继的启发，我们在此提出一种配体诱导的界面工程策略，以重构Co(OH)2的电双层中的氢键网络。使用对苯二甲酸（TPA）作为仿生配体，我们成功加速了质子转移动力学，同时促进了晶格羟基的活化以实现高效的质子去嵌入。所得的界面改性催化剂在甘油电氧化生成甲酸盐的过程中表现出卓越的性能，实现了95%的选择性，达到工业水平。</w:t>
      </w:r>
    </w:p>
    <w:p>
      <w:pPr>
        <w:spacing w:before="0" w:after="200" w:lineRule="auto" w:line="276"/>
      </w:pPr>
      <w:r>
        <w:rPr>
          <w:b/>
        </w:rPr>
        <w:t xml:space="preserve">Abstract (EN): </w:t>
      </w:r>
      <w:r>
        <w:t>The electrocatalytic oxidation of biomass-derived alcohol offers a sustainable route to valuable chemicals, yet it is often impeded by sluggish proton-coupled electron transfer (PCET) kinetics, which limit both activity and long-term stability. Inspired by enzymatic proton relays, we herein propose a ligand-induced interfacial engineering strategy to reconstruct hydrogen-bond networks within the electrical double layer of Co(OH)2. Using terephthalic acid (TPA) as a bioinspired ligand, we successfully accelerate proton transfer kinetics while simultaneously facilitating lattice-hydroxyl activation for efficient proton deintercalation. The resulting interface-modified catalyst delivers exceptional glycerol electrooxidation performance toward formate, achieving 95% selectivity, an industrial-grade current density above 800 mA cm-2 at 1.6 V, and an outstanding stability exceeding 2600 h. Integrated mechanistic studies combining in situ spectroscopy, theoretical calculations, and molecular dynamics simulations elucidate the dual role of TPA in promoting proton deintercalation and reconstructing interfacial hydrogen-bond networks to enhance PCET kinetics. A membrane-electrode-assembly electrolyzer integrating this catalyst operates with efficiency at 1.29 V (10 mA cm-2) and enables the kilogram-scale production of potassium diformate in the laboratory, demonstrating its practical potential for sustainable biomass valorization. This work provides a rational and generalizable approach to design high-performance electrocatalysts through bioinspired interfacial hydrogen-bond engineering.</w:t>
      </w:r>
    </w:p>
    <w:p>
      <w:pPr>
        <w:spacing w:before="120" w:after="120"/>
      </w:pPr>
      <w:r>
        <w:rPr>
          <w:sz w:val="18"/>
        </w:rPr>
        <w:t>——————————————————————————————————————————————————————————————————————</w:t>
      </w:r>
    </w:p>
    <w:p>
      <w:pPr>
        <w:spacing w:before="160" w:after="40" w:line="240" w:lineRule="auto"/>
      </w:pPr>
      <w:r>
        <w:rPr>
          <w:b/>
        </w:rPr>
        <w:t xml:space="preserve">[8] </w:t>
      </w:r>
      <w:hyperlink r:id="rId71">
        <w:r>
          <w:rPr>
            <w:color w:val="1155CC"/>
            <w:u w:val="single"/>
          </w:rPr>
          <w:t>普鲁士蓝类似物作为功能性添加剂用于恢复硫化物固态电解质：提高全固态电池中的湿度稳定性（Adv. Mater. 13/2026）</w:t>
        </w:r>
      </w:hyperlink>
    </w:p>
    <w:p>
      <w:pPr>
        <w:spacing w:before="0" w:after="80"/>
      </w:pPr>
      <w:r>
        <w:rPr>
          <w:i/>
          <w:sz w:val="20"/>
        </w:rPr>
        <w:t>EN: Prussian Blue Analog as a Functional Additive for Restoring Sulfide Solid Electrolytes: Enhancing Moisture Stability in All‐Solid‐State Batteries (Adv. Mater. 13/2026)</w:t>
      </w:r>
    </w:p>
    <w:p>
      <w:pPr>
        <w:spacing w:before="0" w:after="120"/>
      </w:pPr>
      <w:r>
        <w:rPr>
          <w:b/>
        </w:rPr>
        <w:t xml:space="preserve">Source: </w:t>
      </w:r>
      <w:r>
        <w:t>Wiley: Advanced Materials: Table of Contents</w:t>
      </w:r>
      <w:r>
        <w:t xml:space="preserve">    </w:t>
      </w:r>
      <w:r>
        <w:rPr>
          <w:b/>
        </w:rPr>
        <w:t xml:space="preserve">Pub date: </w:t>
      </w:r>
      <w:r>
        <w:t>2026-03-04 06:46:50+00:00</w:t>
      </w:r>
      <w:r>
        <w:t xml:space="preserve">    </w:t>
      </w:r>
      <w:r>
        <w:rPr>
          <w:b/>
        </w:rPr>
        <w:t xml:space="preserve">DOI: </w:t>
      </w:r>
      <w:hyperlink r:id="rId72">
        <w:r>
          <w:rPr>
            <w:color w:val="1155CC"/>
            <w:u w:val="single"/>
          </w:rPr>
          <w:t>10.1002/adma.72519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73">
        <w:r>
          <w:rPr>
            <w:color w:val="1155CC"/>
            <w:u w:val="single"/>
          </w:rPr>
          <w:t>锂离子电池热失控前兆的原位解码：从多模态传感到智能预警</w:t>
        </w:r>
      </w:hyperlink>
    </w:p>
    <w:p>
      <w:pPr>
        <w:spacing w:before="0" w:after="80"/>
      </w:pPr>
      <w:r>
        <w:rPr>
          <w:i/>
          <w:sz w:val="20"/>
        </w:rPr>
        <w:t>EN: Operando decoding of thermal runaway precursors in lithium-ion batteries: from multimodal sensing to intelligent early warning</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74">
        <w:r>
          <w:rPr>
            <w:color w:val="1155CC"/>
            <w:u w:val="single"/>
          </w:rPr>
          <w:t>锂离子电池容量退化轨迹中特征变化点的在线识别</w:t>
        </w:r>
      </w:hyperlink>
    </w:p>
    <w:p>
      <w:pPr>
        <w:spacing w:before="0" w:after="80"/>
      </w:pPr>
      <w:r>
        <w:rPr>
          <w:i/>
          <w:sz w:val="20"/>
        </w:rPr>
        <w:t>EN: Online identification of characteristic change points in capacity degradation trajectories of lithium-ion batteries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75">
        <w:r>
          <w:rPr>
            <w:color w:val="1155CC"/>
            <w:u w:val="single"/>
          </w:rPr>
          <w:t>具有高电容和高n型霍尔迁移率的垂直纳米金刚石主导片</w:t>
        </w:r>
      </w:hyperlink>
    </w:p>
    <w:p>
      <w:pPr>
        <w:spacing w:before="0" w:after="80"/>
      </w:pPr>
      <w:r>
        <w:rPr>
          <w:i/>
          <w:sz w:val="20"/>
        </w:rPr>
        <w:t>EN: Vertical nanodiamond dominated sheets possessing both high capacitance and high n-type Hall mobility</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76">
        <w:r>
          <w:rPr>
            <w:color w:val="1155CC"/>
            <w:u w:val="single"/>
          </w:rPr>
          <w:t>10.1038/s41467-026-70089-9</w:t>
        </w:r>
      </w:hyperlink>
    </w:p>
    <w:p>
      <w:pPr>
        <w:spacing w:before="0" w:after="120"/>
      </w:pPr>
      <w:r>
        <w:rPr>
          <w:b/>
        </w:rPr>
        <w:t xml:space="preserve">Notes: </w:t>
      </w:r>
      <w:r>
        <w:t>abstract_source=nature_html</w:t>
      </w:r>
    </w:p>
    <w:p>
      <w:pPr>
        <w:spacing w:before="0" w:after="80" w:lineRule="auto" w:line="276"/>
      </w:pPr>
      <w:r>
        <w:rPr>
          <w:b/>
        </w:rPr>
        <w:t xml:space="preserve">摘要（ZH）: </w:t>
      </w:r>
      <w:r>
        <w:t>与垂直石墨烯（VG）片相比，制备以垂直纳米金刚石（VND）为主的片材非常困难。在此，我们描述了通过相变从钽负载的VGs经由氩/氧等离子体处理并改变氧气百分比来制备VNDs。当氧气百分比增加到5%时，VGs的高度降低，伴随着高电容和低霍尔迁移率。当氧气百分比增加到10%时，VGs转变为纳米晶金刚石（NCD）颗粒，颗粒边界中的反式聚乙炔（TPA）含量显著增加。这些VNDs表现出高电容（1452 μF cm−2）和n型霍尔迁移率（846 cm2 V−1s−1）。随着氧气百分比增加到20%，NCD颗粒变大，TPA含量减少，而电容</w:t>
      </w:r>
    </w:p>
    <w:p>
      <w:pPr>
        <w:spacing w:before="0" w:after="200" w:lineRule="auto" w:line="276"/>
      </w:pPr>
      <w:r>
        <w:rPr>
          <w:b/>
        </w:rPr>
        <w:t xml:space="preserve">Abstract (EN): </w:t>
      </w:r>
      <w:r>
        <w:t>It is very difficult to prepare vertical nanodiamond (VND) dominated sheets compared with vertical graphene (VG) sheets. Here, we describe the preparation of VNDs by phase transformation from Ta-loaded VGs via argon/oxygen plasma treatment with varied oxygen percentage. As the oxygen percentage increases to 5%, the height of VGs decreases, accompanied by high capacitance and low Hall mobility. When the oxygen percentage increases to 10%, the VGs transform to nanocrystalline diamond (NCD) grains with trans-polyacetylene (TPA) contents in grain boundaries increasing significantly. These VNDs exhibit both high capacitance (1452 μF cm−2) and n-type Hall mobility (846 cm2 V−1s−1). With the oxygen percentage increasing to 20%, NCD grains grow larger and the TPA content reduces, while the capacitance decreases considerably, but Hall mobility remaining high, suggesting that the performance improvement results from the synergistic effect of NCDs and TPA. These exhibit significant applications of VNDs in energy storage, high performance sensors, high-frequency and high-power electronic devices.</w:t>
      </w:r>
    </w:p>
    <w:p>
      <w:pPr>
        <w:spacing w:before="120" w:after="120"/>
      </w:pPr>
      <w:r>
        <w:rPr>
          <w:sz w:val="18"/>
        </w:rPr>
        <w:t>——————————————————————————————————————————————————————————————————————</w:t>
      </w:r>
    </w:p>
    <w:p>
      <w:pPr>
        <w:spacing w:before="160" w:after="40" w:line="240" w:lineRule="auto"/>
      </w:pPr>
      <w:r>
        <w:rPr>
          <w:b/>
        </w:rPr>
        <w:t xml:space="preserve">[2] </w:t>
      </w:r>
      <w:hyperlink r:id="rId77">
        <w:r>
          <w:rPr>
            <w:color w:val="1155CC"/>
            <w:u w:val="single"/>
          </w:rPr>
          <w:t>面向决策的电网规模储能用氧化还原液流电池评估：可扩展性、系统复杂性和智能操作</w:t>
        </w:r>
      </w:hyperlink>
    </w:p>
    <w:p>
      <w:pPr>
        <w:spacing w:before="0" w:after="80"/>
      </w:pPr>
      <w:r>
        <w:rPr>
          <w:i/>
          <w:sz w:val="20"/>
        </w:rPr>
        <w:t>EN: Decision-oriented assessment of redox flow batteries for grid-scale energy storage: Scalability, system complexity, and intelligent operation</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78">
        <w:r>
          <w:rPr>
            <w:color w:val="1155CC"/>
            <w:u w:val="single"/>
          </w:rPr>
          <w:t>用于机器人自主触觉传感的锌离子微电池和多功能传感器的秒级集成单片系统</w:t>
        </w:r>
      </w:hyperlink>
    </w:p>
    <w:p>
      <w:pPr>
        <w:spacing w:before="0" w:after="80"/>
      </w:pPr>
      <w:r>
        <w:rPr>
          <w:i/>
          <w:sz w:val="20"/>
        </w:rPr>
        <w:t>EN: Seconds‐Integrated Monolithic System of Zn‐Ion Micro‐Battery and Multi‐Functional Sensors for Robotic Autonomous Tactile Sensing</w:t>
      </w:r>
    </w:p>
    <w:p>
      <w:pPr>
        <w:spacing w:before="0" w:after="120"/>
      </w:pPr>
      <w:r>
        <w:rPr>
          <w:b/>
        </w:rPr>
        <w:t xml:space="preserve">Source: </w:t>
      </w:r>
      <w:r>
        <w:t>Wiley: Advanced Materials: Table of Contents</w:t>
      </w:r>
      <w:r>
        <w:t xml:space="preserve">    </w:t>
      </w:r>
      <w:r>
        <w:rPr>
          <w:b/>
        </w:rPr>
        <w:t xml:space="preserve">Pub date: </w:t>
      </w:r>
      <w:r>
        <w:t>2026-02-28 10:03:16+00:00</w:t>
      </w:r>
      <w:r>
        <w:t xml:space="preserve">    </w:t>
      </w:r>
      <w:r>
        <w:rPr>
          <w:b/>
        </w:rPr>
        <w:t xml:space="preserve">DOI: </w:t>
      </w:r>
      <w:hyperlink r:id="rId79">
        <w:r>
          <w:rPr>
            <w:color w:val="1155CC"/>
            <w:u w:val="single"/>
          </w:rPr>
          <w:t>10.1002/adma.202520257</w:t>
        </w:r>
      </w:hyperlink>
    </w:p>
    <w:p>
      <w:pPr>
        <w:spacing w:before="0" w:after="120"/>
      </w:pPr>
      <w:r>
        <w:rPr>
          <w:b/>
        </w:rPr>
        <w:t xml:space="preserve">Notes: </w:t>
      </w:r>
      <w:r>
        <w:t>abstract_source=pubmed</w:t>
      </w:r>
    </w:p>
    <w:p>
      <w:pPr>
        <w:spacing w:before="0" w:after="80" w:lineRule="auto" w:line="276"/>
      </w:pPr>
      <w:r>
        <w:rPr>
          <w:b/>
        </w:rPr>
        <w:t xml:space="preserve">摘要（ZH）: </w:t>
      </w:r>
      <w:r>
        <w:t>高度集成的设备将能量存储与多功能传感能力相结合，对于推进智能微系统的实际应用至关重要。然而，其发展往往受到低效制造、界面不匹配导致的可靠性下降以及实现高性能、无干扰操作的挑战的阻碍。在此，我们展示了一种通过焦耳热效应构建单片多功能传感和能量存储系统的超快速高效策略。该策略能够在8秒内无缝集成所有组件，从根本上减轻界面不兼容性和信号干扰。通过瞬时热激活，阳极无锌离子能量存储单元</w:t>
      </w:r>
    </w:p>
    <w:p>
      <w:pPr>
        <w:spacing w:before="0" w:after="200" w:lineRule="auto" w:line="276"/>
      </w:pPr>
      <w:r>
        <w:rPr>
          <w:b/>
        </w:rPr>
        <w:t xml:space="preserve">Abstract (EN): </w:t>
      </w:r>
      <w:r>
        <w:t>Highly integrated devices that combine energy storage with multi-functional sensing capabilities are pivotal for advancing the practical implementation of intelligent microsystems. However, their development is often hindered by inefficient manufacturing, reliability degradation stemming from interfacial mismatches, and challenges in achieving high-performance, interference-free operation. Herein, we demonstrate an ultrafast and efficient strategy to construct a monolithic multifunctional sensing and energy storage system via the Joule heating effect. This strategy enables seamless integration of all components within 8 s, intrinsically mitigating interfacial incompatibility and signal interference. Through the instantaneous thermal activation, the energy storage unit of anode-free Zn-ion micro-battery delivers a capacity of 850 µAh cm-2 and energy density of 1060 µWh cm-2, superior to most reported aqueous Zn-based micro-batteries. With a rapid charging time of 150 s, it powers the integrated device for over 6 h, achieving an impressive 24-h standby under low-current conditions after full charge. Furthermore, this flexible monolithic system can be directly integrated into unmanned systems such as robotic arms, enabling autonomous environmental perception and adaptive decision-making via machine learning, with object identification and classification accuracy exceeding 99%. This work paves the way for next-generation autonomous microrobots, smart healthcare, and human-machine interfaces.</w:t>
      </w:r>
    </w:p>
    <w:p>
      <w:pPr>
        <w:spacing w:before="120" w:after="120"/>
      </w:pPr>
      <w:r>
        <w:rPr>
          <w:sz w:val="18"/>
        </w:rPr>
        <w:t>——————————————————————————————————————————————————————————————————————</w:t>
      </w:r>
    </w:p>
    <w:p>
      <w:pPr>
        <w:spacing w:before="160" w:after="40" w:line="240" w:lineRule="auto"/>
      </w:pPr>
      <w:r>
        <w:rPr>
          <w:b/>
        </w:rPr>
        <w:t xml:space="preserve">[4] </w:t>
      </w:r>
      <w:hyperlink r:id="rId80">
        <w:r>
          <w:rPr>
            <w:color w:val="1155CC"/>
            <w:u w:val="single"/>
          </w:rPr>
          <w:t>变速抽水蓄能的调度控制耦合框架：协调可再生能源系统中的经济性和稳定性</w:t>
        </w:r>
      </w:hyperlink>
    </w:p>
    <w:p>
      <w:pPr>
        <w:spacing w:before="0" w:after="80"/>
      </w:pPr>
      <w:r>
        <w:rPr>
          <w:i/>
          <w:sz w:val="20"/>
        </w:rPr>
        <w:t>EN: Scheduling-control coupling framework for variable-speed pumped storage: Coordinating economics and stability in renewable energy systems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81">
        <w:r>
          <w:rPr>
            <w:color w:val="1155CC"/>
            <w:u w:val="single"/>
          </w:rPr>
          <w:t>基于N‐富含三(三唑)的二维共轭金属有机框架用于高性能水系双离子电池</w:t>
        </w:r>
      </w:hyperlink>
    </w:p>
    <w:p>
      <w:pPr>
        <w:spacing w:before="0" w:after="80"/>
      </w:pPr>
      <w:r>
        <w:rPr>
          <w:i/>
          <w:sz w:val="20"/>
        </w:rPr>
        <w:t>EN: N‐Rich Tris(triazole)‐Based 2D Conjugated Metal‐Organic Framework for High Performance Aqueous Dual‐Ion Batteries</w:t>
      </w:r>
    </w:p>
    <w:p>
      <w:pPr>
        <w:spacing w:before="0" w:after="120"/>
      </w:pPr>
      <w:r>
        <w:rPr>
          <w:b/>
        </w:rPr>
        <w:t xml:space="preserve">Source: </w:t>
      </w:r>
      <w:r>
        <w:t>Wiley: Angewandte Chemie International Edition: Table of Contents</w:t>
      </w:r>
      <w:r>
        <w:t xml:space="preserve">    </w:t>
      </w:r>
      <w:r>
        <w:rPr>
          <w:b/>
        </w:rPr>
        <w:t xml:space="preserve">Pub date: </w:t>
      </w:r>
      <w:r>
        <w:t>2026-03-02 08:42:06+00:00</w:t>
      </w:r>
      <w:r>
        <w:t xml:space="preserve">    </w:t>
      </w:r>
      <w:r>
        <w:rPr>
          <w:b/>
        </w:rPr>
        <w:t xml:space="preserve">DOI: </w:t>
      </w:r>
      <w:hyperlink r:id="rId82">
        <w:r>
          <w:rPr>
            <w:color w:val="1155CC"/>
            <w:u w:val="single"/>
          </w:rPr>
          <w:t>10.1002/anie.8371981</w:t>
        </w:r>
      </w:hyperlink>
    </w:p>
    <w:p>
      <w:pPr>
        <w:spacing w:before="0" w:after="120"/>
      </w:pPr>
      <w:r>
        <w:rPr>
          <w:b/>
        </w:rPr>
        <w:t xml:space="preserve">Notes: </w:t>
      </w:r>
      <w:r>
        <w:t>abstract_source=pubmed</w:t>
      </w:r>
    </w:p>
    <w:p>
      <w:pPr>
        <w:spacing w:before="0" w:after="80" w:lineRule="auto" w:line="276"/>
      </w:pPr>
      <w:r>
        <w:rPr>
          <w:b/>
        </w:rPr>
        <w:t xml:space="preserve">摘要（ZH）: </w:t>
      </w:r>
      <w:r>
        <w:t>二维共轭金属有机框架（2D c-MOFs）由于其明确的孔结构、丰富的亲电活性位点和化学功能性，已成为水系双离子电池（ADIBs）碘物种的有前途的宿主材料。在此，我们报告了两种新的基于三（N-苯基）三唑的2D c-MOFs（TPT-M-MOF，M═Cu, Zn），其中N丰富位点与[MO4]中心与I3 -物种之间的协同作用被确定为显著增强ADIBs性能的关键因素。特别是，TPT-Zn-MOF在1 A g-1下表现出435 mAh g-1的更高比容量，在5 A g-1下超过1000个稳定循环周期，比其同构类似物TPT-Cu-MOF更高。同时，光谱表征和理论计算表明</w:t>
      </w:r>
    </w:p>
    <w:p>
      <w:pPr>
        <w:spacing w:before="0" w:after="200" w:lineRule="auto" w:line="276"/>
      </w:pPr>
      <w:r>
        <w:rPr>
          <w:b/>
        </w:rPr>
        <w:t xml:space="preserve">Abstract (EN): </w:t>
      </w:r>
      <w:r>
        <w:t>Two-dimensional conjugated metal-organic frameworks (2D c-MOFs) have emerged as promising host materials of iodine species for aqueous dual-ion batteries (ADIBs) due to their well-defined pore structures, abundant electrophilic active sites, and chemical functionality. Herein, we report two new tris(N-phenyl)triazole-based 2D c-MOFs (TPT-M-MOF, M═Cu, Zn), in which the synergistic interaction between N-rich sites and [MO4] centers with I3 - species is identified as the key factor responsible for significantly enhanced performance of ADIBs. Especially, TPT-Zn-MOF exhibits a higher specific capacity of 435 mAh g-1 at 1 A g-1 over 1000 stable cycling cycles at 5 A g-1 than its isostructural analogue TPT-Cu-MOF. Meanwhile, spectral characterization and theoretical calculations demonstrated that the battery performance strongly depends on the N-rich skeleton and the coordinated metal centers. Therefore, rational design of N-rich 2D c-MOFs holds great promise for advancing the development of host materials of iodine species for next-generation ADIBs.</w:t>
      </w:r>
    </w:p>
    <w:p>
      <w:pPr>
        <w:spacing w:before="120" w:after="120"/>
      </w:pPr>
      <w:r>
        <w:rPr>
          <w:sz w:val="18"/>
        </w:rPr>
        <w:t>——————————————————————————————————————————————————————————————————————</w:t>
      </w:r>
    </w:p>
    <w:p>
      <w:pPr>
        <w:spacing w:before="160" w:after="40" w:line="240" w:lineRule="auto"/>
      </w:pPr>
      <w:r>
        <w:rPr>
          <w:b/>
        </w:rPr>
        <w:t xml:space="preserve">[6] </w:t>
      </w:r>
      <w:hyperlink r:id="rId83">
        <w:r>
          <w:rPr>
            <w:color w:val="1155CC"/>
            <w:u w:val="single"/>
          </w:rPr>
          <w:t>[ASAP] 解码铝阳极的界面演变并构建多功能层以实现超长循环稳定性</w:t>
        </w:r>
      </w:hyperlink>
    </w:p>
    <w:p>
      <w:pPr>
        <w:spacing w:before="0" w:after="80"/>
      </w:pPr>
      <w:r>
        <w:rPr>
          <w:i/>
          <w:sz w:val="20"/>
        </w:rPr>
        <w:t>EN: [ASAP] Decoding Interfacial Evolution of Aluminum Anode and Constructing Multifunctional Layers toward Ultra-Long Cycle Stability</w:t>
      </w:r>
    </w:p>
    <w:p>
      <w:pPr>
        <w:spacing w:before="0" w:after="120"/>
      </w:pPr>
      <w:r>
        <w:rPr>
          <w:b/>
        </w:rPr>
        <w:t xml:space="preserve">Source: </w:t>
      </w:r>
      <w:r>
        <w:t>Journal of the American Chemical Society: Latest Articles (ACS Publications)</w:t>
      </w:r>
      <w:r>
        <w:t xml:space="preserve">    </w:t>
      </w:r>
      <w:r>
        <w:rPr>
          <w:b/>
        </w:rPr>
        <w:t xml:space="preserve">Pub date: </w:t>
      </w:r>
      <w:r>
        <w:t>2026-03-02 13:05:03+00:00</w:t>
      </w:r>
      <w:r>
        <w:t xml:space="preserve">    </w:t>
      </w:r>
      <w:r>
        <w:rPr>
          <w:b/>
        </w:rPr>
        <w:t xml:space="preserve">DOI: </w:t>
      </w:r>
      <w:hyperlink r:id="rId84">
        <w:r>
          <w:rPr>
            <w:color w:val="1155CC"/>
            <w:u w:val="single"/>
          </w:rPr>
          <w:t>10.1021/jacs.5c22732</w:t>
        </w:r>
      </w:hyperlink>
    </w:p>
    <w:p>
      <w:pPr>
        <w:spacing w:before="0" w:after="120"/>
      </w:pPr>
      <w:r>
        <w:rPr>
          <w:b/>
        </w:rPr>
        <w:t xml:space="preserve">Notes: </w:t>
      </w:r>
      <w:r>
        <w:t>abstract_source=pubmed</w:t>
      </w:r>
    </w:p>
    <w:p>
      <w:pPr>
        <w:spacing w:before="0" w:after="80" w:lineRule="auto" w:line="276"/>
      </w:pPr>
      <w:r>
        <w:rPr>
          <w:b/>
        </w:rPr>
        <w:t xml:space="preserve">摘要（ZH）: </w:t>
      </w:r>
      <w:r>
        <w:t>理解铝阳极界面在离子液体电解质中的动态演变对于可充电铝电池（RABs）的大规模应用至关重要。在此，我们使用一系列先进的原位表征揭示了从枝晶到腐蚀的转变，证明咪唑鎓阳离子（EMI+）从根本上主导了阳极的降解和不稳定性。因此，基于差分访问机制，我们设计了一种具有分子级纳米通道的金属有机框架（MOF-C）层，选择性地阻挡腐蚀性EMI+，同时加速AlCl4-扩散。改良的Al/MOF-C阳极在对称电池中实现了前所未有的&gt;11,000小时的循环稳定性（在1 mA cm-2下，过电位仅为20 mV），远远超过所有先前的报告（t</w:t>
      </w:r>
    </w:p>
    <w:p>
      <w:pPr>
        <w:spacing w:before="0" w:after="200" w:lineRule="auto" w:line="276"/>
      </w:pPr>
      <w:r>
        <w:rPr>
          <w:b/>
        </w:rPr>
        <w:t xml:space="preserve">Abstract (EN): </w:t>
      </w:r>
      <w:r>
        <w:t>Understanding the dynamic evolution of the aluminum anode interface in ionic liquid electrolytes is crucial for the large-scale application of rechargeable aluminum batteries (RABs). Herein, we use a series of advanced in situ characterizations to reveal a dendrite-to-corrosion transition, demonstrating that imidazolium cations (EMI+) fundamentally dominate anode degradation and instability. Therefore, based on a differential access mechanism, we engineer a metal-organic framework (MOF-C) layer with molecular-scale nanochannels that selectively block corrosive EMI + while accelerating AlCl4- diffusion. The modified Al/MOF-C anode achieves an unprecedented cycling stability of &gt;11,000 h (at 1 mA cm-2 with minimal 20 mV overpotential) in symmetric cells, far exceeding all previous reports (typically &lt;2000 h). Matched with natural graphite cathodes, full cells retain 95% capacity over 500 cycles. This work not only resolves the long-standing interfacial dispute in RABs but also establishes an ingenious solution aligned with interfacial evolution for next-generation stable metal anodes.</w:t>
      </w:r>
    </w:p>
    <w:p>
      <w:pPr>
        <w:spacing w:before="120" w:after="120"/>
      </w:pPr>
      <w:r>
        <w:rPr>
          <w:sz w:val="18"/>
        </w:rPr>
        <w:t>——————————————————————————————————————————————————————————————————————</w:t>
      </w:r>
    </w:p>
    <w:p>
      <w:pPr>
        <w:spacing w:before="160" w:after="40" w:line="240" w:lineRule="auto"/>
      </w:pPr>
      <w:r>
        <w:rPr>
          <w:b/>
        </w:rPr>
        <w:t xml:space="preserve">[7] </w:t>
      </w:r>
      <w:hyperlink r:id="rId85">
        <w:r>
          <w:rPr>
            <w:color w:val="1155CC"/>
            <w:u w:val="single"/>
          </w:rPr>
          <w:t>[ASAP] 通过胺-环氧化物开环反应设计锂氧电池的多功能催化剂</w:t>
        </w:r>
      </w:hyperlink>
    </w:p>
    <w:p>
      <w:pPr>
        <w:spacing w:before="0" w:after="80"/>
      </w:pPr>
      <w:r>
        <w:rPr>
          <w:i/>
          <w:sz w:val="20"/>
        </w:rPr>
        <w:t>EN: [ASAP] Designing Multifunctional Catalysts for Lithium–Oxygen Batteries via an Amine–Epoxide Ring-Opening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2026-03-03 18:38:46+00:00</w:t>
      </w:r>
      <w:r>
        <w:t xml:space="preserve">    </w:t>
      </w:r>
      <w:r>
        <w:rPr>
          <w:b/>
        </w:rPr>
        <w:t xml:space="preserve">DOI: </w:t>
      </w:r>
      <w:hyperlink r:id="rId86">
        <w:r>
          <w:rPr>
            <w:color w:val="1155CC"/>
            <w:u w:val="single"/>
          </w:rPr>
          <w:t>10.1021/jacs.5c21190</w:t>
        </w:r>
      </w:hyperlink>
    </w:p>
    <w:p>
      <w:pPr>
        <w:spacing w:before="0" w:after="120"/>
      </w:pPr>
      <w:r>
        <w:rPr>
          <w:b/>
        </w:rPr>
        <w:t xml:space="preserve">Notes: </w:t>
      </w:r>
      <w:r>
        <w:t>abstract_source=pubmed</w:t>
      </w:r>
    </w:p>
    <w:p>
      <w:pPr>
        <w:spacing w:before="0" w:after="80" w:lineRule="auto" w:line="276"/>
      </w:pPr>
      <w:r>
        <w:rPr>
          <w:b/>
        </w:rPr>
        <w:t xml:space="preserve">摘要（ZH）: </w:t>
      </w:r>
      <w:r>
        <w:t>锂氧电池，具有3600 Wh kg-1的令人印象深刻的理论比能量，面临着低放电容量、高充电过电位、单线态氧引起的不稳定性以及可溶性催化剂迁移到阳极导致的穿梭效应等挑战。一个最佳策略是结合三种类型的可溶性添加剂：一种催化剂以增加放电容量，一种氧化还原介质以降低充电过电位，以及一种清除剂以中和单线态氧。然而，结合多种添加剂会带来兼容性问题，并不能完全解决穿梭效应。为了解决这些问题，我们提出了一种多功能长链催化剂分子，配备了超氧清除剂、氧化还原介质和单线态氧猝灭剂。</w:t>
      </w:r>
    </w:p>
    <w:p>
      <w:pPr>
        <w:spacing w:before="0" w:after="200" w:lineRule="auto" w:line="276"/>
      </w:pPr>
      <w:r>
        <w:rPr>
          <w:b/>
        </w:rPr>
        <w:t xml:space="preserve">Abstract (EN): </w:t>
      </w:r>
      <w:r>
        <w:t>Li-O2 batteries, with an impressive theoretical specific energy of 3600 Wh kg-1, face challenges such as low discharge capacity, high charging overpotential, instability caused by singlet oxygen, and the shuttle effect, where soluble catalysts migrate to the anode, leading to degradation and lithium loss. An optimal strategy would incorporate three types of soluble additives: a catalyst to increase the discharge capacity, a redox mediator to lower the charging overpotential, and a scavenger to neutralize singlet oxygen. However, combining multiple additives poses compatibility issues and does not fully address the shuttle effect. To tackle these issues, we propose a multifunctional long-chain catalyst molecule equipped with a superoxide scavenger, redox mediator, and quencher for singlet oxygen. The long-chain structure anchors the molecule, preventing it from diffusing to the anode. Following this strategy, we designed P-TEMPO-TPA by grafting 2,2,6,6-tetramethyl-1-piperoxyl (TEMPO) and triphenylamine (TPA) onto a long-chain backbone. This molecule promotes Li2O2 formation, increasing the discharge capacity by 35 times and reducing singlet oxygen-driven side reactions. The soluble long-chain catalyst lowers the charging voltage to 3.65 V, extending the cycle life to 350 cycles (0.3 mAh cm-2) and 100 cycles (1.2 mAh cm-2). The long-chain design effectively mitigates the shuttle effect, paving the way for high-performance Li-O2 batteries.</w:t>
      </w:r>
    </w:p>
    <w:p>
      <w:pPr>
        <w:spacing w:before="120" w:after="120"/>
      </w:pPr>
      <w:r>
        <w:rPr>
          <w:sz w:val="18"/>
        </w:rPr>
        <w:t>——————————————————————————————————————————————————————————————————————</w:t>
      </w:r>
    </w:p>
    <w:p>
      <w:pPr>
        <w:spacing w:before="160" w:after="40" w:line="240" w:lineRule="auto"/>
      </w:pPr>
      <w:r>
        <w:rPr>
          <w:b/>
        </w:rPr>
        <w:t xml:space="preserve">[8] </w:t>
      </w:r>
      <w:hyperlink r:id="rId87">
        <w:r>
          <w:rPr>
            <w:color w:val="1155CC"/>
            <w:u w:val="single"/>
          </w:rPr>
          <w:t>包含多级压缩机耦合动力学的压缩空气储能系统的安全区域</w:t>
        </w:r>
      </w:hyperlink>
    </w:p>
    <w:p>
      <w:pPr>
        <w:spacing w:before="0" w:after="80"/>
      </w:pPr>
      <w:r>
        <w:rPr>
          <w:i/>
          <w:sz w:val="20"/>
        </w:rPr>
        <w:t>EN: Security region of compressed air energy storage systems incorporating multi-stage compressor coupling dynamics</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88">
        <w:r>
          <w:rPr>
            <w:color w:val="1155CC"/>
            <w:u w:val="single"/>
          </w:rPr>
          <w:t>可热加工的粘合气凝胶胶囊</w:t>
        </w:r>
      </w:hyperlink>
    </w:p>
    <w:p>
      <w:pPr>
        <w:spacing w:before="0" w:after="80"/>
      </w:pPr>
      <w:r>
        <w:rPr>
          <w:i/>
          <w:sz w:val="20"/>
        </w:rPr>
        <w:t>EN: Thermally Processable Adhesive Aerogel Capsules</w:t>
      </w:r>
    </w:p>
    <w:p>
      <w:pPr>
        <w:spacing w:before="0" w:after="120"/>
      </w:pPr>
      <w:r>
        <w:rPr>
          <w:b/>
        </w:rPr>
        <w:t xml:space="preserve">Source: </w:t>
      </w:r>
      <w:r>
        <w:t>Wiley: Advanced Materials: Table of Contents</w:t>
      </w:r>
      <w:r>
        <w:t xml:space="preserve">    </w:t>
      </w:r>
      <w:r>
        <w:rPr>
          <w:b/>
        </w:rPr>
        <w:t xml:space="preserve">Pub date: </w:t>
      </w:r>
      <w:r>
        <w:t>2026-03-02 09:11:20+00:00</w:t>
      </w:r>
      <w:r>
        <w:t xml:space="preserve">    </w:t>
      </w:r>
      <w:r>
        <w:rPr>
          <w:b/>
        </w:rPr>
        <w:t xml:space="preserve">DOI: </w:t>
      </w:r>
      <w:hyperlink r:id="rId89">
        <w:r>
          <w:rPr>
            <w:color w:val="1155CC"/>
            <w:u w:val="single"/>
          </w:rPr>
          <w:t>10.1002/adma.202520582</w:t>
        </w:r>
      </w:hyperlink>
    </w:p>
    <w:p>
      <w:pPr>
        <w:spacing w:before="0" w:after="120"/>
      </w:pPr>
      <w:r>
        <w:rPr>
          <w:b/>
        </w:rPr>
        <w:t xml:space="preserve">Notes: </w:t>
      </w:r>
      <w:r>
        <w:t>abstract_source=pubmed</w:t>
      </w:r>
    </w:p>
    <w:p>
      <w:pPr>
        <w:spacing w:before="0" w:after="80" w:lineRule="auto" w:line="276"/>
      </w:pPr>
      <w:r>
        <w:rPr>
          <w:b/>
        </w:rPr>
        <w:t xml:space="preserve">摘要（ZH）: </w:t>
      </w:r>
      <w:r>
        <w:t>气凝胶因其超低密度和优越的热绝缘性能而闻名。然而，传统气凝胶的粘附性差，由于其多孔表面和刚性框架，给集成到功能系统中带来了重大挑战。受扩展热塑性聚氨酯（ETPU）珠子的核壳结构启发，这些珠子具有热塑性壳体，能够实现热激活粘附，并且具有确保机械恢复的弹性核心，我们开发了自组装粘附气凝胶胶囊（SAACs）。SAACs通过多孔壳聚糖/二氧化硅气凝胶（CTS/SA）核心保持热绝缘，而粘附性壳聚糖/羧化腈橡胶（CTS/XNBR）壳体实现粘附。通过基于静电的自</w:t>
      </w:r>
    </w:p>
    <w:p>
      <w:pPr>
        <w:spacing w:before="0" w:after="200" w:lineRule="auto" w:line="276"/>
      </w:pPr>
      <w:r>
        <w:rPr>
          <w:b/>
        </w:rPr>
        <w:t xml:space="preserve">Abstract (EN): </w:t>
      </w:r>
      <w:r>
        <w:t>Aerogels are renowned for their ultralow density and superior thermal insulation. However, the poor adhesion of traditional aerogels, arising from their porous surfaces and rigid frameworks, presents a significant challenge for integration into functional systems. Inspired by the core-shell architecture of expanded thermoplastic polyurethane (ETPU) beads, which feature a thermoplastic shell enabling thermally activated adhesion and a resilient core ensuring mechanical recovery, we developed self-assembled adhesive aerogel capsules (SAACs). SAACs emulate this decoupling strategy with a porous chitosan/silica aerogel (CTS/SA) core preserving the thermal insulation, while an adhesive chitosan/carboxylated nitrile rubber (CTS/XNBR) shell enables adhesion. Through electrostatically-based self-assembly and freeze-drying, negatively charged XNBR encapsulates a positively charged CTS/SA scaffold, forming a core-shell structure. SAACs can be thermally processed at mild temperatures (≤ 80°C) to adhere into 3D assemblies, conform to irregular shapes, and adhere to diverse substrates. Despite their adhesive capability, SAACs retain low density, low thermal conductivity (30-39 mW·m-1·K-1), and inherent flame retardancy. Unlike conventional aerogels or ETPU, SAACs combine the thermal processability of elastomers with the insulation and fire resistance of aerogels, offering a promising platform for applications in on-site thermal management, energy conservation, and fire protection.</w:t>
      </w:r>
    </w:p>
    <w:p>
      <w:pPr>
        <w:spacing w:before="120" w:after="120"/>
      </w:pPr>
      <w:r>
        <w:rPr>
          <w:sz w:val="18"/>
        </w:rPr>
        <w:t>——————————————————————————————————————————————————————————————————————</w:t>
      </w:r>
    </w:p>
    <w:p>
      <w:pPr>
        <w:spacing w:before="160" w:after="40" w:line="240" w:lineRule="auto"/>
      </w:pPr>
      <w:r>
        <w:rPr>
          <w:b/>
        </w:rPr>
        <w:t xml:space="preserve">[2] </w:t>
      </w:r>
      <w:hyperlink r:id="rId90">
        <w:r>
          <w:rPr>
            <w:color w:val="1155CC"/>
            <w:u w:val="single"/>
          </w:rPr>
          <w:t>典型英国住宅的热能需求数据库</w:t>
        </w:r>
      </w:hyperlink>
    </w:p>
    <w:p>
      <w:pPr>
        <w:spacing w:before="0" w:after="80"/>
      </w:pPr>
      <w:r>
        <w:rPr>
          <w:i/>
          <w:sz w:val="20"/>
        </w:rPr>
        <w:t>EN: Thermal energy demand database for typical British dwellings</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1">
        <w:r>
          <w:rPr>
            <w:color w:val="1155CC"/>
            <w:u w:val="single"/>
          </w:rPr>
          <w:t>用于可拉伸热电材料的两亲性可变形互连</w:t>
        </w:r>
      </w:hyperlink>
    </w:p>
    <w:p>
      <w:pPr>
        <w:spacing w:before="0" w:after="80"/>
      </w:pPr>
      <w:r>
        <w:rPr>
          <w:i/>
          <w:sz w:val="20"/>
        </w:rPr>
        <w:t>EN: Amphiphilic deformable interconnects for stretchable thermoelectrics</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92">
        <w:r>
          <w:rPr>
            <w:color w:val="1155CC"/>
            <w:u w:val="single"/>
          </w:rPr>
          <w:t>10.1016/j.matt.2026.102653</w:t>
        </w:r>
      </w:hyperlink>
    </w:p>
    <w:p>
      <w:pPr>
        <w:spacing w:before="0" w:after="120"/>
      </w:pPr>
      <w:r>
        <w:rPr>
          <w:b/>
        </w:rPr>
        <w:t xml:space="preserve">Notes: </w:t>
      </w:r>
      <w:r>
        <w:t>abstract_source=rss_cell</w:t>
      </w:r>
    </w:p>
    <w:p>
      <w:pPr>
        <w:spacing w:before="0" w:after="80" w:lineRule="auto" w:line="276"/>
      </w:pPr>
      <w:r>
        <w:rPr>
          <w:b/>
        </w:rPr>
        <w:t xml:space="preserve">摘要（ZH）: </w:t>
      </w:r>
      <w:r>
        <w:t>我们开发了一种可变形电极，像“液态焊料”一样工作，使刚性热电材料与软基底之间的连接稳固且稳定。使用这项技术制造的可穿戴设备结合了优异的伸展性和高效的发电效率，能够仅通过体热驱动计步器，并在没有散热器的情况下提供主动皮肤冷却。</w:t>
      </w:r>
    </w:p>
    <w:p>
      <w:pPr>
        <w:spacing w:before="0" w:after="200" w:lineRule="auto" w:line="276"/>
      </w:pPr>
      <w:r>
        <w:rPr>
          <w:b/>
        </w:rPr>
        <w:t xml:space="preserve">Abstract (EN): </w:t>
      </w:r>
      <w:r>
        <w:t>We developed a deformable electrode that acts like a “liquid solder,” enabling robust and stable connections between rigid thermoelectric materials and soft substrates. Wearable devices fabricated with this technology combine excellent stretchability with high power generation efficiency, capable of driving a pedometer using only body heat and providing active skin cooling without heat sink.</w:t>
      </w:r>
    </w:p>
    <w:p>
      <w:pPr>
        <w:spacing w:before="120" w:after="120"/>
      </w:pPr>
      <w:r>
        <w:rPr>
          <w:sz w:val="18"/>
        </w:rPr>
        <w:t>——————————————————————————————————————————————————————————————————————</w:t>
      </w:r>
    </w:p>
    <w:p>
      <w:pPr>
        <w:spacing w:before="160" w:after="40" w:line="240" w:lineRule="auto"/>
      </w:pPr>
      <w:r>
        <w:rPr>
          <w:b/>
        </w:rPr>
        <w:t xml:space="preserve">[4] </w:t>
      </w:r>
      <w:hyperlink r:id="rId93">
        <w:r>
          <w:rPr>
            <w:color w:val="1155CC"/>
            <w:u w:val="single"/>
          </w:rPr>
          <w:t>用于1700°C热防护的全单晶莫来石纳米线气凝胶</w:t>
        </w:r>
      </w:hyperlink>
    </w:p>
    <w:p>
      <w:pPr>
        <w:spacing w:before="0" w:after="80"/>
      </w:pPr>
      <w:r>
        <w:rPr>
          <w:i/>
          <w:sz w:val="20"/>
        </w:rPr>
        <w:t>EN: All-single-crystal mullite nanowire aerogels for thermal protection at 1700°C</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94">
        <w:r>
          <w:rPr>
            <w:color w:val="1155CC"/>
            <w:u w:val="single"/>
          </w:rPr>
          <w:t>10.1016/j.matt.2026.102670</w:t>
        </w:r>
      </w:hyperlink>
    </w:p>
    <w:p>
      <w:pPr>
        <w:spacing w:before="0" w:after="120"/>
      </w:pPr>
      <w:r>
        <w:rPr>
          <w:b/>
        </w:rPr>
        <w:t xml:space="preserve">Notes: </w:t>
      </w:r>
      <w:r>
        <w:t>abstract_source=rss_cell</w:t>
      </w:r>
    </w:p>
    <w:p>
      <w:pPr>
        <w:spacing w:before="0" w:after="80" w:lineRule="auto" w:line="276"/>
      </w:pPr>
      <w:r>
        <w:rPr>
          <w:b/>
        </w:rPr>
        <w:t xml:space="preserve">摘要（ZH）: </w:t>
      </w:r>
      <w:r>
        <w:t>一种由单晶莫来石纳米线组成的单体轻质气凝胶通过在双催化剂系统中使用多晶铝硅酸盐微纤维作为反应模板的协同蚀刻-催化机制制备而成。所得的自支撑、无晶界的纳米线网络可实现高达1700°C的热绝缘和结构稳定性，并为极端环境下的热防护材料建立了新的晶体学范式。</w:t>
      </w:r>
    </w:p>
    <w:p>
      <w:pPr>
        <w:spacing w:before="0" w:after="200" w:lineRule="auto" w:line="276"/>
      </w:pPr>
      <w:r>
        <w:rPr>
          <w:b/>
        </w:rPr>
        <w:t xml:space="preserve">Abstract (EN): </w:t>
      </w:r>
      <w:r>
        <w:t>A monolithic, lightweight aerogel composed of single-crystal mullite nanowires is fabricated through a cooperative etching-catalysis mechanism in a dual-catalyst system using polycrystalline aluminum-silicate microfibers as reactive templates. The resulting self-supporting, grain-boundary-free nanowire network enables thermal insulation and structural stability up to 1700°C and establishes a new crystallographic paradigm for thermal protection materials in extreme environments.</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95">
        <w:r>
          <w:rPr>
            <w:color w:val="1155CC"/>
            <w:u w:val="single"/>
          </w:rPr>
          <w:t>中温质子交换膜燃料电池：对最近电化学评估材料的系统综述</w:t>
        </w:r>
      </w:hyperlink>
    </w:p>
    <w:p>
      <w:pPr>
        <w:spacing w:before="0" w:after="80"/>
      </w:pPr>
      <w:r>
        <w:rPr>
          <w:i/>
          <w:sz w:val="20"/>
        </w:rPr>
        <w:t>EN: Intermediate temperature proton exchange membrane fuel cells: a systematic review of recently electrochemically evaluated materials</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6">
        <w:r>
          <w:rPr>
            <w:color w:val="1155CC"/>
            <w:u w:val="single"/>
          </w:rPr>
          <w:t>“低碳氢支持机制：分割商品市场的风险”[能源政策202 art 114605 DOI 10.1016/j.enpol.2025.114605]的勘误</w:t>
        </w:r>
      </w:hyperlink>
    </w:p>
    <w:p>
      <w:pPr>
        <w:spacing w:before="0" w:after="80"/>
      </w:pPr>
      <w:r>
        <w:rPr>
          <w:i/>
          <w:sz w:val="20"/>
        </w:rPr>
        <w:t>EN: Corrigendum to “Support mechanisms for low-carbon hydrogen: The risks of segmenting a commodity market” [Energy Policy 202 art 114605 DOI 10.1016/j.enpol.2025.114605]</w:t>
      </w:r>
    </w:p>
    <w:p>
      <w:pPr>
        <w:spacing w:before="0" w:after="120"/>
      </w:pPr>
      <w:r>
        <w:rPr>
          <w:b/>
        </w:rPr>
        <w:t xml:space="preserve">Source: </w:t>
      </w:r>
      <w:r>
        <w:t>ScienceDirect Publication: Energy Policy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7">
        <w:r>
          <w:rPr>
            <w:color w:val="1155CC"/>
            <w:u w:val="single"/>
          </w:rPr>
          <w:t>使用氢气对英国脱碳的空气质量影响进行建模</w:t>
        </w:r>
      </w:hyperlink>
    </w:p>
    <w:p>
      <w:pPr>
        <w:spacing w:before="0" w:after="80"/>
      </w:pPr>
      <w:r>
        <w:rPr>
          <w:i/>
          <w:sz w:val="20"/>
        </w:rPr>
        <w:t>EN: Modelling UK air quality implications of decarbonisation using hydrogen</w:t>
      </w:r>
    </w:p>
    <w:p>
      <w:pPr>
        <w:spacing w:before="0" w:after="120"/>
      </w:pPr>
      <w:r>
        <w:rPr>
          <w:b/>
        </w:rPr>
        <w:t xml:space="preserve">Source: </w:t>
      </w:r>
      <w:r>
        <w:t>ScienceDirect Publication: Energy Policy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98">
        <w:r>
          <w:rPr>
            <w:color w:val="1155CC"/>
            <w:u w:val="single"/>
          </w:rPr>
          <w:t>太阳能-电池供电的碱性水电解系统的退化感知调度和热管理</w:t>
        </w:r>
      </w:hyperlink>
    </w:p>
    <w:p>
      <w:pPr>
        <w:spacing w:before="0" w:after="80"/>
      </w:pPr>
      <w:r>
        <w:rPr>
          <w:i/>
          <w:sz w:val="20"/>
        </w:rPr>
        <w:t>EN: Degradation-aware scheduling and thermal management of solar–battery-powered alkaline water electrolysis systems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99">
        <w:r>
          <w:rPr>
            <w:color w:val="1155CC"/>
            <w:u w:val="single"/>
          </w:rPr>
          <w:t>科特迪瓦与德国之间e-甲醇贸易路线的经济可行性和政治风险</w:t>
        </w:r>
      </w:hyperlink>
    </w:p>
    <w:p>
      <w:pPr>
        <w:spacing w:before="0" w:after="80"/>
      </w:pPr>
      <w:r>
        <w:rPr>
          <w:i/>
          <w:sz w:val="20"/>
        </w:rPr>
        <w:t>EN: Economic feasibility and political risk of an e-methanol trade route between Côte d'Ivoire and Germany</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00">
        <w:r>
          <w:rPr>
            <w:color w:val="1155CC"/>
            <w:u w:val="single"/>
          </w:rPr>
          <w:t>一种混合集中-分布式绿色氨系统，用于中国氮肥生产的经济高效脱碳</w:t>
        </w:r>
      </w:hyperlink>
    </w:p>
    <w:p>
      <w:pPr>
        <w:spacing w:before="0" w:after="80"/>
      </w:pPr>
      <w:r>
        <w:rPr>
          <w:i/>
          <w:sz w:val="20"/>
        </w:rPr>
        <w:t>EN: A hybrid centralized-distributed green ammonia system for cost-effective decarbonization of China's nitrogen fertilizer production</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01">
        <w:r>
          <w:rPr>
            <w:color w:val="1155CC"/>
            <w:u w:val="single"/>
          </w:rPr>
          <w:t>低成本氢气生产：高温多孔电极无膜电解的技术经济分析</w:t>
        </w:r>
      </w:hyperlink>
    </w:p>
    <w:p>
      <w:pPr>
        <w:spacing w:before="0" w:after="80"/>
      </w:pPr>
      <w:r>
        <w:rPr>
          <w:i/>
          <w:sz w:val="20"/>
        </w:rPr>
        <w:t>EN: Low-cost hydrogen production: Techno-economic analysis of high-temperature porous electrode membraneless electrolysis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02">
        <w:r>
          <w:rPr>
            <w:color w:val="1155CC"/>
            <w:u w:val="single"/>
          </w:rPr>
          <w:t>实验-建模框架揭示PEMWE间歇操作期间铱的降解途径</w:t>
        </w:r>
      </w:hyperlink>
    </w:p>
    <w:p>
      <w:pPr>
        <w:spacing w:before="0" w:after="80"/>
      </w:pPr>
      <w:r>
        <w:rPr>
          <w:i/>
          <w:sz w:val="20"/>
        </w:rPr>
        <w:t>EN: Experimental-modeling framework to unveil iridium degradation pathways during intermittent operation in PEMWE</w:t>
      </w:r>
    </w:p>
    <w:p>
      <w:pPr>
        <w:spacing w:before="0" w:after="120"/>
      </w:pPr>
      <w:r>
        <w:rPr>
          <w:b/>
        </w:rPr>
        <w:t xml:space="preserve">Source: </w:t>
      </w:r>
      <w:r>
        <w:t>Joule</w:t>
      </w:r>
      <w:r>
        <w:t xml:space="preserve">    </w:t>
      </w:r>
      <w:r>
        <w:rPr>
          <w:b/>
        </w:rPr>
        <w:t xml:space="preserve">Pub date: </w:t>
      </w:r>
      <w:r>
        <w:t>2026-03-02 00:00:00+00:00</w:t>
      </w:r>
      <w:r>
        <w:t xml:space="preserve">    </w:t>
      </w:r>
      <w:r>
        <w:rPr>
          <w:b/>
        </w:rPr>
        <w:t xml:space="preserve">DOI: </w:t>
      </w:r>
      <w:hyperlink r:id="rId103">
        <w:r>
          <w:rPr>
            <w:color w:val="1155CC"/>
            <w:u w:val="single"/>
          </w:rPr>
          <w:t>10.1016/j.joule.2025.102309</w:t>
        </w:r>
      </w:hyperlink>
    </w:p>
    <w:p>
      <w:pPr>
        <w:spacing w:before="0" w:after="120"/>
      </w:pPr>
      <w:r>
        <w:rPr>
          <w:b/>
        </w:rPr>
        <w:t xml:space="preserve">Notes: </w:t>
      </w:r>
      <w:r>
        <w:t>abstract_source=rss_cell</w:t>
      </w:r>
    </w:p>
    <w:p>
      <w:pPr>
        <w:spacing w:before="0" w:after="80" w:lineRule="auto" w:line="276"/>
      </w:pPr>
      <w:r>
        <w:rPr>
          <w:b/>
        </w:rPr>
        <w:t xml:space="preserve">摘要（ZH）: </w:t>
      </w:r>
      <w:r>
        <w:t>在零间隙水电解槽中，解卷阳极催化剂降解路径是关键。通过结合实验和建模的方法，我们从定量的角度获得了对Ir溶解、传输和沉积动态的见解。溶解的Ir物种主要通过它们在阳极-膜界面形成的Ir带内的封装与膜电极组件保持在一起。间歇性操作进一步导致溶解物种从水线向阳极的显著反向传输，导致电解槽内的动力学损失增加。</w:t>
      </w:r>
    </w:p>
    <w:p>
      <w:pPr>
        <w:spacing w:before="0" w:after="200" w:lineRule="auto" w:line="276"/>
      </w:pPr>
      <w:r>
        <w:rPr>
          <w:b/>
        </w:rPr>
        <w:t xml:space="preserve">Abstract (EN): </w:t>
      </w:r>
      <w:r>
        <w:t>In zero-gap water electrolyzers, deconvoluting anode catalyst degradation pathways is pivotal. Through a combined experimental-modeling approach, we obtained insights into Ir dissolution, transport, and deposition dynamics from a quantitative standpoint. Dissolved Ir species are primarily kept with the membrane electrode assembly through their encapsulation within the Ir band formed at the anode-membrane interface. Intermittent operation further leads to pronounced back-transport of the dissolved species from the water line to the anode, leading to enhanced kinetic losses within an electrolyzer.</w:t>
      </w:r>
    </w:p>
    <w:p>
      <w:pPr>
        <w:spacing w:before="120" w:after="120"/>
      </w:pPr>
      <w:r>
        <w:rPr>
          <w:sz w:val="18"/>
        </w:rPr>
        <w:t>——————————————————————————————————————————————————————————————————————</w:t>
      </w:r>
    </w:p>
    <w:p>
      <w:pPr>
        <w:spacing w:before="160" w:after="40" w:line="240" w:lineRule="auto"/>
      </w:pPr>
      <w:r>
        <w:rPr>
          <w:b/>
        </w:rPr>
        <w:t xml:space="preserve">[9] </w:t>
      </w:r>
      <w:hyperlink r:id="rId104">
        <w:r>
          <w:rPr>
            <w:color w:val="1155CC"/>
            <w:u w:val="single"/>
          </w:rPr>
          <w:t>氧化铪上的单个铟原子实现优越的基于CO2的甲醇合成</w:t>
        </w:r>
      </w:hyperlink>
    </w:p>
    <w:p>
      <w:pPr>
        <w:spacing w:before="0" w:after="80"/>
      </w:pPr>
      <w:r>
        <w:rPr>
          <w:i/>
          <w:sz w:val="20"/>
        </w:rPr>
        <w:t>EN: Single atoms of indium on hafnia enable superior CO2-based methanol synthesis</w:t>
      </w:r>
    </w:p>
    <w:p>
      <w:pPr>
        <w:spacing w:before="0" w:after="120"/>
      </w:pPr>
      <w:r>
        <w:rPr>
          <w:b/>
        </w:rPr>
        <w:t xml:space="preserve">Source: </w:t>
      </w:r>
      <w:r>
        <w:t>Nature Nanotechnology</w:t>
      </w:r>
      <w:r>
        <w:t xml:space="preserve">    </w:t>
      </w:r>
      <w:r>
        <w:rPr>
          <w:b/>
        </w:rPr>
        <w:t xml:space="preserve">Pub date: </w:t>
      </w:r>
      <w:r>
        <w:t>2026-03-02 00:00:00+00:00</w:t>
      </w:r>
      <w:r>
        <w:t xml:space="preserve">    </w:t>
      </w:r>
      <w:r>
        <w:rPr>
          <w:b/>
        </w:rPr>
        <w:t xml:space="preserve">DOI: </w:t>
      </w:r>
      <w:hyperlink r:id="rId105">
        <w:r>
          <w:rPr>
            <w:color w:val="1155CC"/>
            <w:u w:val="single"/>
          </w:rPr>
          <w:t>10.1038/s41565-026-02135-y</w:t>
        </w:r>
      </w:hyperlink>
    </w:p>
    <w:p>
      <w:pPr>
        <w:spacing w:before="0" w:after="120"/>
      </w:pPr>
      <w:r>
        <w:rPr>
          <w:b/>
        </w:rPr>
        <w:t xml:space="preserve">Notes: </w:t>
      </w:r>
      <w:r>
        <w:t>abstract_source=nature_html</w:t>
      </w:r>
    </w:p>
    <w:p>
      <w:pPr>
        <w:spacing w:before="0" w:after="80" w:lineRule="auto" w:line="276"/>
      </w:pPr>
      <w:r>
        <w:rPr>
          <w:b/>
        </w:rPr>
        <w:t xml:space="preserve">摘要（ZH）: </w:t>
      </w:r>
      <w:r>
        <w:t>铟-锆氧化物在CO2加氢制甲醇的催化剂中排名最具选择性和稳定性。然而，尽管进行了广泛的研究，单斜锆石的特殊作用的机理起源仍未解决，并继续在该领域设定基准。我们在此展示，单斜氧化铪，这种在催化中很少探索的宽带隙氧化物，可以超越这一基准。通过火焰喷雾热解合成的纳米结构铟-铪氧化物，其铟特异性甲醇生产率比铟-锆氧化物高出70%，其中单个铟原子的增益最大。实验和理论分析揭示了稳定的单斜支撑表面、灵活的铟单原子化学势和存在的结合</w:t>
      </w:r>
    </w:p>
    <w:p>
      <w:pPr>
        <w:spacing w:before="0" w:after="200" w:lineRule="auto" w:line="276"/>
      </w:pPr>
      <w:r>
        <w:rPr>
          <w:b/>
        </w:rPr>
        <w:t xml:space="preserve">Abstract (EN): </w:t>
      </w:r>
      <w:r>
        <w:t>Indium–zirconium oxides rank among the most selective and stable catalysts for CO2 hydrogenation to methanol. Yet, despite extensive research, the mechanistic origin of the exceptional role of monoclinic zirconia remains unresolved and continues to set the benchmark in the field. Here we show that monoclinic hafnia, a wide-bandgap oxide rarely explored in catalysis, can outperform this benchmark. Nanostructured indium–hafnium oxides synthesized via flame spray pyrolysis achieve up to 70% higher indium-specific methanol productivity than indium–zirconium oxides, with the largest gains observed for single atoms of indium. Experimental and theoretical analyses reveal that a combination of stable monoclinic support surfaces, flexible chemical potential of indium single atoms and the presence of a cooperative hydride–proton reservoir collectively enhance CO2 activation and intermediate hydrogenation. Crucially, the precise control of surface hydroxylation is required. These findings establish a new benchmark for green methanol synthesis and provide generalizable design principles for next-generation oxide supports in single-atom catalysis.</w:t>
      </w:r>
    </w:p>
    <w:p>
      <w:pPr>
        <w:spacing w:before="120" w:after="120"/>
      </w:pPr>
      <w:r>
        <w:rPr>
          <w:sz w:val="18"/>
        </w:rPr>
        <w:t>——————————————————————————————————————————————————————————————————————</w:t>
      </w:r>
    </w:p>
    <w:p>
      <w:pPr>
        <w:spacing w:before="160" w:after="40" w:line="240" w:lineRule="auto"/>
      </w:pPr>
      <w:r>
        <w:rPr>
          <w:b/>
        </w:rPr>
        <w:t xml:space="preserve">[10] </w:t>
      </w:r>
      <w:hyperlink r:id="rId106">
        <w:r>
          <w:rPr>
            <w:color w:val="1155CC"/>
            <w:u w:val="single"/>
          </w:rPr>
          <w:t>自持动态碱性微环境介导的高效硝酸盐电还原为氨在中性电解质中的MnFeOx上</w:t>
        </w:r>
      </w:hyperlink>
    </w:p>
    <w:p>
      <w:pPr>
        <w:spacing w:before="0" w:after="80"/>
      </w:pPr>
      <w:r>
        <w:rPr>
          <w:i/>
          <w:sz w:val="20"/>
        </w:rPr>
        <w:t>EN: Self‐Sustaining Dynamic Alkaline Microenvironment‐Mediated Efficient Nitrate Electroreduction to Ammonia on MnFeOx in Neutral Electrolyte</w:t>
      </w:r>
    </w:p>
    <w:p>
      <w:pPr>
        <w:spacing w:before="0" w:after="120"/>
      </w:pPr>
      <w:r>
        <w:rPr>
          <w:b/>
        </w:rPr>
        <w:t xml:space="preserve">Source: </w:t>
      </w:r>
      <w:r>
        <w:t>Wiley: Angewandte Chemie International Edition: Table of Contents</w:t>
      </w:r>
      <w:r>
        <w:t xml:space="preserve">    </w:t>
      </w:r>
      <w:r>
        <w:rPr>
          <w:b/>
        </w:rPr>
        <w:t xml:space="preserve">Pub date: </w:t>
      </w:r>
      <w:r>
        <w:t>2026-03-02 05:54:00+00:00</w:t>
      </w:r>
      <w:r>
        <w:t xml:space="preserve">    </w:t>
      </w:r>
      <w:r>
        <w:rPr>
          <w:b/>
        </w:rPr>
        <w:t xml:space="preserve">DOI: </w:t>
      </w:r>
      <w:hyperlink r:id="rId107">
        <w:r>
          <w:rPr>
            <w:color w:val="1155CC"/>
            <w:u w:val="single"/>
          </w:rPr>
          <w:t>10.1002/anie.4598330</w:t>
        </w:r>
      </w:hyperlink>
    </w:p>
    <w:p>
      <w:pPr>
        <w:spacing w:before="0" w:after="120"/>
      </w:pPr>
      <w:r>
        <w:rPr>
          <w:b/>
        </w:rPr>
        <w:t xml:space="preserve">Notes: </w:t>
      </w:r>
      <w:r>
        <w:t>abstract_source=pubmed</w:t>
      </w:r>
    </w:p>
    <w:p>
      <w:pPr>
        <w:spacing w:before="0" w:after="80" w:lineRule="auto" w:line="276"/>
      </w:pPr>
      <w:r>
        <w:rPr>
          <w:b/>
        </w:rPr>
        <w:t xml:space="preserve">摘要（ZH）: </w:t>
      </w:r>
      <w:r>
        <w:t>电催化硝酸盐还原（NO3RR）利用可再生电力将废水中的硝酸盐污染物转化为氨，代表了一种可持续氨合成的有前途的途径，但其在中性介质中的效率受到缓慢动力学和氢气析出反应（HER）激烈竞争的严重限制。在此，我们引入了一种由MnFe双位点氧化物启用的“自维持碱性局部微环境”策略，该氧化物同时作为结构支架和催化介质，其中FeOx中的惰性FeOh位点被选择性地替换为Mn，而保留了活性FeTd位点。1D MnFeOx中的Fe位点激活NO3-并动态捕获OH-形成FeOOH，在电极-电解质界面周围建立了局部碱性微环境。</w:t>
      </w:r>
    </w:p>
    <w:p>
      <w:pPr>
        <w:spacing w:before="0" w:after="200" w:lineRule="auto" w:line="276"/>
      </w:pPr>
      <w:r>
        <w:rPr>
          <w:b/>
        </w:rPr>
        <w:t xml:space="preserve">Abstract (EN): </w:t>
      </w:r>
      <w:r>
        <w:t>Electrocatalytic nitrate reduction (NO3RR) that utilizing renewable electricity to convert nitrate pollutants in wastewater, represents a promising route for sustainable ammonia synthesis, yet its efficiency in neutral media is severely limited by sluggish kinetics and intense competition from hydrogen evolution reaction (HER). Herein, we introduce a "self-sustaining alkaline local microenvironment" strategy enabled by a MnFe dual-site oxide that concurrently serves as a structural scaffold and catalytic mediator, in which inactive FeOh sites in FeOx are selectively substituted by Mn while active FeTd sites are retained. Fe sites in 1D MnFeOx activate NO3 - and dynamically capture OH- to form FeOOH, establishing a localized alkaline microenvironment around the active sites at electrode-electrolyte interface that effectively suppresses HER. Concurrently, Mn sites stabilize the high-valent Fe species and continuously split interfacial H2O into OH- and H*, ensuring the robust persistence of the alkaline microenvironment. The resulting 1D MnFeOx catalyst delivers an NH3 Faradaic efficiency of 95.9% (12.3 mg h-1 cm-2) in neutral media and operates stably for over 20 h without degradation. By advancing local pH regulation from external intervention to intelligent self-regulation, this work offers a new insight in adaptive electrocatalyst design and regulating the interfacial microenvironment beyond NO3RR.</w:t>
      </w:r>
    </w:p>
    <w:p>
      <w:pPr>
        <w:spacing w:before="120" w:after="120"/>
      </w:pPr>
      <w:r>
        <w:rPr>
          <w:sz w:val="18"/>
        </w:rPr>
        <w:t>——————————————————————————————————————————————————————————————————————</w:t>
      </w:r>
    </w:p>
    <w:p>
      <w:pPr>
        <w:spacing w:before="160" w:after="40" w:line="240" w:lineRule="auto"/>
      </w:pPr>
      <w:r>
        <w:rPr>
          <w:b/>
        </w:rPr>
        <w:t xml:space="preserve">[11] </w:t>
      </w:r>
      <w:hyperlink r:id="rId108">
        <w:r>
          <w:rPr>
            <w:color w:val="1155CC"/>
            <w:u w:val="single"/>
          </w:rPr>
          <w:t>[ASAP] 在柔性等离子体反应器中克服水连续转化为过氧化氢过程中的热降解</w:t>
        </w:r>
      </w:hyperlink>
    </w:p>
    <w:p>
      <w:pPr>
        <w:spacing w:before="0" w:after="80"/>
      </w:pPr>
      <w:r>
        <w:rPr>
          <w:i/>
          <w:sz w:val="20"/>
        </w:rPr>
        <w:t>EN: [ASAP] Overcoming Thermal Degradation during Continuous Conversion of Water into Hydrogen Peroxide in a Flexible Plasma Reactor</w:t>
      </w:r>
    </w:p>
    <w:p>
      <w:pPr>
        <w:spacing w:before="0" w:after="120"/>
      </w:pPr>
      <w:r>
        <w:rPr>
          <w:b/>
        </w:rPr>
        <w:t xml:space="preserve">Source: </w:t>
      </w:r>
      <w:r>
        <w:t>Journal of the American Chemical Society: Latest Articles (ACS Publications)</w:t>
      </w:r>
      <w:r>
        <w:t xml:space="preserve">    </w:t>
      </w:r>
      <w:r>
        <w:rPr>
          <w:b/>
        </w:rPr>
        <w:t xml:space="preserve">Pub date: </w:t>
      </w:r>
      <w:r>
        <w:t>2026-03-02 12:40:10+00:00</w:t>
      </w:r>
      <w:r>
        <w:t xml:space="preserve">    </w:t>
      </w:r>
      <w:r>
        <w:rPr>
          <w:b/>
        </w:rPr>
        <w:t xml:space="preserve">DOI: </w:t>
      </w:r>
      <w:hyperlink r:id="rId109">
        <w:r>
          <w:rPr>
            <w:color w:val="1155CC"/>
            <w:u w:val="single"/>
          </w:rPr>
          <w:t>10.1021/jacs.5c14829</w:t>
        </w:r>
      </w:hyperlink>
    </w:p>
    <w:p>
      <w:pPr>
        <w:spacing w:before="0" w:after="120"/>
      </w:pPr>
      <w:r>
        <w:rPr>
          <w:b/>
        </w:rPr>
        <w:t xml:space="preserve">Notes: </w:t>
      </w:r>
      <w:r>
        <w:t>abstract_source=pubmed</w:t>
      </w:r>
    </w:p>
    <w:p>
      <w:pPr>
        <w:spacing w:before="0" w:after="80" w:lineRule="auto" w:line="276"/>
      </w:pPr>
      <w:r>
        <w:rPr>
          <w:b/>
        </w:rPr>
        <w:t xml:space="preserve">摘要（ZH）: </w:t>
      </w:r>
      <w:r>
        <w:t>通过控制纳秒脉动、能量输入和流动，可以在连续过程中仅使用水和等离子体实现商业级过氧化氢（H2O2）浓度，同时最大限度地减少热降解。采用时间分辨超快光学发射光谱观察活性物质的形成，揭示了其潜在机制。本研究还发现热降解起到了关键作用，通过等离子体区的淬火有效地进行了管理。微波功率的脉冲持续时间和脉冲重复频率的参数扫描显示对H2O2形成有显著影响，其中平均功率也起到了重要作用。此外，发现H2O2浓度与</w:t>
      </w:r>
    </w:p>
    <w:p>
      <w:pPr>
        <w:spacing w:before="0" w:after="200" w:lineRule="auto" w:line="276"/>
      </w:pPr>
      <w:r>
        <w:rPr>
          <w:b/>
        </w:rPr>
        <w:t xml:space="preserve">Abstract (EN): </w:t>
      </w:r>
      <w:r>
        <w:t>By control of the nanosecond pulsation, energy input, and flow, it is possible to achieve commercial-level hydrogen peroxide (H2O2) concentrations using only water and plasma in a continuous process while minimizing thermal degradation. Time-resolved ultrafast Optical Emission Spectroscopy was employed to observe the formation of reactive species, shedding light on the underlying mechanisms. This study also found that thermal degradation has a critical role, which was effectively managed through quenching of the plasma zone. A parametric scan of pulse duration and pulse repetition frequency of the microwave power showed a significant influence on H2O2 formation, whereby the mean power also plays an important role. Additionally, the H2O2 concentration was found to be inversely proportional to the water flow rate. A maximum concentration of 0.17 wt % was achieved with 1.2 g/kWh based on the absorbed power at a flow rate of 0.2 mL/min. This plasma reactor technology shows promise for further development as a decentralized solution for the green chemical synthesis of H2O2.</w:t>
      </w:r>
    </w:p>
    <w:p>
      <w:pPr>
        <w:spacing w:before="120" w:after="120"/>
      </w:pPr>
      <w:r>
        <w:rPr>
          <w:sz w:val="18"/>
        </w:rPr>
        <w:t>——————————————————————————————————————————————————————————————————————</w:t>
      </w:r>
    </w:p>
    <w:p>
      <w:pPr>
        <w:spacing w:before="160" w:after="40" w:line="240" w:lineRule="auto"/>
      </w:pPr>
      <w:r>
        <w:rPr>
          <w:b/>
        </w:rPr>
        <w:t xml:space="preserve">[12] </w:t>
      </w:r>
      <w:hyperlink r:id="rId110">
        <w:r>
          <w:rPr>
            <w:color w:val="1155CC"/>
            <w:u w:val="single"/>
          </w:rPr>
          <w:t>全球可再生氢认证：框架、差距和政策</w:t>
        </w:r>
      </w:hyperlink>
    </w:p>
    <w:p>
      <w:pPr>
        <w:spacing w:before="0" w:after="80"/>
      </w:pPr>
      <w:r>
        <w:rPr>
          <w:i/>
          <w:sz w:val="20"/>
        </w:rPr>
        <w:t>EN: Global renewable hydrogen certification: Frameworks, gaps, and policies</w:t>
      </w:r>
    </w:p>
    <w:p>
      <w:pPr>
        <w:spacing w:before="0" w:after="120"/>
      </w:pPr>
      <w:r>
        <w:rPr>
          <w:b/>
        </w:rPr>
        <w:t xml:space="preserve">Source: </w:t>
      </w:r>
      <w:r>
        <w:t>ScienceDirect Publication: Energy Policy</w:t>
      </w:r>
      <w:r>
        <w:t xml:space="preserve">    </w:t>
      </w:r>
      <w:r>
        <w:rPr>
          <w:b/>
        </w:rPr>
        <w:t xml:space="preserve">Pub date: </w:t>
      </w:r>
      <w:r>
        <w:t>2026-03-03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11">
        <w:r>
          <w:rPr>
            <w:color w:val="1155CC"/>
            <w:u w:val="single"/>
          </w:rPr>
          <w:t>[ASAP] 将基础见解转化为基于银的双金属电催化剂用于阴离子交换膜燃料电池</w:t>
        </w:r>
      </w:hyperlink>
    </w:p>
    <w:p>
      <w:pPr>
        <w:spacing w:before="0" w:after="80"/>
      </w:pPr>
      <w:r>
        <w:rPr>
          <w:i/>
          <w:sz w:val="20"/>
        </w:rPr>
        <w:t>EN: [ASAP] Translating Fundamental Insights into Ag-Based Bimetallic Electrocatalysts to Anion-Exchange Membrane Fuel Cells</w:t>
      </w:r>
    </w:p>
    <w:p>
      <w:pPr>
        <w:spacing w:before="0" w:after="120"/>
      </w:pPr>
      <w:r>
        <w:rPr>
          <w:b/>
        </w:rPr>
        <w:t xml:space="preserve">Source: </w:t>
      </w:r>
      <w:r>
        <w:t>ACS Energy Letters: Latest Articles (ACS Publications)</w:t>
      </w:r>
      <w:r>
        <w:t xml:space="preserve">    </w:t>
      </w:r>
      <w:r>
        <w:rPr>
          <w:b/>
        </w:rPr>
        <w:t xml:space="preserve">Pub date: </w:t>
      </w:r>
      <w:r>
        <w:t>2026-03-03 20:50:27+00:00</w:t>
      </w:r>
      <w:r>
        <w:t xml:space="preserve">    </w:t>
      </w:r>
      <w:r>
        <w:rPr>
          <w:b/>
        </w:rPr>
        <w:t xml:space="preserve">DOI: </w:t>
      </w:r>
      <w:hyperlink r:id="rId112">
        <w:r>
          <w:rPr>
            <w:color w:val="1155CC"/>
            <w:u w:val="single"/>
          </w:rPr>
          <w:t>10.1021/acsenergylett.5c03664</w:t>
        </w:r>
      </w:hyperlink>
    </w:p>
    <w:p>
      <w:pPr>
        <w:spacing w:before="0" w:after="120"/>
      </w:pPr>
      <w:r>
        <w:rPr>
          <w:b/>
        </w:rPr>
        <w:t xml:space="preserve">Notes: </w:t>
      </w:r>
      <w:r>
        <w:t>abstract_source=openalex</w:t>
      </w:r>
    </w:p>
    <w:p>
      <w:pPr>
        <w:spacing w:before="0" w:after="80" w:lineRule="auto" w:line="276"/>
      </w:pPr>
      <w:r>
        <w:rPr>
          <w:b/>
        </w:rPr>
        <w:t xml:space="preserve">摘要（ZH）: </w:t>
      </w:r>
      <w:r>
        <w:t>为了解决燃料电池的高成本和可扩展性挑战，开发负担得起且地球丰富的无铂族金属（PGM）材料是至关重要的。最近在碱性介质中针对氧还原反应（ORR）的无PGM电催化的进展表明，需要高催化剂负载量以实现高反应速率；然而，存在相关的质量传输限制。为了解决这个问题，我们通过与3d块元素或Sn合金化，开发了低负载无离聚物的Ag-双金属薄膜。我们将基础旋转盘电极（RDE）研究的知识与高温阴离子交换膜燃料电池（HT-AEMFCs）中的气体扩散阴极相结合，结果是高活性ORR催化和峰值功率密度高达1.2 W cm–2geo fo</w:t>
      </w:r>
    </w:p>
    <w:p>
      <w:pPr>
        <w:spacing w:before="0" w:after="200" w:lineRule="auto" w:line="276"/>
      </w:pPr>
      <w:r>
        <w:rPr>
          <w:b/>
        </w:rPr>
        <w:t xml:space="preserve">Abstract (EN): </w:t>
      </w:r>
      <w:r>
        <w:t>To address the challenges of high costs and scalability for fuel cells, it is essential to develop affordable and earth-abundant materials that are Pt-group-metal (PGM)-free. Recent advancements in PGM-free electrocatalysis for the oxygen reduction reaction (ORR) in alkaline media show that high catalyst loadings are needed to achieve high reaction rates; however, there are associated mass transport limitations. To address this issue, we developed low-loading ionomerless Ag-bimetallic thin films by alloying with 3d block elements or Sn. We bridge knowledge from fundamental rotating disk electrode (RDE) studies to gas-diffusion cathodes in high-temperature anion-exchange membrane fuel cells (HT-AEMFCs), resulting in high-activity ORR catalysis and peak power densities up to 1.2 W cm–2geo for the Ag-Sn and Ag-Co alloys. Experimental postcharacterization and theoretical calculations reveal small Co or Sn oxide nanoislands on Ag as likely active sites enhancing ORR activity, ultimately offering these low-loading PGM-free ORR materials as a viable path toward sustainable energy conversion.</w:t>
      </w:r>
    </w:p>
    <w:p>
      <w:pPr>
        <w:spacing w:before="120" w:after="120"/>
      </w:pPr>
      <w:r>
        <w:rPr>
          <w:sz w:val="18"/>
        </w:rPr>
        <w:t>——————————————————————————————————————————————————————————————————————</w:t>
      </w:r>
    </w:p>
    <w:p>
      <w:pPr>
        <w:spacing w:before="160" w:after="40" w:line="240" w:lineRule="auto"/>
      </w:pPr>
      <w:r>
        <w:rPr>
          <w:b/>
        </w:rPr>
        <w:t xml:space="preserve">[14] </w:t>
      </w:r>
      <w:hyperlink r:id="rId113">
        <w:r>
          <w:rPr>
            <w:color w:val="1155CC"/>
            <w:u w:val="single"/>
          </w:rPr>
          <w:t>海岛氢电微电网的分布式鲁棒规划</w:t>
        </w:r>
      </w:hyperlink>
    </w:p>
    <w:p>
      <w:pPr>
        <w:spacing w:before="0" w:after="80"/>
      </w:pPr>
      <w:r>
        <w:rPr>
          <w:i/>
          <w:sz w:val="20"/>
        </w:rPr>
        <w:t>EN: Distributionally robust planning of hydrogen-electrical microgrids for sea islands</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14">
        <w:r>
          <w:rPr>
            <w:color w:val="1155CC"/>
            <w:u w:val="single"/>
          </w:rPr>
          <w:t>超小MoC支持的PtRu簇通过金属-支持相互作用提升了HOR活性和CO耐受性</w:t>
        </w:r>
      </w:hyperlink>
    </w:p>
    <w:p>
      <w:pPr>
        <w:spacing w:before="0" w:after="80"/>
      </w:pPr>
      <w:r>
        <w:rPr>
          <w:i/>
          <w:sz w:val="20"/>
        </w:rPr>
        <w:t>EN: Ultrasmall MoC Supported PtRu Clusters with Boosted HOR Activity and CO Tolerance via Metal-Support Interaction</w:t>
      </w:r>
    </w:p>
    <w:p>
      <w:pPr>
        <w:spacing w:before="0" w:after="120"/>
      </w:pPr>
      <w:r>
        <w:rPr>
          <w:b/>
        </w:rPr>
        <w:t xml:space="preserve">Source: </w:t>
      </w:r>
      <w:r>
        <w:t>RSC - Energy Environ. Sci. latest articles</w:t>
      </w:r>
      <w:r>
        <w:t xml:space="preserve">    </w:t>
      </w:r>
      <w:r>
        <w:rPr>
          <w:b/>
        </w:rPr>
        <w:t xml:space="preserve">Pub date: </w:t>
      </w:r>
      <w:r>
        <w:t>2026-03-04 00:00:00+00:00</w:t>
      </w:r>
    </w:p>
    <w:p>
      <w:pPr>
        <w:spacing w:before="0" w:after="120"/>
      </w:pPr>
      <w:r>
        <w:rPr>
          <w:b/>
        </w:rPr>
        <w:t xml:space="preserve">Notes: </w:t>
      </w:r>
      <w:r>
        <w:t>abstract_source=rsc_html</w:t>
      </w:r>
    </w:p>
    <w:p>
      <w:pPr>
        <w:spacing w:before="0" w:after="80" w:lineRule="auto" w:line="276"/>
      </w:pPr>
      <w:r>
        <w:rPr>
          <w:b/>
        </w:rPr>
        <w:t xml:space="preserve">摘要（ZH）: </w:t>
      </w:r>
      <w:r>
        <w:t>阴离子交换膜燃料电池（AEMFC）的商业化受到碱性环境中缓慢的氢氧化反应（HOR）动力学和差的CO耐受性的阻碍。金属-载体相互作用（MSI）被广泛用于通过调整电子结构和吸附能量来提高活性和稳定性。基于在HOR相关条件下有效利用MSI的某些限制，对于先前报道的过渡金属碳化物（TMCs）载体，我们通过在超小MoC（2.2 ± 0.5 nm）载体上负载铂族金属（PGM= Pt, Ru, PtRu合金）纳米簇合成了一系列碱性HOR催化剂。超小MoC载体实现了强锚定和高密度的PGM-MoC接触界面，提高了金属利用率和</w:t>
      </w:r>
    </w:p>
    <w:p>
      <w:pPr>
        <w:spacing w:before="0" w:after="200" w:lineRule="auto" w:line="276"/>
      </w:pPr>
      <w:r>
        <w:rPr>
          <w:b/>
        </w:rPr>
        <w:t xml:space="preserve">Abstract (EN): </w:t>
      </w:r>
      <w:r>
        <w:t>The commercialization of anion exchange membrane fuel cell (AEMFC) is hindered by sluggish hydrogen oxidation reaction (HOR) kinetics in alkaline environments and poor CO tolerance. Metal-support interaction (MSI) is widely used to improve the activity and stability by tuning electronic structures and adsorption energy. Based on the certain limitations in enabling the effective utilization of MSI under HOR-relevant conditions for the previously reported transition metal carbides (TMCs) support, we synthesized a series of alkaline HOR catalysts by loading platinum-group metal (PGM= Pt, Ru, PtRu alloy) nanoclusters on the ultrasmall MoC (2.2 ± 0.5 nm) support. The ultrasmall MoC support achieves a strongly anchored and high-density PGM-MoC contact interface with improved metal utilization and excellent dispersion to achieve higher HOR activity and stability with superior CO tolerance. Notably, the as-prepared Pt1Ru2/MoC catalyst demonstrates a remarkably high exchange current density (3.09 mA cm-2) and mass activity (3.88 A mgPt+Ru-1) in alkaline media, which are 4.8 and 11.1 times higher than those of commercial Pt/C, respectively. Mechanism study reveals that the ultrasmall MoC-induced MSI quantitatively optimizes *H and *OH adsorption and the HOR reaction pathway, while weakening CO adsorption and facilitating CO removal. In addition, the strong anchoring effect of the MoC support facilitates the formation of a robust hydrogen-bond network, which accelerates proton shuttling and enhances the coupling between *H and *OH species via the Grotthuss mechanism, thereby significantly boosting alkaline HOR kinetics. Through comprehensive experimental and theoretical investigations, we systematically elucidate the MSI mechanism in this system, thereby providing deeper insights and experimentally verifiable design principles for the development of high-performance MoC-supported catalysts in alkaline HOR.</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00">
        <w:r>
          <w:rPr>
            <w:color w:val="1155CC"/>
            <w:u w:val="single"/>
          </w:rPr>
          <w:t>一种混合集中-分布式绿色氨系统，用于中国氮肥生产的经济高效脱碳</w:t>
        </w:r>
      </w:hyperlink>
    </w:p>
    <w:p>
      <w:pPr>
        <w:spacing w:before="0" w:after="80"/>
      </w:pPr>
      <w:r>
        <w:rPr>
          <w:i/>
          <w:sz w:val="20"/>
        </w:rPr>
        <w:t>EN: A hybrid centralized-distributed green ammonia system for cost-effective decarbonization of China's nitrogen fertilizer production</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5">
        <w:r>
          <w:rPr>
            <w:color w:val="1155CC"/>
            <w:u w:val="single"/>
          </w:rPr>
          <w:t>考虑时间效应的技术-经济-环境评估框架，从能源供应角度对工业园区脱碳进行评估：氯碱生产示范案例</w:t>
        </w:r>
      </w:hyperlink>
    </w:p>
    <w:p>
      <w:pPr>
        <w:spacing w:before="0" w:after="80"/>
      </w:pPr>
      <w:r>
        <w:rPr>
          <w:i/>
          <w:sz w:val="20"/>
        </w:rPr>
        <w:t>EN: Techno-economic-environmental assessment framework considering temporal effects for industry parks decarbonization from an energy supply perspective: A chlor-alkali production demonstration case</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16">
        <w:r>
          <w:rPr>
            <w:color w:val="1155CC"/>
            <w:u w:val="single"/>
          </w:rPr>
          <w:t>用于酸性介质CO2电解器的氧析出反应催化剂</w:t>
        </w:r>
      </w:hyperlink>
    </w:p>
    <w:p>
      <w:pPr>
        <w:spacing w:before="0" w:after="80"/>
      </w:pPr>
      <w:r>
        <w:rPr>
          <w:i/>
          <w:sz w:val="20"/>
        </w:rPr>
        <w:t>EN: Oxygen Evolution Reaction Catalysts for Acidic‐Media CO2 Electrolyzers</w:t>
      </w:r>
    </w:p>
    <w:p>
      <w:pPr>
        <w:spacing w:before="0" w:after="120"/>
      </w:pPr>
      <w:r>
        <w:rPr>
          <w:b/>
        </w:rPr>
        <w:t xml:space="preserve">Source: </w:t>
      </w:r>
      <w:r>
        <w:t>Wiley: Advanced Materials: Table of Contents</w:t>
      </w:r>
      <w:r>
        <w:t xml:space="preserve">    </w:t>
      </w:r>
      <w:r>
        <w:rPr>
          <w:b/>
        </w:rPr>
        <w:t xml:space="preserve">Pub date: </w:t>
      </w:r>
      <w:r>
        <w:t>2026-02-28 07:01:14+00:00</w:t>
      </w:r>
      <w:r>
        <w:t xml:space="preserve">    </w:t>
      </w:r>
      <w:r>
        <w:rPr>
          <w:b/>
        </w:rPr>
        <w:t xml:space="preserve">DOI: </w:t>
      </w:r>
      <w:hyperlink r:id="rId117">
        <w:r>
          <w:rPr>
            <w:color w:val="1155CC"/>
            <w:u w:val="single"/>
          </w:rPr>
          <w:t>10.1002/adma.72644</w:t>
        </w:r>
      </w:hyperlink>
    </w:p>
    <w:p>
      <w:pPr>
        <w:spacing w:before="0" w:after="120"/>
      </w:pPr>
      <w:r>
        <w:rPr>
          <w:b/>
        </w:rPr>
        <w:t xml:space="preserve">Notes: </w:t>
      </w:r>
      <w:r>
        <w:t>abstract_source=pubmed</w:t>
      </w:r>
    </w:p>
    <w:p>
      <w:pPr>
        <w:spacing w:before="0" w:after="80" w:lineRule="auto" w:line="276"/>
      </w:pPr>
      <w:r>
        <w:rPr>
          <w:b/>
        </w:rPr>
        <w:t xml:space="preserve">摘要（ZH）: </w:t>
      </w:r>
      <w:r>
        <w:t>酸性介质电化学CO2还原（CO2R）提供了高单程CO2转化率（SPCE）和低净化成本，但依赖于稀有贵金属（如铱和钌）进行阳极氧气析出反应（OER）。这些催化剂的有限丰度限制了大规模部署。借鉴质子交换膜水电解（PEMWE）的经验，本综述整合了酸性介质OER催化的最新进展与系统级CO2R。它提供了从机制理解和理论建模到电极结构和操作优化的跨尺度视角，强调如何设计贵金属和非贵金属催化剂以增强活性、稳定性和资源效率。综述还概述了诊断和</w:t>
      </w:r>
    </w:p>
    <w:p>
      <w:pPr>
        <w:spacing w:before="0" w:after="200" w:lineRule="auto" w:line="276"/>
      </w:pPr>
      <w:r>
        <w:rPr>
          <w:b/>
        </w:rPr>
        <w:t xml:space="preserve">Abstract (EN): </w:t>
      </w:r>
      <w:r>
        <w:t>Acidic-media electrochemical CO2 reduction (CO2R) offers high single-pass CO2 conversion (SPCE) and low purification cost, yet relies on scarce noble metals (e.g., iridium and ruthenium) for the anodic oxygen evolution reaction (OER). The limited abundance of these catalysts constrains large-scale deployment. Drawing lessons from proton-exchange membrane water electrolysis (PEMWE), this review integrates recent progress in acidic-media OER catalysis with system-level CO2R. It provides a cross-scale perspective from mechanistic understanding and theoretical modeling to electrode architecture and operational optimization, highlighting how noble- and non-noble-metal catalysts can be engineered for enhanced activity, stability, and resource efficiency. The review further outlines diagnostic and computational approaches that connect atomic-level descriptors with macroscopic durability. By bridging mechanistic insights and scalable system design, this work establishes a roadmap toward durable and economically viable acidic-media CO2 electrolyzers.</w:t>
      </w:r>
    </w:p>
    <w:p>
      <w:pPr>
        <w:spacing w:before="120" w:after="120"/>
      </w:pPr>
      <w:r>
        <w:rPr>
          <w:sz w:val="18"/>
        </w:rPr>
        <w:t>——————————————————————————————————————————————————————————————————————</w:t>
      </w:r>
    </w:p>
    <w:p>
      <w:pPr>
        <w:spacing w:before="160" w:after="40" w:line="240" w:lineRule="auto"/>
      </w:pPr>
      <w:r>
        <w:rPr>
          <w:b/>
        </w:rPr>
        <w:t xml:space="preserve">[2] </w:t>
      </w:r>
      <w:hyperlink r:id="rId118">
        <w:r>
          <w:rPr>
            <w:color w:val="1155CC"/>
            <w:u w:val="single"/>
          </w:rPr>
          <w:t>纳米限域多尺度金属催化剂：限域诱导的几何、电子和微环境调控用于选择性多电子CO2还原</w:t>
        </w:r>
      </w:hyperlink>
    </w:p>
    <w:p>
      <w:pPr>
        <w:spacing w:before="0" w:after="80"/>
      </w:pPr>
      <w:r>
        <w:rPr>
          <w:i/>
          <w:sz w:val="20"/>
        </w:rPr>
        <w:t>EN: Nanoconfined Multi‐Scale Metal Catalysts: Confinement‐Induced Geometric, Electronic, and Microenvironment Regulation for Selective Multi‑Electron CO2 Reduction</w:t>
      </w:r>
    </w:p>
    <w:p>
      <w:pPr>
        <w:spacing w:before="0" w:after="120"/>
      </w:pPr>
      <w:r>
        <w:rPr>
          <w:b/>
        </w:rPr>
        <w:t xml:space="preserve">Source: </w:t>
      </w:r>
      <w:r>
        <w:t>Wiley: Advanced Energy Materials: Table of Contents</w:t>
      </w:r>
      <w:r>
        <w:t xml:space="preserve">    </w:t>
      </w:r>
      <w:r>
        <w:rPr>
          <w:b/>
        </w:rPr>
        <w:t xml:space="preserve">Pub date: </w:t>
      </w:r>
      <w:r>
        <w:t>2026-02-28 12:00:17+00:00</w:t>
      </w:r>
      <w:r>
        <w:t xml:space="preserve">    </w:t>
      </w:r>
      <w:r>
        <w:rPr>
          <w:b/>
        </w:rPr>
        <w:t xml:space="preserve">DOI: </w:t>
      </w:r>
      <w:hyperlink r:id="rId119">
        <w:r>
          <w:rPr>
            <w:color w:val="1155CC"/>
            <w:u w:val="single"/>
          </w:rPr>
          <w:t>10.1002/aenm.70795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0">
        <w:r>
          <w:rPr>
            <w:color w:val="1155CC"/>
            <w:u w:val="single"/>
          </w:rPr>
          <w:t>在不同天气条件下优化基于吸附的直接空气捕获的控制策略</w:t>
        </w:r>
      </w:hyperlink>
    </w:p>
    <w:p>
      <w:pPr>
        <w:spacing w:before="0" w:after="80"/>
      </w:pPr>
      <w:r>
        <w:rPr>
          <w:i/>
          <w:sz w:val="20"/>
        </w:rPr>
        <w:t>EN: Control strategies to optimize adsorption-based direct air capture under varying weather conditions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1">
        <w:r>
          <w:rPr>
            <w:color w:val="1155CC"/>
            <w:u w:val="single"/>
          </w:rPr>
          <w:t>在常温条件下将大气中的CO2升级为自愈合可回收聚合物</w:t>
        </w:r>
      </w:hyperlink>
    </w:p>
    <w:p>
      <w:pPr>
        <w:spacing w:before="0" w:after="80"/>
      </w:pPr>
      <w:r>
        <w:rPr>
          <w:i/>
          <w:sz w:val="20"/>
        </w:rPr>
        <w:t>EN: Upcycling of atmospheric CO2 to self-healing recyclable polymers under ambient conditions</w:t>
      </w:r>
    </w:p>
    <w:p>
      <w:pPr>
        <w:spacing w:before="0" w:after="120"/>
      </w:pPr>
      <w:r>
        <w:rPr>
          <w:b/>
        </w:rPr>
        <w:t xml:space="preserve">Source: </w:t>
      </w:r>
      <w:r>
        <w:t>Nature Communications</w:t>
      </w:r>
      <w:r>
        <w:t xml:space="preserve">    </w:t>
      </w:r>
      <w:r>
        <w:rPr>
          <w:b/>
        </w:rPr>
        <w:t xml:space="preserve">Pub date: </w:t>
      </w:r>
      <w:r>
        <w:t>2026-03-02 00:00:00+00:00</w:t>
      </w:r>
      <w:r>
        <w:t xml:space="preserve">    </w:t>
      </w:r>
      <w:r>
        <w:rPr>
          <w:b/>
        </w:rPr>
        <w:t xml:space="preserve">DOI: </w:t>
      </w:r>
      <w:hyperlink r:id="rId122">
        <w:r>
          <w:rPr>
            <w:color w:val="1155CC"/>
            <w:u w:val="single"/>
          </w:rPr>
          <w:t>10.1038/s41467-026-70046-6</w:t>
        </w:r>
      </w:hyperlink>
    </w:p>
    <w:p>
      <w:pPr>
        <w:spacing w:before="0" w:after="120"/>
      </w:pPr>
      <w:r>
        <w:rPr>
          <w:b/>
        </w:rPr>
        <w:t xml:space="preserve">Notes: </w:t>
      </w:r>
      <w:r>
        <w:t>abstract_source=nature_html</w:t>
      </w:r>
    </w:p>
    <w:p>
      <w:pPr>
        <w:spacing w:before="0" w:after="80" w:lineRule="auto" w:line="276"/>
      </w:pPr>
      <w:r>
        <w:rPr>
          <w:b/>
        </w:rPr>
        <w:t xml:space="preserve">摘要（ZH）: </w:t>
      </w:r>
      <w:r>
        <w:t>聚合物工业正面临紧迫的可持续性三难困境：加速的塑料污染、生产过程中的大量CO2排放以及对日益减少的化石资源的依赖。将CO2升级为聚合物为这些相互关联的问题提供了一个有前景的解决方案；然而，现有的CO2转聚合物技术面临重大挑战：依赖于浓缩的CO2来源而非直接空气捕获（DAC），依赖复杂的催化剂和高能耗条件（高温/高压），以及生成自愈性和可回收性有限的聚合物。在此，我们提出了一种无催化剂的策略，将大气中的CO2转化为碳酸根离子（CO32-），作为合成动态共价聚合物的中间体。这种方法是</w:t>
      </w:r>
    </w:p>
    <w:p>
      <w:pPr>
        <w:spacing w:before="0" w:after="200" w:lineRule="auto" w:line="276"/>
      </w:pPr>
      <w:r>
        <w:rPr>
          <w:b/>
        </w:rPr>
        <w:t xml:space="preserve">Abstract (EN): </w:t>
      </w:r>
      <w:r>
        <w:t>The polymer industry is confronting an urgent sustainability trilemma: accelerating plastic pollution, substantial CO2 emissions from production processes, and dependence on diminishing fossil resources. Upcycling CO2 into polymers presents a promising solution to these interconnected issues; however, existing CO2-to-polymer technologies face significant challenges: dependence on concentrated CO2 sources rather than direct air capture (DAC), reliance on complex catalysts and energy-intensive conditions (elevated temperatures/pressures), and generation of polymers with limited self-healing and recyclability. Herein, we propose a catalyst-free strategy of converting atmospheric CO2 into carbonate ions (CO32-) as intermediates for the synthesis of dynamic covalent polymers. This approach is based on a dynamic bond system, termed the CO32--bridged dynamic covalent bond, enabling catalyst-free synthesis of polymers from ambient air at room temperature and pressure. The resultant polymers show excellent mechanical properties, rapid self-healing, and versatile circularity through three distinct pathways: thermal reprocessing, closed-loop chemical recycling via acid-triggered depolymerization at room temperature, and upcycling of mixed CO2-derived polymers into hybrid materials with enhanced properties. This study provides a platform for both low-energy-consuming CO2 valorization and the development of sustainable polymers.</w:t>
      </w:r>
    </w:p>
    <w:p>
      <w:pPr>
        <w:spacing w:before="120" w:after="120"/>
      </w:pPr>
      <w:r>
        <w:rPr>
          <w:sz w:val="18"/>
        </w:rPr>
        <w:t>——————————————————————————————————————————————————————————————————————</w:t>
      </w:r>
    </w:p>
    <w:p>
      <w:pPr>
        <w:spacing w:before="160" w:after="40" w:line="240" w:lineRule="auto"/>
      </w:pPr>
      <w:r>
        <w:rPr>
          <w:b/>
        </w:rPr>
        <w:t xml:space="preserve">[5] </w:t>
      </w:r>
      <w:hyperlink r:id="rId123">
        <w:r>
          <w:rPr>
            <w:color w:val="1155CC"/>
            <w:u w:val="single"/>
          </w:rPr>
          <w:t>揭示胺基碳捕获电解质中电化学CO2还原的直接和间接途径</w:t>
        </w:r>
      </w:hyperlink>
    </w:p>
    <w:p>
      <w:pPr>
        <w:spacing w:before="0" w:after="80"/>
      </w:pPr>
      <w:r>
        <w:rPr>
          <w:i/>
          <w:sz w:val="20"/>
        </w:rPr>
        <w:t>EN: Unveiling Direct and Indirect Pathways of Electrochemical CO2 Reduction in Amine‐Based Carbon Capture Electrolytes</w:t>
      </w:r>
    </w:p>
    <w:p>
      <w:pPr>
        <w:spacing w:before="0" w:after="120"/>
      </w:pPr>
      <w:r>
        <w:rPr>
          <w:b/>
        </w:rPr>
        <w:t xml:space="preserve">Source: </w:t>
      </w:r>
      <w:r>
        <w:t>Wiley: Angewandte Chemie International Edition: Table of Contents</w:t>
      </w:r>
      <w:r>
        <w:t xml:space="preserve">    </w:t>
      </w:r>
      <w:r>
        <w:rPr>
          <w:b/>
        </w:rPr>
        <w:t xml:space="preserve">Pub date: </w:t>
      </w:r>
      <w:r>
        <w:t>2026-03-02 06:03:00+00:00</w:t>
      </w:r>
      <w:r>
        <w:t xml:space="preserve">    </w:t>
      </w:r>
      <w:r>
        <w:rPr>
          <w:b/>
        </w:rPr>
        <w:t xml:space="preserve">DOI: </w:t>
      </w:r>
      <w:hyperlink r:id="rId124">
        <w:r>
          <w:rPr>
            <w:color w:val="1155CC"/>
            <w:u w:val="single"/>
          </w:rPr>
          <w:t>10.1002/anie.202521624</w:t>
        </w:r>
      </w:hyperlink>
    </w:p>
    <w:p>
      <w:pPr>
        <w:spacing w:before="0" w:after="120"/>
      </w:pPr>
      <w:r>
        <w:rPr>
          <w:b/>
        </w:rPr>
        <w:t xml:space="preserve">Notes: </w:t>
      </w:r>
      <w:r>
        <w:t>abstract_source=pubmed</w:t>
      </w:r>
    </w:p>
    <w:p>
      <w:pPr>
        <w:spacing w:before="0" w:after="80" w:lineRule="auto" w:line="276"/>
      </w:pPr>
      <w:r>
        <w:rPr>
          <w:b/>
        </w:rPr>
        <w:t xml:space="preserve">摘要（ZH）: </w:t>
      </w:r>
      <w:r>
        <w:t>研究碳捕获电解质中CO2电化学转化的碳源起源和机制路径对于反应性碳捕获过程的合理设计、优化和规模化至关重要；然而，这些机制仍然理解不足。因此，明确碳源和反应路径对于碳捕获电解质中CO2的高效电化学转化至关重要。在本研究中，采用原位/操作衰减全反射表面增强红外吸收光谱（ATR-SEIRAS）、表面增强拉曼光谱（SERS）和在线差分电化学质谱（DEMS）来识别（碳源）并阐明电化学还原过程中反应路径。</w:t>
      </w:r>
    </w:p>
    <w:p>
      <w:pPr>
        <w:spacing w:before="0" w:after="200" w:lineRule="auto" w:line="276"/>
      </w:pPr>
      <w:r>
        <w:rPr>
          <w:b/>
        </w:rPr>
        <w:t xml:space="preserve">Abstract (EN): </w:t>
      </w:r>
      <w:r>
        <w:t>Investigating the origins of carbon sources and mechanistic pathways in the electrochemical conversion of CO2 from carbon capture electrolyte is essential for the rational design, optimization, and scale-up of reactive carbon capture processes; however, these mechanisms still remain inadequately understood. Therefore, clarifying the carbon source and reaction pathway is vital for efficient electrochemical CO2 conversion in carbon capture electrolyte. In this study, in situ/operando attenuated total reflection surface-enhanced infrared absorption spectroscopy (ATR-SEIRAS), surface-enhanced Raman spectroscopy (SERS), and online differential electrochemical mass spectrometry (DEMS) are employed to identify (carbon sources) and elucidate reaction pathways during the electrochemical reduction of amine-CO2 capture electrolyte. In electrolytes containing primary and secondary amines, CO2 is captured to form carbamates (R1R2NCOO-). These carbamates serve as key electrochemically active species during the electrochemical reduction process, which are directly reduced to carbon monoxide via a direct pathway. In electrolytes containing tertiary or sterically hindered amines, CO2 is captured to form bicarbonate (HCO3 -). This bicarbonate then undergoes an indirect reduction pathway: it first releases CO2 in situ at the electrode surface. This released CO2 acts as the primary reactive intermediate and is subsequently reduced to carbon monoxide. Notably, in both direct and indirect pathways, protonated amines serve as the primary proton source for the hydrogen evolution reaction (HER). This study employs multiple in situ/operando experimental techniques to demonstrate how different types of amines influence electrochemically active species and pathways during electrochemical reduction in carbon capture electrolyte. The findings provide deeper and novel insights into the mechanism of amine-based reactive carbon capture, providing guidance for optimizing dual-functional electrolytes, electrocatalysts, and reactor designs in reactive carbon capture.</w:t>
      </w:r>
    </w:p>
    <w:p>
      <w:pPr>
        <w:spacing w:before="120" w:after="120"/>
      </w:pPr>
      <w:r>
        <w:rPr>
          <w:sz w:val="18"/>
        </w:rPr>
        <w:t>——————————————————————————————————————————————————————————————————————</w:t>
      </w:r>
    </w:p>
    <w:p>
      <w:pPr>
        <w:spacing w:before="160" w:after="40" w:line="240" w:lineRule="auto"/>
      </w:pPr>
      <w:r>
        <w:rPr>
          <w:b/>
        </w:rPr>
        <w:t xml:space="preserve">[6] </w:t>
      </w:r>
      <w:hyperlink r:id="rId125">
        <w:r>
          <w:rPr>
            <w:color w:val="1155CC"/>
            <w:u w:val="single"/>
          </w:rPr>
          <w:t>从Cu-MOF工程化多价铜催化剂以实现高性能C2电合成</w:t>
        </w:r>
      </w:hyperlink>
    </w:p>
    <w:p>
      <w:pPr>
        <w:spacing w:before="0" w:after="80"/>
      </w:pPr>
      <w:r>
        <w:rPr>
          <w:i/>
          <w:sz w:val="20"/>
        </w:rPr>
        <w:t>EN: Engineering Multivalent Copper Catalysts From Cu‐MOF Towards High‐Performance C2 Electrosynthesis</w:t>
      </w:r>
    </w:p>
    <w:p>
      <w:pPr>
        <w:spacing w:before="0" w:after="120"/>
      </w:pPr>
      <w:r>
        <w:rPr>
          <w:b/>
        </w:rPr>
        <w:t xml:space="preserve">Source: </w:t>
      </w:r>
      <w:r>
        <w:t>Wiley: Angewandte Chemie International Edition: Table of Contents</w:t>
      </w:r>
      <w:r>
        <w:t xml:space="preserve">    </w:t>
      </w:r>
      <w:r>
        <w:rPr>
          <w:b/>
        </w:rPr>
        <w:t xml:space="preserve">Pub date: </w:t>
      </w:r>
      <w:r>
        <w:t>2026-03-02 08:49:59+00:00</w:t>
      </w:r>
      <w:r>
        <w:t xml:space="preserve">    </w:t>
      </w:r>
      <w:r>
        <w:rPr>
          <w:b/>
        </w:rPr>
        <w:t xml:space="preserve">DOI: </w:t>
      </w:r>
      <w:hyperlink r:id="rId126">
        <w:r>
          <w:rPr>
            <w:color w:val="1155CC"/>
            <w:u w:val="single"/>
          </w:rPr>
          <w:t>10.1002/anie.202524816</w:t>
        </w:r>
      </w:hyperlink>
    </w:p>
    <w:p>
      <w:pPr>
        <w:spacing w:before="0" w:after="120"/>
      </w:pPr>
      <w:r>
        <w:rPr>
          <w:b/>
        </w:rPr>
        <w:t xml:space="preserve">Notes: </w:t>
      </w:r>
      <w:r>
        <w:t>abstract_source=pubmed</w:t>
      </w:r>
    </w:p>
    <w:p>
      <w:pPr>
        <w:spacing w:before="0" w:after="80" w:lineRule="auto" w:line="276"/>
      </w:pPr>
      <w:r>
        <w:rPr>
          <w:b/>
        </w:rPr>
        <w:t xml:space="preserve">摘要（ZH）: </w:t>
      </w:r>
      <w:r>
        <w:t>电催化CO2还原反应（ECO2RR）是将CO2转化为有价值化学品，特别是C2+产品的关键过程。然而，实现对C2+化学品的高选择性仍然具有挑战性。在迄今为止探索的催化剂中，多价铜的铜基催化剂被广泛用于这一过程。然而，精确调控铜基催化剂，特别是多价铜物种的稳定化，仍然是提高C2+产品选择性的难题。在这项工作中，我们报道了一种高效的铜基催化剂（命名为Cu-MOF/CuxO/CF-40），其包含在铜箔（CF）上生成的铜-对苯二甲酸（PTA）（Cu-MOF）和主要来源于Cu-MOF的CuxO（Cu2+1O和CuO），用于实现ECO2RR到C2化学品。该催化剂提供了总C2</w:t>
      </w:r>
    </w:p>
    <w:p>
      <w:pPr>
        <w:spacing w:before="0" w:after="200" w:lineRule="auto" w:line="276"/>
      </w:pPr>
      <w:r>
        <w:rPr>
          <w:b/>
        </w:rPr>
        <w:t xml:space="preserve">Abstract (EN): </w:t>
      </w:r>
      <w:r>
        <w:t>Electrocatalytic CO2 reduction reaction (ECO2RR) stands as a crucial process for converting CO2 into valuable chemicals, particularly C2+ products. Yet, achieving high selectivity towards C2+ chemicals remains challenging. Among the catalysts explored to date, Cu-based catalysts with multivalent Cu are widely used for this process. However, the precise tuning of Cu-based catalysts, especially stabilization of multivalent Cu species, remains a difficult issue for enhancing selectivity toward C2+ products. In this work, we report an efficient Cu-based catalyst (designated as Cu-MOF/CuxO/CF-40), containing Cu-terephthalic acid (PTA) (Cu-MOF) generated on a Cu foil (CF) and CuxO (Cu2+1O and CuO) mainly stemming from Cu-MOF, in achieving ECO2RR to C2 chemicals. The catalyst delivers a total C2 Faradaic efficiency (FEC2) of up to 91.8% and a total current density of 34.6 mA·cm-2 at -1.1 V (vs. RHE) in 0.1 M KCl (H-cell). The Cu2+1O and CuO species, with multivalent Cu properties, adsorb and activate CO2, and improve the electrical conductivity of the catalyst. Cu-MOF stabilizes the multivalent feature and long-term performance of the catalyst. In situ ATR-FTIR and DFT calculations identify *OCCOH as the key C-C coupling intermediate. This work provides a rational design strategy for efficient, stable Cu-based catalysts and demonstrates a single-source route to engineer multivalent Cu sites for selective CO2-to-C2 conversion.</w:t>
      </w:r>
    </w:p>
    <w:p>
      <w:pPr>
        <w:spacing w:before="120" w:after="120"/>
      </w:pPr>
      <w:r>
        <w:rPr>
          <w:sz w:val="18"/>
        </w:rPr>
        <w:t>——————————————————————————————————————————————————————————————————————</w:t>
      </w:r>
    </w:p>
    <w:p>
      <w:pPr>
        <w:spacing w:before="160" w:after="40" w:line="240" w:lineRule="auto"/>
      </w:pPr>
      <w:r>
        <w:rPr>
          <w:b/>
        </w:rPr>
        <w:t xml:space="preserve">[7] </w:t>
      </w:r>
      <w:hyperlink r:id="rId127">
        <w:r>
          <w:rPr>
            <w:color w:val="1155CC"/>
            <w:u w:val="single"/>
          </w:rPr>
          <w:t>压力诱导的质子耦合电子转移步骤的前移提升CO到乙酸盐的吞吐量</w:t>
        </w:r>
      </w:hyperlink>
    </w:p>
    <w:p>
      <w:pPr>
        <w:spacing w:before="0" w:after="80"/>
      </w:pPr>
      <w:r>
        <w:rPr>
          <w:i/>
          <w:sz w:val="20"/>
        </w:rPr>
        <w:t>EN: Pressure‐Induced Forward‐Shift of Proton‐Coupled Electron Transfer Step Boosts CO‐to‐Acetate Throughput</w:t>
      </w:r>
    </w:p>
    <w:p>
      <w:pPr>
        <w:spacing w:before="0" w:after="120"/>
      </w:pPr>
      <w:r>
        <w:rPr>
          <w:b/>
        </w:rPr>
        <w:t xml:space="preserve">Source: </w:t>
      </w:r>
      <w:r>
        <w:t>Wiley: Advanced Materials: Table of Contents</w:t>
      </w:r>
      <w:r>
        <w:t xml:space="preserve">    </w:t>
      </w:r>
      <w:r>
        <w:rPr>
          <w:b/>
        </w:rPr>
        <w:t xml:space="preserve">Pub date: </w:t>
      </w:r>
      <w:r>
        <w:t>2026-03-02 10:16:09+00:00</w:t>
      </w:r>
      <w:r>
        <w:t xml:space="preserve">    </w:t>
      </w:r>
      <w:r>
        <w:rPr>
          <w:b/>
        </w:rPr>
        <w:t xml:space="preserve">DOI: </w:t>
      </w:r>
      <w:hyperlink r:id="rId128">
        <w:r>
          <w:rPr>
            <w:color w:val="1155CC"/>
            <w:u w:val="single"/>
          </w:rPr>
          <w:t>10.1002/adma.202520767</w:t>
        </w:r>
      </w:hyperlink>
    </w:p>
    <w:p>
      <w:pPr>
        <w:spacing w:before="0" w:after="120"/>
      </w:pPr>
      <w:r>
        <w:rPr>
          <w:b/>
        </w:rPr>
        <w:t xml:space="preserve">Notes: </w:t>
      </w:r>
      <w:r>
        <w:t>abstract_source=pubmed</w:t>
      </w:r>
    </w:p>
    <w:p>
      <w:pPr>
        <w:spacing w:before="0" w:after="80" w:lineRule="auto" w:line="276"/>
      </w:pPr>
      <w:r>
        <w:rPr>
          <w:b/>
        </w:rPr>
        <w:t xml:space="preserve">摘要（ZH）: </w:t>
      </w:r>
      <w:r>
        <w:t>调节速率决定步骤（RDS）是催化科学中的核心挑战，因为它决定了反应效率和路径选择性。在CO/CO2电还原中，电压不敏感的*CO-*CO二聚化——一种非质子耦合电子转移（PCET）步骤——通过限制可访问的电流密度低于工业需求，严重限制了多碳生产率。传统的催化剂改性策略在解决这一瓶颈时，往往会对下游路径产生不良干扰。在此，我们展示了一种通过压力调节重新配置反应序列的物理微环境工程策略。提高的CO压力增加了表面*CO覆盖率，重新引导质子反应路径以优先氢化</w:t>
      </w:r>
    </w:p>
    <w:p>
      <w:pPr>
        <w:spacing w:before="0" w:after="200" w:lineRule="auto" w:line="276"/>
      </w:pPr>
      <w:r>
        <w:rPr>
          <w:b/>
        </w:rPr>
        <w:t xml:space="preserve">Abstract (EN): </w:t>
      </w:r>
      <w:r>
        <w:t>Regulating the rate-determining step (RDS) constitutes the central challenge in catalysis science, as it governs both reaction efficiency and pathway selectivity. In CO/CO2 electroreduction, the voltage-insensitive *CO-*CO dimerization - a non-proton-coupled electron transfer (PCET) step - critically limits multi-carbon production rates by restricting accessible current densities below industrial demands. Traditional catalyst modification strategies often induce undesired perturbations to downstream pathways while addressing this bottleneck. Here, we demonstrate a physical microenvironment engineering strategy that reconfigures reaction sequences through pressure modulation. Elevated CO pressure enriches surface *CO coverage, redirecting proton reaction pathways to preferentially hydrogenate *CO intermediates rather than coupling for hydrogen evolution, evidenced by a reduced Tafel slope for acetate and hydrogenated intermediates resolved from high-pressure operando Raman spectroscopy. When integrated with a synthetic Cu-Pd single-atom alloy (SAA) catalyst, the CO-to-acetate conversion system is selective with a Faradaic efficiency of 85%, energy-efficient with an energy efficiency of 33%, and selective with an operation duration of 700 h. Interestingly, our system can maintain a high acetate selectivity (&gt;75%) across an exceptionally broad current density range from 3 to 1500 mA cm- 2, potentially compatible with intermittent renewable power sources.</w:t>
      </w:r>
    </w:p>
    <w:p>
      <w:pPr>
        <w:spacing w:before="120" w:after="120"/>
      </w:pPr>
      <w:r>
        <w:rPr>
          <w:sz w:val="18"/>
        </w:rPr>
        <w:t>——————————————————————————————————————————————————————————————————————</w:t>
      </w:r>
    </w:p>
    <w:p>
      <w:pPr>
        <w:spacing w:before="160" w:after="40" w:line="240" w:lineRule="auto"/>
      </w:pPr>
      <w:r>
        <w:rPr>
          <w:b/>
        </w:rPr>
        <w:t xml:space="preserve">[8] </w:t>
      </w:r>
      <w:hyperlink r:id="rId129">
        <w:r>
          <w:rPr>
            <w:color w:val="1155CC"/>
            <w:u w:val="single"/>
          </w:rPr>
          <w:t>[ASAP] CO2到CO膜电极组件电池的扩展：从5 cm2单电池到300 cm2堆栈</w:t>
        </w:r>
      </w:hyperlink>
    </w:p>
    <w:p>
      <w:pPr>
        <w:spacing w:before="0" w:after="80"/>
      </w:pPr>
      <w:r>
        <w:rPr>
          <w:i/>
          <w:sz w:val="20"/>
        </w:rPr>
        <w:t>EN: [ASAP] Scaling of CO2-to-CO Membrane Electrode Assembly Cell: From 5 cm2 Single Cell to 300 cm2 Stack</w:t>
      </w:r>
    </w:p>
    <w:p>
      <w:pPr>
        <w:spacing w:before="0" w:after="120"/>
      </w:pPr>
      <w:r>
        <w:rPr>
          <w:b/>
        </w:rPr>
        <w:t xml:space="preserve">Source: </w:t>
      </w:r>
      <w:r>
        <w:t>ACS Energy Letters: Latest Articles (ACS Publications)</w:t>
      </w:r>
      <w:r>
        <w:t xml:space="preserve">    </w:t>
      </w:r>
      <w:r>
        <w:rPr>
          <w:b/>
        </w:rPr>
        <w:t xml:space="preserve">Pub date: </w:t>
      </w:r>
      <w:r>
        <w:t>2026-03-02 18:50:24+00:00</w:t>
      </w:r>
      <w:r>
        <w:t xml:space="preserve">    </w:t>
      </w:r>
      <w:r>
        <w:rPr>
          <w:b/>
        </w:rPr>
        <w:t xml:space="preserve">DOI: </w:t>
      </w:r>
      <w:hyperlink r:id="rId130">
        <w:r>
          <w:rPr>
            <w:color w:val="1155CC"/>
            <w:u w:val="single"/>
          </w:rPr>
          <w:t>10.1021/acsenergylett.5c04126</w:t>
        </w:r>
      </w:hyperlink>
    </w:p>
    <w:p>
      <w:pPr>
        <w:spacing w:before="0" w:after="120"/>
      </w:pPr>
      <w:r>
        <w:rPr>
          <w:b/>
        </w:rPr>
        <w:t xml:space="preserve">Notes: </w:t>
      </w:r>
      <w:r>
        <w:t>abstract_source=openalex</w:t>
      </w:r>
    </w:p>
    <w:p>
      <w:pPr>
        <w:spacing w:before="0" w:after="80" w:lineRule="auto" w:line="276"/>
      </w:pPr>
      <w:r>
        <w:rPr>
          <w:b/>
        </w:rPr>
        <w:t xml:space="preserve">摘要（ZH）: </w:t>
      </w:r>
      <w:r>
        <w:t>在膜电极组件电池中将电化学二氧化碳（CO2）转化为一氧化碳（CO）的过程转化为工业相关尺寸和稳健性仍然受到一些问题的限制，例如阴极淹没、盐形成和在高电流密度下电极退化。通过从5 cm2电池扩展到300 cm2堆栈，我们解决了三个特定挑战：（i）在Ag阴极中均匀分散的氟化乙烯丙烯防止淹没；（ii）带挡板的蛇形流场加速了气体扩散层中的液体去除；（iii）耐腐蚀的IrO2涂层尺寸稳定阳极取代了碳基阳极，以确保稳定的氧气演化。优化的100 cm2电池在30 A时保持95.2%的CO选择性，最小</w:t>
      </w:r>
    </w:p>
    <w:p>
      <w:pPr>
        <w:spacing w:before="0" w:after="200" w:lineRule="auto" w:line="276"/>
      </w:pPr>
      <w:r>
        <w:rPr>
          <w:b/>
        </w:rPr>
        <w:t xml:space="preserve">Abstract (EN): </w:t>
      </w:r>
      <w:r>
        <w:t>Translation of electrochemical carbon dioxide (CO2)-to-carbon monoxide (CO) conversion in membrane electrode assembly cells to industrially relevant dimensions and robustness remains constrained by issues, such as cathode flooding, salt formation, and electrode degradation at elevated current densities. Through scaling from a 5 cm2 cell to a 300 cm2 stack, we address three specific challenges: (i) uniform dispersion of fluorinated ethylene propylene with in the Ag cathode prevents flooding; (ii) baffled serpentine flow fields accelerate liquid removal from gas diffusion layers; and (iii) corrosion-resistant IrO2-coated dimensionally stable anode replaces the carbon-based anode to ensure stable oxygen evolution. The optimized 100 cm2 cell sustains a 95.2% CO selectivity at 30 A with minimal voltage drift. A 300 cm2 stack achieves 89.8% CO selectivity at 90 A, producing 25.1 mmol of CO min–1. In aggregate, these results address key challenges related to translation of CO2-to-CO electrolysis from laboratory- to pilot-scale.</w:t>
      </w:r>
    </w:p>
    <w:p>
      <w:pPr>
        <w:spacing w:before="120" w:after="120"/>
      </w:pPr>
      <w:r>
        <w:rPr>
          <w:sz w:val="18"/>
        </w:rPr>
        <w:t>——————————————————————————————————————————————————————————————————————</w:t>
      </w:r>
    </w:p>
    <w:p>
      <w:pPr>
        <w:spacing w:before="160" w:after="40" w:line="240" w:lineRule="auto"/>
      </w:pPr>
      <w:r>
        <w:rPr>
          <w:b/>
        </w:rPr>
        <w:t xml:space="preserve">[9] </w:t>
      </w:r>
      <w:hyperlink r:id="rId131">
        <w:r>
          <w:rPr>
            <w:color w:val="1155CC"/>
            <w:u w:val="single"/>
          </w:rPr>
          <w:t>[ASAP] 通过引导界面水结构解耦电催化CO2还原的产物选择性</w:t>
        </w:r>
      </w:hyperlink>
    </w:p>
    <w:p>
      <w:pPr>
        <w:spacing w:before="0" w:after="80"/>
      </w:pPr>
      <w:r>
        <w:rPr>
          <w:i/>
          <w:sz w:val="20"/>
        </w:rPr>
        <w:t>EN: [ASAP] Decoupling Product Selectivity in Electrocatalytic CO2 Reduction by Steering the Interfacial Water Structure</w:t>
      </w:r>
    </w:p>
    <w:p>
      <w:pPr>
        <w:spacing w:before="0" w:after="120"/>
      </w:pPr>
      <w:r>
        <w:rPr>
          <w:b/>
        </w:rPr>
        <w:t xml:space="preserve">Source: </w:t>
      </w:r>
      <w:r>
        <w:t>Journal of the American Chemical Society: Latest Articles (ACS Publications)</w:t>
      </w:r>
      <w:r>
        <w:t xml:space="preserve">    </w:t>
      </w:r>
      <w:r>
        <w:rPr>
          <w:b/>
        </w:rPr>
        <w:t xml:space="preserve">Pub date: </w:t>
      </w:r>
      <w:r>
        <w:t>2026-03-03 11:29:04+00:00</w:t>
      </w:r>
      <w:r>
        <w:t xml:space="preserve">    </w:t>
      </w:r>
      <w:r>
        <w:rPr>
          <w:b/>
        </w:rPr>
        <w:t xml:space="preserve">DOI: </w:t>
      </w:r>
      <w:hyperlink r:id="rId132">
        <w:r>
          <w:rPr>
            <w:color w:val="1155CC"/>
            <w:u w:val="single"/>
          </w:rPr>
          <w:t>10.1021/jacs.6c00420</w:t>
        </w:r>
      </w:hyperlink>
    </w:p>
    <w:p>
      <w:pPr>
        <w:spacing w:before="0" w:after="120"/>
      </w:pPr>
      <w:r>
        <w:rPr>
          <w:b/>
        </w:rPr>
        <w:t xml:space="preserve">Notes: </w:t>
      </w:r>
      <w:r>
        <w:t>abstract_source=pubmed</w:t>
      </w:r>
    </w:p>
    <w:p>
      <w:pPr>
        <w:spacing w:before="0" w:after="80" w:lineRule="auto" w:line="276"/>
      </w:pPr>
      <w:r>
        <w:rPr>
          <w:b/>
        </w:rPr>
        <w:t xml:space="preserve">摘要（ZH）: </w:t>
      </w:r>
      <w:r>
        <w:t>在电化学CO2还原反应（CO2RR）中实现对反应路径的精确控制是一个核心挑战。例如，银因其对一氧化碳（CO）的高选择性而广为人知。在此，我们展示了一种策略，通过工程化电极-电解质界面处的水的纳米结构，将银的选择性从CO转向甲酸（HCOOH）。在无碱金属阳离子、强酸性电解质中使用聚合物阳离子聚（双烯丙基二甲基氯化铵）（PDDA），我们创造了一个疏水的界面环境，促进了弱氢键的“自由态”水（f-H2O）。通过原位光谱和同位素标记，我们建立了f-H2O的丰度与H的直接、定量相关性。</w:t>
      </w:r>
    </w:p>
    <w:p>
      <w:pPr>
        <w:spacing w:before="0" w:after="200" w:lineRule="auto" w:line="276"/>
      </w:pPr>
      <w:r>
        <w:rPr>
          <w:b/>
        </w:rPr>
        <w:t xml:space="preserve">Abstract (EN): </w:t>
      </w:r>
      <w:r>
        <w:t>Achieving precise control over reaction pathways in the electrochemical CO2 reduction reaction (CO2RR) is a central challenge. Silver, for instance, is widely recognized for its high selectivity toward carbon monoxide (CO). Here, we demonstrate a strategy to steer the selectivity of Ag away from CO and toward formic acid (HCOOH) by engineering the nanoscale structure of water at the electrode-electrolyte interface. Using a polymeric cation, poly(diallyldimethylammonium chloride) (PDDA), in an alkali-metal-cation-free, strongly acidic electrolyte, we create a hydrophobic interfacial environment that promotes weakly hydrogen-bonded, "free-like" water (f-H2O). Using operando spectroscopy and isotope labeling, we establish a direct, quantitative correlation between the abundance of f-H2O and HCOOH selectivity. Electrochemical analyses and theoretical simulations using density functional theory and ab initio molecular dynamics suggest that the f-H2O-rich environment opens a distinct mechanistic channel for HCOOH formation via a direct, energetically favorable *H + CO2 hydrogenation reaction, a pathway disfavored in conventional alkali-metal-cation-based electrolytes where strongly hydrogen-bonded water (h-H2O) facilitates the *COOH pathway to CO. These findings highlight that the tuning of interfacial water structure is powerful in overriding the intrinsic selectivity of a catalyst and rationally directing CO2RR pathways.</w:t>
      </w:r>
    </w:p>
    <w:p>
      <w:pPr>
        <w:spacing w:before="120" w:after="120"/>
      </w:pPr>
      <w:r>
        <w:rPr>
          <w:sz w:val="18"/>
        </w:rPr>
        <w:t>——————————————————————————————————————————————————————————————————————</w:t>
      </w:r>
    </w:p>
    <w:p>
      <w:pPr>
        <w:spacing w:before="160" w:after="40" w:line="240" w:lineRule="auto"/>
      </w:pPr>
      <w:r>
        <w:rPr>
          <w:b/>
        </w:rPr>
        <w:t xml:space="preserve">[10] </w:t>
      </w:r>
      <w:hyperlink r:id="rId133">
        <w:r>
          <w:rPr>
            <w:color w:val="1155CC"/>
            <w:u w:val="single"/>
          </w:rPr>
          <w:t>桥接机制和材料以扩大CO2矿化用于碳储存</w:t>
        </w:r>
      </w:hyperlink>
    </w:p>
    <w:p>
      <w:pPr>
        <w:spacing w:before="0" w:after="80"/>
      </w:pPr>
      <w:r>
        <w:rPr>
          <w:i/>
          <w:sz w:val="20"/>
        </w:rPr>
        <w:t>EN: Bridging mechanisms and materials to scale CO2 mineralization for carbon storage</w:t>
      </w:r>
    </w:p>
    <w:p>
      <w:pPr>
        <w:spacing w:before="0" w:after="120"/>
      </w:pPr>
      <w:r>
        <w:rPr>
          <w:b/>
        </w:rPr>
        <w:t xml:space="preserve">Source: </w:t>
      </w:r>
      <w:r>
        <w:t>Nature Reviews Materials</w:t>
      </w:r>
      <w:r>
        <w:t xml:space="preserve">    </w:t>
      </w:r>
      <w:r>
        <w:rPr>
          <w:b/>
        </w:rPr>
        <w:t xml:space="preserve">Pub date: </w:t>
      </w:r>
      <w:r>
        <w:t>2026-03-04 00:00:00+00:00</w:t>
      </w:r>
      <w:r>
        <w:t xml:space="preserve">    </w:t>
      </w:r>
      <w:r>
        <w:rPr>
          <w:b/>
        </w:rPr>
        <w:t xml:space="preserve">DOI: </w:t>
      </w:r>
      <w:hyperlink r:id="rId134">
        <w:r>
          <w:rPr>
            <w:color w:val="1155CC"/>
            <w:u w:val="single"/>
          </w:rPr>
          <w:t>10.1038/s41578-026-00899-2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21">
        <w:r>
          <w:rPr>
            <w:color w:val="1155CC"/>
            <w:u w:val="single"/>
          </w:rPr>
          <w:t>在常温条件下将大气中的CO2升级为自愈合可回收聚合物</w:t>
        </w:r>
      </w:hyperlink>
    </w:p>
    <w:p>
      <w:pPr>
        <w:spacing w:before="0" w:after="80"/>
      </w:pPr>
      <w:r>
        <w:rPr>
          <w:i/>
          <w:sz w:val="20"/>
        </w:rPr>
        <w:t>EN: Upcycling of atmospheric CO2 to self-healing recyclable polymers under ambient conditions</w:t>
      </w:r>
    </w:p>
    <w:p>
      <w:pPr>
        <w:spacing w:before="0" w:after="120"/>
      </w:pPr>
      <w:r>
        <w:rPr>
          <w:b/>
        </w:rPr>
        <w:t xml:space="preserve">Source: </w:t>
      </w:r>
      <w:r>
        <w:t>Nature Communications</w:t>
      </w:r>
      <w:r>
        <w:t xml:space="preserve">    </w:t>
      </w:r>
      <w:r>
        <w:rPr>
          <w:b/>
        </w:rPr>
        <w:t xml:space="preserve">Pub date: </w:t>
      </w:r>
      <w:r>
        <w:t>2026-03-02 00:00:00+00:00</w:t>
      </w:r>
      <w:r>
        <w:t xml:space="preserve">    </w:t>
      </w:r>
      <w:r>
        <w:rPr>
          <w:b/>
        </w:rPr>
        <w:t xml:space="preserve">DOI: </w:t>
      </w:r>
      <w:hyperlink r:id="rId122">
        <w:r>
          <w:rPr>
            <w:color w:val="1155CC"/>
            <w:u w:val="single"/>
          </w:rPr>
          <w:t>10.1038/s41467-026-70046-6</w:t>
        </w:r>
      </w:hyperlink>
    </w:p>
    <w:p>
      <w:pPr>
        <w:spacing w:before="0" w:after="120"/>
      </w:pPr>
      <w:r>
        <w:rPr>
          <w:b/>
        </w:rPr>
        <w:t xml:space="preserve">Notes: </w:t>
      </w:r>
      <w:r>
        <w:t>abstract_source=nature_html</w:t>
      </w:r>
    </w:p>
    <w:p>
      <w:pPr>
        <w:spacing w:before="0" w:after="80" w:lineRule="auto" w:line="276"/>
      </w:pPr>
      <w:r>
        <w:rPr>
          <w:b/>
        </w:rPr>
        <w:t xml:space="preserve">摘要（ZH）: </w:t>
      </w:r>
      <w:r>
        <w:t>聚合物工业正面临紧迫的可持续性三难困境：加速的塑料污染、生产过程中的大量CO2排放以及对日益减少的化石资源的依赖。将CO2升级为聚合物为这些相互关联的问题提供了一个有前景的解决方案；然而，现有的CO2转聚合物技术面临重大挑战：依赖于浓缩的CO2来源而非直接空气捕获（DAC），依赖复杂的催化剂和高能耗条件（高温/高压），以及生成自愈性和可回收性有限的聚合物。在此，我们提出了一种无催化剂的策略，将大气中的CO2转化为碳酸根离子（CO32-），作为合成动态共价聚合物的中间体。这种方法是</w:t>
      </w:r>
    </w:p>
    <w:p>
      <w:pPr>
        <w:spacing w:before="0" w:after="200" w:lineRule="auto" w:line="276"/>
      </w:pPr>
      <w:r>
        <w:rPr>
          <w:b/>
        </w:rPr>
        <w:t xml:space="preserve">Abstract (EN): </w:t>
      </w:r>
      <w:r>
        <w:t>The polymer industry is confronting an urgent sustainability trilemma: accelerating plastic pollution, substantial CO2 emissions from production processes, and dependence on diminishing fossil resources. Upcycling CO2 into polymers presents a promising solution to these interconnected issues; however, existing CO2-to-polymer technologies face significant challenges: dependence on concentrated CO2 sources rather than direct air capture (DAC), reliance on complex catalysts and energy-intensive conditions (elevated temperatures/pressures), and generation of polymers with limited self-healing and recyclability. Herein, we propose a catalyst-free strategy of converting atmospheric CO2 into carbonate ions (CO32-) as intermediates for the synthesis of dynamic covalent polymers. This approach is based on a dynamic bond system, termed the CO32--bridged dynamic covalent bond, enabling catalyst-free synthesis of polymers from ambient air at room temperature and pressure. The resultant polymers show excellent mechanical properties, rapid self-healing, and versatile circularity through three distinct pathways: thermal reprocessing, closed-loop chemical recycling via acid-triggered depolymerization at room temperature, and upcycling of mixed CO2-derived polymers into hybrid materials with enhanced properties. This study provides a platform for both low-energy-consuming CO2 valorization and the development of sustainable polymers.</w:t>
      </w:r>
    </w:p>
    <w:p>
      <w:pPr>
        <w:spacing w:before="120" w:after="120"/>
      </w:pPr>
      <w:r>
        <w:rPr>
          <w:sz w:val="18"/>
        </w:rPr>
        <w:t>——————————————————————————————————————————————————————————————————————</w:t>
      </w:r>
    </w:p>
    <w:p>
      <w:pPr>
        <w:spacing w:before="160" w:after="40" w:line="240" w:lineRule="auto"/>
      </w:pPr>
      <w:r>
        <w:rPr>
          <w:b/>
        </w:rPr>
        <w:t xml:space="preserve">[2] </w:t>
      </w:r>
      <w:hyperlink r:id="rId135">
        <w:r>
          <w:rPr>
            <w:color w:val="1155CC"/>
            <w:u w:val="single"/>
          </w:rPr>
          <w:t>用于塑料再利用的可编程微生物装配线</w:t>
        </w:r>
      </w:hyperlink>
    </w:p>
    <w:p>
      <w:pPr>
        <w:spacing w:before="0" w:after="80"/>
      </w:pPr>
      <w:r>
        <w:rPr>
          <w:i/>
          <w:sz w:val="20"/>
        </w:rPr>
        <w:t>EN: A programmable microbial assembly line for plastic upcycling</w:t>
      </w:r>
    </w:p>
    <w:p>
      <w:pPr>
        <w:spacing w:before="0" w:after="120"/>
      </w:pPr>
      <w:r>
        <w:rPr>
          <w:b/>
        </w:rPr>
        <w:t xml:space="preserve">Source: </w:t>
      </w:r>
      <w:r>
        <w:t>Nature Sustainability</w:t>
      </w:r>
      <w:r>
        <w:t xml:space="preserve">    </w:t>
      </w:r>
      <w:r>
        <w:rPr>
          <w:b/>
        </w:rPr>
        <w:t xml:space="preserve">Pub date: </w:t>
      </w:r>
      <w:r>
        <w:t>2026-03-02 00:00:00+00:00</w:t>
      </w:r>
      <w:r>
        <w:t xml:space="preserve">    </w:t>
      </w:r>
      <w:r>
        <w:rPr>
          <w:b/>
        </w:rPr>
        <w:t xml:space="preserve">DOI: </w:t>
      </w:r>
      <w:hyperlink r:id="rId136">
        <w:r>
          <w:rPr>
            <w:color w:val="1155CC"/>
            <w:u w:val="single"/>
          </w:rPr>
          <w:t>10.1038/s41893-025-01765-9</w:t>
        </w:r>
      </w:hyperlink>
    </w:p>
    <w:p>
      <w:pPr>
        <w:spacing w:before="0" w:after="120"/>
      </w:pPr>
      <w:r>
        <w:rPr>
          <w:b/>
        </w:rPr>
        <w:t xml:space="preserve">Notes: </w:t>
      </w:r>
      <w:r>
        <w:t>abstract_source=nature_html</w:t>
      </w:r>
    </w:p>
    <w:p>
      <w:pPr>
        <w:spacing w:before="0" w:after="80" w:lineRule="auto" w:line="276"/>
      </w:pPr>
      <w:r>
        <w:rPr>
          <w:b/>
        </w:rPr>
        <w:t xml:space="preserve">摘要（ZH）: </w:t>
      </w:r>
      <w:r>
        <w:t>生物上循环是处理报废塑料的一种有前途的策略。然而，目前的做法主要集中在产生固定的单一输出，面临着满足多样化和不断变化的产品需求的挑战。在此，我们提出了一种可编程的微生物装配线，使塑料废物的高效和多功能上循环成为可能。该装配线涉及一种解构菌株，将预处理的聚对苯二甲酸乙二醇酯分解为丙酮酸，作为通用的构建模块，以及一组可互换的生产菌株，将该构建模块转化为可定制的输出。这样的设计允许快速、组合地组装微生物菌株成多样化的生物制造系统。因此，可编程上循环</w:t>
      </w:r>
    </w:p>
    <w:p>
      <w:pPr>
        <w:spacing w:before="0" w:after="200" w:lineRule="auto" w:line="276"/>
      </w:pPr>
      <w:r>
        <w:rPr>
          <w:b/>
        </w:rPr>
        <w:t xml:space="preserve">Abstract (EN): </w:t>
      </w:r>
      <w:r>
        <w:t>Biological upcycling is a promising strategy for handling end-of-life plastics. However, current practices, which predominantly focus on yielding fixed single outputs, face challenges in meeting diverse and evolving product demands. Here we present a programmable microbial assembly line that enables the efficient and versatile upcycling of plastic waste into various end products. The assembly line involves a deconstruction strain that catabolizes pretreated polyethylene terephthalate into pyruvate, serving as a universal building block, and a set of interchangeable production strains that transform this building block into tailorable outputs. Such a design allows a rapid, combinatorial assembly of microbial strains into diverse biomanufacturing systems. Accordingly, programmable upcycling is achieved, yielding successful production of a wide range of final products, including chemicals, fuels, enzymes, biopolymers and electricity. This work establishes a reconfigurable valorization platform, providing insights into biological treatment of plastic waste as well as into need-driven, sustainable biomanufacturing.</w:t>
      </w:r>
    </w:p>
    <w:p>
      <w:pPr>
        <w:spacing w:before="120" w:after="120"/>
      </w:pPr>
      <w:r>
        <w:rPr>
          <w:sz w:val="18"/>
        </w:rPr>
        <w:t>——————————————————————————————————————————————————————————————————————</w:t>
      </w:r>
    </w:p>
    <w:p>
      <w:pPr>
        <w:spacing w:before="160" w:after="40" w:line="240" w:lineRule="auto"/>
      </w:pPr>
      <w:r>
        <w:rPr>
          <w:b/>
        </w:rPr>
        <w:t xml:space="preserve">[3] </w:t>
      </w:r>
      <w:hyperlink r:id="rId137">
        <w:r>
          <w:rPr>
            <w:color w:val="1155CC"/>
            <w:u w:val="single"/>
          </w:rPr>
          <w:t>[ASAP] 从硫辛酸到1,2-二硫杂环己烷：扩展自由基开环至较不活泼的单体如醋酸乙烯酯</w:t>
        </w:r>
      </w:hyperlink>
    </w:p>
    <w:p>
      <w:pPr>
        <w:spacing w:before="0" w:after="80"/>
      </w:pPr>
      <w:r>
        <w:rPr>
          <w:i/>
          <w:sz w:val="20"/>
        </w:rPr>
        <w:t>EN: [ASAP] From Lipoic Acid to 1,2-Dithianes: Expanding Radical Ring-Opening to Less-Activated Monomers Such as Vinyl Acetate</w:t>
      </w:r>
    </w:p>
    <w:p>
      <w:pPr>
        <w:spacing w:before="0" w:after="120"/>
      </w:pPr>
      <w:r>
        <w:rPr>
          <w:b/>
        </w:rPr>
        <w:t xml:space="preserve">Source: </w:t>
      </w:r>
      <w:r>
        <w:t>Journal of the American Chemical Society: Latest Articles (ACS Publications)</w:t>
      </w:r>
      <w:r>
        <w:t xml:space="preserve">    </w:t>
      </w:r>
      <w:r>
        <w:rPr>
          <w:b/>
        </w:rPr>
        <w:t xml:space="preserve">Pub date: </w:t>
      </w:r>
      <w:r>
        <w:t>2026-03-02 11:19:32+00:00</w:t>
      </w:r>
      <w:r>
        <w:t xml:space="preserve">    </w:t>
      </w:r>
      <w:r>
        <w:rPr>
          <w:b/>
        </w:rPr>
        <w:t xml:space="preserve">DOI: </w:t>
      </w:r>
      <w:hyperlink r:id="rId138">
        <w:r>
          <w:rPr>
            <w:color w:val="1155CC"/>
            <w:u w:val="single"/>
          </w:rPr>
          <w:t>10.1021/jacs.5c20808</w:t>
        </w:r>
      </w:hyperlink>
    </w:p>
    <w:p>
      <w:pPr>
        <w:spacing w:before="0" w:after="120"/>
      </w:pPr>
      <w:r>
        <w:rPr>
          <w:b/>
        </w:rPr>
        <w:t xml:space="preserve">Notes: </w:t>
      </w:r>
      <w:r>
        <w:t>abstract_source=pubmed</w:t>
      </w:r>
    </w:p>
    <w:p>
      <w:pPr>
        <w:spacing w:before="0" w:after="80" w:lineRule="auto" w:line="276"/>
      </w:pPr>
      <w:r>
        <w:rPr>
          <w:b/>
        </w:rPr>
        <w:t xml:space="preserve">摘要（ZH）: </w:t>
      </w:r>
      <w:r>
        <w:t>含有可裂解功能的聚合物沿主链代表了一种减少商品橡胶和塑料环境持久性的方法。安装可裂解功能的一种途径涉及五元1,2-二硫杂环烷如α-硫辛酸的自由基开环聚合，这将二硫键引入乙烯基聚合物主链。然而，1,2-二硫杂环烷的环应变和电子性通常限制了反应性，仅有利于与更活化的共聚单体如丙烯酸酯和苯乙烯衍生物共聚。在此，我们展示了六元环状二硫化物1,2-二硫杂环烷在简单的热自由基条件下克服了这一限制。我们证明1,2-二硫杂环烷与活性较低的单体乙烯基高效共聚</w:t>
      </w:r>
    </w:p>
    <w:p>
      <w:pPr>
        <w:spacing w:before="0" w:after="200" w:lineRule="auto" w:line="276"/>
      </w:pPr>
      <w:r>
        <w:rPr>
          <w:b/>
        </w:rPr>
        <w:t xml:space="preserve">Abstract (EN): </w:t>
      </w:r>
      <w:r>
        <w:t>Polymers containing cleavable functionality along the backbone represent a path to reduce the environmental persistence of commodity rubbers and plastics. One route to installing cleavable functionality involves the radical ring-opening polymerization of five-membered 1,2-dithiolanes such as α-lipoic acid, which introduces disulfide bonds into vinyl polymer backbones. However, the ring strain and electronics of 1,2-dithiolanes generally restrict reactivity to only favor copolymerization with more-activated comonomers, such as acrylate and styrene derivatives. Here, we show that the six-membered cyclic disulfide, 1,2-dithiane overcomes this limitation under simple thermal free-radical conditions. We demonstrate that 1,2-dithiane copolymerizes efficiently with the less-activated monomer vinyl acetate. In sharp contrast to α-lipoic acid and its derivatives, 1,2-dithiane exhibits nearly ideal copolymerization across different feed ratios, affording high conversions of both monomers (&gt;90%), tunable molar masses (Mn ≈ 10-100 kg mol-1), and scalability (&gt;20 g). Moreover, the 1,2-dithiane scaffold is synthetically versatile: a 1,2-dithiane-4,5-diol was synthesized from dithiothreitol as a building block for further derivatization. By varying dithiane functionality and loading, poly(dithiane-co-vinyl acetate) copolymers span semicrystalline to elastomeric mechanical properties and, critically, embed backbone-cleavable sulfur motifs (including monothioacetal units) even at low (&lt;1 mol %) loadings. This operationally simple reaction highlights the key influence of ring size in the copolymerization behavior of disulfide-containing monomers and demonstrates the practical advantages of using 6-membered cyclic disulfides as renewable building blocks for creating degradable vinyl copolymers derived from inexpensive, industrially relevant feedstocks.</w:t>
      </w:r>
    </w:p>
    <w:p>
      <w:pPr>
        <w:spacing w:before="120" w:after="120"/>
      </w:pPr>
      <w:r>
        <w:rPr>
          <w:sz w:val="18"/>
        </w:rPr>
        <w:t>——————————————————————————————————————————————————————————————————————</w:t>
      </w:r>
    </w:p>
    <w:p>
      <w:pPr>
        <w:spacing w:before="160" w:after="40" w:line="240" w:lineRule="auto"/>
      </w:pPr>
      <w:r>
        <w:rPr>
          <w:b/>
        </w:rPr>
        <w:t xml:space="preserve">[4] </w:t>
      </w:r>
      <w:hyperlink r:id="rId139">
        <w:r>
          <w:rPr>
            <w:color w:val="1155CC"/>
            <w:u w:val="single"/>
          </w:rPr>
          <w:t>[ASAP] 通过控制主链裂解和功能化对硫化橡胶进行升级改造</w:t>
        </w:r>
      </w:hyperlink>
    </w:p>
    <w:p>
      <w:pPr>
        <w:spacing w:before="0" w:after="80"/>
      </w:pPr>
      <w:r>
        <w:rPr>
          <w:i/>
          <w:sz w:val="20"/>
        </w:rPr>
        <w:t>EN: [ASAP] Upcycling of Vulcanized Rubber via Controlled Backbone Cleavage and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2026-03-02 15:19:12+00:00</w:t>
      </w:r>
      <w:r>
        <w:t xml:space="preserve">    </w:t>
      </w:r>
      <w:r>
        <w:rPr>
          <w:b/>
        </w:rPr>
        <w:t xml:space="preserve">DOI: </w:t>
      </w:r>
      <w:hyperlink r:id="rId140">
        <w:r>
          <w:rPr>
            <w:color w:val="1155CC"/>
            <w:u w:val="single"/>
          </w:rPr>
          <w:t>10.1021/jacs.5c20016</w:t>
        </w:r>
      </w:hyperlink>
    </w:p>
    <w:p>
      <w:pPr>
        <w:spacing w:before="0" w:after="120"/>
      </w:pPr>
      <w:r>
        <w:rPr>
          <w:b/>
        </w:rPr>
        <w:t xml:space="preserve">Notes: </w:t>
      </w:r>
      <w:r>
        <w:t>abstract_source=pubmed</w:t>
      </w:r>
    </w:p>
    <w:p>
      <w:pPr>
        <w:spacing w:before="0" w:after="80" w:lineRule="auto" w:line="276"/>
      </w:pPr>
      <w:r>
        <w:rPr>
          <w:b/>
        </w:rPr>
        <w:t xml:space="preserve">摘要（ZH）: </w:t>
      </w:r>
      <w:r>
        <w:t>硫化橡胶在轮胎和许多其他弹性体中至关重要，但由于其硫交联、富含添加剂的网络抗化学降解，回收极为困难。这种高抗性造成了日益严重的环境负担，但在温和且无毒气体排放条件下运行并产生有价值产品的策略仍然稀缺。我们在此报告了一种温和的一步氧化方法，该方法选择性地切割热塑性和硫化橡胶中的主链C═C键。通过调节基于N-羟基邻苯二甲酰亚胺（NHPI）的催化系统的相位，该过程产生具有高末端基选择性和可调节摩尔质量的功能化片段，遵循独特的降解动力学，提供可调节的、时间无关的摩尔质量。</w:t>
      </w:r>
    </w:p>
    <w:p>
      <w:pPr>
        <w:spacing w:before="0" w:after="200" w:lineRule="auto" w:line="276"/>
      </w:pPr>
      <w:r>
        <w:rPr>
          <w:b/>
        </w:rPr>
        <w:t xml:space="preserve">Abstract (EN): </w:t>
      </w:r>
      <w:r>
        <w:t>Vulcanized rubbers, essential in tires and many other elastomers, are exceptionally difficult to recycle because their sulfur-cross-linked, additive-rich networks resist chemical degradation. This high resistance has created a mounting environmental burden, yet strategies that operate under mild and nontoxic-gas-emitting conditions while producing valuable products remain scarce. Here we report a mild, one-step oxidative approach that selectively cleaves backbone C═C bonds in both thermoplastic and vulcanized rubbers. By regulating the phase of an N-hydroxyphthalimide (NHPI)-based catalytic system, the process yields functionalized fragments with high terminal-group selectivity and tunable molar masses, following distinct degradation kinetics that afford tunable, time-independent molar masses. These chemically functionalized fragments can be directly reused for applications such as 3D printing and adhesives or replace raw rubbers and plasticizers in tire tread formulations. This method has also been successfully applied to the recycling of real-life rubber waste, including tires and gloves, achieving &gt;95% recovery, thus providing a practically useful and scalable route for chemical upcycling of highly inert polymer waste.</w:t>
      </w:r>
    </w:p>
    <w:p>
      <w:pPr>
        <w:spacing w:before="120" w:after="120"/>
      </w:pPr>
      <w:r>
        <w:rPr>
          <w:sz w:val="18"/>
        </w:rPr>
        <w:t>——————————————————————————————————————————————————————————————————————</w:t>
      </w:r>
    </w:p>
    <w:p>
      <w:pPr>
        <w:spacing w:before="160" w:after="40" w:line="240" w:lineRule="auto"/>
      </w:pPr>
      <w:r>
        <w:rPr>
          <w:b/>
        </w:rPr>
        <w:t xml:space="preserve">[5] </w:t>
      </w:r>
      <w:hyperlink r:id="rId141">
        <w:r>
          <w:rPr>
            <w:color w:val="1155CC"/>
            <w:u w:val="single"/>
          </w:rPr>
          <w:t>手性聚酯的立体选择性解聚</w:t>
        </w:r>
      </w:hyperlink>
    </w:p>
    <w:p>
      <w:pPr>
        <w:spacing w:before="0" w:after="80"/>
      </w:pPr>
      <w:r>
        <w:rPr>
          <w:i/>
          <w:sz w:val="20"/>
        </w:rPr>
        <w:t>EN: Stereoselective depolymerization of chiral polyesters</w:t>
      </w:r>
    </w:p>
    <w:p>
      <w:pPr>
        <w:spacing w:before="0" w:after="120"/>
      </w:pPr>
      <w:r>
        <w:rPr>
          <w:b/>
        </w:rPr>
        <w:t xml:space="preserve">Source: </w:t>
      </w:r>
      <w:r>
        <w:t>Nature Communications</w:t>
      </w:r>
      <w:r>
        <w:t xml:space="preserve">    </w:t>
      </w:r>
      <w:r>
        <w:rPr>
          <w:b/>
        </w:rPr>
        <w:t xml:space="preserve">Pub date: </w:t>
      </w:r>
      <w:r>
        <w:t>2026-03-03 00:00:00+00:00</w:t>
      </w:r>
      <w:r>
        <w:t xml:space="preserve">    </w:t>
      </w:r>
      <w:r>
        <w:rPr>
          <w:b/>
        </w:rPr>
        <w:t xml:space="preserve">DOI: </w:t>
      </w:r>
      <w:hyperlink r:id="rId142">
        <w:r>
          <w:rPr>
            <w:color w:val="1155CC"/>
            <w:u w:val="single"/>
          </w:rPr>
          <w:t>10.1038/s41467-026-70164-1</w:t>
        </w:r>
      </w:hyperlink>
    </w:p>
    <w:p>
      <w:pPr>
        <w:spacing w:before="0" w:after="120"/>
      </w:pPr>
      <w:r>
        <w:rPr>
          <w:b/>
        </w:rPr>
        <w:t xml:space="preserve">Notes: </w:t>
      </w:r>
      <w:r>
        <w:t>abstract_source=nature_html</w:t>
      </w:r>
    </w:p>
    <w:p>
      <w:pPr>
        <w:spacing w:before="0" w:after="80" w:lineRule="auto" w:line="276"/>
      </w:pPr>
      <w:r>
        <w:rPr>
          <w:b/>
        </w:rPr>
        <w:t xml:space="preserve">摘要（ZH）: </w:t>
      </w:r>
      <w:r>
        <w:t>酶精确构造的手性活性口袋可以实现对小分子和大分子的手性高度选择性识别，从而实现不对称转化。受酶催化的启发，合成催化剂的设计已实现小分子的多样不对称反应。然而，合成催化剂催化的大分子的立体选择性转化仍未被探索。该工作通过展示使用合成催化剂对聚合物的手性识别和转化，在该领域建立了重要的进展。采用代表性手性聚合物聚乳酸（PLA）作为模型底物，特别设计的催化剂BisSalen-Al具有受限的手性腔体，促进了PLA的立体选择性解聚为手性</w:t>
      </w:r>
    </w:p>
    <w:p>
      <w:pPr>
        <w:spacing w:before="0" w:after="200" w:lineRule="auto" w:line="276"/>
      </w:pPr>
      <w:r>
        <w:rPr>
          <w:b/>
        </w:rPr>
        <w:t xml:space="preserve">Abstract (EN): </w:t>
      </w:r>
      <w:r>
        <w:t>Enzymes precisely structured chiral active pockets can achieve highly selective recognition of chirality in small molecules as well as macromolecule, enabling asymmetric transformation. Inspired by enzymic catalysis, the design of synthetic catalysts has enabled diverse asymmetric reactions of small molecules. However, stereoselective transformations of macromolecules catalyzed by synthetic catalysts remain unexplored. This work establishes a significant advancement in the field by demonstrating chiral recognition and conversion of polymers using synthetic catalysts. Employing the representative chiral polymer polylactic acid (PLA) as a model substrate, a specially designed catalyst BisSalen-Al with confined chiral cavity facilitated the stereoselective depolymerization of PLA into chiral lactide (LA) monomers. In depth exploration of the relationship between catalyst structure and stereoselectivity revealed the chiral recognition mechanism of polymer stereochemistry and catalyst chiral cavity matching. This work provides a strategy for the stereoselective conversion of chiral polymers and significantly advances the expansion of asymmetric catalysis into macromolecular systems.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43">
        <w:r>
          <w:rPr>
            <w:color w:val="1155CC"/>
            <w:u w:val="single"/>
          </w:rPr>
          <w:t>使用极限学习机进行能源生产和消费的短期预测：一种全面的基于MIMO的ELM方法</w:t>
        </w:r>
      </w:hyperlink>
    </w:p>
    <w:p>
      <w:pPr>
        <w:spacing w:before="0" w:after="80"/>
      </w:pPr>
      <w:r>
        <w:rPr>
          <w:i/>
          <w:sz w:val="20"/>
        </w:rPr>
        <w:t>EN: Short-term forecasting of energy production and consumption using extreme learning machine: A comprehensive MIMO based ELM approach</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4">
        <w:r>
          <w:rPr>
            <w:color w:val="1155CC"/>
            <w:u w:val="single"/>
          </w:rPr>
          <w:t>基于Transformer增强的多智能体强化学习用于时间变化交通下动态电动物流车队路径规划</w:t>
        </w:r>
      </w:hyperlink>
    </w:p>
    <w:p>
      <w:pPr>
        <w:spacing w:before="0" w:after="80"/>
      </w:pPr>
      <w:r>
        <w:rPr>
          <w:i/>
          <w:sz w:val="20"/>
        </w:rPr>
        <w:t>EN: Transformer-enhanced multi-agent reinforcement learning for dynamic electric logistics Fleet routing under time-varying traffic</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5">
        <w:r>
          <w:rPr>
            <w:color w:val="1155CC"/>
            <w:u w:val="single"/>
          </w:rPr>
          <w:t>清洁生产的能源政策策略：可再生能源和绿色创新的作用</w:t>
        </w:r>
      </w:hyperlink>
    </w:p>
    <w:p>
      <w:pPr>
        <w:spacing w:before="0" w:after="80"/>
      </w:pPr>
      <w:r>
        <w:rPr>
          <w:i/>
          <w:sz w:val="20"/>
        </w:rPr>
        <w:t>EN: Energy policy strategies for cleaner production: The roles of renewable energy and green innovation</w:t>
      </w:r>
    </w:p>
    <w:p>
      <w:pPr>
        <w:spacing w:before="0" w:after="120"/>
      </w:pPr>
      <w:r>
        <w:rPr>
          <w:b/>
        </w:rPr>
        <w:t xml:space="preserve">Source: </w:t>
      </w:r>
      <w:r>
        <w:t>ScienceDirect Publication: Energy Policy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46">
        <w:r>
          <w:rPr>
            <w:color w:val="1155CC"/>
            <w:u w:val="single"/>
          </w:rPr>
          <w:t>基于双极异质结构晶体管非线性和动态响应的物理回声状态网络</w:t>
        </w:r>
      </w:hyperlink>
    </w:p>
    <w:p>
      <w:pPr>
        <w:spacing w:before="0" w:after="80"/>
      </w:pPr>
      <w:r>
        <w:rPr>
          <w:i/>
          <w:sz w:val="20"/>
        </w:rPr>
        <w:t>EN: Physical echo state network based on the nonlinearity and dynamic response of ambipolar heterostructure transistors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147">
        <w:r>
          <w:rPr>
            <w:color w:val="1155CC"/>
            <w:u w:val="single"/>
          </w:rPr>
          <w:t>10.1038/s41467-026-70171-2</w:t>
        </w:r>
      </w:hyperlink>
    </w:p>
    <w:p>
      <w:pPr>
        <w:spacing w:before="0" w:after="120"/>
      </w:pPr>
      <w:r>
        <w:rPr>
          <w:b/>
        </w:rPr>
        <w:t xml:space="preserve">Notes: </w:t>
      </w:r>
      <w:r>
        <w:t>abstract_source=nature_html</w:t>
      </w:r>
    </w:p>
    <w:p>
      <w:pPr>
        <w:spacing w:before="0" w:after="80" w:lineRule="auto" w:line="276"/>
      </w:pPr>
      <w:r>
        <w:rPr>
          <w:b/>
        </w:rPr>
        <w:t xml:space="preserve">摘要（ZH）: </w:t>
      </w:r>
      <w:r>
        <w:t>在神经形态计算领域，时间序列预测对递归神经网络架构构成了重大挑战，通常需要特定任务的定制化，这限制了通用计算平台的发展。在这项工作中，我们使用双极性有机-无机异质结构晶体管实现了一个物理回声状态网络（ESN），以形成其储层层。利用晶体管的双极性特性，其可变电阻区域能够进行稀疏矩阵运算，而饱和区域提供了类似tanh的非线性，使其非常适合于在ESN中实现突触加权和神经元激活。此外，其动态响应自然引入了时间属性。因此，它可以作为神经形态计算</w:t>
      </w:r>
    </w:p>
    <w:p>
      <w:pPr>
        <w:spacing w:before="0" w:after="200" w:lineRule="auto" w:line="276"/>
      </w:pPr>
      <w:r>
        <w:rPr>
          <w:b/>
        </w:rPr>
        <w:t xml:space="preserve">Abstract (EN): </w:t>
      </w:r>
      <w:r>
        <w:t>In the field of neuromorphic computing, time-series prediction poses a significant challenge to recurrent neural network architectures, often requiring task-specific customization that limits the development of general-purpose computing platforms. In this work, we implement a physical echo-state network (ESN) using ambipolar organic–inorganic heterostructure transistors to form its reservoir layer. Leveraging the ambipolar nature of the transistor, its variable-resistance region enables sparse matrix operations, while the saturation region provides tanh-like nonlinearity, making it well-suited for implementing both synaptic weighting and neuronal activation in an ESN. Additionally, its dynamic response naturally introduces temporal attributes. Thus, it can serve as a neuromorphic computing model for time-series tasks. Without the involvement of dynamic mechanisms, it is capable of performing image recognition, time-series prediction, and multimodal recognition tasks. When dynamic mechanisms are incorporated, the model achieves an accuracy of 96.98% on the MNIST handwritten digit dataset and 86.67% on the Fashion-MNIST dataset. This work offers a neuromorphic computing architecture, providing insights for tasks such as nonlinear mapping and time-series prediction.</w:t>
      </w:r>
    </w:p>
    <w:p>
      <w:pPr>
        <w:spacing w:before="120" w:after="120"/>
      </w:pPr>
      <w:r>
        <w:rPr>
          <w:sz w:val="18"/>
        </w:rPr>
        <w:t>——————————————————————————————————————————————————————————————————————</w:t>
      </w:r>
    </w:p>
    <w:p>
      <w:pPr>
        <w:spacing w:before="160" w:after="40" w:line="240" w:lineRule="auto"/>
      </w:pPr>
      <w:r>
        <w:rPr>
          <w:b/>
        </w:rPr>
        <w:t xml:space="preserve">[5] </w:t>
      </w:r>
      <w:hyperlink r:id="rId148">
        <w:r>
          <w:rPr>
            <w:color w:val="1155CC"/>
            <w:u w:val="single"/>
          </w:rPr>
          <w:t>增材制造纳米结构金属的纳米孔隙驱动变形</w:t>
        </w:r>
      </w:hyperlink>
    </w:p>
    <w:p>
      <w:pPr>
        <w:spacing w:before="0" w:after="80"/>
      </w:pPr>
      <w:r>
        <w:rPr>
          <w:i/>
          <w:sz w:val="20"/>
        </w:rPr>
        <w:t>EN: Nanoporosity-driven deformation of additively manufactured nano-architected metals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149">
        <w:r>
          <w:rPr>
            <w:color w:val="1155CC"/>
            <w:u w:val="single"/>
          </w:rPr>
          <w:t>10.1038/s41467-026-69845-8</w:t>
        </w:r>
      </w:hyperlink>
    </w:p>
    <w:p>
      <w:pPr>
        <w:spacing w:before="0" w:after="120"/>
      </w:pPr>
      <w:r>
        <w:rPr>
          <w:b/>
        </w:rPr>
        <w:t xml:space="preserve">Notes: </w:t>
      </w:r>
      <w:r>
        <w:t>abstract_source=nature_html</w:t>
      </w:r>
    </w:p>
    <w:p>
      <w:pPr>
        <w:spacing w:before="0" w:after="80" w:lineRule="auto" w:line="276"/>
      </w:pPr>
      <w:r>
        <w:rPr>
          <w:b/>
        </w:rPr>
        <w:t xml:space="preserve">摘要（ZH）: </w:t>
      </w:r>
      <w:r>
        <w:t>小规模金属的3D打印方法在功能特征尺寸、关键微观结构细节和原子级缺陷汇聚的独特10–100 nm尺寸范围内，挑战了传统的分层关系，并具有显著的纳米力学影响。我们引入了一种金属纳米打印系统，结合双光子光刻、水凝胶注入的增材制造和3D纳米结构镍的原位机械实验，实现了约100 nm的关键尺寸、约10 nm的表面粗糙度，以及广泛的几何形状（周期性与非周期性；基于梁与基于壳）具有优越的比强度约100 MPa·g − 1·cm3，由明确的尺寸效应“越小越强”所支持。实验识别出集中孔隙区域为</w:t>
      </w:r>
    </w:p>
    <w:p>
      <w:pPr>
        <w:spacing w:before="0" w:after="200" w:lineRule="auto" w:line="276"/>
      </w:pPr>
      <w:r>
        <w:rPr>
          <w:b/>
        </w:rPr>
        <w:t xml:space="preserve">Abstract (EN): </w:t>
      </w:r>
      <w:r>
        <w:t>3D printing methods for small-scale metals enable a unique 10–100 nm dimensional niche where functional feature sizes, critical microstructural detail and atomic-level defects converge, challenging conventional hierarchical relationships and carrying significant nanomechanical implications. We introduce a metal nano-printing system combining two-photon lithography, hydrogel infusion-based additive manufacturing and in situ mechanical experiments on 3D nano-architected Ni, achieving ~100 nm critical dimensions, ~10 nm surface roughness, and a broad range of geometries (periodic vs. non-periodic; beam-based vs. shell-based) with superior specific strengths of ~100 MPa·g − 1·cm3 enabled by an unambiguous smaller is stronger size effect. Experiments identify concentrated-porosity regions as primary deformation-initiation sources and quantify their distribution as input for physics-informed, multiscale finite-element simulations that accurately predict size-dependent mechanical properties governed by nanoporosity-driven deformation. This work integrates experimental and computational approaches for the fabrication, characterization, and evaluation of nano- and micro-architected metals for nanotechnology and nanoscale manufacturing systems.</w:t>
      </w:r>
    </w:p>
    <w:p>
      <w:pPr>
        <w:spacing w:before="120" w:after="120"/>
      </w:pPr>
      <w:r>
        <w:rPr>
          <w:sz w:val="18"/>
        </w:rPr>
        <w:t>——————————————————————————————————————————————————————————————————————</w:t>
      </w:r>
    </w:p>
    <w:p>
      <w:pPr>
        <w:spacing w:before="160" w:after="40" w:line="240" w:lineRule="auto"/>
      </w:pPr>
      <w:r>
        <w:rPr>
          <w:b/>
        </w:rPr>
        <w:t xml:space="preserve">[6] </w:t>
      </w:r>
      <w:hyperlink r:id="rId150">
        <w:r>
          <w:rPr>
            <w:color w:val="1155CC"/>
            <w:u w:val="single"/>
          </w:rPr>
          <w:t>针对决策依赖不确定性的台风，海上风电一体化电力系统的弹性预防策略</w:t>
        </w:r>
      </w:hyperlink>
    </w:p>
    <w:p>
      <w:pPr>
        <w:spacing w:before="0" w:after="80"/>
      </w:pPr>
      <w:r>
        <w:rPr>
          <w:i/>
          <w:sz w:val="20"/>
        </w:rPr>
        <w:t>EN: Resilient preventive strategies for offshore wind-integrated power systems against typhoons under decision-dependent uncertainty</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1">
        <w:r>
          <w:rPr>
            <w:color w:val="1155CC"/>
            <w:u w:val="single"/>
          </w:rPr>
          <w:t>SOD1乳酸化通过构象变化损害其酶活性，加重椎间盘退变</w:t>
        </w:r>
      </w:hyperlink>
    </w:p>
    <w:p>
      <w:pPr>
        <w:spacing w:before="0" w:after="80"/>
      </w:pPr>
      <w:r>
        <w:rPr>
          <w:i/>
          <w:sz w:val="20"/>
        </w:rPr>
        <w:t>EN: SOD1 lactylation impair its enzymatic activity by conformational change to aggravate intervertebral disc degeneration</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152">
        <w:r>
          <w:rPr>
            <w:color w:val="1155CC"/>
            <w:u w:val="single"/>
          </w:rPr>
          <w:t>10.1038/s41467-026-69127-3</w:t>
        </w:r>
      </w:hyperlink>
    </w:p>
    <w:p>
      <w:pPr>
        <w:spacing w:before="0" w:after="120"/>
      </w:pPr>
      <w:r>
        <w:rPr>
          <w:b/>
        </w:rPr>
        <w:t xml:space="preserve">Notes: </w:t>
      </w:r>
      <w:r>
        <w:t>abstract_source=nature_html</w:t>
      </w:r>
    </w:p>
    <w:p>
      <w:pPr>
        <w:spacing w:before="0" w:after="80" w:lineRule="auto" w:line="276"/>
      </w:pPr>
      <w:r>
        <w:rPr>
          <w:b/>
        </w:rPr>
        <w:t xml:space="preserve">摘要（ZH）: </w:t>
      </w:r>
      <w:r>
        <w:t>乳酸积累是椎间盘退变（IVDD）的标志和促成因素，而乳酸积累引起的蛋白质乳酸化在IVDD中的作用尚不清楚。通过代谢组学、单细胞RNA测序分析和乳酸化蛋白质组学，我们揭示了IVDD中的乳酸化组景观，并确定了超氧化物歧化酶1（SOD1）在赖氨酸123（SOD1K123la）处的乳酸化对IVDD加重至关重要。通过体外定点突变、体内生成SOD1K123R突变雄性大鼠和计算机分子动力学模拟，我们发现SOD1K123la改变了SOD1构象，损害了其酶活性，诱导氧化损伤，并激活髓核细胞（NPCs）中的p53通路。值得注意的是，我们识别出一种小分子ZL-01</w:t>
      </w:r>
    </w:p>
    <w:p>
      <w:pPr>
        <w:spacing w:before="0" w:after="200" w:lineRule="auto" w:line="276"/>
      </w:pPr>
      <w:r>
        <w:rPr>
          <w:b/>
        </w:rPr>
        <w:t xml:space="preserve">Abstract (EN): </w:t>
      </w:r>
      <w:r>
        <w:t>Lactate accumulation is a hallmark and contributing factor of intervertebral disc degeneration (IVDD), while the role of protein lactylation caused by lactate accumulation in IVDD remains unclear. Via metabolomics, single-cell RNA-sequencing analysis, and lactylation proteomics, we reveal the lactylome landscape in IVDD and identified superoxide dismutase 1 (SOD1) lactylation at lysine 123 (SOD1K123la) as crucial for IVDD aggravation. Using in vitro site-directed mutagenesis, in vivo generation of SOD1K123R mutant male rats, and in silico molecular dynamics simulations, we find that SOD1K123la alters SOD1 conformation and impairs its enzymatic activity, and induces oxidative damage, and activates p53 pathway in nucleus pulposus cells (NPCs). Notably, we identify a small molecule ZL-01 that inhibits SOD1K123la. NPC-targeted delivery of ZL-01 via collagen type II-targeted peptide-modified extracellular vesicles alleviated IVDD in male rats. Together, these findings clarify the mechanism by which SOD1K123la promotes IVDD aggravation and provide a promising therapeutic strategy for IVDD.</w:t>
      </w:r>
    </w:p>
    <w:p>
      <w:pPr>
        <w:spacing w:before="120" w:after="120"/>
      </w:pPr>
      <w:r>
        <w:rPr>
          <w:sz w:val="18"/>
        </w:rPr>
        <w:t>——————————————————————————————————————————————————————————————————————</w:t>
      </w:r>
    </w:p>
    <w:p>
      <w:pPr>
        <w:spacing w:before="160" w:after="40" w:line="240" w:lineRule="auto"/>
      </w:pPr>
      <w:r>
        <w:rPr>
          <w:b/>
        </w:rPr>
        <w:t xml:space="preserve">[8] </w:t>
      </w:r>
      <w:hyperlink r:id="rId153">
        <w:r>
          <w:rPr>
            <w:color w:val="1155CC"/>
            <w:u w:val="single"/>
          </w:rPr>
          <w:t>重新构想的部门耦合：将零散的观点综合为统一的框架</w:t>
        </w:r>
      </w:hyperlink>
    </w:p>
    <w:p>
      <w:pPr>
        <w:spacing w:before="0" w:after="80"/>
      </w:pPr>
      <w:r>
        <w:rPr>
          <w:i/>
          <w:sz w:val="20"/>
        </w:rPr>
        <w:t>EN: Sector coupling reimagined: Synthesizing fragmented perspectives into a unified framework</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54">
        <w:r>
          <w:rPr>
            <w:color w:val="1155CC"/>
            <w:u w:val="single"/>
          </w:rPr>
          <w:t>关于安全高效的甲烷水合物生产的流动-压力-饱和耦合的系统级见解</w:t>
        </w:r>
      </w:hyperlink>
    </w:p>
    <w:p>
      <w:pPr>
        <w:spacing w:before="0" w:after="80"/>
      </w:pPr>
      <w:r>
        <w:rPr>
          <w:i/>
          <w:sz w:val="20"/>
        </w:rPr>
        <w:t>EN: System-level insights into flow-pressure-saturation coupling for safe and efficient methane hydrate production</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55">
        <w:r>
          <w:rPr>
            <w:color w:val="1155CC"/>
            <w:u w:val="single"/>
          </w:rPr>
          <w:t>基于专家混合的多评论家深度强化学习用于数据中心微电网的可持续管理</w:t>
        </w:r>
      </w:hyperlink>
    </w:p>
    <w:p>
      <w:pPr>
        <w:spacing w:before="0" w:after="80"/>
      </w:pPr>
      <w:r>
        <w:rPr>
          <w:i/>
          <w:sz w:val="20"/>
        </w:rPr>
        <w:t>EN: Mixture-of-experts based multi-critic deep reinforcement learning for sustainable management of data center microgrids</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56">
        <w:r>
          <w:rPr>
            <w:color w:val="1155CC"/>
            <w:u w:val="single"/>
          </w:rPr>
          <w:t>能源商品市场的波动性建模：对冲击的响应回顾及走向弹性和可持续性的路径</w:t>
        </w:r>
      </w:hyperlink>
    </w:p>
    <w:p>
      <w:pPr>
        <w:spacing w:before="0" w:after="80"/>
      </w:pPr>
      <w:r>
        <w:rPr>
          <w:i/>
          <w:sz w:val="20"/>
        </w:rPr>
        <w:t>EN: Volatility modeling in energy commodity markets: A review of responses to shocks and the path towards resiliency and sustainability</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57">
        <w:r>
          <w:rPr>
            <w:color w:val="1155CC"/>
            <w:u w:val="single"/>
          </w:rPr>
          <w:t>一维磷波纹管中的强光学各向异性</w:t>
        </w:r>
      </w:hyperlink>
    </w:p>
    <w:p>
      <w:pPr>
        <w:spacing w:before="0" w:after="80"/>
      </w:pPr>
      <w:r>
        <w:rPr>
          <w:i/>
          <w:sz w:val="20"/>
        </w:rPr>
        <w:t>EN: Strong optical anisotropy in one-dimensional phosphorus wavy tubes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158">
        <w:r>
          <w:rPr>
            <w:color w:val="1155CC"/>
            <w:u w:val="single"/>
          </w:rPr>
          <w:t>10.1038/s41467-026-70129-4</w:t>
        </w:r>
      </w:hyperlink>
    </w:p>
    <w:p>
      <w:pPr>
        <w:spacing w:before="0" w:after="120"/>
      </w:pPr>
      <w:r>
        <w:rPr>
          <w:b/>
        </w:rPr>
        <w:t xml:space="preserve">Notes: </w:t>
      </w:r>
      <w:r>
        <w:t>abstract_source=nature_html</w:t>
      </w:r>
    </w:p>
    <w:p>
      <w:pPr>
        <w:spacing w:before="0" w:after="80" w:lineRule="auto" w:line="276"/>
      </w:pPr>
      <w:r>
        <w:rPr>
          <w:b/>
        </w:rPr>
        <w:t xml:space="preserve">摘要（ZH）: </w:t>
      </w:r>
      <w:r>
        <w:t>具有内在一维结构的各向异性材料，其中链或管沿晶体学轴对齐，表现出方向依赖的光学响应，是偏振敏感光电子学的理想构建块。尽管在工程化合物方面取得了一定进展，但发现具有天然有序一维构建块并表现出巨大光学各向异性的元素晶体仍然具有挑战性。在此，我们报告了一种由独特波状多边形管组成的直接带隙半导体一维磷单晶的合成。通过单晶X射线衍射和先进的透射电子显微镜揭示了单斜晶格结构。该晶体在可见光和近红外区域表现出巨大的双折射，</w:t>
      </w:r>
    </w:p>
    <w:p>
      <w:pPr>
        <w:spacing w:before="0" w:after="200" w:lineRule="auto" w:line="276"/>
      </w:pPr>
      <w:r>
        <w:rPr>
          <w:b/>
        </w:rPr>
        <w:t xml:space="preserve">Abstract (EN): </w:t>
      </w:r>
      <w:r>
        <w:t>Anisotropic materials with intrinsic one-dimensional architectures, where chains or tubes align along a crystallographic axis, exhibit direction-dependent optical responses and serve as ideal building blocks for polarization-sensitive optoelectronics. While progress exists in engineered compounds, discovering elemental crystals with naturally ordered one-dimensional building blocks exhibiting giant optical anisotropy remains challenging. Here, we report the synthesis of a direct-bandgap semiconducting one-dimensional phosphorus single crystal composed of unique wavy polygonal tubes. The monoclinic lattice structure is revealed by single-crystal X-ray diffraction and advanced transmission electron microscopy. The crystal exhibits giant birefringence in the visible and near-infrared regions, stemming from electron localization and anisotropic transitions of the phosphorus 3p orbital along the tube axis. The low-symmetry structure endows remarkable linear and nonlinear optical anisotropies, including orientation-dependent photoluminescence, Raman scattering, and second-harmonic generation. This study establishes a paradigm for designing giant optical anisotropies, opening avenues for on-chip polarization devices and nonlinear photonic circuits.</w:t>
      </w:r>
    </w:p>
    <w:p>
      <w:pPr>
        <w:spacing w:before="120" w:after="120"/>
      </w:pPr>
      <w:r>
        <w:rPr>
          <w:sz w:val="18"/>
        </w:rPr>
        <w:t>——————————————————————————————————————————————————————————————————————</w:t>
      </w:r>
    </w:p>
    <w:p>
      <w:pPr>
        <w:spacing w:before="160" w:after="40" w:line="240" w:lineRule="auto"/>
      </w:pPr>
      <w:r>
        <w:rPr>
          <w:b/>
        </w:rPr>
        <w:t xml:space="preserve">[13] </w:t>
      </w:r>
      <w:hyperlink r:id="rId159">
        <w:r>
          <w:rPr>
            <w:color w:val="1155CC"/>
            <w:u w:val="single"/>
          </w:rPr>
          <w:t>嵌入级联水电等效输出界限的日前市场清算模型</w:t>
        </w:r>
      </w:hyperlink>
    </w:p>
    <w:p>
      <w:pPr>
        <w:spacing w:before="0" w:after="80"/>
      </w:pPr>
      <w:r>
        <w:rPr>
          <w:i/>
          <w:sz w:val="20"/>
        </w:rPr>
        <w:t>EN: A day-ahead market clearing model embedded with equivalent output bounds of cascaded hydropower</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60">
        <w:r>
          <w:rPr>
            <w:color w:val="1155CC"/>
            <w:u w:val="single"/>
          </w:rPr>
          <w:t>上丘中的注意相关调制编码感知敏感性，但不编码感知选择</w:t>
        </w:r>
      </w:hyperlink>
    </w:p>
    <w:p>
      <w:pPr>
        <w:spacing w:before="0" w:after="80"/>
      </w:pPr>
      <w:r>
        <w:rPr>
          <w:i/>
          <w:sz w:val="20"/>
        </w:rPr>
        <w:t>EN: Attention-related modulation in the superior colliculus encodes perceptual sensitivity, but not perceptual choice</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161">
        <w:r>
          <w:rPr>
            <w:color w:val="1155CC"/>
            <w:u w:val="single"/>
          </w:rPr>
          <w:t>10.1038/s41467-026-69954-4</w:t>
        </w:r>
      </w:hyperlink>
    </w:p>
    <w:p>
      <w:pPr>
        <w:spacing w:before="0" w:after="120"/>
      </w:pPr>
      <w:r>
        <w:rPr>
          <w:b/>
        </w:rPr>
        <w:t xml:space="preserve">Notes: </w:t>
      </w:r>
      <w:r>
        <w:t>abstract_source=nature_html</w:t>
      </w:r>
    </w:p>
    <w:p>
      <w:pPr>
        <w:spacing w:before="0" w:after="80" w:lineRule="auto" w:line="276"/>
      </w:pPr>
      <w:r>
        <w:rPr>
          <w:b/>
        </w:rPr>
        <w:t xml:space="preserve">摘要（ZH）: </w:t>
      </w:r>
      <w:r>
        <w:t>上丘（SC）中的神经元与皮层中的神经元一样，会受到注意力转移的调节，但与视觉皮层神经元的贡献不同。关于SC注意力相关活动是否代表增强的感知敏感性、决策标准的转变或与神经元反应场中的扫视计划相关的运动偏差，仍存在争议。我们通过在两只雄性猕猴的视觉空间注意任务中独立控制行为敏感性、感知决策标准和运动反应标准来区分这些成分。SC活动与行为敏感性和选择反应场内扫视目标的运动标准强烈相关，与扫视执行无关。相反，尽管发生了大幅度的转变，SC反应仍保持不变。</w:t>
      </w:r>
    </w:p>
    <w:p>
      <w:pPr>
        <w:spacing w:before="0" w:after="200" w:lineRule="auto" w:line="276"/>
      </w:pPr>
      <w:r>
        <w:rPr>
          <w:b/>
        </w:rPr>
        <w:t xml:space="preserve">Abstract (EN): </w:t>
      </w:r>
      <w:r>
        <w:t>Neurons in the superior colliculus (SC), like those in cortex, are modulated by shifts in attention but contribute differently from visual cortex neurons. It remains debated whether SC attention-related activity represents enhanced perceptual sensitivity, decision criterion shifts, or motor bias linked to saccade planning at neurons’ response fields. We dissociated these components by independently controlling behavioral sensitivity, perceptual decision criterion, and motor response criterion in a visual spatial attention task in two male rhesus monkeys. SC activity correlated strongly with behavioral sensitivity and motor criterion for selecting a saccade target within the response field, independent of saccade execution. In contrast, SC responses remained unchanged despite large shifts in decision criterion when motor bias was excluded. Notably, SC activity did not predict trial-by-trial choice accuracy. These results demonstrate that the SC specifically supports components of attention related to heightened perceptual sensitivity and response selection, while being largely independent of internal perceptual decision criterion and trial outcome.</w:t>
      </w:r>
    </w:p>
    <w:p>
      <w:pPr>
        <w:spacing w:before="120" w:after="120"/>
      </w:pPr>
      <w:r>
        <w:rPr>
          <w:sz w:val="18"/>
        </w:rPr>
        <w:t>——————————————————————————————————————————————————————————————————————</w:t>
      </w:r>
    </w:p>
    <w:p>
      <w:pPr>
        <w:spacing w:before="160" w:after="40" w:line="240" w:lineRule="auto"/>
      </w:pPr>
      <w:r>
        <w:rPr>
          <w:b/>
        </w:rPr>
        <w:t xml:space="preserve">[15] </w:t>
      </w:r>
      <w:hyperlink r:id="rId162">
        <w:r>
          <w:rPr>
            <w:color w:val="1155CC"/>
            <w:u w:val="single"/>
          </w:rPr>
          <w:t>物联网支持的能源-移动性集成互操作性：协议、平台和标准的系统回顾</w:t>
        </w:r>
      </w:hyperlink>
    </w:p>
    <w:p>
      <w:pPr>
        <w:spacing w:before="0" w:after="80"/>
      </w:pPr>
      <w:r>
        <w:rPr>
          <w:i/>
          <w:sz w:val="20"/>
        </w:rPr>
        <w:t>EN: IoT-enabled interoperability for energy-mobility integration: A systematic review of protocols, platforms, and standards</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163">
        <w:r>
          <w:rPr>
            <w:color w:val="1155CC"/>
            <w:u w:val="single"/>
          </w:rPr>
          <w:t>全钙钛矿串联太阳能电池中反向偏压下的氧化还原级联驱动结构降解</w:t>
        </w:r>
      </w:hyperlink>
    </w:p>
    <w:p>
      <w:pPr>
        <w:spacing w:before="0" w:after="80"/>
      </w:pPr>
      <w:r>
        <w:rPr>
          <w:i/>
          <w:sz w:val="20"/>
        </w:rPr>
        <w:t>EN: Redox Cascade‐Driven Structural Degradation Under Reverse Bias in All‐Perovskite Tandem Solar Cells</w:t>
      </w:r>
    </w:p>
    <w:p>
      <w:pPr>
        <w:spacing w:before="0" w:after="120"/>
      </w:pPr>
      <w:r>
        <w:rPr>
          <w:b/>
        </w:rPr>
        <w:t xml:space="preserve">Source: </w:t>
      </w:r>
      <w:r>
        <w:t>Wiley: Advanced Materials: Table of Contents</w:t>
      </w:r>
      <w:r>
        <w:t xml:space="preserve">    </w:t>
      </w:r>
      <w:r>
        <w:rPr>
          <w:b/>
        </w:rPr>
        <w:t xml:space="preserve">Pub date: </w:t>
      </w:r>
      <w:r>
        <w:t>2026-02-28 06:55:24+00:00</w:t>
      </w:r>
      <w:r>
        <w:t xml:space="preserve">    </w:t>
      </w:r>
      <w:r>
        <w:rPr>
          <w:b/>
        </w:rPr>
        <w:t xml:space="preserve">DOI: </w:t>
      </w:r>
      <w:hyperlink r:id="rId164">
        <w:r>
          <w:rPr>
            <w:color w:val="1155CC"/>
            <w:u w:val="single"/>
          </w:rPr>
          <w:t>10.1002/adma.202522942</w:t>
        </w:r>
      </w:hyperlink>
    </w:p>
    <w:p>
      <w:pPr>
        <w:spacing w:before="0" w:after="120"/>
      </w:pPr>
      <w:r>
        <w:rPr>
          <w:b/>
        </w:rPr>
        <w:t xml:space="preserve">Notes: </w:t>
      </w:r>
      <w:r>
        <w:t>abstract_source=pubmed</w:t>
      </w:r>
    </w:p>
    <w:p>
      <w:pPr>
        <w:spacing w:before="0" w:after="80" w:lineRule="auto" w:line="276"/>
      </w:pPr>
      <w:r>
        <w:rPr>
          <w:b/>
        </w:rPr>
        <w:t xml:space="preserve">摘要（ZH）: </w:t>
      </w:r>
      <w:r>
        <w:t>反向偏压，由电流不匹配或遮光引起，已成为全钙钛矿叠层太阳能电池中隐藏但致命的不稳定性。我们揭示了持续的反向偏压会在窄带隙子电池中引发氧化还原耦合的晶格崩溃。在电应力下，空穴注入将碘离子氧化为中性碘物种，随后氧化锡阳离子并驱动场导向的离子迁移。这种氧化还原级联垂直传播通过晶格，耦合离子传输与结构重建和界面腐蚀，最终导致不可逆的性能损失。这些发现揭示了全钙钛矿叠层电池作为化学机械系统，其中电应力转化为内部电化学损伤。为了抑制这种现象。</w:t>
      </w:r>
    </w:p>
    <w:p>
      <w:pPr>
        <w:spacing w:before="0" w:after="200" w:lineRule="auto" w:line="276"/>
      </w:pPr>
      <w:r>
        <w:rPr>
          <w:b/>
        </w:rPr>
        <w:t xml:space="preserve">Abstract (EN): </w:t>
      </w:r>
      <w:r>
        <w:t>Reverse bias, originating from current mismatch or shading, has emerged as a hidden yet fatal instability in all-perovskite tandem solar cells. Here we reveal that sustained reverse bias triggers a redox-coupled lattice collapse within the narrow-bandgap subcells. Under electrical stress, hole injection oxidizes iodide ions into neutral iodine species, which subsequently oxidize tin cations and drive field-directed ion migration. This redox cascade propagates vertically through the lattice, coupling ionic transport with structural reconstruction and interfacial corrosion, ultimately leading to irreversible performance loss. These findings expose all-perovskite tandems as chemomechanical systems in which electrical stress is converted into internal electrochemical damage. To suppress this feedback loop, we introduce a "multideck-fence" interfacial design that integrates a nanometric oxide diffusion barrier with a chemically stable dual-metal electrode. This strategy halts the redox-driven degradation, yielding a power conversion efficiency of 29.03% and more than 30-fold enhancement in reverse-bias endurance. Our results redefine reverse bias as a chemomechanically driven failure mode and establish a mechanistic framework for bias-resilient perovskite architectures.</w:t>
      </w:r>
    </w:p>
    <w:p>
      <w:pPr>
        <w:spacing w:before="120" w:after="120"/>
      </w:pPr>
      <w:r>
        <w:rPr>
          <w:sz w:val="18"/>
        </w:rPr>
        <w:t>——————————————————————————————————————————————————————————————————————</w:t>
      </w:r>
    </w:p>
    <w:p>
      <w:pPr>
        <w:spacing w:before="160" w:after="40" w:line="240" w:lineRule="auto"/>
      </w:pPr>
      <w:r>
        <w:rPr>
          <w:b/>
        </w:rPr>
        <w:t xml:space="preserve">[17] </w:t>
      </w:r>
      <w:hyperlink r:id="rId165">
        <w:r>
          <w:rPr>
            <w:color w:val="1155CC"/>
            <w:u w:val="single"/>
          </w:rPr>
          <w:t>自由形式柔性超表面稳健地产生微波斯格明子</w:t>
        </w:r>
      </w:hyperlink>
    </w:p>
    <w:p>
      <w:pPr>
        <w:spacing w:before="0" w:after="80"/>
      </w:pPr>
      <w:r>
        <w:rPr>
          <w:i/>
          <w:sz w:val="20"/>
        </w:rPr>
        <w:t>EN: Free‐Form Flexible Metasurfaces Robustly Generating Microwave Skyrmions</w:t>
      </w:r>
    </w:p>
    <w:p>
      <w:pPr>
        <w:spacing w:before="0" w:after="120"/>
      </w:pPr>
      <w:r>
        <w:rPr>
          <w:b/>
        </w:rPr>
        <w:t xml:space="preserve">Source: </w:t>
      </w:r>
      <w:r>
        <w:t>Wiley: Advanced Materials: Table of Contents</w:t>
      </w:r>
      <w:r>
        <w:t xml:space="preserve">    </w:t>
      </w:r>
      <w:r>
        <w:rPr>
          <w:b/>
        </w:rPr>
        <w:t xml:space="preserve">Pub date: </w:t>
      </w:r>
      <w:r>
        <w:t>2026-02-28 07:15:56+00:00</w:t>
      </w:r>
      <w:r>
        <w:t xml:space="preserve">    </w:t>
      </w:r>
      <w:r>
        <w:rPr>
          <w:b/>
        </w:rPr>
        <w:t xml:space="preserve">DOI: </w:t>
      </w:r>
      <w:hyperlink r:id="rId166">
        <w:r>
          <w:rPr>
            <w:color w:val="1155CC"/>
            <w:u w:val="single"/>
          </w:rPr>
          <w:t>10.1002/adma.202518268</w:t>
        </w:r>
      </w:hyperlink>
    </w:p>
    <w:p>
      <w:pPr>
        <w:spacing w:before="0" w:after="120"/>
      </w:pPr>
      <w:r>
        <w:rPr>
          <w:b/>
        </w:rPr>
        <w:t xml:space="preserve">Notes: </w:t>
      </w:r>
      <w:r>
        <w:t>abstract_source=pubmed</w:t>
      </w:r>
    </w:p>
    <w:p>
      <w:pPr>
        <w:spacing w:before="0" w:after="80" w:lineRule="auto" w:line="276"/>
      </w:pPr>
      <w:r>
        <w:rPr>
          <w:b/>
        </w:rPr>
        <w:t xml:space="preserve">摘要（ZH）: </w:t>
      </w:r>
      <w:r>
        <w:t>斯格明子是拓扑稳定的矢量纹理，作为高密度数据存储和通信的潜在信息载体，尤其是最近在电磁场中出现的斯格明子元生成器的推动。然而，这些实现总是依赖于平面、刚性设计，并具有严格的制造要求。在此，我们提出了自由形式的柔性超表面生成斯格明子，以实现未来可穿戴和柔性设备的拓扑弹性光场。此外，我们在实验中测试了斯格明子数在超表面上不同无序程度下的出色拓扑鲁棒性。斯格明子的内在拓扑保护自然与柔性超表面的可变形性相匹配，实现了无法达到的鲁棒性。</w:t>
      </w:r>
    </w:p>
    <w:p>
      <w:pPr>
        <w:spacing w:before="0" w:after="200" w:lineRule="auto" w:line="276"/>
      </w:pPr>
      <w:r>
        <w:rPr>
          <w:b/>
        </w:rPr>
        <w:t xml:space="preserve">Abstract (EN): </w:t>
      </w:r>
      <w:r>
        <w:t>Skyrmions are topologically stable vector textures as potential information carriers for high-density data storage and communications, especially boosted by the recently emerging meta-generators of skyrmions in electromagnetic fields. However, these implementations always rely on planar, rigid designs with stringent fabrication requirements. Here, we propose the free-form flexible metasurface generating skyrmions toward future wearable and flexible devices for topologically resilient light fields. Furthermore, we experimentally tested the outstanding topological robustness of the skyrmion number under different disorder degrees on the metasurface. The intrinsic topological protection of skyrmions naturally matches the deformability of flexible metasurfaces, enabling a robustness unattainable with conventional carriers. The microwave band can directly be relevant to practical telecommunication systems, also motivate future extension to THz and optical frequency flexible skyrmion platforms. Overall, our results position free-form flexible metasurfaces as a compact and inherently robust framework for skyrmion-based information transfer and next-generation robust free-space communication networks.</w:t>
      </w:r>
    </w:p>
    <w:p>
      <w:pPr>
        <w:spacing w:before="120" w:after="120"/>
      </w:pPr>
      <w:r>
        <w:rPr>
          <w:sz w:val="18"/>
        </w:rPr>
        <w:t>——————————————————————————————————————————————————————————————————————</w:t>
      </w:r>
    </w:p>
    <w:p>
      <w:pPr>
        <w:spacing w:before="160" w:after="40" w:line="240" w:lineRule="auto"/>
      </w:pPr>
      <w:r>
        <w:rPr>
          <w:b/>
        </w:rPr>
        <w:t xml:space="preserve">[18] </w:t>
      </w:r>
      <w:hyperlink r:id="rId167">
        <w:r>
          <w:rPr>
            <w:color w:val="1155CC"/>
            <w:u w:val="single"/>
          </w:rPr>
          <w:t>四苯硅烷工程的MR-TADF发射体用于高效率、长寿命且色域接近BT.2020标准的纯绿色OLED</w:t>
        </w:r>
      </w:hyperlink>
    </w:p>
    <w:p>
      <w:pPr>
        <w:spacing w:before="0" w:after="80"/>
      </w:pPr>
      <w:r>
        <w:rPr>
          <w:i/>
          <w:sz w:val="20"/>
        </w:rPr>
        <w:t>EN: Tetraphenylsilane‐Engineered MR‐TADF Emitters for Pure‐Green OLEDs with High‐Efficiency, Long Lifetime, and Gamut Close to BT.2020 Standard</w:t>
      </w:r>
    </w:p>
    <w:p>
      <w:pPr>
        <w:spacing w:before="0" w:after="120"/>
      </w:pPr>
      <w:r>
        <w:rPr>
          <w:b/>
        </w:rPr>
        <w:t xml:space="preserve">Source: </w:t>
      </w:r>
      <w:r>
        <w:t>Wiley: Advanced Materials: Table of Contents</w:t>
      </w:r>
      <w:r>
        <w:t xml:space="preserve">    </w:t>
      </w:r>
      <w:r>
        <w:rPr>
          <w:b/>
        </w:rPr>
        <w:t xml:space="preserve">Pub date: </w:t>
      </w:r>
      <w:r>
        <w:t>2026-02-28 07:24:19+00:00</w:t>
      </w:r>
      <w:r>
        <w:t xml:space="preserve">    </w:t>
      </w:r>
      <w:r>
        <w:rPr>
          <w:b/>
        </w:rPr>
        <w:t xml:space="preserve">DOI: </w:t>
      </w:r>
      <w:hyperlink r:id="rId168">
        <w:r>
          <w:rPr>
            <w:color w:val="1155CC"/>
            <w:u w:val="single"/>
          </w:rPr>
          <w:t>10.1002/adma.72684</w:t>
        </w:r>
      </w:hyperlink>
    </w:p>
    <w:p>
      <w:pPr>
        <w:spacing w:before="0" w:after="120"/>
      </w:pPr>
      <w:r>
        <w:rPr>
          <w:b/>
        </w:rPr>
        <w:t xml:space="preserve">Notes: </w:t>
      </w:r>
      <w:r>
        <w:t>abstract_source=pubmed</w:t>
      </w:r>
    </w:p>
    <w:p>
      <w:pPr>
        <w:spacing w:before="0" w:after="80" w:lineRule="auto" w:line="276"/>
      </w:pPr>
      <w:r>
        <w:rPr>
          <w:b/>
        </w:rPr>
        <w:t xml:space="preserve">摘要（ZH）: </w:t>
      </w:r>
      <w:r>
        <w:t>实现优异的色彩纯度、高效率和长操作耐久性的同时结合，仍然是有机发光二极管（OLEDs）的一个艰巨挑战，这对于实现超高清（UHD）显示器是不可或缺的。在此，我们提出了一种合理的分子设计策略，通过四苯基硅烷（TPS）和氘代TPS基团对多共振热激活延迟荧光（MR-TADF）骨架进行外围功能化，以应对这些挑战。所得发射体p-DBFSi、m-DBFSi和m-DBFSi-d表现出尖锐的绿色发射（515-517 nm），其半高宽（FWHMs）低于0.070 eV，位列报道的最窄绿色MR-TADF材料之中。使用m-DBFSi和m-DBFSi-d作为发射体的OLEDs提供</w:t>
      </w:r>
    </w:p>
    <w:p>
      <w:pPr>
        <w:spacing w:before="0" w:after="200" w:lineRule="auto" w:line="276"/>
      </w:pPr>
      <w:r>
        <w:rPr>
          <w:b/>
        </w:rPr>
        <w:t xml:space="preserve">Abstract (EN): </w:t>
      </w:r>
      <w:r>
        <w:t>Achieving the concurrent combination of superior color purity, high efficiency, and long operational durability remains a formidable challenge for organic light-emitting diodes (OLEDs), which are indispensable for realizing ultra-high-definition (UHD) displays. Herein, we propose a rational molecular design strategy that peripherally functionalizes the multi-resonance thermally activated delayed fluorescence (MR-TADF) skeleton with tetraphenylsilane (TPS) and deuterated TPS groups to address these challenges. The resulting emitters, p-DBFSi, m-DBFSi, and m-DBFSi-d, exhibit sharp green emission (515-517 nm) with ultra-narrow full-widths at half-maximum (FWHMs) below 0.070 eV, ranking among the narrowest green MR-TADF materials reported. OLEDs employing m-DBFSi and m-DBFSi-d as emitters deliver the purest green electroluminescence (CIEy = 0.76), extraordinary maximum external quantum efficiencies (EQEmax) of 40.1% and 41.9%, and maximum power efficiency (PEmax) approaching 200 lm W-1, without employing an additional sensitizer, positioning them among the state-of-the-art narrowband pure-green OLEDs. Furthermore, the m-DBFSi-d-based device exhibits remarkably enhanced operational stability with operational lifetime (LT80) of 2491 h at initial luminance of 1000 cd m-2. Collectively, this work establishes a TPS- and deuteration-engineered MR-TADF strategy that enables OLEDs to combine ultra-narrowband emission, outstanding efficiency, and exceptional durability, paving the way for next-generation UHD displays.</w:t>
      </w:r>
    </w:p>
    <w:p>
      <w:pPr>
        <w:spacing w:before="120" w:after="120"/>
      </w:pPr>
      <w:r>
        <w:rPr>
          <w:sz w:val="18"/>
        </w:rPr>
        <w:t>——————————————————————————————————————————————————————————————————————</w:t>
      </w:r>
    </w:p>
    <w:p>
      <w:pPr>
        <w:spacing w:before="160" w:after="40" w:line="240" w:lineRule="auto"/>
      </w:pPr>
      <w:r>
        <w:rPr>
          <w:b/>
        </w:rPr>
        <w:t xml:space="preserve">[19] </w:t>
      </w:r>
      <w:hyperlink r:id="rId169">
        <w:r>
          <w:rPr>
            <w:color w:val="1155CC"/>
            <w:u w:val="single"/>
          </w:rPr>
          <w:t>映射糖类环状烯醇醚衍生物的C═C键反应性：糖苷的亲核性参数</w:t>
        </w:r>
      </w:hyperlink>
    </w:p>
    <w:p>
      <w:pPr>
        <w:spacing w:before="0" w:after="80"/>
      </w:pPr>
      <w:r>
        <w:rPr>
          <w:i/>
          <w:sz w:val="20"/>
        </w:rPr>
        <w:t>EN: Mapping the Reactivity of the C═C Bond of Cyclic Enol Ether Derivatives of Sugars: Nucleophilicity Parameters of Glycals</w:t>
      </w:r>
    </w:p>
    <w:p>
      <w:pPr>
        <w:spacing w:before="0" w:after="120"/>
      </w:pPr>
      <w:r>
        <w:rPr>
          <w:b/>
        </w:rPr>
        <w:t xml:space="preserve">Source: </w:t>
      </w:r>
      <w:r>
        <w:t>Wiley: Angewandte Chemie International Edition: Table of Contents</w:t>
      </w:r>
      <w:r>
        <w:t xml:space="preserve">    </w:t>
      </w:r>
      <w:r>
        <w:rPr>
          <w:b/>
        </w:rPr>
        <w:t xml:space="preserve">Pub date: </w:t>
      </w:r>
      <w:r>
        <w:t>2026-02-28 08:21:40+00:00</w:t>
      </w:r>
      <w:r>
        <w:t xml:space="preserve">    </w:t>
      </w:r>
      <w:r>
        <w:rPr>
          <w:b/>
        </w:rPr>
        <w:t xml:space="preserve">DOI: </w:t>
      </w:r>
      <w:hyperlink r:id="rId170">
        <w:r>
          <w:rPr>
            <w:color w:val="1155CC"/>
            <w:u w:val="single"/>
          </w:rPr>
          <w:t>10.1002/anie.202524329</w:t>
        </w:r>
      </w:hyperlink>
    </w:p>
    <w:p>
      <w:pPr>
        <w:spacing w:before="0" w:after="120"/>
      </w:pPr>
      <w:r>
        <w:rPr>
          <w:b/>
        </w:rPr>
        <w:t xml:space="preserve">Notes: </w:t>
      </w:r>
      <w:r>
        <w:t>abstract_source=pubmed</w:t>
      </w:r>
    </w:p>
    <w:p>
      <w:pPr>
        <w:spacing w:before="0" w:after="80" w:lineRule="auto" w:line="276"/>
      </w:pPr>
      <w:r>
        <w:rPr>
          <w:b/>
        </w:rPr>
        <w:t xml:space="preserve">摘要（ZH）: </w:t>
      </w:r>
      <w:r>
        <w:t>糖苷是由不饱和糖衍生物构成的大型多羟基合成子家族，广泛用于天然产物的合成中作为合成中间体以及生化应用的最终分子。我们首次在结构-反应性关系和内糖苷与外糖苷化合物反应性的定量映射这一未充分研究的领域进行了研究。为了量化一系列内糖苷和外糖苷的C═C双键的亲核性，我们对其与已知电亲和性参数的参考电亲试剂的C─C键形成进行了动力学研究。快速光谱技术实验（停流和激光闪光光解）使我们能够确定数百个反应的速率常数，这</w:t>
      </w:r>
    </w:p>
    <w:p>
      <w:pPr>
        <w:spacing w:before="0" w:after="200" w:lineRule="auto" w:line="276"/>
      </w:pPr>
      <w:r>
        <w:rPr>
          <w:b/>
        </w:rPr>
        <w:t xml:space="preserve">Abstract (EN): </w:t>
      </w:r>
      <w:r>
        <w:t>Glycals are unsaturated sugar derivatives constituting a large family of polyhydroxylated synthons which are widely exploited as synthetic intermediates in the synthesis of natural products and as final molecules for biochemical applications. We report the first investigation in the understudied area of structure-reactivity relationship and quantitative mapping of reactivity in endo- and exo-glycals compounds. For quantifying the nucleophilicity of the C═C double bond of a series of endo- and exo-glycals, we performed kinetic investigations of their C─C bond formation with reference electrophiles of known electrophilicity parameters. Fast spectroscopic techniques experiments (stopped-flow and laser-flash photolysis) enabled us to determine the rate constant of hundreds of reactions, which allows the first comprehensive mapping and structure-reactivity analysis of the nucleophilic reactivity of this wide family of cyclic enol ethers. Quantum-chemical calculations corroborate with kinetic investigations and highlight the crucial role of ring strain variations to explain the relative nucleophilicity of endo- and exo-glycals. We examined also the influence of substitution and showed that alkoxy substituents decrease nucleophilicity through inductive effects and hyperconjugation.</w:t>
      </w:r>
    </w:p>
    <w:p>
      <w:pPr>
        <w:spacing w:before="120" w:after="120"/>
      </w:pPr>
      <w:r>
        <w:rPr>
          <w:sz w:val="18"/>
        </w:rPr>
        <w:t>——————————————————————————————————————————————————————————————————————</w:t>
      </w:r>
    </w:p>
    <w:p>
      <w:pPr>
        <w:spacing w:before="160" w:after="40" w:line="240" w:lineRule="auto"/>
      </w:pPr>
      <w:r>
        <w:rPr>
          <w:b/>
        </w:rPr>
        <w:t xml:space="preserve">[20] </w:t>
      </w:r>
      <w:hyperlink r:id="rId171">
        <w:r>
          <w:rPr>
            <w:color w:val="1155CC"/>
            <w:u w:val="single"/>
          </w:rPr>
          <w:t>磺化α-烯烃和乙烯基醚的光介导可控自由基均聚反应与磺酰自由基的传播</w:t>
        </w:r>
      </w:hyperlink>
    </w:p>
    <w:p>
      <w:pPr>
        <w:spacing w:before="0" w:after="80"/>
      </w:pPr>
      <w:r>
        <w:rPr>
          <w:i/>
          <w:sz w:val="20"/>
        </w:rPr>
        <w:t>EN: Photomediated Controlled Radical Homopolymerization of Sulfonated α‐Olefins and Vinyl Ethers with Propagating Sulfonyl Radicals</w:t>
      </w:r>
    </w:p>
    <w:p>
      <w:pPr>
        <w:spacing w:before="0" w:after="120"/>
      </w:pPr>
      <w:r>
        <w:rPr>
          <w:b/>
        </w:rPr>
        <w:t xml:space="preserve">Source: </w:t>
      </w:r>
      <w:r>
        <w:t>Wiley: Angewandte Chemie International Edition: Table of Contents</w:t>
      </w:r>
      <w:r>
        <w:t xml:space="preserve">    </w:t>
      </w:r>
      <w:r>
        <w:rPr>
          <w:b/>
        </w:rPr>
        <w:t xml:space="preserve">Pub date: </w:t>
      </w:r>
      <w:r>
        <w:t>2026-02-28 08:26:26+00:00</w:t>
      </w:r>
      <w:r>
        <w:t xml:space="preserve">    </w:t>
      </w:r>
      <w:r>
        <w:rPr>
          <w:b/>
        </w:rPr>
        <w:t xml:space="preserve">DOI: </w:t>
      </w:r>
      <w:hyperlink r:id="rId172">
        <w:r>
          <w:rPr>
            <w:color w:val="1155CC"/>
            <w:u w:val="single"/>
          </w:rPr>
          <w:t>10.1002/anie.202523751</w:t>
        </w:r>
      </w:hyperlink>
    </w:p>
    <w:p>
      <w:pPr>
        <w:spacing w:before="0" w:after="120"/>
      </w:pPr>
      <w:r>
        <w:rPr>
          <w:b/>
        </w:rPr>
        <w:t xml:space="preserve">Notes: </w:t>
      </w:r>
      <w:r>
        <w:t>abstract_source=pubmed</w:t>
      </w:r>
    </w:p>
    <w:p>
      <w:pPr>
        <w:spacing w:before="0" w:after="80" w:lineRule="auto" w:line="276"/>
      </w:pPr>
      <w:r>
        <w:rPr>
          <w:b/>
        </w:rPr>
        <w:t xml:space="preserve">摘要（ZH）: </w:t>
      </w:r>
      <w:r>
        <w:t>在此，我们展示了磺酰基功能化α-烯烃和乙烯醚单体的光介导可控自由基均聚反应，生成序列可控的聚砜。这一独特的自由基聚合过程是通过光诱导电子转移控制的自由基聚合（PET-CRP）调节的磺酰基自由基促进的。所得的三元序列可控聚砜与传统的交替二元聚砜相比，表现出显著增强的热稳定性。这项研究首次展示了由异原子中心自由基传播调节的自由基聚合，由PET-CRP调节。这种光介导的可控自由基聚合为合成具有精确主链序列的聚合物提供了新的方法，结构</w:t>
      </w:r>
    </w:p>
    <w:p>
      <w:pPr>
        <w:spacing w:before="0" w:after="200" w:lineRule="auto" w:line="276"/>
      </w:pPr>
      <w:r>
        <w:rPr>
          <w:b/>
        </w:rPr>
        <w:t xml:space="preserve">Abstract (EN): </w:t>
      </w:r>
      <w:r>
        <w:t>Herein, we present the photomediated controlled radical homopolymerization of sulfonyl-functionalized α-olefin and vinyl ether monomers, yielding sequence-controlled polysulfones. This unique radical polymerization process is facilitated by sulfonyl radicals regulated through photoinduced electron transfer-controlled radical polymerization (PET-CRP). The resultant ternary sequence-controlled polysulfones exhibit notably enhanced thermal stability compared to conventional alternating binary polysulfones. This study presents the first demonstration of radical polymerization mediated by propagating heteroatom-centered radicals, regulated by PET-CRP. This photo-mediated controlled radical polymerization offers novel approaches for synthesizing polymers with precise main chain sequences, structures, and controlled molecular weights, presenting promising candidates for advanced polymeric materials.</w:t>
      </w:r>
    </w:p>
    <w:p>
      <w:pPr>
        <w:spacing w:before="120" w:after="120"/>
      </w:pPr>
      <w:r>
        <w:rPr>
          <w:sz w:val="18"/>
        </w:rPr>
        <w:t>——————————————————————————————————————————————————————————————————————</w:t>
      </w:r>
    </w:p>
    <w:p>
      <w:pPr>
        <w:spacing w:before="160" w:after="40" w:line="240" w:lineRule="auto"/>
      </w:pPr>
      <w:r>
        <w:rPr>
          <w:b/>
        </w:rPr>
        <w:t xml:space="preserve">[21] </w:t>
      </w:r>
      <w:hyperlink r:id="rId173">
        <w:r>
          <w:rPr>
            <w:color w:val="1155CC"/>
            <w:u w:val="single"/>
          </w:rPr>
          <w:t>整合协同单线态和三线态激发的紫罗精共价有机框架用于高效苯并唑类药物的光合成</w:t>
        </w:r>
      </w:hyperlink>
    </w:p>
    <w:p>
      <w:pPr>
        <w:spacing w:before="0" w:after="80"/>
      </w:pPr>
      <w:r>
        <w:rPr>
          <w:i/>
          <w:sz w:val="20"/>
        </w:rPr>
        <w:t>EN: Viologen Covalent Organic Frameworks Integrating Synergistic Singlet and Triplet Excitation for Efficient Photosynthesis of Benzazole Pharmaceuticals</w:t>
      </w:r>
    </w:p>
    <w:p>
      <w:pPr>
        <w:spacing w:before="0" w:after="120"/>
      </w:pPr>
      <w:r>
        <w:rPr>
          <w:b/>
        </w:rPr>
        <w:t xml:space="preserve">Source: </w:t>
      </w:r>
      <w:r>
        <w:t>Wiley: Angewandte Chemie International Edition: Table of Contents</w:t>
      </w:r>
      <w:r>
        <w:t xml:space="preserve">    </w:t>
      </w:r>
      <w:r>
        <w:rPr>
          <w:b/>
        </w:rPr>
        <w:t xml:space="preserve">Pub date: </w:t>
      </w:r>
      <w:r>
        <w:t>2026-02-28 08:29:08+00:00</w:t>
      </w:r>
      <w:r>
        <w:t xml:space="preserve">    </w:t>
      </w:r>
      <w:r>
        <w:rPr>
          <w:b/>
        </w:rPr>
        <w:t xml:space="preserve">DOI: </w:t>
      </w:r>
      <w:hyperlink r:id="rId174">
        <w:r>
          <w:rPr>
            <w:color w:val="1155CC"/>
            <w:u w:val="single"/>
          </w:rPr>
          <w:t>10.1002/anie.3751232</w:t>
        </w:r>
      </w:hyperlink>
    </w:p>
    <w:p>
      <w:pPr>
        <w:spacing w:before="0" w:after="120"/>
      </w:pPr>
      <w:r>
        <w:rPr>
          <w:b/>
        </w:rPr>
        <w:t xml:space="preserve">Notes: </w:t>
      </w:r>
      <w:r>
        <w:t>abstract_source=pubmed</w:t>
      </w:r>
    </w:p>
    <w:p>
      <w:pPr>
        <w:spacing w:before="0" w:after="80" w:lineRule="auto" w:line="276"/>
      </w:pPr>
      <w:r>
        <w:rPr>
          <w:b/>
        </w:rPr>
        <w:t xml:space="preserve">摘要（ZH）: </w:t>
      </w:r>
      <w:r>
        <w:t>紫精及其衍生物是构建自由基型光催化剂的理想平台，但其还原性常导致堆积诱导的猝灭和过度还原至中性状态，显著抑制其光催化性能。在此，我们通过简便的环化电离策略在共价有机框架中引入了3,3'-紫精骨架，所得的PyBpy-3,3'-离子在中性状态下具有独特的阳离子和双自由基特性，从而通过协同单重态（S1）或三重态（T1）激发促进超氧自由基和单线态氧的同时生成。同时，催化剂中的双自由基对氧表现出强烈的排斥相互作用，确保其长期稳定性和</w:t>
      </w:r>
    </w:p>
    <w:p>
      <w:pPr>
        <w:spacing w:before="0" w:after="200" w:lineRule="auto" w:line="276"/>
      </w:pPr>
      <w:r>
        <w:rPr>
          <w:b/>
        </w:rPr>
        <w:t xml:space="preserve">Abstract (EN): </w:t>
      </w:r>
      <w:r>
        <w:t>Viologen and its derivatives serve as an ideal platform for constructing radical-type photocatalysts, but their reductive nature often causes stacking-induced quenching and over-reduction to the neutral state, substantially suppressing their photocatalytic performance. Herein, we intentionally introduced a 3,3'-viologen skeleton in covalent organic frameworks via a facile cyclization ionization strategy, and the resulting PyBpy-3,3'-ion features unique cationic and diradical characteristics in its neutral state, thereby promoting the simultaneous generation of superoxide radical and singlet oxygen through synergistic singlet (S1) or triplet (T1) excitation. Meanwhile, the diradicals in the catalyst exhibit a strong repulsive interaction toward oxygen, ensuring its long-term stability and activity under aerobic conditions. As a result, PyBpy-3,3'-ion exhibits exceptional photocatalytic efficiency (&gt;90%, 1 h) for the synthesis of benzimidazole-[thiazole/oxazole] (up to 40 examples) under ambient conditions, outperforming most of the state-of-the-art catalytic systems. More impressively, PyBpy-3,3'-ion serves as an outstanding photocatalyst for the facile and highly efficient syntheses of over 10 key benzazole pharmaceuticals, such as Ridinilazole, PMX-610, Tafamidis, and so on, as well as the gram-scale preparation of Thiabendazole and Pimobendan under mild conditions. Our work establishes a rational design protocol to achieve the synergistic S1 and T1 excitation in viologen for highly efficient photocatalytic synthesis of high-value pharmaceuticals.</w:t>
      </w:r>
    </w:p>
    <w:p>
      <w:pPr>
        <w:spacing w:before="120" w:after="120"/>
      </w:pPr>
      <w:r>
        <w:rPr>
          <w:sz w:val="18"/>
        </w:rPr>
        <w:t>——————————————————————————————————————————————————————————————————————</w:t>
      </w:r>
    </w:p>
    <w:p>
      <w:pPr>
        <w:spacing w:before="160" w:after="40" w:line="240" w:lineRule="auto"/>
      </w:pPr>
      <w:r>
        <w:rPr>
          <w:b/>
        </w:rPr>
        <w:t xml:space="preserve">[22] </w:t>
      </w:r>
      <w:hyperlink r:id="rId175">
        <w:r>
          <w:rPr>
            <w:color w:val="1155CC"/>
            <w:u w:val="single"/>
          </w:rPr>
          <w:t>10–23 DNA酶在生物传感和诊断中的应用：应用、挑战和未来方向</w:t>
        </w:r>
      </w:hyperlink>
    </w:p>
    <w:p>
      <w:pPr>
        <w:spacing w:before="0" w:after="80"/>
      </w:pPr>
      <w:r>
        <w:rPr>
          <w:i/>
          <w:sz w:val="20"/>
        </w:rPr>
        <w:t>EN: The 10–23 DNAzyme in Biosensing and Diagnostics: Applications, Challenges, and Future Directions</w:t>
      </w:r>
    </w:p>
    <w:p>
      <w:pPr>
        <w:spacing w:before="0" w:after="120"/>
      </w:pPr>
      <w:r>
        <w:rPr>
          <w:b/>
        </w:rPr>
        <w:t xml:space="preserve">Source: </w:t>
      </w:r>
      <w:r>
        <w:t>Wiley: Angewandte Chemie International Edition: Table of Contents</w:t>
      </w:r>
      <w:r>
        <w:t xml:space="preserve">    </w:t>
      </w:r>
      <w:r>
        <w:rPr>
          <w:b/>
        </w:rPr>
        <w:t xml:space="preserve">Pub date: </w:t>
      </w:r>
      <w:r>
        <w:t>2026-02-28 08:31:20+00:00</w:t>
      </w:r>
      <w:r>
        <w:t xml:space="preserve">    </w:t>
      </w:r>
      <w:r>
        <w:rPr>
          <w:b/>
        </w:rPr>
        <w:t xml:space="preserve">DOI: </w:t>
      </w:r>
      <w:hyperlink r:id="rId176">
        <w:r>
          <w:rPr>
            <w:color w:val="1155CC"/>
            <w:u w:val="single"/>
          </w:rPr>
          <w:t>10.1002/anie.7876181</w:t>
        </w:r>
      </w:hyperlink>
    </w:p>
    <w:p>
      <w:pPr>
        <w:spacing w:before="0" w:after="120"/>
      </w:pPr>
      <w:r>
        <w:rPr>
          <w:b/>
        </w:rPr>
        <w:t xml:space="preserve">Notes: </w:t>
      </w:r>
      <w:r>
        <w:t>abstract_source=pubmed</w:t>
      </w:r>
    </w:p>
    <w:p>
      <w:pPr>
        <w:spacing w:before="0" w:after="80" w:lineRule="auto" w:line="276"/>
      </w:pPr>
      <w:r>
        <w:rPr>
          <w:b/>
        </w:rPr>
        <w:t xml:space="preserve">摘要（ZH）: </w:t>
      </w:r>
      <w:r>
        <w:t>催化DNA分子（DNAzymes）因其简单性、可编程性和成本效益而在生物传感和诊断平台中受到越来越多的关注。其中，10-23 DNAzyme仍然是使用最广泛的RNA切割DNAzyme，结合了高催化效率和在各种传感器架构中的广泛适应性。尽管有这些优点，其性能可能会因反应温度不佳、低Mg2+浓度、富含核酸酶的生物基质以及对结构化RNA靶标的可及性受限而显著受阻。这些限制阻碍了其在简单、稳健的即时检测格式中的广泛应用。本综述探讨了10-23 DNAzyme在当代生物传感和诊断系统中的整合</w:t>
      </w:r>
    </w:p>
    <w:p>
      <w:pPr>
        <w:spacing w:before="0" w:after="200" w:lineRule="auto" w:line="276"/>
      </w:pPr>
      <w:r>
        <w:rPr>
          <w:b/>
        </w:rPr>
        <w:t xml:space="preserve">Abstract (EN): </w:t>
      </w:r>
      <w:r>
        <w:t>Catalytic DNA molecules (DNAzymes) have garnered increasing attention as components of biosensing and diagnostic platforms due to their simplicity, programmability, and cost-effectiveness. Among them, the 10-23 DNAzyme remains the most widely used RNA-cleaving DNAzyme, combining high catalytic efficiency with broad adaptability across diverse sensor architectures. Despite these advantages, its performance can be significantly hindered by suboptimal reaction temperature, low Mg2+ concentrations, nuclease-rich biological matrices, and restricted accessibility to structured RNA targets. Such limitations have impeded its widespread adoption in simple, robust point-of-care formats. This review examines the integration of the 10-23 DNAzyme into contemporary biosensing and diagnostic systems-including colorimetric, fluorescent, electrochemical, electrochemiluminescent, and intracellular sensors-highlighting both direct and regulated activation strategies and the dual role of 10-23 as a molecular recognition element and signal reporter. We also discuss key challenges in catalytic performance, stability, assay workflow, and clinical validation, as well as emerging solutions such as chemical modifications, nanoparticle-based protection, and advanced sensor architectures. Together, these insights outline the current landscape and future opportunities for advancing the 10-23 DNAzyme toward next generation biosensing and diagnostic applications.</w:t>
      </w:r>
    </w:p>
    <w:p>
      <w:pPr>
        <w:spacing w:before="120" w:after="120"/>
      </w:pPr>
      <w:r>
        <w:rPr>
          <w:sz w:val="18"/>
        </w:rPr>
        <w:t>——————————————————————————————————————————————————————————————————————</w:t>
      </w:r>
    </w:p>
    <w:p>
      <w:pPr>
        <w:spacing w:before="160" w:after="40" w:line="240" w:lineRule="auto"/>
      </w:pPr>
      <w:r>
        <w:rPr>
          <w:b/>
        </w:rPr>
        <w:t xml:space="preserve">[23] </w:t>
      </w:r>
      <w:hyperlink r:id="rId177">
        <w:r>
          <w:rPr>
            <w:color w:val="1155CC"/>
            <w:u w:val="single"/>
          </w:rPr>
          <w:t>对“通过Cu掺杂工程实现超灵敏和可视化肿瘤诊断的磁性和过氧化物酶特异性单原子纳米酶”的更正</w:t>
        </w:r>
      </w:hyperlink>
    </w:p>
    <w:p>
      <w:pPr>
        <w:spacing w:before="0" w:after="80"/>
      </w:pPr>
      <w:r>
        <w:rPr>
          <w:i/>
          <w:sz w:val="20"/>
        </w:rPr>
        <w:t>EN: Correction to “Magnetic and Peroxidase‐Specific Single‐Atom Nanozyme Through Cu‐Doping Engineering for Ultrasensitive and Visual Tumor Diagnosis”</w:t>
      </w:r>
    </w:p>
    <w:p>
      <w:pPr>
        <w:spacing w:before="0" w:after="120"/>
      </w:pPr>
      <w:r>
        <w:rPr>
          <w:b/>
        </w:rPr>
        <w:t xml:space="preserve">Source: </w:t>
      </w:r>
      <w:r>
        <w:t>Wiley: Angewandte Chemie International Edition: Table of Contents</w:t>
      </w:r>
      <w:r>
        <w:t xml:space="preserve">    </w:t>
      </w:r>
      <w:r>
        <w:rPr>
          <w:b/>
        </w:rPr>
        <w:t xml:space="preserve">Pub date: </w:t>
      </w:r>
      <w:r>
        <w:t>2026-02-28 08:34:58+00:00</w:t>
      </w:r>
      <w:r>
        <w:t xml:space="preserve">    </w:t>
      </w:r>
      <w:r>
        <w:rPr>
          <w:b/>
        </w:rPr>
        <w:t xml:space="preserve">DOI: </w:t>
      </w:r>
      <w:hyperlink r:id="rId178">
        <w:r>
          <w:rPr>
            <w:color w:val="1155CC"/>
            <w:u w:val="single"/>
          </w:rPr>
          <w:t>10.1002/anie.6439677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179">
        <w:r>
          <w:rPr>
            <w:color w:val="1155CC"/>
            <w:u w:val="single"/>
          </w:rPr>
          <w:t>单原子La助剂打破Al2O3支持的Pt催化剂在丙烷脱氢中的活性-稳定性权衡</w:t>
        </w:r>
      </w:hyperlink>
    </w:p>
    <w:p>
      <w:pPr>
        <w:spacing w:before="0" w:after="80"/>
      </w:pPr>
      <w:r>
        <w:rPr>
          <w:i/>
          <w:sz w:val="20"/>
        </w:rPr>
        <w:t>EN: Single‐Atom La Promoter Breaks the Activity–Stability Trade‐Off on Al2O3‐Supported Pt Catalysts for Propane Dehydrogenation</w:t>
      </w:r>
    </w:p>
    <w:p>
      <w:pPr>
        <w:spacing w:before="0" w:after="120"/>
      </w:pPr>
      <w:r>
        <w:rPr>
          <w:b/>
        </w:rPr>
        <w:t xml:space="preserve">Source: </w:t>
      </w:r>
      <w:r>
        <w:t>Wiley: Angewandte Chemie International Edition: Table of Contents</w:t>
      </w:r>
      <w:r>
        <w:t xml:space="preserve">    </w:t>
      </w:r>
      <w:r>
        <w:rPr>
          <w:b/>
        </w:rPr>
        <w:t xml:space="preserve">Pub date: </w:t>
      </w:r>
      <w:r>
        <w:t>2026-02-28 08:36:34+00:00</w:t>
      </w:r>
      <w:r>
        <w:t xml:space="preserve">    </w:t>
      </w:r>
      <w:r>
        <w:rPr>
          <w:b/>
        </w:rPr>
        <w:t xml:space="preserve">DOI: </w:t>
      </w:r>
      <w:hyperlink r:id="rId180">
        <w:r>
          <w:rPr>
            <w:color w:val="1155CC"/>
            <w:u w:val="single"/>
          </w:rPr>
          <w:t>10.1002/anie.202526039</w:t>
        </w:r>
      </w:hyperlink>
    </w:p>
    <w:p>
      <w:pPr>
        <w:spacing w:before="0" w:after="120"/>
      </w:pPr>
      <w:r>
        <w:rPr>
          <w:b/>
        </w:rPr>
        <w:t xml:space="preserve">Notes: </w:t>
      </w:r>
      <w:r>
        <w:t>abstract_source=pubmed</w:t>
      </w:r>
    </w:p>
    <w:p>
      <w:pPr>
        <w:spacing w:before="0" w:after="80" w:lineRule="auto" w:line="276"/>
      </w:pPr>
      <w:r>
        <w:rPr>
          <w:b/>
        </w:rPr>
        <w:t xml:space="preserve">摘要（ZH）: </w:t>
      </w:r>
      <w:r>
        <w:t>在吸热的丙烷脱氢（PDH）反应中实现可接受的丙烷转化率需要高温，这通过低丙烯选择性和加速的积炭失活加剧了活性-稳定性权衡。为了解决这个问题，我们利用勒夏特列原理的精髓——通过快速原位H2去除来改变反应平衡——这一策略传统上被认为在Al2O3载体上无法实现，因为氢溢流的限制。La1-SnOx助剂和Pt之间的协同位点使得表面H物种从Pt活性中心重新分布。因此，La1-Ptn/SnOx/Al2O3催化剂在300-600°C范围内实现了接近热力学平衡转化的丙烷转化率。此外，氢的调节</w:t>
      </w:r>
    </w:p>
    <w:p>
      <w:pPr>
        <w:spacing w:before="0" w:after="200" w:lineRule="auto" w:line="276"/>
      </w:pPr>
      <w:r>
        <w:rPr>
          <w:b/>
        </w:rPr>
        <w:t xml:space="preserve">Abstract (EN): </w:t>
      </w:r>
      <w:r>
        <w:t>Achieving acceptable propane conversion in the endothermic propane dehydrogenation (PDH) reaction demands high temperatures, which exacerbate the activity-stability trade-off through low propylene selectivity and accelerated coking deactivation. Addressing this, we leverage the essence of Le Chatelier's principle-shifting reaction equilibrium through rapid in situ H2 removal-a strategy conventionally deemed unattainable on Al2O3 supports due to hydrogen spillover limitations. The synergistic sites between the La1-SnOx promoter and Pt enable the redistribution of surface H species away from the Pt active centers. Consequently, the La1-Ptn/SnOx/Al2O3 catalyst achieves propane conversions approaching the thermodynamic equilibrium conversion over 300-600 °C. Moreover, modulation of hydrogen surface diffusion behavior influences unselective C-C(H) scission of propylene and modifies coke structure and secondary cracking propensity, which is associated with the substantially improved durability observed for La1-Ptn/SnOx/Al2O3 compared to the Ptn/SnOx/Al2O3 (commercial mimic) catalyst. This superior performance demonstrates that, the introduction of La1-SnOx not only overcomes the inert hydrogen-trapping nature of Al2O3, but also alleviates the conventional activity-stability trade-off in PDH catalysis, illustrating how atomically dispersed promoters can circumvent intrinsic support limitations and thereby expand the performance boundaries of Al2O3-based dehydrogenation catalysts.</w:t>
      </w:r>
    </w:p>
    <w:p>
      <w:pPr>
        <w:spacing w:before="120" w:after="120"/>
      </w:pPr>
      <w:r>
        <w:rPr>
          <w:sz w:val="18"/>
        </w:rPr>
        <w:t>——————————————————————————————————————————————————————————————————————</w:t>
      </w:r>
    </w:p>
    <w:p>
      <w:pPr>
        <w:spacing w:before="160" w:after="40" w:line="240" w:lineRule="auto"/>
      </w:pPr>
      <w:r>
        <w:rPr>
          <w:b/>
        </w:rPr>
        <w:t xml:space="preserve">[25] </w:t>
      </w:r>
      <w:hyperlink r:id="rId181">
        <w:r>
          <w:rPr>
            <w:color w:val="1155CC"/>
            <w:u w:val="single"/>
          </w:rPr>
          <w:t>准烟囱电极通过极化拉普拉斯压力促进氢析出反应</w:t>
        </w:r>
      </w:hyperlink>
    </w:p>
    <w:p>
      <w:pPr>
        <w:spacing w:before="0" w:after="80"/>
      </w:pPr>
      <w:r>
        <w:rPr>
          <w:i/>
          <w:sz w:val="20"/>
        </w:rPr>
        <w:t>EN: Quasi‐Chimney Electrode Boosts Hydrogen Evolution Reaction via Polarized Laplace Pressure</w:t>
      </w:r>
    </w:p>
    <w:p>
      <w:pPr>
        <w:spacing w:before="0" w:after="120"/>
      </w:pPr>
      <w:r>
        <w:rPr>
          <w:b/>
        </w:rPr>
        <w:t xml:space="preserve">Source: </w:t>
      </w:r>
      <w:r>
        <w:t>Wiley: Advanced Materials: Table of Contents</w:t>
      </w:r>
      <w:r>
        <w:t xml:space="preserve">    </w:t>
      </w:r>
      <w:r>
        <w:rPr>
          <w:b/>
        </w:rPr>
        <w:t xml:space="preserve">Pub date: </w:t>
      </w:r>
      <w:r>
        <w:t>2026-02-28 09:39:23+00:00</w:t>
      </w:r>
      <w:r>
        <w:t xml:space="preserve">    </w:t>
      </w:r>
      <w:r>
        <w:rPr>
          <w:b/>
        </w:rPr>
        <w:t xml:space="preserve">DOI: </w:t>
      </w:r>
      <w:hyperlink r:id="rId182">
        <w:r>
          <w:rPr>
            <w:color w:val="1155CC"/>
            <w:u w:val="single"/>
          </w:rPr>
          <w:t>10.1002/adma.72666</w:t>
        </w:r>
      </w:hyperlink>
    </w:p>
    <w:p>
      <w:pPr>
        <w:spacing w:before="0" w:after="120"/>
      </w:pPr>
      <w:r>
        <w:rPr>
          <w:b/>
        </w:rPr>
        <w:t xml:space="preserve">Notes: </w:t>
      </w:r>
      <w:r>
        <w:t>abstract_source=pubmed</w:t>
      </w:r>
    </w:p>
    <w:p>
      <w:pPr>
        <w:spacing w:before="0" w:after="80" w:lineRule="auto" w:line="276"/>
      </w:pPr>
      <w:r>
        <w:rPr>
          <w:b/>
        </w:rPr>
        <w:t xml:space="preserve">摘要（ZH）: </w:t>
      </w:r>
      <w:r>
        <w:t>在高电流密度条件下，质量传递对氢气析出反应（HER）的影响被显著低估。在此，我们通过将3D超亲气微通道与超疏气Pt催化剂集成，设计了一种准烟囱电极，以阐明质量传递对HER的影响。当遇到超亲气通道时，在Pt催化剂上生成的氢气（H2）气泡在气泡/通道界面经历拉普拉斯压力极化，这驱动表面和内部气泡从超疏气催化位点进入超亲气网络，作为高效气泡传输的微烟囱。此外，超亲气通道缩短了溶解H2到空气/水界面的扩散路径，从而减少了</w:t>
      </w:r>
    </w:p>
    <w:p>
      <w:pPr>
        <w:spacing w:before="0" w:after="200" w:lineRule="auto" w:line="276"/>
      </w:pPr>
      <w:r>
        <w:rPr>
          <w:b/>
        </w:rPr>
        <w:t xml:space="preserve">Abstract (EN): </w:t>
      </w:r>
      <w:r>
        <w:t>The effect of mass transfer on hydrogen evolution reaction (HER) is significantly underestimated under high-current-density conditions. Here, we designed a quasi-chimney electrode by integrating 3D superaerophilic microchannels with superaerophobic Pt catalysts to elucidate the influence of mass transfer on HER. Upon encountering superaerophilic channels, hydrogen (H2) bubbles generated on Pt catalysts experience Laplace pressure polarization at the bubble/channel interface, which drives both surface and internal bubbles from the superaerophobic catalytic sites into the superaerophilic network, functioning as a micro-chimney for efficient bubble transport. In addition, the superaerophilic channels shorten the diffusion path of dissolved H2 to the air/water interface, thereby reducing the dissolved H2 concentration. This mass-transfer enhancement yields an exceptional HER performance (a record-low overpotential of about -30 mV at -100 mA cm-2, and a high current density of -2.93 A cm-2 at -0.3 V vs RHE in H2SO4 (0.5 M) along with remarkable durability, confirmed by &lt;5% activity decay at -1000 and -2000 mA cm-2 for 160 h. The proposed quasi-chimney design, which is also applicable to various catalysts, results in an 8- and 14-times increase in current density for Cu-Co and Cu-Mo catalysts, at an overpotential of -500 mV compared with their superaerophobic electrode structures.</w:t>
      </w:r>
    </w:p>
    <w:p>
      <w:pPr>
        <w:spacing w:before="120" w:after="120"/>
      </w:pPr>
      <w:r>
        <w:rPr>
          <w:sz w:val="18"/>
        </w:rPr>
        <w:t>——————————————————————————————————————————————————————————————————————</w:t>
      </w:r>
    </w:p>
    <w:p>
      <w:pPr>
        <w:spacing w:before="160" w:after="40" w:line="240" w:lineRule="auto"/>
      </w:pPr>
      <w:r>
        <w:rPr>
          <w:b/>
        </w:rPr>
        <w:t xml:space="preserve">[26] </w:t>
      </w:r>
      <w:hyperlink r:id="rId183">
        <w:r>
          <w:rPr>
            <w:color w:val="1155CC"/>
            <w:u w:val="single"/>
          </w:rPr>
          <w:t>利用同步辐射X射线表征揭示能量存储和转换材料在纳米尺度上的工作和降解机制</w:t>
        </w:r>
      </w:hyperlink>
    </w:p>
    <w:p>
      <w:pPr>
        <w:spacing w:before="0" w:after="80"/>
      </w:pPr>
      <w:r>
        <w:rPr>
          <w:i/>
          <w:sz w:val="20"/>
        </w:rPr>
        <w:t>EN: Unraveling Working and Degradation Mechanisms of Energy Storage and Conversion Materials at the Nanoscale Using Synchrotron X‐Ray Characterizations</w:t>
      </w:r>
    </w:p>
    <w:p>
      <w:pPr>
        <w:spacing w:before="0" w:after="120"/>
      </w:pPr>
      <w:r>
        <w:rPr>
          <w:b/>
        </w:rPr>
        <w:t xml:space="preserve">Source: </w:t>
      </w:r>
      <w:r>
        <w:t>Wiley: Advanced Materials: Table of Contents</w:t>
      </w:r>
      <w:r>
        <w:t xml:space="preserve">    </w:t>
      </w:r>
      <w:r>
        <w:rPr>
          <w:b/>
        </w:rPr>
        <w:t xml:space="preserve">Pub date: </w:t>
      </w:r>
      <w:r>
        <w:t>2026-02-28 09:47:34+00:00</w:t>
      </w:r>
      <w:r>
        <w:t xml:space="preserve">    </w:t>
      </w:r>
      <w:r>
        <w:rPr>
          <w:b/>
        </w:rPr>
        <w:t xml:space="preserve">DOI: </w:t>
      </w:r>
      <w:hyperlink r:id="rId184">
        <w:r>
          <w:rPr>
            <w:color w:val="1155CC"/>
            <w:u w:val="single"/>
          </w:rPr>
          <w:t>10.1002/adma.72655</w:t>
        </w:r>
      </w:hyperlink>
    </w:p>
    <w:p>
      <w:pPr>
        <w:spacing w:before="0" w:after="120"/>
      </w:pPr>
      <w:r>
        <w:rPr>
          <w:b/>
        </w:rPr>
        <w:t xml:space="preserve">Notes: </w:t>
      </w:r>
      <w:r>
        <w:t>abstract_source=pubmed</w:t>
      </w:r>
    </w:p>
    <w:p>
      <w:pPr>
        <w:spacing w:before="0" w:after="80" w:lineRule="auto" w:line="276"/>
      </w:pPr>
      <w:r>
        <w:rPr>
          <w:b/>
        </w:rPr>
        <w:t xml:space="preserve">摘要（ZH）: </w:t>
      </w:r>
      <w:r>
        <w:t>全面了解能源材料的工作和降解机制对于提高其性能和应对当代能源和环境挑战至关重要，特别是在从化石燃料向可再生能源过渡的过程中。基于同步辐射的纳米级X射线表征技术提供了强大的多尺度和多模态分析能力，使其成为揭示操作和失效机制的强大工具，尤其是揭示在真实操作条件下从纳米到微米特征的块体材料的机制。本文首先强调了基于同步辐射光源的X射线方法的优势，然后总结了X射线与物质的相互作用及相应的表征。</w:t>
      </w:r>
    </w:p>
    <w:p>
      <w:pPr>
        <w:spacing w:before="0" w:after="200" w:lineRule="auto" w:line="276"/>
      </w:pPr>
      <w:r>
        <w:rPr>
          <w:b/>
        </w:rPr>
        <w:t xml:space="preserve">Abstract (EN): </w:t>
      </w:r>
      <w:r>
        <w:t>A comprehensive understanding of working and degradation mechanisms of energy materials is essential for enhancing their performance and tackling contemporary energy and environmental challenges, particularly in the transition from fossil fuels to renewables. Emerging nanoscale X-ray characterization techniques based on synchrotron radiation provide robust, multi-scale, and multi-modal analytical capabilities, making them a suite of powerful tools for revealing operational and failure mechanisms, especially of bulk materials with features ranging from nano to micrometers under realistic operating conditions. This Perspective initially highlights the advantages of X-ray methods based on synchrotron light sources and then summarizes X-ray-matter interactions and corresponding characterization methods. Three pivotal approaches that facilitate nanoscale X-ray imaging are subsequently summarized. Representative examples illustrate the versatility and power of these prominent techniques, including X-ray imaging, scattering/diffraction, and spectroscopy, in probing morphologies, compositions, atomic structures, and electronic properties. Integration of multi-scale and multi-modal X-ray techniques is underscored to achieve synergistic enhancements in analytical depth. It concludes with a discussion of current challenges, emerging opportunities, and future directions, providing insights into potential advancements in this field.</w:t>
      </w:r>
    </w:p>
    <w:p>
      <w:pPr>
        <w:spacing w:before="120" w:after="120"/>
      </w:pPr>
      <w:r>
        <w:rPr>
          <w:sz w:val="18"/>
        </w:rPr>
        <w:t>——————————————————————————————————————————————————————————————————————</w:t>
      </w:r>
    </w:p>
    <w:p>
      <w:pPr>
        <w:spacing w:before="160" w:after="40" w:line="240" w:lineRule="auto"/>
      </w:pPr>
      <w:r>
        <w:rPr>
          <w:b/>
        </w:rPr>
        <w:t xml:space="preserve">[27] </w:t>
      </w:r>
      <w:hyperlink r:id="rId185">
        <w:r>
          <w:rPr>
            <w:color w:val="1155CC"/>
            <w:u w:val="single"/>
          </w:rPr>
          <w:t>通过一步PtTe2/2H-MoTe2异相形成直接生长晶圆级2D半导体晶体管</w:t>
        </w:r>
      </w:hyperlink>
    </w:p>
    <w:p>
      <w:pPr>
        <w:spacing w:before="0" w:after="80"/>
      </w:pPr>
      <w:r>
        <w:rPr>
          <w:i/>
          <w:sz w:val="20"/>
        </w:rPr>
        <w:t>EN: Direct Growth of Wafer‐Scale 2D Semiconductor Transistors via One‐Step PtTe2/2H‐MoTe2 Heterophase Formation</w:t>
      </w:r>
    </w:p>
    <w:p>
      <w:pPr>
        <w:spacing w:before="0" w:after="120"/>
      </w:pPr>
      <w:r>
        <w:rPr>
          <w:b/>
        </w:rPr>
        <w:t xml:space="preserve">Source: </w:t>
      </w:r>
      <w:r>
        <w:t>Wiley: Advanced Materials: Table of Contents</w:t>
      </w:r>
      <w:r>
        <w:t xml:space="preserve">    </w:t>
      </w:r>
      <w:r>
        <w:rPr>
          <w:b/>
        </w:rPr>
        <w:t xml:space="preserve">Pub date: </w:t>
      </w:r>
      <w:r>
        <w:t>2026-02-28 11:03:12+00:00</w:t>
      </w:r>
      <w:r>
        <w:t xml:space="preserve">    </w:t>
      </w:r>
      <w:r>
        <w:rPr>
          <w:b/>
        </w:rPr>
        <w:t xml:space="preserve">DOI: </w:t>
      </w:r>
      <w:hyperlink r:id="rId186">
        <w:r>
          <w:rPr>
            <w:color w:val="1155CC"/>
            <w:u w:val="single"/>
          </w:rPr>
          <w:t>10.1002/adma.202522270</w:t>
        </w:r>
      </w:hyperlink>
    </w:p>
    <w:p>
      <w:pPr>
        <w:spacing w:before="0" w:after="120"/>
      </w:pPr>
      <w:r>
        <w:rPr>
          <w:b/>
        </w:rPr>
        <w:t xml:space="preserve">Notes: </w:t>
      </w:r>
      <w:r>
        <w:t>abstract_source=pubmed</w:t>
      </w:r>
    </w:p>
    <w:p>
      <w:pPr>
        <w:spacing w:before="0" w:after="80" w:lineRule="auto" w:line="276"/>
      </w:pPr>
      <w:r>
        <w:rPr>
          <w:b/>
        </w:rPr>
        <w:t xml:space="preserve">摘要（ZH）: </w:t>
      </w:r>
      <w:r>
        <w:t>二维半导体为下一代集成电路和大规模电子系统提供了一个有前景的平台。然而，由于费米能级钉扎、高接触电阻和传统逐步制造中界面定义不清，实现高性能p型晶体管仍然具有挑战性。在此，我们展示了一种单步碲化生长策略，该策略同时在2H-MoTe2通道上形成PtTe2接触，以直接实现二维半导体晶体管。该方法在PtTe2电极界面处精确控制MoTe2相，同时提供集成的范德华金属接触，无需后续生长金属接触。使用这种方法，我们实现了晶圆级异相阵列。</w:t>
      </w:r>
    </w:p>
    <w:p>
      <w:pPr>
        <w:spacing w:before="0" w:after="200" w:lineRule="auto" w:line="276"/>
      </w:pPr>
      <w:r>
        <w:rPr>
          <w:b/>
        </w:rPr>
        <w:t xml:space="preserve">Abstract (EN): </w:t>
      </w:r>
      <w:r>
        <w:t>2D semiconductors offer a promising platform for next-generation integrated circuits and large-scale electronic systems. Realizing high-performance p-type transistors, however, remains challenging due to Fermi-level pinning, high contact resistance, and poorly defined interfaces in conventional stepwise fabrication. Here, we demonstrate a single-step tellurization growth strategy that simultaneously forms PtTe2 contacts on 2H-MoTe2 channels to directly realize 2D semiconductor transistors. This approach forms PtTe2/2H-MoTe2 metal/semiconductor arrays with precise control of the MoTe2 phase at the PtTe2 electrode interface, while providing integrated van der Waals metallic contacts without the need for post-growth of metal contacts. Using this method, we achieve wafer-scale heterophase arrays characterized by uniform patterning and well-controlled 2H/1T' phase transformation dynamics. The heterojunctions display sharp and clean interfaces, as verified by TEM, STEM, and EDS mapping. Transistor arrays fabricated from these heterophase structures show Ohmic contacts with low Schottky barrier heights, delivering on/off ratios up to 5 × 104 and consistent mobility of 5-9 cm2/Vs across 100 devices, ensuring efficient carrier injection. Our results establish a scalable pathway for the direct growth of 2D semiconductor transistors, overcoming conventional multi-step device fabrication bottlenecks and providing a promising platform for large-scale, and reproducible 2D electronics.</w:t>
      </w:r>
    </w:p>
    <w:p>
      <w:pPr>
        <w:spacing w:before="120" w:after="120"/>
      </w:pPr>
      <w:r>
        <w:rPr>
          <w:sz w:val="18"/>
        </w:rPr>
        <w:t>——————————————————————————————————————————————————————————————————————</w:t>
      </w:r>
    </w:p>
    <w:p>
      <w:pPr>
        <w:spacing w:before="160" w:after="40" w:line="240" w:lineRule="auto"/>
      </w:pPr>
      <w:r>
        <w:rPr>
          <w:b/>
        </w:rPr>
        <w:t xml:space="preserve">[28] </w:t>
      </w:r>
      <w:hyperlink r:id="rId187">
        <w:r>
          <w:rPr>
            <w:color w:val="1155CC"/>
            <w:u w:val="single"/>
          </w:rPr>
          <w:t>用于机器人体现能量的光化学燃料载体分子</w:t>
        </w:r>
      </w:hyperlink>
    </w:p>
    <w:p>
      <w:pPr>
        <w:spacing w:before="0" w:after="80"/>
      </w:pPr>
      <w:r>
        <w:rPr>
          <w:i/>
          <w:sz w:val="20"/>
        </w:rPr>
        <w:t>EN: Photochemical Fuel Carrier Molecules for Robotic Embodied Energy</w:t>
      </w:r>
    </w:p>
    <w:p>
      <w:pPr>
        <w:spacing w:before="0" w:after="120"/>
      </w:pPr>
      <w:r>
        <w:rPr>
          <w:b/>
        </w:rPr>
        <w:t xml:space="preserve">Source: </w:t>
      </w:r>
      <w:r>
        <w:t>Wiley: Advanced Materials: Table of Contents</w:t>
      </w:r>
      <w:r>
        <w:t xml:space="preserve">    </w:t>
      </w:r>
      <w:r>
        <w:rPr>
          <w:b/>
        </w:rPr>
        <w:t xml:space="preserve">Pub date: </w:t>
      </w:r>
      <w:r>
        <w:t>2026-02-28 11:15:51+00:00</w:t>
      </w:r>
      <w:r>
        <w:t xml:space="preserve">    </w:t>
      </w:r>
      <w:r>
        <w:rPr>
          <w:b/>
        </w:rPr>
        <w:t xml:space="preserve">DOI: </w:t>
      </w:r>
      <w:hyperlink r:id="rId188">
        <w:r>
          <w:rPr>
            <w:color w:val="1155CC"/>
            <w:u w:val="single"/>
          </w:rPr>
          <w:t>10.1002/adma.202520447</w:t>
        </w:r>
      </w:hyperlink>
    </w:p>
    <w:p>
      <w:pPr>
        <w:spacing w:before="0" w:after="120"/>
      </w:pPr>
      <w:r>
        <w:rPr>
          <w:b/>
        </w:rPr>
        <w:t xml:space="preserve">Notes: </w:t>
      </w:r>
      <w:r>
        <w:t>abstract_source=pubmed</w:t>
      </w:r>
    </w:p>
    <w:p>
      <w:pPr>
        <w:spacing w:before="0" w:after="80" w:lineRule="auto" w:line="276"/>
      </w:pPr>
      <w:r>
        <w:rPr>
          <w:b/>
        </w:rPr>
        <w:t xml:space="preserve">摘要（ZH）: </w:t>
      </w:r>
      <w:r>
        <w:t>移动机器人的小型化在动力和控制方面面临障碍，因为传统的机电系统在质量和尺寸上不利于缩放。尽管功能材料的最新进展使得高效的能量存储、结构集成和按需能量释放在小型机器人中仍然是一个挑战。受动物代谢策略的启发，我们为小型游泳机器人设计了一种用于体现能量的燃料载体分子。我们将超低表面张力单元集成到光敏的o-硝基苯甲基衍生物中，以产生一种新型光响应分子用于燃料存储和控制释放。结合这两种特性，载体分子在紫外光下发生键断裂以释放燃料，并局部操控表面张力以产生M</w:t>
      </w:r>
    </w:p>
    <w:p>
      <w:pPr>
        <w:spacing w:before="0" w:after="200" w:lineRule="auto" w:line="276"/>
      </w:pPr>
      <w:r>
        <w:rPr>
          <w:b/>
        </w:rPr>
        <w:t xml:space="preserve">Abstract (EN): </w:t>
      </w:r>
      <w:r>
        <w:t>The downsizing of mobile robots faces obstacles in power and control as conventional electromechanical systems do not scale favorably with mass and size. Despite recent advancements in functional materials, enabling efficient energy storage, structural integration, and on-demand energy release in small-scale robots remains a challenge. Inspired by metabolic strategies in animals, we designed a fuel carrier molecule for embodied energy in small-scale swimming robots. We integrated an ultralow surface tension unit into a photolabile o-nitrobenzyl derivative to yield a novel photoresponsive molecule for fuel storage and controlled release. Combining these two properties, carrier molecules undergo bond scission under UV light to release fuel and locally manipulate surface tension to generate Marangoni flows. We incorporated this fuel carrier into an easily processable polymer composite to enable its application as a structural component with embodied energy and control. We implemented this approach in Marangoni micropump systems, surface-tension-active particle transportation, and untethered hybrid microrobots that combine photochemical on-off propulsion with magnetic control. This materials platform serves as a versatile solution to store fuel and energy in structural components and release it on demand with precision, opening new opportunities for embodied energy design in microrobots, soft devices, and active matter systems.</w:t>
      </w:r>
    </w:p>
    <w:p>
      <w:pPr>
        <w:spacing w:before="120" w:after="120"/>
      </w:pPr>
      <w:r>
        <w:rPr>
          <w:sz w:val="18"/>
        </w:rPr>
        <w:t>——————————————————————————————————————————————————————————————————————</w:t>
      </w:r>
    </w:p>
    <w:p>
      <w:pPr>
        <w:spacing w:before="160" w:after="40" w:line="240" w:lineRule="auto"/>
      </w:pPr>
      <w:r>
        <w:rPr>
          <w:b/>
        </w:rPr>
        <w:t xml:space="preserve">[29] </w:t>
      </w:r>
      <w:hyperlink r:id="rId189">
        <w:r>
          <w:rPr>
            <w:color w:val="1155CC"/>
            <w:u w:val="single"/>
          </w:rPr>
          <w:t>通过分子内非共价相互作用增强的多重共振发射体实现高性能超窄带蓝色电致发光</w:t>
        </w:r>
      </w:hyperlink>
    </w:p>
    <w:p>
      <w:pPr>
        <w:spacing w:before="0" w:after="80"/>
      </w:pPr>
      <w:r>
        <w:rPr>
          <w:i/>
          <w:sz w:val="20"/>
        </w:rPr>
        <w:t>EN: High‐Performance Ultra‐Narrowband Blue Electroluminescence via Intramolecular Noncovalent Interaction‐Enhanced Multiple Resonance Emitters</w:t>
      </w:r>
    </w:p>
    <w:p>
      <w:pPr>
        <w:spacing w:before="0" w:after="120"/>
      </w:pPr>
      <w:r>
        <w:rPr>
          <w:b/>
        </w:rPr>
        <w:t xml:space="preserve">Source: </w:t>
      </w:r>
      <w:r>
        <w:t>Wiley: Angewandte Chemie International Edition: Table of Contents</w:t>
      </w:r>
      <w:r>
        <w:t xml:space="preserve">    </w:t>
      </w:r>
      <w:r>
        <w:rPr>
          <w:b/>
        </w:rPr>
        <w:t xml:space="preserve">Pub date: </w:t>
      </w:r>
      <w:r>
        <w:t>2026-02-28 13:04:52+00:00</w:t>
      </w:r>
      <w:r>
        <w:t xml:space="preserve">    </w:t>
      </w:r>
      <w:r>
        <w:rPr>
          <w:b/>
        </w:rPr>
        <w:t xml:space="preserve">DOI: </w:t>
      </w:r>
      <w:hyperlink r:id="rId190">
        <w:r>
          <w:rPr>
            <w:color w:val="1155CC"/>
            <w:u w:val="single"/>
          </w:rPr>
          <w:t>10.1002/anie.3968771</w:t>
        </w:r>
      </w:hyperlink>
    </w:p>
    <w:p>
      <w:pPr>
        <w:spacing w:before="0" w:after="120"/>
      </w:pPr>
      <w:r>
        <w:rPr>
          <w:b/>
        </w:rPr>
        <w:t xml:space="preserve">Notes: </w:t>
      </w:r>
      <w:r>
        <w:t>abstract_source=pubmed</w:t>
      </w:r>
    </w:p>
    <w:p>
      <w:pPr>
        <w:spacing w:before="0" w:after="80" w:lineRule="auto" w:line="276"/>
      </w:pPr>
      <w:r>
        <w:rPr>
          <w:b/>
        </w:rPr>
        <w:t xml:space="preserve">摘要（ZH）: </w:t>
      </w:r>
      <w:r>
        <w:t>高性能蓝色有机发光二极管（OLEDs）的发展受到超窄多重共振热激活延迟荧光（MR-TADF）发射体分子骨架稀缺及其在固体薄膜中固有的聚集诱导展宽和猝灭倾向的阻碍。为本质上解决这两个挑战，我们报告了一种“软约束”分子设计策略，战略性地增强分子内非共价相互作用。通过将定制的供体（咔唑）或受体（三嗪）单元附加到MR-TADF核心，这种结构不仅直接抑制关键的高频振动（例如C─N伸缩）以在溶液中实现令人印象深刻的窄发射，FWHM为19 nm，还</w:t>
      </w:r>
    </w:p>
    <w:p>
      <w:pPr>
        <w:spacing w:before="0" w:after="200" w:lineRule="auto" w:line="276"/>
      </w:pPr>
      <w:r>
        <w:rPr>
          <w:b/>
        </w:rPr>
        <w:t xml:space="preserve">Abstract (EN): </w:t>
      </w:r>
      <w:r>
        <w:t>The development of high-performance blue organic light-emitting diodes (OLEDs) is impeded by the scarcity of molecular scaffolds for ultranarrow multiple-resonance thermally activated delayed fluorescence (MR-TADF) emitters and their inherent tendency to suffer from aggregation-induced broadening and quenching in solid films. To intrinsically address these dual challenges, we report a "soft constraints" molecular design strategy that strategically enhances intramolecular noncovalent interactions. By appending tailored donor (carbazole) or acceptor (triazine) units to the MR-TADF core, this architecture not only directly suppresses key high-frequency vibrations (e.g., C─N stretching) to achieve an impressively narrow emission with a full width at half-maximum (FWHM) of 19 nm in solution, but also effectively inhibits detrimental π…π stacking between the emissive cores. The resulting emitters Cz‑TBN and TRZ‑TBN retain ultranarrow emission (FWHM ≈ 23 nm) and high external quantum efficiencies (up to 40.5%) in OLEDs across a broad doping range (1-10 wt%); the TRZ‑TBN device also reaches a record power efficiency (67.9 lm W-1) for blue MR-OLEDs. This work offers a generalizable strategy for the rational design of high-performance blue emitters.</w:t>
      </w:r>
    </w:p>
    <w:p>
      <w:pPr>
        <w:spacing w:before="120" w:after="120"/>
      </w:pPr>
      <w:r>
        <w:rPr>
          <w:sz w:val="18"/>
        </w:rPr>
        <w:t>——————————————————————————————————————————————————————————————————————</w:t>
      </w:r>
    </w:p>
    <w:p>
      <w:pPr>
        <w:spacing w:before="160" w:after="40" w:line="240" w:lineRule="auto"/>
      </w:pPr>
      <w:r>
        <w:rPr>
          <w:b/>
        </w:rPr>
        <w:t xml:space="preserve">[30] </w:t>
      </w:r>
      <w:hyperlink r:id="rId191">
        <w:r>
          <w:rPr>
            <w:color w:val="1155CC"/>
            <w:u w:val="single"/>
          </w:rPr>
          <w:t>用于乳腺癌放大光动力免疫治疗的双钥匙门控核DNA靶向光发生器</w:t>
        </w:r>
      </w:hyperlink>
    </w:p>
    <w:p>
      <w:pPr>
        <w:spacing w:before="0" w:after="80"/>
      </w:pPr>
      <w:r>
        <w:rPr>
          <w:i/>
          <w:sz w:val="20"/>
        </w:rPr>
        <w:t>EN: A Dual‐Key Gated Nuclear‐DNA‐Targeted Photogenerator for Amplified Photodynamic Immunotherapy of Breast Cancer</w:t>
      </w:r>
    </w:p>
    <w:p>
      <w:pPr>
        <w:spacing w:before="0" w:after="120"/>
      </w:pPr>
      <w:r>
        <w:rPr>
          <w:b/>
        </w:rPr>
        <w:t xml:space="preserve">Source: </w:t>
      </w:r>
      <w:r>
        <w:t>Wiley: Angewandte Chemie International Edition: Table of Contents</w:t>
      </w:r>
      <w:r>
        <w:t xml:space="preserve">    </w:t>
      </w:r>
      <w:r>
        <w:rPr>
          <w:b/>
        </w:rPr>
        <w:t xml:space="preserve">Pub date: </w:t>
      </w:r>
      <w:r>
        <w:t>2026-02-28 13:35:36+00:00</w:t>
      </w:r>
      <w:r>
        <w:t xml:space="preserve">    </w:t>
      </w:r>
      <w:r>
        <w:rPr>
          <w:b/>
        </w:rPr>
        <w:t xml:space="preserve">DOI: </w:t>
      </w:r>
      <w:hyperlink r:id="rId192">
        <w:r>
          <w:rPr>
            <w:color w:val="1155CC"/>
            <w:u w:val="single"/>
          </w:rPr>
          <w:t>10.1002/anie.202523661</w:t>
        </w:r>
      </w:hyperlink>
    </w:p>
    <w:p>
      <w:pPr>
        <w:spacing w:before="0" w:after="120"/>
      </w:pPr>
      <w:r>
        <w:rPr>
          <w:b/>
        </w:rPr>
        <w:t xml:space="preserve">Notes: </w:t>
      </w:r>
      <w:r>
        <w:t>abstract_source=pubmed</w:t>
      </w:r>
    </w:p>
    <w:p>
      <w:pPr>
        <w:spacing w:before="0" w:after="80" w:lineRule="auto" w:line="276"/>
      </w:pPr>
      <w:r>
        <w:rPr>
          <w:b/>
        </w:rPr>
        <w:t xml:space="preserve">摘要（ZH）: </w:t>
      </w:r>
      <w:r>
        <w:t>开发能够直接损伤核DNA的治疗剂对于治愈转移性乳腺癌至关重要。在此，通过双钥匙门控构建了一种酶介导的核DNA靶向光发生器（P-NO3），用于放大光动力免疫治疗（PDIT）对抗乳腺癌，这在报道中很少见。具体而言，设计中包含了双侧吡啶酮单元，以与乳腺癌细胞中过度活化的细胞周期依赖性激酶4和6（CDK4/6）相互作用，这可以规避不可渗透的核膜的限制（第一个钥匙）。一旦进入细胞核，装备的双正吡啶基团可以进一步竞争性结合DNA，促进P-NO3精确锚定并照亮核DNA（第二个钥匙）。在级联</w:t>
      </w:r>
    </w:p>
    <w:p>
      <w:pPr>
        <w:spacing w:before="0" w:after="200" w:lineRule="auto" w:line="276"/>
      </w:pPr>
      <w:r>
        <w:rPr>
          <w:b/>
        </w:rPr>
        <w:t xml:space="preserve">Abstract (EN): </w:t>
      </w:r>
      <w:r>
        <w:t>Developing therapeutic agents that are capable of directly damaging nuclear DNA is critical for curing metastatic breast cancer. Herein, an enzyme-mediated nuclear DNA-targeted photogenerator (P-NO3) was constructed through dual-key gating for amplified photodynamic immunotherapy (PDIT) against breast cancer, which has rarely been reported. Specifically, bilateral pyridinone units were included in the design to interact with overactivated cyclin-dependent kinases 4 and 6 (CDK4/6) within breast cancer cells, which can circumvent the limitation of an impermeable nuclear envelope (the first key). Once inside the nucleus, the equipped dual-positive pyridine groups can further competitively bind with DNA, promoting P-NO3 to precisely anchor and illuminate nuclear DNA (the second key). Upon cascade activation, P-NO3 utilized photogenerated highly toxic hydroxyl radical (·OH) in situ to damage the nucleus even under hypoxia, causing the up-regulated expression of related genes (DDI2, KDM4D, RGCC). Concomitantly, damage-associated high-mobility group box 1 (HMGB1) and calreticulin (CRT) were released, triggering a systemic immune response to further suppress distant tumors, realizing efficient PDIT for breast cancer. This study provides new insight into designing nuclear-DNA-targeted phototherapeutic agents for complete ablation of metastatic tumors.</w:t>
      </w:r>
    </w:p>
    <w:p>
      <w:pPr>
        <w:spacing w:before="120" w:after="120"/>
      </w:pPr>
      <w:r>
        <w:rPr>
          <w:sz w:val="18"/>
        </w:rPr>
        <w:t>——————————————————————————————————————————————————————————————————————</w:t>
      </w:r>
    </w:p>
    <w:p>
      <w:pPr>
        <w:spacing w:before="160" w:after="40" w:line="240" w:lineRule="auto"/>
      </w:pPr>
      <w:r>
        <w:rPr>
          <w:b/>
        </w:rPr>
        <w:t xml:space="preserve">[31] </w:t>
      </w:r>
      <w:hyperlink r:id="rId193">
        <w:r>
          <w:rPr>
            <w:color w:val="1155CC"/>
            <w:u w:val="single"/>
          </w:rPr>
          <w:t>用于拓扑转变的组分编程自组装：从二维网络到离散大卫之星</w:t>
        </w:r>
      </w:hyperlink>
    </w:p>
    <w:p>
      <w:pPr>
        <w:spacing w:before="0" w:after="80"/>
      </w:pPr>
      <w:r>
        <w:rPr>
          <w:i/>
          <w:sz w:val="20"/>
        </w:rPr>
        <w:t>EN: Component‐Programmed Self‐Assembly for Topological Transformation: From a 2D Network to a Discrete Star of David</w:t>
      </w:r>
    </w:p>
    <w:p>
      <w:pPr>
        <w:spacing w:before="0" w:after="120"/>
      </w:pPr>
      <w:r>
        <w:rPr>
          <w:b/>
        </w:rPr>
        <w:t xml:space="preserve">Source: </w:t>
      </w:r>
      <w:r>
        <w:t>Wiley: Angewandte Chemie International Edition: Table of Contents</w:t>
      </w:r>
      <w:r>
        <w:t xml:space="preserve">    </w:t>
      </w:r>
      <w:r>
        <w:rPr>
          <w:b/>
        </w:rPr>
        <w:t xml:space="preserve">Pub date: </w:t>
      </w:r>
      <w:r>
        <w:t>2026-02-28 13:36:19+00:00</w:t>
      </w:r>
      <w:r>
        <w:t xml:space="preserve">    </w:t>
      </w:r>
      <w:r>
        <w:rPr>
          <w:b/>
        </w:rPr>
        <w:t xml:space="preserve">DOI: </w:t>
      </w:r>
      <w:hyperlink r:id="rId194">
        <w:r>
          <w:rPr>
            <w:color w:val="1155CC"/>
            <w:u w:val="single"/>
          </w:rPr>
          <w:t>10.1002/anie.1762884</w:t>
        </w:r>
      </w:hyperlink>
    </w:p>
    <w:p>
      <w:pPr>
        <w:spacing w:before="0" w:after="120"/>
      </w:pPr>
      <w:r>
        <w:rPr>
          <w:b/>
        </w:rPr>
        <w:t xml:space="preserve">Notes: </w:t>
      </w:r>
      <w:r>
        <w:t>abstract_source=pubmed</w:t>
      </w:r>
    </w:p>
    <w:p>
      <w:pPr>
        <w:spacing w:before="0" w:after="80" w:lineRule="auto" w:line="276"/>
      </w:pPr>
      <w:r>
        <w:rPr>
          <w:b/>
        </w:rPr>
        <w:t xml:space="preserve">摘要（ZH）: </w:t>
      </w:r>
      <w:r>
        <w:t>可控地修改超分子结构的维度和拓扑对于调节其性质至关重要。在此，我们报告了一种稳健的组分控制拓扑转变，始于通过金属有机配体（MOL）LA与Zn(II)自组装形成的二维（2D）层状配位网络S2。通过在S2系统中战略性地引入具有外围臂的V形调节剂LB，触发了显著的拓扑转变，从而形成了离散的零维（0D）六边形框架大卫星S1。这种前所未有的2D到0D的控制使得其内在性质的直接比较成为可能，结构通过核磁共振（NMR）光谱和高分辨率电喷雾电离质谱明确确认。</w:t>
      </w:r>
    </w:p>
    <w:p>
      <w:pPr>
        <w:spacing w:before="0" w:after="200" w:lineRule="auto" w:line="276"/>
      </w:pPr>
      <w:r>
        <w:rPr>
          <w:b/>
        </w:rPr>
        <w:t xml:space="preserve">Abstract (EN): </w:t>
      </w:r>
      <w:r>
        <w:t>Controllable modifications on dimensionalities and topologies of supramolecules are crucial for tuning their properties. Here, we report a robust component-controlled topological transformation, initiating with a two-dimensional (2D) layered coordination network S2 formed by the self-assembly of a metallo-organic ligand (MOL) LA with Zn(II). The strategic introduction of a V-shaped modulator LB with peripheral arms into the S2 system triggered a remarkable topological transformation, thus affording a discrete zero-dimensional (0D) hexagon-framed Star of David S1. This unprecedented 2D to 0D control facilitates direct comparison of their intrinsic properties, with structures unequivocally confirmed by nuclear magnetic resonance (NMR) spectroscopy, high-resolution electrospray ionization mass spectrometry (ESI-MS), traveling-wave ion mobility mass spectrometry (TWIM-MS), and microscopy. In the aerobic sulfide oxidation, the extended 2D network S2 exhibited significantly improved photocatalytic performance over S1. This enhanced efficiency was attributed to S2's pseudo-heterogeneous nature, which maximizes active site exposure and overcomes typical limitations of heterogeneous catalysts. This work not only establishes a novel strategy for controlling supramolecular architecture but also compellingly demonstrates that for catalytic applications, ensuring active site accessibility through judicious structural design can be a more potent strategy than pursuing isolated structural complexity.</w:t>
      </w:r>
    </w:p>
    <w:p>
      <w:pPr>
        <w:spacing w:before="120" w:after="120"/>
      </w:pPr>
      <w:r>
        <w:rPr>
          <w:sz w:val="18"/>
        </w:rPr>
        <w:t>——————————————————————————————————————————————————————————————————————</w:t>
      </w:r>
    </w:p>
    <w:p>
      <w:pPr>
        <w:spacing w:before="160" w:after="40" w:line="240" w:lineRule="auto"/>
      </w:pPr>
      <w:r>
        <w:rPr>
          <w:b/>
        </w:rPr>
        <w:t xml:space="preserve">[32] </w:t>
      </w:r>
      <w:hyperlink r:id="rId195">
        <w:r>
          <w:rPr>
            <w:color w:val="1155CC"/>
            <w:u w:val="single"/>
          </w:rPr>
          <w:t>共价有机框架的全新合成：拓扑选择和深远π电子效应的原理</w:t>
        </w:r>
      </w:hyperlink>
    </w:p>
    <w:p>
      <w:pPr>
        <w:spacing w:before="0" w:after="80"/>
      </w:pPr>
      <w:r>
        <w:rPr>
          <w:i/>
          <w:sz w:val="20"/>
        </w:rPr>
        <w:t>EN: De Novo Synthesis of Covalent Organic Frameworks: A Principle for Topology Selection and Profound π Electronic Effects</w:t>
      </w:r>
    </w:p>
    <w:p>
      <w:pPr>
        <w:spacing w:before="0" w:after="120"/>
      </w:pPr>
      <w:r>
        <w:rPr>
          <w:b/>
        </w:rPr>
        <w:t xml:space="preserve">Source: </w:t>
      </w:r>
      <w:r>
        <w:t>Wiley: Angewandte Chemie International Edition: Table of Contents</w:t>
      </w:r>
      <w:r>
        <w:t xml:space="preserve">    </w:t>
      </w:r>
      <w:r>
        <w:rPr>
          <w:b/>
        </w:rPr>
        <w:t xml:space="preserve">Pub date: </w:t>
      </w:r>
      <w:r>
        <w:t>2026-02-28 13:45:25+00:00</w:t>
      </w:r>
      <w:r>
        <w:t xml:space="preserve">    </w:t>
      </w:r>
      <w:r>
        <w:rPr>
          <w:b/>
        </w:rPr>
        <w:t xml:space="preserve">DOI: </w:t>
      </w:r>
      <w:hyperlink r:id="rId196">
        <w:r>
          <w:rPr>
            <w:color w:val="1155CC"/>
            <w:u w:val="single"/>
          </w:rPr>
          <w:t>10.1002/anie.4157706</w:t>
        </w:r>
      </w:hyperlink>
    </w:p>
    <w:p>
      <w:pPr>
        <w:spacing w:before="0" w:after="120"/>
      </w:pPr>
      <w:r>
        <w:rPr>
          <w:b/>
        </w:rPr>
        <w:t xml:space="preserve">Notes: </w:t>
      </w:r>
      <w:r>
        <w:t>abstract_source=pubmed</w:t>
      </w:r>
    </w:p>
    <w:p>
      <w:pPr>
        <w:spacing w:before="0" w:after="80" w:lineRule="auto" w:line="276"/>
      </w:pPr>
      <w:r>
        <w:rPr>
          <w:b/>
        </w:rPr>
        <w:t xml:space="preserve">摘要（ZH）: </w:t>
      </w:r>
      <w:r>
        <w:t>共价有机框架是一类具有明确骨架和有序孔隙的结晶多孔聚合物，使其在结构设计和合成中具有吸引力。过去二十年的化学进展极大地增强了我们设计合成框架材料的能力。然而，一个关键的基本问题是反应系统如何从异构体中选择特定的拓扑结构，以及哪些结构参数决定了拓扑结构的形成仍不清楚。在此，我们揭示了一种可行的设计策略，用于在框架合成中选择性形成多边形拓扑。我们专注于四边形和Kagome拓扑，因为它们是最具挑战性的拓扑异构体，难以选择性合成。我们观察到电子缺乏的单体形成Kagome</w:t>
      </w:r>
    </w:p>
    <w:p>
      <w:pPr>
        <w:spacing w:before="0" w:after="200" w:lineRule="auto" w:line="276"/>
      </w:pPr>
      <w:r>
        <w:rPr>
          <w:b/>
        </w:rPr>
        <w:t xml:space="preserve">Abstract (EN): </w:t>
      </w:r>
      <w:r>
        <w:t>Covalent organic frameworks are a class of crystalline porous polymers with well-defined skeletons and ordered pores, making them attractive for structural design and synthesis. Progress in chemistry over the past two decades has greatly enabled our capability of designed synthesis of framework materials. However, a key fundamental issue that how reaction systems select a specific topology from isomers and what structural parameters determine the formation of the topology remains unclear. Here, we unveil a feasible design strategy for the selective formation of polygonal topology in the framework synthesis. We focused on tetragonal and Kagome topologies as they are the most challenging topology isomers to be selectively synthesized. We observed that electron-deficient monomers form Kagome frameworks and electron-rich units produce tetragonal skeletons. This finding provides the structural guidance for de novo synthesis of Kagome and tetragonal frameworks selectively. Remarkably, the framework topology exerts profound electronic effects on photoconductivity and photocatalytic activity, leading to the finding of exceptional hydrogen evolution systems.</w:t>
      </w:r>
    </w:p>
    <w:p>
      <w:pPr>
        <w:spacing w:before="120" w:after="120"/>
      </w:pPr>
      <w:r>
        <w:rPr>
          <w:sz w:val="18"/>
        </w:rPr>
        <w:t>——————————————————————————————————————————————————————————————————————</w:t>
      </w:r>
    </w:p>
    <w:p>
      <w:pPr>
        <w:spacing w:before="160" w:after="40" w:line="240" w:lineRule="auto"/>
      </w:pPr>
      <w:r>
        <w:rPr>
          <w:b/>
        </w:rPr>
        <w:t xml:space="preserve">[33] </w:t>
      </w:r>
      <w:hyperlink r:id="rId197">
        <w:r>
          <w:rPr>
            <w:color w:val="1155CC"/>
            <w:u w:val="single"/>
          </w:rPr>
          <w:t>液体传输增强的仿生异质气凝胶纤维用于柔性可穿戴和户外能量收集系统</w:t>
        </w:r>
      </w:hyperlink>
    </w:p>
    <w:p>
      <w:pPr>
        <w:spacing w:before="0" w:after="80"/>
      </w:pPr>
      <w:r>
        <w:rPr>
          <w:i/>
          <w:sz w:val="20"/>
        </w:rPr>
        <w:t>EN: Liquid Transport‐Enhanced Bioinspired Heterogeneous Aerogel Fibers for Flexible Wearable and Outdoor Energy Harvesting System</w:t>
      </w:r>
    </w:p>
    <w:p>
      <w:pPr>
        <w:spacing w:before="0" w:after="120"/>
      </w:pPr>
      <w:r>
        <w:rPr>
          <w:b/>
        </w:rPr>
        <w:t xml:space="preserve">Source: </w:t>
      </w:r>
      <w:r>
        <w:t>Wiley: Advanced Materials: Table of Contents</w:t>
      </w:r>
      <w:r>
        <w:t xml:space="preserve">    </w:t>
      </w:r>
      <w:r>
        <w:rPr>
          <w:b/>
        </w:rPr>
        <w:t xml:space="preserve">Pub date: </w:t>
      </w:r>
      <w:r>
        <w:t>2026-02-28 13:51:17+00:00</w:t>
      </w:r>
      <w:r>
        <w:t xml:space="preserve">    </w:t>
      </w:r>
      <w:r>
        <w:rPr>
          <w:b/>
        </w:rPr>
        <w:t xml:space="preserve">DOI: </w:t>
      </w:r>
      <w:hyperlink r:id="rId198">
        <w:r>
          <w:rPr>
            <w:color w:val="1155CC"/>
            <w:u w:val="single"/>
          </w:rPr>
          <w:t>10.1002/adma.202523239</w:t>
        </w:r>
      </w:hyperlink>
    </w:p>
    <w:p>
      <w:pPr>
        <w:spacing w:before="0" w:after="120"/>
      </w:pPr>
      <w:r>
        <w:rPr>
          <w:b/>
        </w:rPr>
        <w:t xml:space="preserve">Notes: </w:t>
      </w:r>
      <w:r>
        <w:t>abstract_source=pubmed</w:t>
      </w:r>
    </w:p>
    <w:p>
      <w:pPr>
        <w:spacing w:before="0" w:after="80" w:lineRule="auto" w:line="276"/>
      </w:pPr>
      <w:r>
        <w:rPr>
          <w:b/>
        </w:rPr>
        <w:t xml:space="preserve">摘要（ZH）: </w:t>
      </w:r>
      <w:r>
        <w:t>柔性和可穿戴的能量收集系统对于实现轻便舒适的便携式电子设备具有重要意义。其中，气凝胶纤维以其超轻重量和丰富的纳米孔结构，是构建液体导向能量收集平台的理想构件。在此，受植物维管束高效水分输送行为的启发，我们报告了一种通过微流体纺丝制备的液体输送增强型异质气凝胶纤维（HAF）。该纤维由扭曲的、表面电荷增强的棉芯组成，用于快速液体输送，外包裹再生纤维素/炭黑层以增强机械强度并提高水伏能量转换。优化芯部扭曲水平增加了液体</w:t>
      </w:r>
    </w:p>
    <w:p>
      <w:pPr>
        <w:spacing w:before="0" w:after="200" w:lineRule="auto" w:line="276"/>
      </w:pPr>
      <w:r>
        <w:rPr>
          <w:b/>
        </w:rPr>
        <w:t xml:space="preserve">Abstract (EN): </w:t>
      </w:r>
      <w:r>
        <w:t>Flexible and wearable energy harvesting systems are of great significance for achieving lightweight and comfortable portable electronics. Among them, aerogel fibers, featuring ultralight weight and abundant nanoporous structures, are ideal building blocks for constructing liquid-directed energy harvesting platforms. Herein, inspired by the efficient water transport behavior of plant vascular bundles, we report a liquid transport-enhanced heterogeneous aerogel fiber (HAF) fabricated via microfluidic spinning. The fiber consists of a twisted, surface-charge-enhanced cotton core for rapid liquid transport, sheathed with a regenerated cellulose/carbon black layer that reinforces mechanical strength and enhances hydrovoltaic energy conversion. Optimizing the core twist level increased the liquid transport rate by 1.87-fold, strengthening solid-liquid interfacial interactions and enabling a single 5 cm fiber to stably output an open-circuit voltage of 0.55 V for over 160 h. Furthermore, matrix-type series-parallel integration of multiple aerogel fiber units allows the system to harvest energy from wearable sweat or outdoor rainwater to power GPS devices, outdoor tent lighting, and carbon nanotube-based electrothermal blankets. This work establishes a bioinspired liquid transport-enhanced design strategy for flexible, lightweight, and sustainable aerogel fiber-based self-powered systems.</w:t>
      </w:r>
    </w:p>
    <w:p>
      <w:pPr>
        <w:spacing w:before="120" w:after="120"/>
      </w:pPr>
      <w:r>
        <w:rPr>
          <w:sz w:val="18"/>
        </w:rPr>
        <w:t>——————————————————————————————————————————————————————————————————————</w:t>
      </w:r>
    </w:p>
    <w:p>
      <w:pPr>
        <w:spacing w:before="160" w:after="40" w:line="240" w:lineRule="auto"/>
      </w:pPr>
      <w:r>
        <w:rPr>
          <w:b/>
        </w:rPr>
        <w:t xml:space="preserve">[34] </w:t>
      </w:r>
      <w:hyperlink r:id="rId199">
        <w:r>
          <w:rPr>
            <w:color w:val="1155CC"/>
            <w:u w:val="single"/>
          </w:rPr>
          <w:t>[ASAP] 在聚集诱导发光转子-多金属氧酸盐晶体中稳定自由基以实现高效光热转换</w:t>
        </w:r>
      </w:hyperlink>
    </w:p>
    <w:p>
      <w:pPr>
        <w:spacing w:before="0" w:after="80"/>
      </w:pPr>
      <w:r>
        <w:rPr>
          <w:i/>
          <w:sz w:val="20"/>
        </w:rPr>
        <w:t>EN: [ASAP] Stabilizing Radicals in Aggregation-Induced Emission Rotor-Polyoxometalate Crystals for Efficient Photothermal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2026-02-28 14:23:19+00:00</w:t>
      </w:r>
      <w:r>
        <w:t xml:space="preserve">    </w:t>
      </w:r>
      <w:r>
        <w:rPr>
          <w:b/>
        </w:rPr>
        <w:t xml:space="preserve">DOI: </w:t>
      </w:r>
      <w:hyperlink r:id="rId200">
        <w:r>
          <w:rPr>
            <w:color w:val="1155CC"/>
            <w:u w:val="single"/>
          </w:rPr>
          <w:t>10.1021/jacs.6c00335</w:t>
        </w:r>
      </w:hyperlink>
    </w:p>
    <w:p>
      <w:pPr>
        <w:spacing w:before="0" w:after="120"/>
      </w:pPr>
      <w:r>
        <w:rPr>
          <w:b/>
        </w:rPr>
        <w:t xml:space="preserve">Notes: </w:t>
      </w:r>
      <w:r>
        <w:t>abstract_source=openalex</w:t>
      </w:r>
    </w:p>
    <w:p>
      <w:pPr>
        <w:spacing w:before="0" w:after="80" w:lineRule="auto" w:line="276"/>
      </w:pPr>
      <w:r>
        <w:rPr>
          <w:b/>
        </w:rPr>
        <w:t xml:space="preserve">摘要（ZH）: </w:t>
      </w:r>
      <w:r>
        <w:t>光热材料的合理设计，具有明确的分子结构和高效的太阳能转换，对于推进可再生能源技术至关重要，特别是在利用近红外区域（约占太阳光谱的54%）方面。尽管取得了显著进展，现有系统在追求性能时往往在结构精度和制造控制上妥协。实现宽带吸收、高转换效率和精确晶体结构的结合仍然是一个关键挑战。在此，我们报告了一种晶体光热材料的单锅合成，即APC，通过聚氧金属酸盐（POMs）簇与氨基修饰的四苯乙烯的组装在几分钟内形成，四苯乙烯是一种具有聚集性的代表性分子转子</w:t>
      </w:r>
    </w:p>
    <w:p>
      <w:pPr>
        <w:spacing w:before="0" w:after="200" w:lineRule="auto" w:line="276"/>
      </w:pPr>
      <w:r>
        <w:rPr>
          <w:b/>
        </w:rPr>
        <w:t xml:space="preserve">Abstract (EN): </w:t>
      </w:r>
      <w:r>
        <w:t>The rational design of photothermal materials with well-defined molecular structures and efficient solar energy conversion is crucial for advancing renewable energy technologies, particularly in harnessing the near-infrared region (∼54% of the solar spectrum). Despite significant progress, existing systems often compromise structural precision and fabrication control in pursuit of performance. Achieving the combination of broadband absorption, high conversion efficiency, and precise crystalline structure remains a critical challenge. Here, we report a one-pot synthesis of a crystalline photothermal material, namely APC, formed within minutes through the assembly of polyoxometalates (POMs) clusters with amino-modified tetraphenylethylene, a representative molecular rotor with an aggregation-induced emission (AIE) feature. This represents the first demonstration of AIE rotor-POM assemblies for photothermal conversion. Trace peroxides at ppm levels in the solvent oxidize AIE rotors during assembly, initiating rapid radical formation that is stabilized by the crystalline matrix. The resulting air-stable radicals enable broadband absorption beyond 2000 nm, while the intramolecular motion of AIE rotors efficiently converts absorbed energy into heat, achieving an exceptional photothermal conversion efficiency of 88.7% under 808 nm laser irradiation. Mechanistic studies reveal that strong intermolecular charge transfer between AIE rotors and POMs drives radical generation, stabilized by spatial confinement and partial SOMO-HOMO inversion. Under 1 sun illumination, APC achieves a high solar-to-vapor water evaporation efficiency of 97.5%, highlighting its promise for solar-driven desalination. This study introduces a rational design strategy for crystalline photothermal hybrids and establishes the mechanistic connections among molecular assembly, charge transfer, and radical stabilization.</w:t>
      </w:r>
    </w:p>
    <w:p>
      <w:pPr>
        <w:spacing w:before="120" w:after="120"/>
      </w:pPr>
      <w:r>
        <w:rPr>
          <w:sz w:val="18"/>
        </w:rPr>
        <w:t>——————————————————————————————————————————————————————————————————————</w:t>
      </w:r>
    </w:p>
    <w:p>
      <w:pPr>
        <w:spacing w:before="160" w:after="40" w:line="240" w:lineRule="auto"/>
      </w:pPr>
      <w:r>
        <w:rPr>
          <w:b/>
        </w:rPr>
        <w:t xml:space="preserve">[35] </w:t>
      </w:r>
      <w:hyperlink r:id="rId201">
        <w:r>
          <w:rPr>
            <w:color w:val="1155CC"/>
            <w:u w:val="single"/>
          </w:rPr>
          <w:t>[ASAP] 芳香相互作用选择四重氢键DADA 1,2-氮磷杂环二聚体的同二聚体组装</w:t>
        </w:r>
      </w:hyperlink>
    </w:p>
    <w:p>
      <w:pPr>
        <w:spacing w:before="0" w:after="80"/>
      </w:pPr>
      <w:r>
        <w:rPr>
          <w:i/>
          <w:sz w:val="20"/>
        </w:rPr>
        <w:t>EN: [ASAP] Aromatic Interactions Select for Homodimeric Assembly in a Quadruply Hydrogen-Bonded DADA 1,2-Azaphosphinine Dimer</w:t>
      </w:r>
    </w:p>
    <w:p>
      <w:pPr>
        <w:spacing w:before="0" w:after="120"/>
      </w:pPr>
      <w:r>
        <w:rPr>
          <w:b/>
        </w:rPr>
        <w:t xml:space="preserve">Source: </w:t>
      </w:r>
      <w:r>
        <w:t>Journal of the American Chemical Society: Latest Articles (ACS Publications)</w:t>
      </w:r>
      <w:r>
        <w:t xml:space="preserve">    </w:t>
      </w:r>
      <w:r>
        <w:rPr>
          <w:b/>
        </w:rPr>
        <w:t xml:space="preserve">Pub date: </w:t>
      </w:r>
      <w:r>
        <w:t>2026-02-28 20:00:00+00:00</w:t>
      </w:r>
      <w:r>
        <w:t xml:space="preserve">    </w:t>
      </w:r>
      <w:r>
        <w:rPr>
          <w:b/>
        </w:rPr>
        <w:t xml:space="preserve">DOI: </w:t>
      </w:r>
      <w:hyperlink r:id="rId202">
        <w:r>
          <w:rPr>
            <w:color w:val="1155CC"/>
            <w:u w:val="single"/>
          </w:rPr>
          <w:t>10.1021/jacs.5c20238</w:t>
        </w:r>
      </w:hyperlink>
    </w:p>
    <w:p>
      <w:pPr>
        <w:spacing w:before="0" w:after="120"/>
      </w:pPr>
      <w:r>
        <w:rPr>
          <w:b/>
        </w:rPr>
        <w:t xml:space="preserve">Notes: </w:t>
      </w:r>
      <w:r>
        <w:t>abstract_source=openalex</w:t>
      </w:r>
    </w:p>
    <w:p>
      <w:pPr>
        <w:spacing w:before="0" w:after="80" w:lineRule="auto" w:line="276"/>
      </w:pPr>
      <w:r>
        <w:rPr>
          <w:b/>
        </w:rPr>
        <w:t xml:space="preserve">摘要（ZH）: </w:t>
      </w:r>
      <w:r>
        <w:t>在一个氮磷杂环的核心结构上引入一个融合的吡啶环，并通过&lt;i&gt;N&lt;/i&gt;-乙酰胺基团进行功能化，提供了一个手性、四重氢键结合面，能够进行强的同二聚化。制备了十一种不同的氮磷杂环衍生物，具有可变的电子供体和受体功能化。与简单的DA氮磷杂环二聚体相反，取代基效应的趋势显示氢键受体（A）对取代基比氢键供体（D）更敏感。在氮磷杂环骨架上附加电子供体基团时，二聚常数在水饱和的CDCl&lt;sub&gt;3&lt;/sub&gt;中的10% DMSO-&lt;i&gt;d&lt;/i&gt;&lt;sub&gt;6&lt;/sub&gt;中上升至高达209 M&lt;sup&gt;-1&lt;/sup&gt;。X射线晶体学数据未完</w:t>
      </w:r>
    </w:p>
    <w:p>
      <w:pPr>
        <w:spacing w:before="0" w:after="200" w:lineRule="auto" w:line="276"/>
      </w:pPr>
      <w:r>
        <w:rPr>
          <w:b/>
        </w:rPr>
        <w:t xml:space="preserve">Abstract (EN): </w:t>
      </w:r>
      <w:r>
        <w:t>Inclusion of a fused pyridine ring onto the core motif of an azaphosphinine heterocycle, as well as functionalization with an &lt;i&gt;N&lt;/i&gt;-acetamide group, furnishes a chiral, quadruple hydrogen bonding face that is capable of strong homodimerization. Eleven different azaphosphinine derivatives were prepared with variable electron donor and acceptor functionalization. Contrary to simple DA azaphosphinine dimers, trends from substituent effects showed that the hydrogen bond acceptors (A) were more sensitive to the substituents than the hydrogen bond donors (D). With electron donating groups appended onto the azaphosphinine scaffold, dimerization constants rose to as high as 209 M&lt;sup&gt;-1&lt;/sup&gt; in 10% DMSO-&lt;i&gt;d&lt;/i&gt;&lt;sub&gt;6&lt;/sub&gt; in water-saturated CDCl&lt;sub&gt;3&lt;/sub&gt;. X-ray crystallographic data unexpectedly showed that the quadruply hydrogen bonding system preferred the theoretically less stable donor-acceptor-donor-acceptor (DADA) H-bond orientation despite having the capability to tautomerize to the potentially more stable DDAA structure. Computational analysis revealed that maintaining pyridine aromaticity was more stabilizing than the secondary interactions that would be created from a DDAA dimer. Additionally, these molecules associate as the first examples of &lt;i&gt;R&lt;/i&gt;,&lt;i&gt;R-&lt;/i&gt; and &lt;i&gt;S&lt;/i&gt;,&lt;i&gt;S&lt;/i&gt;-azaphosphinine homodimers, compared to the &lt;i&gt;R&lt;/i&gt;,&lt;i&gt;S-&lt;/i&gt;heterodimers typically found for simple azaphosphinines. This observation was explained by computational analysis, which found a geometric difference between the nitrogen atoms adjacent to the phosphorus chiral center of the &lt;b&gt;Homo&lt;/b&gt; and &lt;b&gt;Hetero&lt;/b&gt; dimer, leading to a stronger hydrogen bonding interaction in the &lt;b&gt;Homo&lt;/b&gt; dimer. Further understanding of this quadruply hydrogen bonding core will allow us to explore further applications that integrate this strongly hydrogen bonding system into larger and more complex supramolecular frameworks such as supramolecular polymers or capsules.</w:t>
      </w:r>
    </w:p>
    <w:p>
      <w:pPr>
        <w:spacing w:before="120" w:after="120"/>
      </w:pPr>
      <w:r>
        <w:rPr>
          <w:sz w:val="18"/>
        </w:rPr>
        <w:t>——————————————————————————————————————————————————————————————————————</w:t>
      </w:r>
    </w:p>
    <w:p>
      <w:pPr>
        <w:spacing w:before="160" w:after="40" w:line="240" w:lineRule="auto"/>
      </w:pPr>
      <w:r>
        <w:rPr>
          <w:b/>
        </w:rPr>
        <w:t xml:space="preserve">[36] </w:t>
      </w:r>
      <w:hyperlink r:id="rId203">
        <w:r>
          <w:rPr>
            <w:color w:val="1155CC"/>
            <w:u w:val="single"/>
          </w:rPr>
          <w:t>居民参与需求响应计划的经济激励和内在动机</w:t>
        </w:r>
      </w:hyperlink>
    </w:p>
    <w:p>
      <w:pPr>
        <w:spacing w:before="0" w:after="80"/>
      </w:pPr>
      <w:r>
        <w:rPr>
          <w:i/>
          <w:sz w:val="20"/>
        </w:rPr>
        <w:t>EN: Financial incentives and intrinsic motives for residents’ participation in demand response programs</w:t>
      </w:r>
    </w:p>
    <w:p>
      <w:pPr>
        <w:spacing w:before="0" w:after="120"/>
      </w:pPr>
      <w:r>
        <w:rPr>
          <w:b/>
        </w:rPr>
        <w:t xml:space="preserve">Source: </w:t>
      </w:r>
      <w:r>
        <w:t>ScienceDirect Publication: Energy Policy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204">
        <w:r>
          <w:rPr>
            <w:color w:val="1155CC"/>
            <w:u w:val="single"/>
          </w:rPr>
          <w:t>高熵氧化物在可逆质子陶瓷电池应用中的进展</w:t>
        </w:r>
      </w:hyperlink>
    </w:p>
    <w:p>
      <w:pPr>
        <w:spacing w:before="0" w:after="80"/>
      </w:pPr>
      <w:r>
        <w:rPr>
          <w:i/>
          <w:sz w:val="20"/>
        </w:rPr>
        <w:t>EN: Advances in high-entropy oxides for reversible protonic ceramic cells applications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205">
        <w:r>
          <w:rPr>
            <w:color w:val="1155CC"/>
            <w:u w:val="single"/>
          </w:rPr>
          <w:t>微电网能源系统的元启发式优化：应用、性能和实现净零能源转型的途径</w:t>
        </w:r>
      </w:hyperlink>
    </w:p>
    <w:p>
      <w:pPr>
        <w:spacing w:before="0" w:after="80"/>
      </w:pPr>
      <w:r>
        <w:rPr>
          <w:i/>
          <w:sz w:val="20"/>
        </w:rPr>
        <w:t>EN: Metaheuristic optimization for microgrid energy systems: Applications, performance, and pathways toward net-zero energy transitions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206">
        <w:r>
          <w:rPr>
            <w:color w:val="1155CC"/>
            <w:u w:val="single"/>
          </w:rPr>
          <w:t>公用事业规模储能的支持方案：比较分析</w:t>
        </w:r>
      </w:hyperlink>
    </w:p>
    <w:p>
      <w:pPr>
        <w:spacing w:before="0" w:after="80"/>
      </w:pPr>
      <w:r>
        <w:rPr>
          <w:i/>
          <w:sz w:val="20"/>
        </w:rPr>
        <w:t>EN: Support schemes for utility-scale energy storage: a comparative analysis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07">
        <w:r>
          <w:rPr>
            <w:color w:val="1155CC"/>
            <w:u w:val="single"/>
          </w:rPr>
          <w:t>在不确定性下建模和解决机组组合约束筛选</w:t>
        </w:r>
      </w:hyperlink>
    </w:p>
    <w:p>
      <w:pPr>
        <w:spacing w:before="0" w:after="80"/>
      </w:pPr>
      <w:r>
        <w:rPr>
          <w:i/>
          <w:sz w:val="20"/>
        </w:rPr>
        <w:t>EN: Modeling and tackling unit commitment constraint screening under uncertainty</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08">
        <w:r>
          <w:rPr>
            <w:color w:val="1155CC"/>
            <w:u w:val="single"/>
          </w:rPr>
          <w:t>靶向NAT10通过破坏DYRK1A的N4-乙酰化缓解结肠衰老和老年性结肠炎</w:t>
        </w:r>
      </w:hyperlink>
    </w:p>
    <w:p>
      <w:pPr>
        <w:spacing w:before="0" w:after="80"/>
      </w:pPr>
      <w:r>
        <w:rPr>
          <w:i/>
          <w:sz w:val="20"/>
        </w:rPr>
        <w:t>EN: Targeting NAT10 alleviates colonic senescence and elderly-onset colitis by disrupting N4-acetylation of DYRK1A</w:t>
      </w:r>
    </w:p>
    <w:p>
      <w:pPr>
        <w:spacing w:before="0" w:after="120"/>
      </w:pPr>
      <w:r>
        <w:rPr>
          <w:b/>
        </w:rPr>
        <w:t xml:space="preserve">Source: </w:t>
      </w:r>
      <w:r>
        <w:t>Nature Communications</w:t>
      </w:r>
      <w:r>
        <w:t xml:space="preserve">    </w:t>
      </w:r>
      <w:r>
        <w:rPr>
          <w:b/>
        </w:rPr>
        <w:t xml:space="preserve">Pub date: </w:t>
      </w:r>
      <w:r>
        <w:t>2026-03-01 00:00:00+00:00</w:t>
      </w:r>
      <w:r>
        <w:t xml:space="preserve">    </w:t>
      </w:r>
      <w:r>
        <w:rPr>
          <w:b/>
        </w:rPr>
        <w:t xml:space="preserve">DOI: </w:t>
      </w:r>
      <w:hyperlink r:id="rId209">
        <w:r>
          <w:rPr>
            <w:color w:val="1155CC"/>
            <w:u w:val="single"/>
          </w:rPr>
          <w:t>10.1038/s41467-026-70220-w</w:t>
        </w:r>
      </w:hyperlink>
    </w:p>
    <w:p>
      <w:pPr>
        <w:spacing w:before="0" w:after="120"/>
      </w:pPr>
      <w:r>
        <w:rPr>
          <w:b/>
        </w:rPr>
        <w:t xml:space="preserve">Notes: </w:t>
      </w:r>
      <w:r>
        <w:t>abstract_source=nature_html</w:t>
      </w:r>
    </w:p>
    <w:p>
      <w:pPr>
        <w:spacing w:before="0" w:after="80" w:lineRule="auto" w:line="276"/>
      </w:pPr>
      <w:r>
        <w:rPr>
          <w:b/>
        </w:rPr>
        <w:t xml:space="preserve">摘要（ZH）: </w:t>
      </w:r>
      <w:r>
        <w:t>肠道老化以细胞衰老与粘膜自我更新之间的不平衡为特征，增加了老年发作的溃疡性结肠炎（UC）的易感性，而其潜在机制仍不清楚。在此，我们确定了mRNA N4-乙酰胞苷（ac4C）修饰及其特定的写入酶N-乙酰转移酶10（NAT10）作为人类结肠上皮细胞衰老的关键调节因子。NAT10的敲低显著缓解了体外人类结肠上皮细胞衰老以及体内老年小鼠的结肠类器官和肠道老化。通过ac4C修饰的转录组测序，我们揭示了NAT10通过ac4C修饰稳定DYRK1A mRNA，从而驱动结肠上皮衰老。此外，NAT10和DYRK1A在老年溃疡性结肠炎组织中显著上调</w:t>
      </w:r>
    </w:p>
    <w:p>
      <w:pPr>
        <w:spacing w:before="0" w:after="200" w:lineRule="auto" w:line="276"/>
      </w:pPr>
      <w:r>
        <w:rPr>
          <w:b/>
        </w:rPr>
        <w:t xml:space="preserve">Abstract (EN): </w:t>
      </w:r>
      <w:r>
        <w:t>Intestinal aging characterized by imbalance between cell senescence and mucosal self-renewal, increases susceptibility to the elderly-onset ulcerative colitis (UC), while the underlying mechanisms remain elusive. Here, we identify mRNA N4-acetylcytidine (ac4C) modification and its specific writer, N-acetyltransferase 10 (NAT10), as critical regulators of human colonic epithelial cell senescence. Knockdown of NAT10 significantly alleviates human colonic epithelial cell senescence in vitro and colonoid and intestinal aging in vivo in aged mice. Using ac4C-modified transcriptome sequencing, we reveal that NAT10 stabilizes DYRK1A mRNA through ac4C modification, thereby driving colon epithelial senescence. Moreover, NAT10 and DYRK1A are markedly upregulated in ulcerative colitis tissues from elderly patients and positively correlate with disease severity. Knockdown of NAT10, treatment with Nat10 or Dyrk1a inhibitor, alleviates colitis in aged mice. Collectively, these findings suggest that modulating NAT10-mediated RNA ac4C modification could rejuvenate intestinal aging and provide a novel therapeutic strategy for elderly-onset colitis.</w:t>
      </w:r>
    </w:p>
    <w:p>
      <w:pPr>
        <w:spacing w:before="120" w:after="120"/>
      </w:pPr>
      <w:r>
        <w:rPr>
          <w:sz w:val="18"/>
        </w:rPr>
        <w:t>——————————————————————————————————————————————————————————————————————</w:t>
      </w:r>
    </w:p>
    <w:p>
      <w:pPr>
        <w:spacing w:before="160" w:after="40" w:line="240" w:lineRule="auto"/>
      </w:pPr>
      <w:r>
        <w:rPr>
          <w:b/>
        </w:rPr>
        <w:t xml:space="preserve">[42] </w:t>
      </w:r>
      <w:hyperlink r:id="rId210">
        <w:r>
          <w:rPr>
            <w:color w:val="1155CC"/>
            <w:u w:val="single"/>
          </w:rPr>
          <w:t>电力系统中电力-碳-水纽带的新型双层优化调度框架</w:t>
        </w:r>
      </w:hyperlink>
    </w:p>
    <w:p>
      <w:pPr>
        <w:spacing w:before="0" w:after="80"/>
      </w:pPr>
      <w:r>
        <w:rPr>
          <w:i/>
          <w:sz w:val="20"/>
        </w:rPr>
        <w:t>EN: A novel bi-level optimization scheduling framework for electricity-carbon-water Nexus in power systems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11">
        <w:r>
          <w:rPr>
            <w:color w:val="1155CC"/>
            <w:u w:val="single"/>
          </w:rPr>
          <w:t>通过吸附增强甲烷化的沼气转甲烷：反应器配置策略的实验评估</w:t>
        </w:r>
      </w:hyperlink>
    </w:p>
    <w:p>
      <w:pPr>
        <w:spacing w:before="0" w:after="80"/>
      </w:pPr>
      <w:r>
        <w:rPr>
          <w:i/>
          <w:sz w:val="20"/>
        </w:rPr>
        <w:t>EN: Biogas-to-methane conversion via sorption-enhanced methanation: experimental evaluation of reactor configuration strategies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12">
        <w:r>
          <w:rPr>
            <w:color w:val="1155CC"/>
            <w:u w:val="single"/>
          </w:rPr>
          <w:t>在不增加财政负担的情况下实现企业协调：煤炭废物管理的新政策途径</w:t>
        </w:r>
      </w:hyperlink>
    </w:p>
    <w:p>
      <w:pPr>
        <w:spacing w:before="0" w:after="80"/>
      </w:pPr>
      <w:r>
        <w:rPr>
          <w:i/>
          <w:sz w:val="20"/>
        </w:rPr>
        <w:t>EN: Enabling enterprise coordination without fiscal burden: New policy pathways for coal waste management</w:t>
      </w:r>
    </w:p>
    <w:p>
      <w:pPr>
        <w:spacing w:before="0" w:after="120"/>
      </w:pPr>
      <w:r>
        <w:rPr>
          <w:b/>
        </w:rPr>
        <w:t xml:space="preserve">Source: </w:t>
      </w:r>
      <w:r>
        <w:t>ScienceDirect Publication: Energy Policy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13">
        <w:r>
          <w:rPr>
            <w:color w:val="1155CC"/>
            <w:u w:val="single"/>
          </w:rPr>
          <w:t>布基纳法索家庭使用丁烷气体的决定因素：道路通达性的作用</w:t>
        </w:r>
      </w:hyperlink>
    </w:p>
    <w:p>
      <w:pPr>
        <w:spacing w:before="0" w:after="80"/>
      </w:pPr>
      <w:r>
        <w:rPr>
          <w:i/>
          <w:sz w:val="20"/>
        </w:rPr>
        <w:t>EN: Determinants of butane gas use by households in Burkina Faso: the role of road access</w:t>
      </w:r>
    </w:p>
    <w:p>
      <w:pPr>
        <w:spacing w:before="0" w:after="120"/>
      </w:pPr>
      <w:r>
        <w:rPr>
          <w:b/>
        </w:rPr>
        <w:t xml:space="preserve">Source: </w:t>
      </w:r>
      <w:r>
        <w:t>ScienceDirect Publication: Energy Policy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14">
        <w:r>
          <w:rPr>
            <w:color w:val="1155CC"/>
            <w:u w:val="single"/>
          </w:rPr>
          <w:t>灵活24/7能源交付的混合电力购买协议——当前实践和研究途径的综合评审</w:t>
        </w:r>
      </w:hyperlink>
    </w:p>
    <w:p>
      <w:pPr>
        <w:spacing w:before="0" w:after="80"/>
      </w:pPr>
      <w:r>
        <w:rPr>
          <w:i/>
          <w:sz w:val="20"/>
        </w:rPr>
        <w:t>EN: Hybrid power purchase agreements for flexible 24/7 Energy delivery – A comprehensive review of current practices and research pathways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15">
        <w:r>
          <w:rPr>
            <w:color w:val="1155CC"/>
            <w:u w:val="single"/>
          </w:rPr>
          <w:t>勘误：欧洲ETS-2的区域不平等 [能源政策 208 (2026) 114891]</w:t>
        </w:r>
      </w:hyperlink>
    </w:p>
    <w:p>
      <w:pPr>
        <w:spacing w:before="0" w:after="80"/>
      </w:pPr>
      <w:r>
        <w:rPr>
          <w:i/>
          <w:sz w:val="20"/>
        </w:rPr>
        <w:t>EN: Corrigendum to: Regional inequality of the European ETS-2 [Energy policy 208 (2026) 114891]</w:t>
      </w:r>
    </w:p>
    <w:p>
      <w:pPr>
        <w:spacing w:before="0" w:after="120"/>
      </w:pPr>
      <w:r>
        <w:rPr>
          <w:b/>
        </w:rPr>
        <w:t xml:space="preserve">Source: </w:t>
      </w:r>
      <w:r>
        <w:t>ScienceDirect Publication: Energy Policy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16">
        <w:r>
          <w:rPr>
            <w:color w:val="1155CC"/>
            <w:u w:val="single"/>
          </w:rPr>
          <w:t>[ASAP] 人工智能分子设计：小分子的进展与展望</w:t>
        </w:r>
      </w:hyperlink>
    </w:p>
    <w:p>
      <w:pPr>
        <w:spacing w:before="0" w:after="80"/>
      </w:pPr>
      <w:r>
        <w:rPr>
          <w:i/>
          <w:sz w:val="20"/>
        </w:rPr>
        <w:t>EN: [ASAP] Molecular Design with Artificial Intelligence: Progress and Perspectives for Small Molecules</w:t>
      </w:r>
    </w:p>
    <w:p>
      <w:pPr>
        <w:spacing w:before="0" w:after="120"/>
      </w:pPr>
      <w:r>
        <w:rPr>
          <w:b/>
        </w:rPr>
        <w:t xml:space="preserve">Source: </w:t>
      </w:r>
      <w:r>
        <w:t>Chemical Reviews: Latest Articles (ACS Publications)</w:t>
      </w:r>
      <w:r>
        <w:t xml:space="preserve">    </w:t>
      </w:r>
      <w:r>
        <w:rPr>
          <w:b/>
        </w:rPr>
        <w:t xml:space="preserve">Pub date: </w:t>
      </w:r>
      <w:r>
        <w:t>2026-03-01 14:57:49+00:00</w:t>
      </w:r>
      <w:r>
        <w:t xml:space="preserve">    </w:t>
      </w:r>
      <w:r>
        <w:rPr>
          <w:b/>
        </w:rPr>
        <w:t xml:space="preserve">DOI: </w:t>
      </w:r>
      <w:hyperlink r:id="rId217">
        <w:r>
          <w:rPr>
            <w:color w:val="1155CC"/>
            <w:u w:val="single"/>
          </w:rPr>
          <w:t>10.1021/acs.chemrev.5c00689</w:t>
        </w:r>
      </w:hyperlink>
    </w:p>
    <w:p>
      <w:pPr>
        <w:spacing w:before="0" w:after="120"/>
      </w:pPr>
      <w:r>
        <w:rPr>
          <w:b/>
        </w:rPr>
        <w:t xml:space="preserve">Notes: </w:t>
      </w:r>
      <w:r>
        <w:t>abstract_source=openalex</w:t>
      </w:r>
    </w:p>
    <w:p>
      <w:pPr>
        <w:spacing w:before="0" w:after="80" w:lineRule="auto" w:line="276"/>
      </w:pPr>
      <w:r>
        <w:rPr>
          <w:b/>
        </w:rPr>
        <w:t xml:space="preserve">摘要（ZH）: </w:t>
      </w:r>
      <w:r>
        <w:t>化学的进步得益于逆向问题解决方法的简化。在化学史上，几项革命性技术推动了化学的飞跃：19世纪的原子理论建立，20世纪的光谱结构分析，以及理论化学的模拟发展。目前，化学即将通过整合生成式人工智能（AI）实现重大飞跃。2016年，深度学习技术被引入这一领域，导致了爆炸性的发展。本文回顾了发展路径，包括传统模型如变分自编码器和更先进的模型如大型语言模型和扩散模型。我们还讨论了AI如何能够对化学产生影响</w:t>
      </w:r>
    </w:p>
    <w:p>
      <w:pPr>
        <w:spacing w:before="0" w:after="200" w:lineRule="auto" w:line="276"/>
      </w:pPr>
      <w:r>
        <w:rPr>
          <w:b/>
        </w:rPr>
        <w:t xml:space="preserve">Abstract (EN): </w:t>
      </w:r>
      <w:r>
        <w:t>Progress in chemistry has been driven by the streamlining of inverse problem-solving methods. In the history of chemistry, several revolutionary technologies have led to leaps forward: the establishment of atomistic theory in the 19th century, structural analysis by spectroscopy in the 20th century, and the development of simulation by theoretical chemistry. Currently, chemistry is about to make a significant leap forward by integrating generative artificial intelligence (AI). In 2016, deep learning techniques were introduced in this domain, leading to explosive development. This paper reviews the development path, including traditional models such as variational autoencoders and more up-to-date models such as large language models and diffusion models. We also discuss how AI can have a real impact on chemistry, including the possibilities and problems associated with synthesizing AI-generated molecules.</w:t>
      </w:r>
    </w:p>
    <w:p>
      <w:pPr>
        <w:spacing w:before="120" w:after="120"/>
      </w:pPr>
      <w:r>
        <w:rPr>
          <w:sz w:val="18"/>
        </w:rPr>
        <w:t>——————————————————————————————————————————————————————————————————————</w:t>
      </w:r>
    </w:p>
    <w:p>
      <w:pPr>
        <w:spacing w:before="160" w:after="40" w:line="240" w:lineRule="auto"/>
      </w:pPr>
      <w:r>
        <w:rPr>
          <w:b/>
        </w:rPr>
        <w:t xml:space="preserve">[49] </w:t>
      </w:r>
      <w:hyperlink r:id="rId218">
        <w:r>
          <w:rPr>
            <w:color w:val="1155CC"/>
            <w:u w:val="single"/>
          </w:rPr>
          <w:t>[ASAP] 从1,2,3-噻二嗪S-氧化物可切换和选择性合成不对称N-芳基吡唑</w:t>
        </w:r>
      </w:hyperlink>
    </w:p>
    <w:p>
      <w:pPr>
        <w:spacing w:before="0" w:after="80"/>
      </w:pPr>
      <w:r>
        <w:rPr>
          <w:i/>
          <w:sz w:val="20"/>
        </w:rPr>
        <w:t>EN: [ASAP] Switchable and Selective Synthesis of Unsymmetrical N-Aryl Pyrazoles from 1,2,3-Thiadiazine S-Oxides</w:t>
      </w:r>
    </w:p>
    <w:p>
      <w:pPr>
        <w:spacing w:before="0" w:after="120"/>
      </w:pPr>
      <w:r>
        <w:rPr>
          <w:b/>
        </w:rPr>
        <w:t xml:space="preserve">Source: </w:t>
      </w:r>
      <w:r>
        <w:t>Journal of the American Chemical Society: Latest Articles (ACS Publications)</w:t>
      </w:r>
      <w:r>
        <w:t xml:space="preserve">    </w:t>
      </w:r>
      <w:r>
        <w:rPr>
          <w:b/>
        </w:rPr>
        <w:t xml:space="preserve">Pub date: </w:t>
      </w:r>
      <w:r>
        <w:t>2026-03-01 17:50:28+00:00</w:t>
      </w:r>
      <w:r>
        <w:t xml:space="preserve">    </w:t>
      </w:r>
      <w:r>
        <w:rPr>
          <w:b/>
        </w:rPr>
        <w:t xml:space="preserve">DOI: </w:t>
      </w:r>
      <w:hyperlink r:id="rId219">
        <w:r>
          <w:rPr>
            <w:color w:val="1155CC"/>
            <w:u w:val="single"/>
          </w:rPr>
          <w:t>10.1021/jacs.5c22914</w:t>
        </w:r>
      </w:hyperlink>
    </w:p>
    <w:p>
      <w:pPr>
        <w:spacing w:before="0" w:after="120"/>
      </w:pPr>
      <w:r>
        <w:rPr>
          <w:b/>
        </w:rPr>
        <w:t xml:space="preserve">Notes: </w:t>
      </w:r>
      <w:r>
        <w:t>abstract_source=pubmed</w:t>
      </w:r>
    </w:p>
    <w:p>
      <w:pPr>
        <w:spacing w:before="0" w:after="80" w:lineRule="auto" w:line="276"/>
      </w:pPr>
      <w:r>
        <w:rPr>
          <w:b/>
        </w:rPr>
        <w:t xml:space="preserve">摘要（ZH）: </w:t>
      </w:r>
      <w:r>
        <w:t>在此，我们报告了一种新的、高选择性的铜催化合成不对称N-芳基吡唑的方法，该方法从1,2,3-噻二嗪S-氧化物（TDSOs）和二芳基碘鎓电亲试剂出发。区域化学结果由铜催化剂和碱的选择决定，这与典型的底物控制方法形成对比。这种“可切换”的方法使得从给定的起始材料中获得任一吡唑异构体成为可能，并在每种情况下都观察到高选择性。两种方案的范围广泛且适合自动化，从而促进了药物相关的多样化吡唑库的快速生成。实验和计算机理研究揭示了每种方案选择性的起源，并解释了碱的种类、浓度和铜的作用</w:t>
      </w:r>
    </w:p>
    <w:p>
      <w:pPr>
        <w:spacing w:before="0" w:after="200" w:lineRule="auto" w:line="276"/>
      </w:pPr>
      <w:r>
        <w:rPr>
          <w:b/>
        </w:rPr>
        <w:t xml:space="preserve">Abstract (EN): </w:t>
      </w:r>
      <w:r>
        <w:t>Herein, we report a new, highly selective copper-catalyzed synthesis of unsymmetrical N-aryl pyrazoles from 1,2,3-thiadiazine S-oxides (TDSOs) and diaryl iodonium electrophiles. The regiochemical outcome is determined by the choice of the copper catalyst and base, in contrast with typical substrate-controlled approaches. This "switchable" approach enables access to either pyrazole isomer from a given starting material, with high selectivity observed in each case. The scope of both protocols is broad and amenable to automation, thus facilitating the rapid generation of a medicinally relevant, diverse pyrazole library. Experimental and computational mechanistic studies reveal the origin of selectivity for each protocol and rationalize the role of base identity, base concentration, and copper ligation state in determining the regiochemical outcome. Overall, this approach addresses long-standing synthetic challenges in the preparation of unsymmetrical N-aryl pyrazoles and provides important mechanistic foundations for the development of further switchable pyrazole syntheses.</w:t>
      </w:r>
    </w:p>
    <w:p>
      <w:pPr>
        <w:spacing w:before="120" w:after="120"/>
      </w:pPr>
      <w:r>
        <w:rPr>
          <w:sz w:val="18"/>
        </w:rPr>
        <w:t>——————————————————————————————————————————————————————————————————————</w:t>
      </w:r>
    </w:p>
    <w:p>
      <w:pPr>
        <w:spacing w:before="160" w:after="40" w:line="240" w:lineRule="auto"/>
      </w:pPr>
      <w:r>
        <w:rPr>
          <w:b/>
        </w:rPr>
        <w:t xml:space="preserve">[50] </w:t>
      </w:r>
      <w:hyperlink r:id="rId220">
        <w:r>
          <w:rPr>
            <w:color w:val="1155CC"/>
            <w:u w:val="single"/>
          </w:rPr>
          <w:t>[ASAP] 配体驱动的纳米晶体吸附能调节用于高性能H2O2电合成</w:t>
        </w:r>
      </w:hyperlink>
    </w:p>
    <w:p>
      <w:pPr>
        <w:spacing w:before="0" w:after="80"/>
      </w:pPr>
      <w:r>
        <w:rPr>
          <w:i/>
          <w:sz w:val="20"/>
        </w:rPr>
        <w:t>EN: [ASAP] Ligand-Driven Tuning of Adsorption Energy in Nanocrystals for High-Performance H2O2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2026-03-01 19:00:14+00:00</w:t>
      </w:r>
      <w:r>
        <w:t xml:space="preserve">    </w:t>
      </w:r>
      <w:r>
        <w:rPr>
          <w:b/>
        </w:rPr>
        <w:t xml:space="preserve">DOI: </w:t>
      </w:r>
      <w:hyperlink r:id="rId221">
        <w:r>
          <w:rPr>
            <w:color w:val="1155CC"/>
            <w:u w:val="single"/>
          </w:rPr>
          <w:t>10.1021/jacs.5c13062</w:t>
        </w:r>
      </w:hyperlink>
    </w:p>
    <w:p>
      <w:pPr>
        <w:spacing w:before="0" w:after="120"/>
      </w:pPr>
      <w:r>
        <w:rPr>
          <w:b/>
        </w:rPr>
        <w:t xml:space="preserve">Notes: </w:t>
      </w:r>
      <w:r>
        <w:t>abstract_source=pubmed</w:t>
      </w:r>
    </w:p>
    <w:p>
      <w:pPr>
        <w:spacing w:before="0" w:after="80" w:lineRule="auto" w:line="276"/>
      </w:pPr>
      <w:r>
        <w:rPr>
          <w:b/>
        </w:rPr>
        <w:t xml:space="preserve">摘要（ZH）: </w:t>
      </w:r>
      <w:r>
        <w:t>表面配体调节纳米晶体（NCs）的电子结构；然而，在催化应用中，这些配体通常由于担心阻塞活性位点而被去除。我们在此研究了配体功能性和精心选择的配体覆盖度是否可以精确调节NC催化剂上关键中间体的吸附能。在密度泛函理论计算的指导下，我们在Ag2S NCs上以优化的覆盖度引入了吸电子配体，实现了中间体吸附强度的理想平衡（ΔGOOH* = 4.16 eV）。这使得Ag2S NCs─本质上对两电子氧还原反应不活跃─成为高效的H2O2电催化剂。当集成到氧化碳纳米管支撑上时，这些催化剂表现出稳定的H2O</w:t>
      </w:r>
    </w:p>
    <w:p>
      <w:pPr>
        <w:spacing w:before="0" w:after="200" w:lineRule="auto" w:line="276"/>
      </w:pPr>
      <w:r>
        <w:rPr>
          <w:b/>
        </w:rPr>
        <w:t xml:space="preserve">Abstract (EN): </w:t>
      </w:r>
      <w:r>
        <w:t>Surface ligands modulate the electronic structure of nanocrystals (NCs); however, in catalytic applications, these ligands are often removed due to concerns about blocking active sites. We studied herein whether ligand functionality and a judiciously chosen degree of ligand coverage can precisely tune the adsorption energy of key intermediates on NC catalysts. Guided by density functional theory calculations, we introduced electron-withdrawing ligands at an optimized coverage on Ag2S NCs, achieving an ideal balance in intermediate adsorption strength (ΔGOOH* = 4.16 eV). This turned Ag2S NCs─intrinsically inactive for the two-electron oxygen reduction reaction─into efficient H2O2 electrocatalysts. When integrated onto oxidized carbon nanotube supports, these catalysts exhibited a stable H2O2 production of 161 mg cm-2 h-1 with a Faradaic efficiency of 84% at 300 mA cm-2 in neutral media. This ligand-driven tuning strategy opens new avenues to control and enhance the catalytic properties of NCs.</w:t>
      </w:r>
    </w:p>
    <w:p>
      <w:pPr>
        <w:spacing w:before="120" w:after="120"/>
      </w:pPr>
      <w:r>
        <w:rPr>
          <w:sz w:val="18"/>
        </w:rPr>
        <w:t>——————————————————————————————————————————————————————————————————————</w:t>
      </w:r>
    </w:p>
    <w:p>
      <w:pPr>
        <w:spacing w:before="160" w:after="40" w:line="240" w:lineRule="auto"/>
      </w:pPr>
      <w:r>
        <w:rPr>
          <w:b/>
        </w:rPr>
        <w:t xml:space="preserve">[51] </w:t>
      </w:r>
      <w:hyperlink r:id="rId222">
        <w:r>
          <w:rPr>
            <w:color w:val="1155CC"/>
            <w:u w:val="single"/>
          </w:rPr>
          <w:t>出版商更正：工程化模块化和正交遗传逻辑门用于稳健的类数字合成生物学</w:t>
        </w:r>
      </w:hyperlink>
    </w:p>
    <w:p>
      <w:pPr>
        <w:spacing w:before="0" w:after="80"/>
      </w:pPr>
      <w:r>
        <w:rPr>
          <w:i/>
          <w:sz w:val="20"/>
        </w:rPr>
        <w:t>EN: Publisher Correction: Engineering modular and orthogonal genetic logic gates for robust digital-like synthetic biology</w:t>
      </w:r>
    </w:p>
    <w:p>
      <w:pPr>
        <w:spacing w:before="0" w:after="120"/>
      </w:pPr>
      <w:r>
        <w:rPr>
          <w:b/>
        </w:rPr>
        <w:t xml:space="preserve">Source: </w:t>
      </w:r>
      <w:r>
        <w:t>Nature Communications</w:t>
      </w:r>
      <w:r>
        <w:t xml:space="preserve">    </w:t>
      </w:r>
      <w:r>
        <w:rPr>
          <w:b/>
        </w:rPr>
        <w:t xml:space="preserve">Pub date: </w:t>
      </w:r>
      <w:r>
        <w:t>2026-03-02 00:00:00+00:00</w:t>
      </w:r>
      <w:r>
        <w:t xml:space="preserve">    </w:t>
      </w:r>
      <w:r>
        <w:rPr>
          <w:b/>
        </w:rPr>
        <w:t xml:space="preserve">DOI: </w:t>
      </w:r>
      <w:hyperlink r:id="rId223">
        <w:r>
          <w:rPr>
            <w:color w:val="1155CC"/>
            <w:u w:val="single"/>
          </w:rPr>
          <w:t>10.1038/s41467-026-69313-3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224">
        <w:r>
          <w:rPr>
            <w:color w:val="1155CC"/>
            <w:u w:val="single"/>
          </w:rPr>
          <w:t>音频长读：许多人没有心理图像。他们的大脑中发生了什么？</w:t>
        </w:r>
      </w:hyperlink>
    </w:p>
    <w:p>
      <w:pPr>
        <w:spacing w:before="0" w:after="80"/>
      </w:pPr>
      <w:r>
        <w:rPr>
          <w:i/>
          <w:sz w:val="20"/>
        </w:rPr>
        <w:t>EN: Audio long read: Many people have no mental imagery. What’s going on in their brains?</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25">
        <w:r>
          <w:rPr>
            <w:color w:val="1155CC"/>
            <w:u w:val="single"/>
          </w:rPr>
          <w:t>10.1038/d41586-026-00626-5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226">
        <w:r>
          <w:rPr>
            <w:color w:val="1155CC"/>
            <w:u w:val="single"/>
          </w:rPr>
          <w:t>量子点的高效双光子发射</w:t>
        </w:r>
      </w:hyperlink>
    </w:p>
    <w:p>
      <w:pPr>
        <w:spacing w:before="0" w:after="80"/>
      </w:pPr>
      <w:r>
        <w:rPr>
          <w:i/>
          <w:sz w:val="20"/>
        </w:rPr>
        <w:t>EN: Efficient two-photon emission from a quantum dot</w:t>
      </w:r>
    </w:p>
    <w:p>
      <w:pPr>
        <w:spacing w:before="0" w:after="120"/>
      </w:pPr>
      <w:r>
        <w:rPr>
          <w:b/>
        </w:rPr>
        <w:t xml:space="preserve">Source: </w:t>
      </w:r>
      <w:r>
        <w:t>Nature Materials</w:t>
      </w:r>
      <w:r>
        <w:t xml:space="preserve">    </w:t>
      </w:r>
      <w:r>
        <w:rPr>
          <w:b/>
        </w:rPr>
        <w:t xml:space="preserve">Pub date: </w:t>
      </w:r>
      <w:r>
        <w:t>2026-03-02 00:00:00+00:00</w:t>
      </w:r>
      <w:r>
        <w:t xml:space="preserve">    </w:t>
      </w:r>
      <w:r>
        <w:rPr>
          <w:b/>
        </w:rPr>
        <w:t xml:space="preserve">DOI: </w:t>
      </w:r>
      <w:hyperlink r:id="rId227">
        <w:r>
          <w:rPr>
            <w:color w:val="1155CC"/>
            <w:u w:val="single"/>
          </w:rPr>
          <w:t>10.1038/s41563-026-02523-8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228">
        <w:r>
          <w:rPr>
            <w:color w:val="1155CC"/>
            <w:u w:val="single"/>
          </w:rPr>
          <w:t>稀释极限中的稳定性</w:t>
        </w:r>
      </w:hyperlink>
    </w:p>
    <w:p>
      <w:pPr>
        <w:spacing w:before="0" w:after="80"/>
      </w:pPr>
      <w:r>
        <w:rPr>
          <w:i/>
          <w:sz w:val="20"/>
        </w:rPr>
        <w:t>EN: Stability in the dilute limit</w:t>
      </w:r>
    </w:p>
    <w:p>
      <w:pPr>
        <w:spacing w:before="0" w:after="120"/>
      </w:pPr>
      <w:r>
        <w:rPr>
          <w:b/>
        </w:rPr>
        <w:t xml:space="preserve">Source: </w:t>
      </w:r>
      <w:r>
        <w:t>Nature Materials</w:t>
      </w:r>
      <w:r>
        <w:t xml:space="preserve">    </w:t>
      </w:r>
      <w:r>
        <w:rPr>
          <w:b/>
        </w:rPr>
        <w:t xml:space="preserve">Pub date: </w:t>
      </w:r>
      <w:r>
        <w:t>2026-03-02 00:00:00+00:00</w:t>
      </w:r>
      <w:r>
        <w:t xml:space="preserve">    </w:t>
      </w:r>
      <w:r>
        <w:rPr>
          <w:b/>
        </w:rPr>
        <w:t xml:space="preserve">DOI: </w:t>
      </w:r>
      <w:hyperlink r:id="rId229">
        <w:r>
          <w:rPr>
            <w:color w:val="1155CC"/>
            <w:u w:val="single"/>
          </w:rPr>
          <w:t>10.1038/s41563-026-02527-4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230">
        <w:r>
          <w:rPr>
            <w:color w:val="1155CC"/>
            <w:u w:val="single"/>
          </w:rPr>
          <w:t>稀合金催化剂中的金属杂化通过降低表面迁移性促进抗烧结性</w:t>
        </w:r>
      </w:hyperlink>
    </w:p>
    <w:p>
      <w:pPr>
        <w:spacing w:before="0" w:after="80"/>
      </w:pPr>
      <w:r>
        <w:rPr>
          <w:i/>
          <w:sz w:val="20"/>
        </w:rPr>
        <w:t>EN: Metal hybridization in dilute-alloy catalysts promotes sintering resistance by decreasing surface mobility</w:t>
      </w:r>
    </w:p>
    <w:p>
      <w:pPr>
        <w:spacing w:before="0" w:after="120"/>
      </w:pPr>
      <w:r>
        <w:rPr>
          <w:b/>
        </w:rPr>
        <w:t xml:space="preserve">Source: </w:t>
      </w:r>
      <w:r>
        <w:t>Nature Materials</w:t>
      </w:r>
      <w:r>
        <w:t xml:space="preserve">    </w:t>
      </w:r>
      <w:r>
        <w:rPr>
          <w:b/>
        </w:rPr>
        <w:t xml:space="preserve">Pub date: </w:t>
      </w:r>
      <w:r>
        <w:t>2026-03-02 00:00:00+00:00</w:t>
      </w:r>
      <w:r>
        <w:t xml:space="preserve">    </w:t>
      </w:r>
      <w:r>
        <w:rPr>
          <w:b/>
        </w:rPr>
        <w:t xml:space="preserve">DOI: </w:t>
      </w:r>
      <w:hyperlink r:id="rId231">
        <w:r>
          <w:rPr>
            <w:color w:val="1155CC"/>
            <w:u w:val="single"/>
          </w:rPr>
          <w:t>10.1038/s41563-026-02489-7</w:t>
        </w:r>
      </w:hyperlink>
    </w:p>
    <w:p>
      <w:pPr>
        <w:spacing w:before="0" w:after="120"/>
      </w:pPr>
      <w:r>
        <w:rPr>
          <w:b/>
        </w:rPr>
        <w:t xml:space="preserve">Notes: </w:t>
      </w:r>
      <w:r>
        <w:t>abstract_source=nature_html</w:t>
      </w:r>
    </w:p>
    <w:p>
      <w:pPr>
        <w:spacing w:before="0" w:after="80" w:lineRule="auto" w:line="276"/>
      </w:pPr>
      <w:r>
        <w:rPr>
          <w:b/>
        </w:rPr>
        <w:t xml:space="preserve">摘要（ZH）: </w:t>
      </w:r>
      <w:r>
        <w:t>稀金属合金纳米颗粒在许多反应中表现出比单金属纳米颗粒更高的催化性能。传闻表明，非常稀的合金化也可以减缓支撑纳米颗粒的烧结速率，尽管这尚未得到严格评估，且无法用金属熔点等体相描述符来解释。在此，我们利用甲醇合成反应性、显微镜和原位光谱测量来证明，1原子% Pt添加到直径约1–2纳米的Cu（Pt1Cu100）纳米颗粒上，支撑在SiO2上，显著降低了它们的烧结速率。在H2中老化至700 °C时，Pt1Cu100纳米颗粒的烧结最小，而Cu纳米颗粒在500 °C时就出现烧结。扫描隧道显微镜揭示了添加</w:t>
      </w:r>
    </w:p>
    <w:p>
      <w:pPr>
        <w:spacing w:before="0" w:after="200" w:lineRule="auto" w:line="276"/>
      </w:pPr>
      <w:r>
        <w:rPr>
          <w:b/>
        </w:rPr>
        <w:t xml:space="preserve">Abstract (EN): </w:t>
      </w:r>
      <w:r>
        <w:t>Dilute-metal-alloy nanoparticles exhibit enhanced catalytic performance compared with monometallic nanoparticles for many reactions. Anecdotal reports indicate that very dilute alloying can also slow the sintering rates of supported nanoparticles, although this has not been rigorously assessed and cannot be explained using bulk descriptors such as metal melting temperature. Here we utilize methanol synthesis reactivity, microscopy and in situ spectroscopy measurements to demonstrate that 1 atom% Pt addition to ~1–2-nm-diameter Cu (Pt1Cu100) nanoparticles supported on SiO2 dramatically decreases their sintering rates. Minimal sintering of Pt1Cu100 nanoparticles is observed during aging in H2 up to 700 °C versus 500 °C for Cu nanoparticles. Scanning tunnelling microscopy reveals that the addition of 0.01 monolayer of Pt to a Cu(110) surface decreases the detachment rate of undercoordinated atoms, demonstrating that dilute dopants can locally decrease the rate of the first step in nanoparticle sintering. Density functional theory calculations quantify the stabilization and predict other sinter-resistant dilute alloys. We find that the degree of host–dopant d-state hybridization correlates with decreased surface mobility, providing a mechanistic framework for designing sinter-resistant catalysts.</w:t>
      </w:r>
    </w:p>
    <w:p>
      <w:pPr>
        <w:spacing w:before="120" w:after="120"/>
      </w:pPr>
      <w:r>
        <w:rPr>
          <w:sz w:val="18"/>
        </w:rPr>
        <w:t>——————————————————————————————————————————————————————————————————————</w:t>
      </w:r>
    </w:p>
    <w:p>
      <w:pPr>
        <w:spacing w:before="160" w:after="40" w:line="240" w:lineRule="auto"/>
      </w:pPr>
      <w:r>
        <w:rPr>
          <w:b/>
        </w:rPr>
        <w:t xml:space="preserve">[56] </w:t>
      </w:r>
      <w:hyperlink r:id="rId232">
        <w:r>
          <w:rPr>
            <w:color w:val="1155CC"/>
            <w:u w:val="single"/>
          </w:rPr>
          <w:t>BCDX2–CX3和DX2–CX3复合物组装并稳定RAD51丝状体</w:t>
        </w:r>
      </w:hyperlink>
    </w:p>
    <w:p>
      <w:pPr>
        <w:spacing w:before="0" w:after="80"/>
      </w:pPr>
      <w:r>
        <w:rPr>
          <w:i/>
          <w:sz w:val="20"/>
        </w:rPr>
        <w:t>EN: BCDX2–CX3 and DX2–CX3 complexes assemble and stabilize RAD51 filaments</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33">
        <w:r>
          <w:rPr>
            <w:color w:val="1155CC"/>
            <w:u w:val="single"/>
          </w:rPr>
          <w:t>10.1038/s41586-026-10314-z</w:t>
        </w:r>
      </w:hyperlink>
    </w:p>
    <w:p>
      <w:pPr>
        <w:spacing w:before="0" w:after="120"/>
      </w:pPr>
      <w:r>
        <w:rPr>
          <w:b/>
        </w:rPr>
        <w:t xml:space="preserve">Notes: </w:t>
      </w:r>
      <w:r>
        <w:t>abstract_source=nature_html</w:t>
      </w:r>
    </w:p>
    <w:p>
      <w:pPr>
        <w:spacing w:before="0" w:after="80" w:lineRule="auto" w:line="276"/>
      </w:pPr>
      <w:r>
        <w:rPr>
          <w:b/>
        </w:rPr>
        <w:t xml:space="preserve">摘要（ZH）: </w:t>
      </w:r>
      <w:r>
        <w:t>通过同源重组（HR）修复DNA双链断裂对于基因组完整性至关重要，其失调是癌症的标志1。HR的核心是RAD51重组酶，其组装成核蛋白丝状体由五个RAD51旁系同源物（RAD51B, RAD51C, RAD51D, XRCC2, XRCC3）调控2。这些蛋白中的任何一个发生突变都会使个体易患多种癌症或遗传疾病3-6。这些旁系同源物被认为形成两个功能上独立的复合体，BCDX2（RAD51B-C-D-XRCC2）和CX3（RAD51C-XRCC3），在HR的不同阶段独立发挥作用7-11。在此，我们证明所有五个旁系同源物可以组装成一个单一的、ATP依赖的BCDX2-CX3-RAD51超复合体。该组装体与单链DNA（ssDNA）结合的结构揭示了一个连续的</w:t>
      </w:r>
    </w:p>
    <w:p>
      <w:pPr>
        <w:spacing w:before="0" w:after="200" w:lineRule="auto" w:line="276"/>
      </w:pPr>
      <w:r>
        <w:rPr>
          <w:b/>
        </w:rPr>
        <w:t xml:space="preserve">Abstract (EN): </w:t>
      </w:r>
      <w:r>
        <w:t>The repair of DNA double-strand breaks by homologous recombination (HR) is essential for genomic integrity, and its dysregulation is a hallmark of cancer1. Central to HR is the RAD51 recombinase, whose assembly into a nucleoprotein filament is governed by five RAD51 paralogs (RAD51B, RAD51C, RAD51D, XRCC2, XRCC3)2. Mutations in any of these proteins predispose individuals to multiple cancers or genetic disorders3-6. These paralogs are thought to form two functionally separate complexes, BCDX2 (RAD51B-C-D-XRCC2) and CX3 (RAD51C-XRCC3), that act independently at different stages of HR7-11. Here, we demonstrate that all five paralogs can assemble into a single, ATP-dependent BCDX2-CX3-RAD51 supercomplex. The architecture of this assembly bound to single-stranded DNA (ssDNA) reveals a contiguous filament where the CX3 module stacks atop BCDX2, creating a protofilament template for RAD51 filament formation. We further identify a novel, RAD51B-independent DX2-CX3 complex (RAD51D-XRCC2-RAD51C-XRCC3) functioning as a stable RAD51 anchor on ssDNA, and we capture it in multiple states, including capping RAD51 filament segment. These distinct assemblies are differentially regulated by ATPase activity, defining a dynamic BCDX2-CX3 “loader” and a stable DX2-CX3 “anchor” that provide functional modularity to the HR machinery. This work provides a unifying mechanism for human RAD51 paralog function and delivers an atomic blueprint for interpreting disease-causing mutations.</w:t>
      </w:r>
    </w:p>
    <w:p>
      <w:pPr>
        <w:spacing w:before="120" w:after="120"/>
      </w:pPr>
      <w:r>
        <w:rPr>
          <w:sz w:val="18"/>
        </w:rPr>
        <w:t>——————————————————————————————————————————————————————————————————————</w:t>
      </w:r>
    </w:p>
    <w:p>
      <w:pPr>
        <w:spacing w:before="160" w:after="40" w:line="240" w:lineRule="auto"/>
      </w:pPr>
      <w:r>
        <w:rPr>
          <w:b/>
        </w:rPr>
        <w:t xml:space="preserve">[57] </w:t>
      </w:r>
      <w:hyperlink r:id="rId234">
        <w:r>
          <w:rPr>
            <w:color w:val="1155CC"/>
            <w:u w:val="single"/>
          </w:rPr>
          <w:t>分子工程化的具有超大孔架构和功能机会的沸石</w:t>
        </w:r>
      </w:hyperlink>
    </w:p>
    <w:p>
      <w:pPr>
        <w:spacing w:before="0" w:after="80"/>
      </w:pPr>
      <w:r>
        <w:rPr>
          <w:i/>
          <w:sz w:val="20"/>
        </w:rPr>
        <w:t>EN: Molecularly engineered zeolites with extra-large-pore architectures and functional opportunities</w:t>
      </w:r>
    </w:p>
    <w:p>
      <w:pPr>
        <w:spacing w:before="0" w:after="120"/>
      </w:pPr>
      <w:r>
        <w:rPr>
          <w:b/>
        </w:rPr>
        <w:t xml:space="preserve">Source: </w:t>
      </w:r>
      <w:r>
        <w:t>RSC - Chem. Soc. Rev. latest articles</w:t>
      </w:r>
      <w:r>
        <w:t xml:space="preserve">    </w:t>
      </w:r>
      <w:r>
        <w:rPr>
          <w:b/>
        </w:rPr>
        <w:t xml:space="preserve">Pub date: </w:t>
      </w:r>
      <w:r>
        <w:t>2026-03-02 00:00:00+00:00</w:t>
      </w:r>
    </w:p>
    <w:p>
      <w:pPr>
        <w:spacing w:before="0" w:after="120"/>
      </w:pPr>
      <w:r>
        <w:rPr>
          <w:b/>
        </w:rPr>
        <w:t xml:space="preserve">Notes: </w:t>
      </w:r>
      <w:r>
        <w:t>abstract_source=rsc_html</w:t>
      </w:r>
    </w:p>
    <w:p>
      <w:pPr>
        <w:spacing w:before="0" w:after="80" w:lineRule="auto" w:line="276"/>
      </w:pPr>
      <w:r>
        <w:rPr>
          <w:b/>
        </w:rPr>
        <w:t xml:space="preserve">摘要（ZH）: </w:t>
      </w:r>
      <w:r>
        <w:t>沸石是结晶微孔材料，广泛应用于离子交换、吸附、分离和催化。然而，具有8–12元环（MR）框架的小孔、中孔和大孔沸石在大分子转化中存在固有的扩散和反应性限制。分子工程的最新进展使得合成窗口尺寸超过12-MR的超大孔（ELP）框架成为可能，这弥合了微孔和介孔材料之间的差距。这些结构独特的ELP沸石促进了大分子的扩散，开启了催化、分离和环境修复的新机遇。本综述整合了迅速扩展的ELP沸石领域，提供了从</w:t>
      </w:r>
    </w:p>
    <w:p>
      <w:pPr>
        <w:spacing w:before="0" w:after="200" w:lineRule="auto" w:line="276"/>
      </w:pPr>
      <w:r>
        <w:rPr>
          <w:b/>
        </w:rPr>
        <w:t xml:space="preserve">Abstract (EN): </w:t>
      </w:r>
      <w:r>
        <w:t>Zeolites are crystalline microporous materials extensively applied in ion exchange, adsorption, separation, and catalysis. However, small-, medium-, and large-pore zeolites with 8–12-membered-ring (MR) frameworks suffer from intrinsic diffusion and reactivity limitations in the conversion of bulky molecules. Recent advances in molecular engineering have enabled the synthesis of extra-large-pore (ELP) frameworks with window sizes exceeding 12-MRs, which bridge the gap between microporous and mesoporous materials. These architecturally unique ELP zeolites facilitate the diffusion of bulky molecules, unlocking opportunities in catalysis, separation, and environmental remediation. This review consolidates the rapidly expanding field of ELP zeolites, providing a comprehensive overview ranging from early germanosilicate and phosphate-based systems to recent high-silica and aluminosilicate ELP frameworks with three-dimensional interconnected pore networks. First, we delineate the structural characteristics of ELP zeolites (ring aperture, framework density, and pore dimensionality) and discuss advanced characterisation techniques that have enabled their precise structural elucidation. We then systematically summarise the synthetic methodologies, encompassing the prevailing ‘bottom-up’ and ‘top-down’ strategies, as well as emerging approaches such as high-throughput screening and machine learning-guided framework design. Representative ELP zeolites across phosphate-, germanosilicate-, pure-silica, aluminosilicate-, and heteroatom-containing frameworks are examined with respect to their functional potential in adsorption, separation, and catalysis. Finally, key challenges, including the high cost of multi-step templating, reliance on germanium, structural framework defects, and environmentally unsustainable synthesis methods, are highlighted, along with perspectives on accelerating the development of next-generation ELP zeolites through data-driven design integrated with in situ characterisation.</w:t>
      </w:r>
    </w:p>
    <w:p>
      <w:pPr>
        <w:spacing w:before="120" w:after="120"/>
      </w:pPr>
      <w:r>
        <w:rPr>
          <w:sz w:val="18"/>
        </w:rPr>
        <w:t>——————————————————————————————————————————————————————————————————————</w:t>
      </w:r>
    </w:p>
    <w:p>
      <w:pPr>
        <w:spacing w:before="160" w:after="40" w:line="240" w:lineRule="auto"/>
      </w:pPr>
      <w:r>
        <w:rPr>
          <w:b/>
        </w:rPr>
        <w:t xml:space="preserve">[58] </w:t>
      </w:r>
      <w:hyperlink r:id="rId235">
        <w:r>
          <w:rPr>
            <w:color w:val="1155CC"/>
            <w:u w:val="single"/>
          </w:rPr>
          <w:t>兼容CMOS、可扩展且紧凑的磁电自旋扭矩微波探测器</w:t>
        </w:r>
      </w:hyperlink>
    </w:p>
    <w:p>
      <w:pPr>
        <w:spacing w:before="0" w:after="80"/>
      </w:pPr>
      <w:r>
        <w:rPr>
          <w:i/>
          <w:sz w:val="20"/>
        </w:rPr>
        <w:t>EN: A CMOS-compatible, scalable and compact magnetoelectric spin-torque microwave detector</w:t>
      </w:r>
    </w:p>
    <w:p>
      <w:pPr>
        <w:spacing w:before="0" w:after="120"/>
      </w:pPr>
      <w:r>
        <w:rPr>
          <w:b/>
        </w:rPr>
        <w:t xml:space="preserve">Source: </w:t>
      </w:r>
      <w:r>
        <w:t>Nature Nanotechnology</w:t>
      </w:r>
      <w:r>
        <w:t xml:space="preserve">    </w:t>
      </w:r>
      <w:r>
        <w:rPr>
          <w:b/>
        </w:rPr>
        <w:t xml:space="preserve">Pub date: </w:t>
      </w:r>
      <w:r>
        <w:t>2026-03-02 00:00:00+00:00</w:t>
      </w:r>
      <w:r>
        <w:t xml:space="preserve">    </w:t>
      </w:r>
      <w:r>
        <w:rPr>
          <w:b/>
        </w:rPr>
        <w:t xml:space="preserve">DOI: </w:t>
      </w:r>
      <w:hyperlink r:id="rId236">
        <w:r>
          <w:rPr>
            <w:color w:val="1155CC"/>
            <w:u w:val="single"/>
          </w:rPr>
          <w:t>10.1038/s41565-026-02129-w</w:t>
        </w:r>
      </w:hyperlink>
    </w:p>
    <w:p>
      <w:pPr>
        <w:spacing w:before="0" w:after="120"/>
      </w:pPr>
      <w:r>
        <w:rPr>
          <w:b/>
        </w:rPr>
        <w:t xml:space="preserve">Notes: </w:t>
      </w:r>
      <w:r>
        <w:t>abstract_source=nature_html</w:t>
      </w:r>
    </w:p>
    <w:p>
      <w:pPr>
        <w:spacing w:before="0" w:after="80" w:lineRule="auto" w:line="276"/>
      </w:pPr>
      <w:r>
        <w:rPr>
          <w:b/>
        </w:rPr>
        <w:t xml:space="preserve">摘要（ZH）: </w:t>
      </w:r>
      <w:r>
        <w:t>开发与互补金属氧化物半导体（CMOS）工艺兼容的紧凑且高灵敏度的微波探测器仍然是微波技术中的一大挑战。自旋转矩二极管是新兴的纳米级自旋电子器件，能够超越肖特基二极管的理论热力学灵敏度极限。然而，它们在紧凑系统中的实际应用受到外部天线或探针需求的限制。在此，我们展示了一种磁电（ME）自旋转矩微波探测器，该探测器将ME天线与磁隧道结（MTJ）单片集成。该器件直接将无线电磁信号转换为直流输出，功率水平低于微瓦，实现了大于90 kV W−1的灵敏度，噪声等效功率为3 pW Hz</w:t>
      </w:r>
    </w:p>
    <w:p>
      <w:pPr>
        <w:spacing w:before="0" w:after="200" w:lineRule="auto" w:line="276"/>
      </w:pPr>
      <w:r>
        <w:rPr>
          <w:b/>
        </w:rPr>
        <w:t xml:space="preserve">Abstract (EN): </w:t>
      </w:r>
      <w:r>
        <w:t>The development of compact and highly sensitive microwave detectors compatible with complementary metal–oxide–semiconductor (CMOS) processes remains a major challenge in microwave technology. Spin-torque diodes are emerging nanoscale spintronic devices capable of surpassing the theoretical thermodynamic sensitivity limits of Schottky diodes. However, their practical use in compact systems is limited by the need for external antennas or probes. Here we demonstrate a magnetoelectric (ME) spin-torque microwave detector that monolithically integrates a ME antenna with a magnetic tunnel junction (MTJ). The device directly converts wireless electromagnetic signals into a d.c. output at sub-microwatt power levels, achieving a sensitivity greater than 90 kV W−1, a noise equivalent power of 3 pW Hz−1/2 and a compact footprint of 0.4 mm2. This performance is due to the non-linear coupling between incoherent magnetization dynamics, driven by a d.c. current in the MTJ, and the combined effects of the microwave voltage and strain generated by the ME antenna under incident electromagnetic waves. We further show that this design is scalable, enabling the cointegration of a ME antenna with an array of MTJs. A detector incorporating four MTJs exhibits an increased sensitivity exceeding 400 kV W−1. Our results may contribute to the development of a new generation of highly sensitive, compact and scalable microwave detectors that combine ME antennas and spintronic diodes.</w:t>
      </w:r>
    </w:p>
    <w:p>
      <w:pPr>
        <w:spacing w:before="120" w:after="120"/>
      </w:pPr>
      <w:r>
        <w:rPr>
          <w:sz w:val="18"/>
        </w:rPr>
        <w:t>——————————————————————————————————————————————————————————————————————</w:t>
      </w:r>
    </w:p>
    <w:p>
      <w:pPr>
        <w:spacing w:before="160" w:after="40" w:line="240" w:lineRule="auto"/>
      </w:pPr>
      <w:r>
        <w:rPr>
          <w:b/>
        </w:rPr>
        <w:t xml:space="preserve">[59] </w:t>
      </w:r>
      <w:hyperlink r:id="rId237">
        <w:r>
          <w:rPr>
            <w:color w:val="1155CC"/>
            <w:u w:val="single"/>
          </w:rPr>
          <w:t>作者更正：根部微生物群驱动磷酸盐胁迫和免疫的直接整合</w:t>
        </w:r>
      </w:hyperlink>
    </w:p>
    <w:p>
      <w:pPr>
        <w:spacing w:before="0" w:after="80"/>
      </w:pPr>
      <w:r>
        <w:rPr>
          <w:i/>
          <w:sz w:val="20"/>
        </w:rPr>
        <w:t>EN: Author Correction: Root microbiota drive direct integration of phosphate stress and immunity</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38">
        <w:r>
          <w:rPr>
            <w:color w:val="1155CC"/>
            <w:u w:val="single"/>
          </w:rPr>
          <w:t>10.1038/s41586-026-10320-1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239">
        <w:r>
          <w:rPr>
            <w:color w:val="1155CC"/>
            <w:u w:val="single"/>
          </w:rPr>
          <w:t>硒选择器中的电荷触发开关机制实现超低漏电流</w:t>
        </w:r>
      </w:hyperlink>
    </w:p>
    <w:p>
      <w:pPr>
        <w:spacing w:before="0" w:after="80"/>
      </w:pPr>
      <w:r>
        <w:rPr>
          <w:i/>
          <w:sz w:val="20"/>
        </w:rPr>
        <w:t>EN: Charge-triggered switching mechanism in selenium selector enabling ultralow leakage current</w:t>
      </w:r>
    </w:p>
    <w:p>
      <w:pPr>
        <w:spacing w:before="0" w:after="120"/>
      </w:pPr>
      <w:r>
        <w:rPr>
          <w:b/>
        </w:rPr>
        <w:t xml:space="preserve">Source: </w:t>
      </w:r>
      <w:r>
        <w:t>Nature Materials</w:t>
      </w:r>
      <w:r>
        <w:t xml:space="preserve">    </w:t>
      </w:r>
      <w:r>
        <w:rPr>
          <w:b/>
        </w:rPr>
        <w:t xml:space="preserve">Pub date: </w:t>
      </w:r>
      <w:r>
        <w:t>2026-03-02 00:00:00+00:00</w:t>
      </w:r>
      <w:r>
        <w:t xml:space="preserve">    </w:t>
      </w:r>
      <w:r>
        <w:rPr>
          <w:b/>
        </w:rPr>
        <w:t xml:space="preserve">DOI: </w:t>
      </w:r>
      <w:hyperlink r:id="rId240">
        <w:r>
          <w:rPr>
            <w:color w:val="1155CC"/>
            <w:u w:val="single"/>
          </w:rPr>
          <w:t>10.1038/s41563-026-02499-5</w:t>
        </w:r>
      </w:hyperlink>
    </w:p>
    <w:p>
      <w:pPr>
        <w:spacing w:before="0" w:after="120"/>
      </w:pPr>
      <w:r>
        <w:rPr>
          <w:b/>
        </w:rPr>
        <w:t xml:space="preserve">Notes: </w:t>
      </w:r>
      <w:r>
        <w:t>abstract_source=nature_html</w:t>
      </w:r>
    </w:p>
    <w:p>
      <w:pPr>
        <w:spacing w:before="0" w:after="80" w:lineRule="auto" w:line="276"/>
      </w:pPr>
      <w:r>
        <w:rPr>
          <w:b/>
        </w:rPr>
        <w:t xml:space="preserve">摘要（ZH）: </w:t>
      </w:r>
      <w:r>
        <w:t>人工智能模型的快速增长在速度、密度和能效方面已经超出了当前动态随机存取存储器/闪存存储系统的能力。三维相变存储器提供了一种可扩展的解决方案，但交叉点集成受到选择器性能的限制。在此，通过反向追踪先前报道的卤化物阈值开关（OTS）材料，我们确定了非晶态元素硒作为一种高效的OTS选择器。它表现出超低漏电流（4 × 10−12 A）、超过108的开/关电流比、高驱动电流密度（21.2 MA cm−2）、快速切换速度（约20 ns）和高达2 × 109次循环的耐久性。光激发光谱和密度泛函理论计算揭示了一种电荷触发机制：密集陷阱</w:t>
      </w:r>
    </w:p>
    <w:p>
      <w:pPr>
        <w:spacing w:before="0" w:after="200" w:lineRule="auto" w:line="276"/>
      </w:pPr>
      <w:r>
        <w:rPr>
          <w:b/>
        </w:rPr>
        <w:t xml:space="preserve">Abstract (EN): </w:t>
      </w:r>
      <w:r>
        <w:t>The rapid growth of artificial intelligence models has outpaced the capabilities of current dynamic random-access memory/flash storage systems in speed, density and energy efficiency. Three-dimensional phase-change memory offers a scalable solution, yet cross-point integration is limited by selector performance. Here, by reverse-tracing previously reported ovonic threshold switch (OTS) materials, we identify amorphous elemental selenium as a highly effective OTS selector. It exhibits an ultralow leakage current (4 × 10−12 A), an on/off current ratio exceeding 108, high drive current density (21.2 MA cm−2), fast switching speed (~20 ns) and endurance up to 2 × 109 cycles. Photoexcitation spectroscopy and density functional theory calculations reveal a charge-triggered mechanism: dense trap pairs in amorphous selenium strongly pin the Fermi level and suppress leakage, while full carrier excitation in these traps near threshold, together with impact-ionization-induced avalanche multiplication, enables abrupt switching and high on-current. Integrated selenium-selector/phase-change memory arrays demonstrate reliable write/erase operations with a 0.75-V read margin. These results clarify the OTS mechanism and establish amorphous selenium as a leading selector material for three-dimensional memory.</w:t>
      </w:r>
    </w:p>
    <w:p>
      <w:pPr>
        <w:spacing w:before="120" w:after="120"/>
      </w:pPr>
      <w:r>
        <w:rPr>
          <w:sz w:val="18"/>
        </w:rPr>
        <w:t>——————————————————————————————————————————————————————————————————————</w:t>
      </w:r>
    </w:p>
    <w:p>
      <w:pPr>
        <w:spacing w:before="160" w:after="40" w:line="240" w:lineRule="auto"/>
      </w:pPr>
      <w:r>
        <w:rPr>
          <w:b/>
        </w:rPr>
        <w:t xml:space="preserve">[61] </w:t>
      </w:r>
      <w:hyperlink r:id="rId241">
        <w:r>
          <w:rPr>
            <w:color w:val="1155CC"/>
            <w:u w:val="single"/>
          </w:rPr>
          <w:t>通过暗态双激子加载从量子点实现Purcell增强的双光子发射</w:t>
        </w:r>
      </w:hyperlink>
    </w:p>
    <w:p>
      <w:pPr>
        <w:spacing w:before="0" w:after="80"/>
      </w:pPr>
      <w:r>
        <w:rPr>
          <w:i/>
          <w:sz w:val="20"/>
        </w:rPr>
        <w:t>EN: Purcell-enhanced two-photon emission from a quantum dot via dark-state biexciton loading</w:t>
      </w:r>
    </w:p>
    <w:p>
      <w:pPr>
        <w:spacing w:before="0" w:after="120"/>
      </w:pPr>
      <w:r>
        <w:rPr>
          <w:b/>
        </w:rPr>
        <w:t xml:space="preserve">Source: </w:t>
      </w:r>
      <w:r>
        <w:t>Nature Materials</w:t>
      </w:r>
      <w:r>
        <w:t xml:space="preserve">    </w:t>
      </w:r>
      <w:r>
        <w:rPr>
          <w:b/>
        </w:rPr>
        <w:t xml:space="preserve">Pub date: </w:t>
      </w:r>
      <w:r>
        <w:t>2026-03-02 00:00:00+00:00</w:t>
      </w:r>
      <w:r>
        <w:t xml:space="preserve">    </w:t>
      </w:r>
      <w:r>
        <w:rPr>
          <w:b/>
        </w:rPr>
        <w:t xml:space="preserve">DOI: </w:t>
      </w:r>
      <w:hyperlink r:id="rId242">
        <w:r>
          <w:rPr>
            <w:color w:val="1155CC"/>
            <w:u w:val="single"/>
          </w:rPr>
          <w:t>10.1038/s41563-026-02522-9</w:t>
        </w:r>
      </w:hyperlink>
    </w:p>
    <w:p>
      <w:pPr>
        <w:spacing w:before="0" w:after="120"/>
      </w:pPr>
      <w:r>
        <w:rPr>
          <w:b/>
        </w:rPr>
        <w:t xml:space="preserve">Notes: </w:t>
      </w:r>
      <w:r>
        <w:t>abstract_source=nature_html</w:t>
      </w:r>
    </w:p>
    <w:p>
      <w:pPr>
        <w:spacing w:before="0" w:after="80" w:lineRule="auto" w:line="276"/>
      </w:pPr>
      <w:r>
        <w:rPr>
          <w:b/>
        </w:rPr>
        <w:t xml:space="preserve">摘要（ZH）: </w:t>
      </w:r>
      <w:r>
        <w:t>在光子量子技术中，生成具有明确光子数状态的光是核心。虽然确定性单光子源已经成熟，但从单个发射体产生高效的双光子状态仍然具有挑战性。在此，我们展示了一种高效的双光子发射器，利用在Purcell增强的量子点-微柱系统中的简并双激子-激子级联。通过利用偏振选择的p壳激发，我们实现了有效的双激子加载，并确定受激发射是增强双光子时间相关性的关键机制。发射器表现出g(2)(0) = 3,966(324)的双光子相关性，双光子比例为0.983(1)，并在一个混合的、主要由级联主导的模式下运行，其中腔体刺激的双光子</w:t>
      </w:r>
    </w:p>
    <w:p>
      <w:pPr>
        <w:spacing w:before="0" w:after="200" w:lineRule="auto" w:line="276"/>
      </w:pPr>
      <w:r>
        <w:rPr>
          <w:b/>
        </w:rPr>
        <w:t xml:space="preserve">Abstract (EN): </w:t>
      </w:r>
      <w:r>
        <w:t>Generating light in well-defined photon-number states is central to photonic quantum technologies. While deterministic single-photon sources are well established, producing efficient two-photon states from individual emitters remains challenging. Here we demonstrate a high-efficiency two-photon emitter using the degenerate biexciton–exciton cascade in a Purcell-enhanced quantum dot–micropillar system. Leveraging polarization-selective p-shell excitation, we achieve effective biexciton loading and identify stimulated emission as a key mechanism enhancing two-photon temporal correlation. The emitter exhibits a two-photon correlation of g(2)(0) = 3,966(324), with a two-photon fraction of 0.983(1), and operates in a hybrid, predominantly cascade-dominated regime where cavity-stimulated two-photon emission coexists with the conventional biexciton–exciton cascade. These findings represent progress towards developing practical, on-demand, solid-state two-photon sources.</w:t>
      </w:r>
    </w:p>
    <w:p>
      <w:pPr>
        <w:spacing w:before="120" w:after="120"/>
      </w:pPr>
      <w:r>
        <w:rPr>
          <w:sz w:val="18"/>
        </w:rPr>
        <w:t>——————————————————————————————————————————————————————————————————————</w:t>
      </w:r>
    </w:p>
    <w:p>
      <w:pPr>
        <w:spacing w:before="160" w:after="40" w:line="240" w:lineRule="auto"/>
      </w:pPr>
      <w:r>
        <w:rPr>
          <w:b/>
        </w:rPr>
        <w:t xml:space="preserve">[62] </w:t>
      </w:r>
      <w:hyperlink r:id="rId243">
        <w:r>
          <w:rPr>
            <w:color w:val="1155CC"/>
            <w:u w:val="single"/>
          </w:rPr>
          <w:t>剥离胶带的尖叫声，解释</w:t>
        </w:r>
      </w:hyperlink>
    </w:p>
    <w:p>
      <w:pPr>
        <w:spacing w:before="0" w:after="80"/>
      </w:pPr>
      <w:r>
        <w:rPr>
          <w:i/>
          <w:sz w:val="20"/>
        </w:rPr>
        <w:t>EN: The squeal of peeling tape, explained</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44">
        <w:r>
          <w:rPr>
            <w:color w:val="1155CC"/>
            <w:u w:val="single"/>
          </w:rPr>
          <w:t>10.1038/d41586-026-00516-w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245">
        <w:r>
          <w:rPr>
            <w:color w:val="1155CC"/>
            <w:u w:val="single"/>
          </w:rPr>
          <w:t>中国伟大互联网防火墙背后的隐秘生活</w:t>
        </w:r>
      </w:hyperlink>
    </w:p>
    <w:p>
      <w:pPr>
        <w:spacing w:before="0" w:after="80"/>
      </w:pPr>
      <w:r>
        <w:rPr>
          <w:i/>
          <w:sz w:val="20"/>
        </w:rPr>
        <w:t>EN: The hidden lives behind China’s great Internet firewall</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46">
        <w:r>
          <w:rPr>
            <w:color w:val="1155CC"/>
            <w:u w:val="single"/>
          </w:rPr>
          <w:t>10.1038/d41586-026-00664-z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247">
        <w:r>
          <w:rPr>
            <w:color w:val="1155CC"/>
            <w:u w:val="single"/>
          </w:rPr>
          <w:t>地球最古老的晶体暗示板块构造的早期开始</w:t>
        </w:r>
      </w:hyperlink>
    </w:p>
    <w:p>
      <w:pPr>
        <w:spacing w:before="0" w:after="80"/>
      </w:pPr>
      <w:r>
        <w:rPr>
          <w:i/>
          <w:sz w:val="20"/>
        </w:rPr>
        <w:t>EN: Earth's oldest crystals suggest an early start for plate tectonics</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48">
        <w:r>
          <w:rPr>
            <w:color w:val="1155CC"/>
            <w:u w:val="single"/>
          </w:rPr>
          <w:t>10.1038/d41586-026-00628-3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249">
        <w:r>
          <w:rPr>
            <w:color w:val="1155CC"/>
            <w:u w:val="single"/>
          </w:rPr>
          <w:t>透明木材作为多功能能源材料的前景</w:t>
        </w:r>
      </w:hyperlink>
    </w:p>
    <w:p>
      <w:pPr>
        <w:spacing w:before="0" w:after="80"/>
      </w:pPr>
      <w:r>
        <w:rPr>
          <w:i/>
          <w:sz w:val="20"/>
        </w:rPr>
        <w:t>EN: The promise of transparent wood as a multifunctional energy material</w:t>
      </w:r>
    </w:p>
    <w:p>
      <w:pPr>
        <w:spacing w:before="0" w:after="120"/>
      </w:pPr>
      <w:r>
        <w:rPr>
          <w:b/>
        </w:rPr>
        <w:t xml:space="preserve">Source: </w:t>
      </w:r>
      <w:r>
        <w:t>Nature Reviews Materials</w:t>
      </w:r>
      <w:r>
        <w:t xml:space="preserve">    </w:t>
      </w:r>
      <w:r>
        <w:rPr>
          <w:b/>
        </w:rPr>
        <w:t xml:space="preserve">Pub date: </w:t>
      </w:r>
      <w:r>
        <w:t>2026-03-02 00:00:00+00:00</w:t>
      </w:r>
      <w:r>
        <w:t xml:space="preserve">    </w:t>
      </w:r>
      <w:r>
        <w:rPr>
          <w:b/>
        </w:rPr>
        <w:t xml:space="preserve">DOI: </w:t>
      </w:r>
      <w:hyperlink r:id="rId250">
        <w:r>
          <w:rPr>
            <w:color w:val="1155CC"/>
            <w:u w:val="single"/>
          </w:rPr>
          <w:t>10.1038/s41578-026-00901-x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 </w:t>
      </w:r>
      <w:hyperlink r:id="rId251">
        <w:r>
          <w:rPr>
            <w:color w:val="1155CC"/>
            <w:u w:val="single"/>
          </w:rPr>
          <w:t>二维层状超高κ介电材料的铁电-顺电相工程</w:t>
        </w:r>
      </w:hyperlink>
    </w:p>
    <w:p>
      <w:pPr>
        <w:spacing w:before="0" w:after="80"/>
      </w:pPr>
      <w:r>
        <w:rPr>
          <w:i/>
          <w:sz w:val="20"/>
        </w:rPr>
        <w:t>EN: Ferroelectric-to-paraelectric phase engineering for two-dimensional layered ultra-high-κ dielectrics</w:t>
      </w:r>
    </w:p>
    <w:p>
      <w:pPr>
        <w:spacing w:before="0" w:after="120"/>
      </w:pPr>
      <w:r>
        <w:rPr>
          <w:b/>
        </w:rPr>
        <w:t xml:space="preserve">Source: </w:t>
      </w:r>
      <w:r>
        <w:t>National Science Review Advance Access</w:t>
      </w:r>
      <w:r>
        <w:t xml:space="preserve">    </w:t>
      </w:r>
      <w:r>
        <w:rPr>
          <w:b/>
        </w:rPr>
        <w:t xml:space="preserve">Pub date: </w:t>
      </w:r>
      <w:r>
        <w:t>2026-03-02 00:00:00+00:00</w:t>
      </w:r>
      <w:r>
        <w:t xml:space="preserve">    </w:t>
      </w:r>
      <w:r>
        <w:rPr>
          <w:b/>
        </w:rPr>
        <w:t xml:space="preserve">DOI: </w:t>
      </w:r>
      <w:hyperlink r:id="rId252">
        <w:r>
          <w:rPr>
            <w:color w:val="1155CC"/>
            <w:u w:val="single"/>
          </w:rPr>
          <w:t>10.1093/nsr/nwag126</w:t>
        </w:r>
      </w:hyperlink>
    </w:p>
    <w:p>
      <w:pPr>
        <w:spacing w:before="0" w:after="120"/>
      </w:pPr>
      <w:r>
        <w:rPr>
          <w:b/>
        </w:rPr>
        <w:t xml:space="preserve">Notes: </w:t>
      </w:r>
      <w:r>
        <w:t>abstract_source=rss_oup</w:t>
      </w:r>
    </w:p>
    <w:p>
      <w:pPr>
        <w:spacing w:before="0" w:after="80" w:lineRule="auto" w:line="276"/>
      </w:pPr>
      <w:r>
        <w:rPr>
          <w:b/>
        </w:rPr>
        <w:t xml:space="preserve">摘要（ZH）: </w:t>
      </w:r>
      <w:r>
        <w:t>2D电子器件的进展迫切需要结合高介电常数、超低泄漏和原子级光滑界面的范德华（vdW）介电层。2D铁电体通常由于离子位移驱动的极化而表现出高介电常数，但其显著的剩余极化和滞后开关行为会引发与数字电子学根本冲突的非易失性状态。朗道理论规定在居里温度（T</w:t>
      </w:r>
    </w:p>
    <w:p>
      <w:pPr>
        <w:spacing w:before="0" w:after="200" w:lineRule="auto" w:line="276"/>
      </w:pPr>
      <w:r>
        <w:rPr>
          <w:b/>
        </w:rPr>
        <w:t xml:space="preserve">Abstract (EN): </w:t>
      </w:r>
      <w:r>
        <w:t>The progress of 2D electronic devices urgently requires van der Waals (vdW) dielectric layers that combine high dielectric constant, ultralow leakage, and atomically smooth interfaces. 2D ferroelectrics typically exhibit high dielectric constant due to ionic displacement-driven polarization, but their pronounced remnant polarization and hysteretic switching behavior induce non-volatile states that fundamentally conflict with digital electronics. Landau theory dictates a ferroelectric-paraelectric transition at Curie temperature (T</w:t>
      </w:r>
    </w:p>
    <w:p>
      <w:pPr>
        <w:spacing w:before="120" w:after="120"/>
      </w:pPr>
      <w:r>
        <w:rPr>
          <w:sz w:val="18"/>
        </w:rPr>
        <w:t>——————————————————————————————————————————————————————————————————————</w:t>
      </w:r>
    </w:p>
    <w:p>
      <w:pPr>
        <w:spacing w:before="160" w:after="40" w:line="240" w:lineRule="auto"/>
      </w:pPr>
      <w:r>
        <w:rPr>
          <w:b/>
        </w:rPr>
        <w:t xml:space="preserve">[67] </w:t>
      </w:r>
      <w:hyperlink r:id="rId253">
        <w:r>
          <w:rPr>
            <w:color w:val="1155CC"/>
            <w:u w:val="single"/>
          </w:rPr>
          <w:t>利用拓扑保护的声音引导质量传输</w:t>
        </w:r>
      </w:hyperlink>
    </w:p>
    <w:p>
      <w:pPr>
        <w:spacing w:before="0" w:after="80"/>
      </w:pPr>
      <w:r>
        <w:rPr>
          <w:i/>
          <w:sz w:val="20"/>
        </w:rPr>
        <w:t>EN: Steering mass transport with topologically protected sound</w:t>
      </w:r>
    </w:p>
    <w:p>
      <w:pPr>
        <w:spacing w:before="0" w:after="120"/>
      </w:pPr>
      <w:r>
        <w:rPr>
          <w:b/>
        </w:rPr>
        <w:t xml:space="preserve">Source: </w:t>
      </w:r>
      <w:r>
        <w:t>National Science Review Advance Access</w:t>
      </w:r>
      <w:r>
        <w:t xml:space="preserve">    </w:t>
      </w:r>
      <w:r>
        <w:rPr>
          <w:b/>
        </w:rPr>
        <w:t xml:space="preserve">Pub date: </w:t>
      </w:r>
      <w:r>
        <w:t>2026-03-02 00:00:00+00:00</w:t>
      </w:r>
      <w:r>
        <w:t xml:space="preserve">    </w:t>
      </w:r>
      <w:r>
        <w:rPr>
          <w:b/>
        </w:rPr>
        <w:t xml:space="preserve">DOI: </w:t>
      </w:r>
      <w:hyperlink r:id="rId254">
        <w:r>
          <w:rPr>
            <w:color w:val="1155CC"/>
            <w:u w:val="single"/>
          </w:rPr>
          <w:t>10.1093/nsr/nwag121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255">
        <w:r>
          <w:rPr>
            <w:color w:val="1155CC"/>
            <w:u w:val="single"/>
          </w:rPr>
          <w:t>‘没有人像她’: 认识这些激励获奖女性科学家的女性同事</w:t>
        </w:r>
      </w:hyperlink>
    </w:p>
    <w:p>
      <w:pPr>
        <w:spacing w:before="0" w:after="80"/>
      </w:pPr>
      <w:r>
        <w:rPr>
          <w:i/>
          <w:sz w:val="20"/>
        </w:rPr>
        <w:t>EN: ‘No one quite like her’: meet the female colleagues who inspire these award-winning women in science</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56">
        <w:r>
          <w:rPr>
            <w:color w:val="1155CC"/>
            <w:u w:val="single"/>
          </w:rPr>
          <w:t>10.1038/d41586-026-00666-x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257">
        <w:r>
          <w:rPr>
            <w:color w:val="1155CC"/>
            <w:u w:val="single"/>
          </w:rPr>
          <w:t>刚性mRNA折叠结构的理性设计以增强细胞内加工和蛋白质生产</w:t>
        </w:r>
      </w:hyperlink>
    </w:p>
    <w:p>
      <w:pPr>
        <w:spacing w:before="0" w:after="80"/>
      </w:pPr>
      <w:r>
        <w:rPr>
          <w:i/>
          <w:sz w:val="20"/>
        </w:rPr>
        <w:t>EN: Rational design of rigid mRNA folding architecture to enhance intracellular processing and protein production</w:t>
      </w:r>
    </w:p>
    <w:p>
      <w:pPr>
        <w:spacing w:before="0" w:after="120"/>
      </w:pPr>
      <w:r>
        <w:rPr>
          <w:b/>
        </w:rPr>
        <w:t xml:space="preserve">Source: </w:t>
      </w:r>
      <w:r>
        <w:t>Nature Nanotechnology</w:t>
      </w:r>
      <w:r>
        <w:t xml:space="preserve">    </w:t>
      </w:r>
      <w:r>
        <w:rPr>
          <w:b/>
        </w:rPr>
        <w:t xml:space="preserve">Pub date: </w:t>
      </w:r>
      <w:r>
        <w:t>2026-03-02 00:00:00+00:00</w:t>
      </w:r>
      <w:r>
        <w:t xml:space="preserve">    </w:t>
      </w:r>
      <w:r>
        <w:rPr>
          <w:b/>
        </w:rPr>
        <w:t xml:space="preserve">DOI: </w:t>
      </w:r>
      <w:hyperlink r:id="rId258">
        <w:r>
          <w:rPr>
            <w:color w:val="1155CC"/>
            <w:u w:val="single"/>
          </w:rPr>
          <w:t>10.1038/s41565-025-02114-9</w:t>
        </w:r>
      </w:hyperlink>
    </w:p>
    <w:p>
      <w:pPr>
        <w:spacing w:before="0" w:after="120"/>
      </w:pPr>
      <w:r>
        <w:rPr>
          <w:b/>
        </w:rPr>
        <w:t xml:space="preserve">Notes: </w:t>
      </w:r>
      <w:r>
        <w:t>abstract_source=nature_html</w:t>
      </w:r>
    </w:p>
    <w:p>
      <w:pPr>
        <w:spacing w:before="0" w:after="80" w:lineRule="auto" w:line="276"/>
      </w:pPr>
      <w:r>
        <w:rPr>
          <w:b/>
        </w:rPr>
        <w:t xml:space="preserve">摘要（ZH）: </w:t>
      </w:r>
      <w:r>
        <w:t>信使RNA（mRNA）在传染病之外的应用因蛋白质生产效率低下而受到挑战。尽管已证明工程化的二级mRNA结构可以增加mRNA的半衰期，但三级mRNA结构是否影响治疗效果仍不清楚。我们在此开发了一种金属离子辅助RNA折叠（MARF）策略，并展示当与脂质纳米颗粒（LNPs）一起递送时，特定金属促进mRNA折叠结构，导致蛋白质表达比对照mRNA增加多达7.3倍。这种效果是由于mRNA LNPs与周围生物系统之间的机械相互作用改变，导致增强的细胞内处理和递送mRNA在靶细胞中的滞留时间延长。管理</w:t>
      </w:r>
    </w:p>
    <w:p>
      <w:pPr>
        <w:spacing w:before="0" w:after="200" w:lineRule="auto" w:line="276"/>
      </w:pPr>
      <w:r>
        <w:rPr>
          <w:b/>
        </w:rPr>
        <w:t xml:space="preserve">Abstract (EN): </w:t>
      </w:r>
      <w:r>
        <w:t>The application of messenger RNA (mRNA) beyond infectious diseases is challenged by inefficient protein production. Whereas the engineering of secondary mRNA structures has been shown to increase mRNA half-life, it remains unclear whether tertiary mRNA structures influence therapeutic efficacy. Here we develop a metal-ion-assisted RNA folding (MARF) strategy and show that, when delivered with lipid nanoparticles (LNPs), specific metals promote mRNA folding architectures that result in the amplification of protein expression by up to 7.3-fold compared with control mRNA. This effect is due to altered mechanical interactions between the mRNA LNPs and the surrounding biosystem, resulting in enhanced intracellular processing and prolonged retention of delivered mRNA in targeted cells. Administered intravenously, MARF LNPs achieved effective and durable genome editing of the clinically relevant Pcsk9 gene through treatment with a single dose. Overall, this work provides a new MARF technology for more effective mRNA therapy and highlights the potential of mechanical cues in designing nanoparticles for improved mRNA delivery.</w:t>
      </w:r>
    </w:p>
    <w:p>
      <w:pPr>
        <w:spacing w:before="120" w:after="120"/>
      </w:pPr>
      <w:r>
        <w:rPr>
          <w:sz w:val="18"/>
        </w:rPr>
        <w:t>——————————————————————————————————————————————————————————————————————</w:t>
      </w:r>
    </w:p>
    <w:p>
      <w:pPr>
        <w:spacing w:before="160" w:after="40" w:line="240" w:lineRule="auto"/>
      </w:pPr>
      <w:r>
        <w:rPr>
          <w:b/>
        </w:rPr>
        <w:t xml:space="preserve">[70] </w:t>
      </w:r>
      <w:hyperlink r:id="rId259">
        <w:r>
          <w:rPr>
            <w:color w:val="1155CC"/>
            <w:u w:val="single"/>
          </w:rPr>
          <w:t>通过具有104个超导量子比特的浅量子电路增强组合优化</w:t>
        </w:r>
      </w:hyperlink>
    </w:p>
    <w:p>
      <w:pPr>
        <w:spacing w:before="0" w:after="80"/>
      </w:pPr>
      <w:r>
        <w:rPr>
          <w:i/>
          <w:sz w:val="20"/>
        </w:rPr>
        <w:t>EN: Combinatorial optimization enhanced by shallow quantum circuits with 104 superconducting qubits</w:t>
      </w:r>
    </w:p>
    <w:p>
      <w:pPr>
        <w:spacing w:before="0" w:after="120"/>
      </w:pPr>
      <w:r>
        <w:rPr>
          <w:b/>
        </w:rPr>
        <w:t xml:space="preserve">Source: </w:t>
      </w:r>
      <w:r>
        <w:t>National Science Review Advance Access</w:t>
      </w:r>
      <w:r>
        <w:t xml:space="preserve">    </w:t>
      </w:r>
      <w:r>
        <w:rPr>
          <w:b/>
        </w:rPr>
        <w:t xml:space="preserve">Pub date: </w:t>
      </w:r>
      <w:r>
        <w:t>2026-03-02 00:00:00+00:00</w:t>
      </w:r>
      <w:r>
        <w:t xml:space="preserve">    </w:t>
      </w:r>
      <w:r>
        <w:rPr>
          <w:b/>
        </w:rPr>
        <w:t xml:space="preserve">DOI: </w:t>
      </w:r>
      <w:hyperlink r:id="rId260">
        <w:r>
          <w:rPr>
            <w:color w:val="1155CC"/>
            <w:u w:val="single"/>
          </w:rPr>
          <w:t>10.1093/nsr/nwag124</w:t>
        </w:r>
      </w:hyperlink>
    </w:p>
    <w:p>
      <w:pPr>
        <w:spacing w:before="0" w:after="120"/>
      </w:pPr>
      <w:r>
        <w:rPr>
          <w:b/>
        </w:rPr>
        <w:t xml:space="preserve">Notes: </w:t>
      </w:r>
      <w:r>
        <w:t>abstract_source=rss_oup</w:t>
      </w:r>
    </w:p>
    <w:p>
      <w:pPr>
        <w:spacing w:before="0" w:after="80" w:lineRule="auto" w:line="276"/>
      </w:pPr>
      <w:r>
        <w:rPr>
          <w:b/>
        </w:rPr>
        <w:t xml:space="preserve">摘要（ZH）: </w:t>
      </w:r>
      <w:r>
        <w:t>量子计算的一个关键任务是加速解决那些在经典计算中难以处理且具有实际价值的问题。在这些问题中，组合优化问题因其广泛的适用性和与伊辛哈密顿量的天然契合而引起了极大的关注。我们在此提出了一种量子采样策略，并基于此设计了一种算法，用于加速解决伊辛模型的基态问题，这是一类组合优化中的NP难问题。该算法采用浅电路量子采样子程序来导航能量景观。使用多达104个超导量子比特，我们实验性地证明了该算法在输出优良解方面优于高度优化的经典模拟退火算法，并展示了</w:t>
      </w:r>
    </w:p>
    <w:p>
      <w:pPr>
        <w:spacing w:before="0" w:after="200" w:lineRule="auto" w:line="276"/>
      </w:pPr>
      <w:r>
        <w:rPr>
          <w:b/>
        </w:rPr>
        <w:t xml:space="preserve">Abstract (EN): </w:t>
      </w:r>
      <w:r>
        <w:t>A pivotal task for quantum computing is to speed up solving problems that are both classically intractable and practically valuable. Among these, combinatorial optimization problems have attracted tremendous attention due to their broad applicability and natural fitness to Ising Hamiltonians. Here we propose a quantum sampling strategy, based on which we design an algorithm for accelerating solving the ground states of Ising model, a class of NP-hard problems in combinatorial optimization. The algorithm employs a shallow-circuit quantum sampling subroutine to navigate the energy landscape. Using up to 104 superconducting qubits, we experimentally demonstrate that this algorithm outputs favorable solutions against even a highly-optimized classical simulated annealing algorithm and illustrate the path toward quantum speedup based on the time-to-solution metric against simulated annealing under serial execution. Our results indicate a promising alternative to classical heuristics for combinatorial optimization, where quantum advantage might become possible on near-term superconducting quantum processors.</w:t>
      </w:r>
    </w:p>
    <w:p>
      <w:pPr>
        <w:spacing w:before="120" w:after="120"/>
      </w:pPr>
      <w:r>
        <w:rPr>
          <w:sz w:val="18"/>
        </w:rPr>
        <w:t>——————————————————————————————————————————————————————————————————————</w:t>
      </w:r>
    </w:p>
    <w:p>
      <w:pPr>
        <w:spacing w:before="160" w:after="40" w:line="240" w:lineRule="auto"/>
      </w:pPr>
      <w:r>
        <w:rPr>
          <w:b/>
        </w:rPr>
        <w:t xml:space="preserve">[71] </w:t>
      </w:r>
      <w:hyperlink r:id="rId261">
        <w:r>
          <w:rPr>
            <w:color w:val="1155CC"/>
            <w:u w:val="single"/>
          </w:rPr>
          <w:t>来自TADF发射体的高效、可重复和热增强的有机主客体机械发光</w:t>
        </w:r>
      </w:hyperlink>
    </w:p>
    <w:p>
      <w:pPr>
        <w:spacing w:before="0" w:after="80"/>
      </w:pPr>
      <w:r>
        <w:rPr>
          <w:i/>
          <w:sz w:val="20"/>
        </w:rPr>
        <w:t>EN: Efficient, reproducible, and thermally enhanced organic host-guest mechanoluminescence from TADF emitters</w:t>
      </w:r>
    </w:p>
    <w:p>
      <w:pPr>
        <w:spacing w:before="0" w:after="120"/>
      </w:pPr>
      <w:r>
        <w:rPr>
          <w:b/>
        </w:rPr>
        <w:t xml:space="preserve">Source: </w:t>
      </w:r>
      <w:r>
        <w:t>Matter</w:t>
      </w:r>
      <w:r>
        <w:t xml:space="preserve">    </w:t>
      </w:r>
      <w:r>
        <w:rPr>
          <w:b/>
        </w:rPr>
        <w:t xml:space="preserve">Pub date: </w:t>
      </w:r>
      <w:r>
        <w:t>2026-03-02 00:00:00+00:00</w:t>
      </w:r>
      <w:r>
        <w:t xml:space="preserve">    </w:t>
      </w:r>
      <w:r>
        <w:rPr>
          <w:b/>
        </w:rPr>
        <w:t xml:space="preserve">DOI: </w:t>
      </w:r>
      <w:hyperlink r:id="rId262">
        <w:r>
          <w:rPr>
            <w:color w:val="1155CC"/>
            <w:u w:val="single"/>
          </w:rPr>
          <w:t>10.1016/j.matt.2026.102698</w:t>
        </w:r>
      </w:hyperlink>
    </w:p>
    <w:p>
      <w:pPr>
        <w:spacing w:before="0" w:after="120"/>
      </w:pPr>
      <w:r>
        <w:rPr>
          <w:b/>
        </w:rPr>
        <w:t xml:space="preserve">Notes: </w:t>
      </w:r>
      <w:r>
        <w:t>abstract_source=rss_cell</w:t>
      </w:r>
    </w:p>
    <w:p>
      <w:pPr>
        <w:spacing w:before="0" w:after="80" w:lineRule="auto" w:line="276"/>
      </w:pPr>
      <w:r>
        <w:rPr>
          <w:b/>
        </w:rPr>
        <w:t xml:space="preserve">摘要（ZH）: </w:t>
      </w:r>
      <w:r>
        <w:t>提出了一种以客体为中心的策略，将热激活延迟荧光发射体掺入压电基质材料中，以构建高性能有机主客体机械发光（ML）系统。这些系统在可见光谱范围内表现出高效、可重复和热增强的ML，突显了其在抗热猝灭应力映射、可重复使用的可穿戴设备和实时结构健康监测方面的潜力。</w:t>
      </w:r>
    </w:p>
    <w:p>
      <w:pPr>
        <w:spacing w:before="0" w:after="200" w:lineRule="auto" w:line="276"/>
      </w:pPr>
      <w:r>
        <w:rPr>
          <w:b/>
        </w:rPr>
        <w:t xml:space="preserve">Abstract (EN): </w:t>
      </w:r>
      <w:r>
        <w:t>A guest-centered strategy in which thermally activated delayed fluorescence emitters are incorporated into piezoelectric host materials for the construction of high-performance organic host-guest mechanoluminescence (ML) systems is presented. These systems exhibit highly efficient, reproducible, and thermally enhanced ML across the visible spectrum, highlighting their potential for anti-thermal-quenching stress mapping, reusable wearable devices, and real-time structural health monitoring.</w:t>
      </w:r>
    </w:p>
    <w:p>
      <w:pPr>
        <w:spacing w:before="120" w:after="120"/>
      </w:pPr>
      <w:r>
        <w:rPr>
          <w:sz w:val="18"/>
        </w:rPr>
        <w:t>——————————————————————————————————————————————————————————————————————</w:t>
      </w:r>
    </w:p>
    <w:p>
      <w:pPr>
        <w:spacing w:before="160" w:after="40" w:line="240" w:lineRule="auto"/>
      </w:pPr>
      <w:r>
        <w:rPr>
          <w:b/>
        </w:rPr>
        <w:t xml:space="preserve">[72] </w:t>
      </w:r>
      <w:hyperlink r:id="rId263">
        <w:r>
          <w:rPr>
            <w:color w:val="1155CC"/>
            <w:u w:val="single"/>
          </w:rPr>
          <w:t>识别保护空白: 评估国家对30×30目标贡献的框架</w:t>
        </w:r>
      </w:hyperlink>
    </w:p>
    <w:p>
      <w:pPr>
        <w:spacing w:before="0" w:after="80"/>
      </w:pPr>
      <w:r>
        <w:rPr>
          <w:i/>
          <w:sz w:val="20"/>
        </w:rPr>
        <w:t>EN: Identifying conservation gaps: A framework for evaluating national contributions to the 30 × 30 target</w:t>
      </w:r>
    </w:p>
    <w:p>
      <w:pPr>
        <w:spacing w:before="0" w:after="120"/>
      </w:pPr>
      <w:r>
        <w:rPr>
          <w:b/>
        </w:rPr>
        <w:t xml:space="preserve">Source: </w:t>
      </w:r>
      <w:r>
        <w:t>One Earth</w:t>
      </w:r>
      <w:r>
        <w:t xml:space="preserve">    </w:t>
      </w:r>
      <w:r>
        <w:rPr>
          <w:b/>
        </w:rPr>
        <w:t xml:space="preserve">Pub date: </w:t>
      </w:r>
      <w:r>
        <w:t>2026-03-02 00:00:00+00:00</w:t>
      </w:r>
      <w:r>
        <w:t xml:space="preserve">    </w:t>
      </w:r>
      <w:r>
        <w:rPr>
          <w:b/>
        </w:rPr>
        <w:t xml:space="preserve">DOI: </w:t>
      </w:r>
      <w:hyperlink r:id="rId264">
        <w:r>
          <w:rPr>
            <w:color w:val="1155CC"/>
            <w:u w:val="single"/>
          </w:rPr>
          <w:t>10.1016/j.oneear.2026.101620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265">
        <w:r>
          <w:rPr>
            <w:color w:val="1155CC"/>
            <w:u w:val="single"/>
          </w:rPr>
          <w:t>AI代理是‘心灵的飞机’: 确保科学家成为负责任飞行员的五种方法</w:t>
        </w:r>
      </w:hyperlink>
    </w:p>
    <w:p>
      <w:pPr>
        <w:spacing w:before="0" w:after="80"/>
      </w:pPr>
      <w:r>
        <w:rPr>
          <w:i/>
          <w:sz w:val="20"/>
        </w:rPr>
        <w:t>EN: AI agents are ‘aeroplanes for the mind’: five ways to ensure that scientists are responsible pilots</w:t>
      </w:r>
    </w:p>
    <w:p>
      <w:pPr>
        <w:spacing w:before="0" w:after="120"/>
      </w:pPr>
      <w:r>
        <w:rPr>
          <w:b/>
        </w:rPr>
        <w:t xml:space="preserve">Source: </w:t>
      </w:r>
      <w:r>
        <w:t>Nature</w:t>
      </w:r>
      <w:r>
        <w:t xml:space="preserve">    </w:t>
      </w:r>
      <w:r>
        <w:rPr>
          <w:b/>
        </w:rPr>
        <w:t xml:space="preserve">Pub date: </w:t>
      </w:r>
      <w:r>
        <w:t>2026-03-02 00:00:00+00:00</w:t>
      </w:r>
      <w:r>
        <w:t xml:space="preserve">    </w:t>
      </w:r>
      <w:r>
        <w:rPr>
          <w:b/>
        </w:rPr>
        <w:t xml:space="preserve">DOI: </w:t>
      </w:r>
      <w:hyperlink r:id="rId266">
        <w:r>
          <w:rPr>
            <w:color w:val="1155CC"/>
            <w:u w:val="single"/>
          </w:rPr>
          <w:t>10.1038/d41586-026-00665-y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267">
        <w:r>
          <w:rPr>
            <w:color w:val="1155CC"/>
            <w:u w:val="single"/>
          </w:rPr>
          <w:t>光控腔体尺寸使环氮杂苯网络实现可持续锂捕获和快速释放</w:t>
        </w:r>
      </w:hyperlink>
    </w:p>
    <w:p>
      <w:pPr>
        <w:spacing w:before="0" w:after="80"/>
      </w:pPr>
      <w:r>
        <w:rPr>
          <w:i/>
          <w:sz w:val="20"/>
        </w:rPr>
        <w:t>EN: Photocontrolling cavity dimension enables sustainable lithium capture and rapid release by cyclen-azobenzene network</w:t>
      </w:r>
    </w:p>
    <w:p>
      <w:pPr>
        <w:spacing w:before="0" w:after="120"/>
      </w:pPr>
      <w:r>
        <w:rPr>
          <w:b/>
        </w:rPr>
        <w:t xml:space="preserve">Source: </w:t>
      </w:r>
      <w:r>
        <w:t>Matter</w:t>
      </w:r>
      <w:r>
        <w:t xml:space="preserve">    </w:t>
      </w:r>
      <w:r>
        <w:rPr>
          <w:b/>
        </w:rPr>
        <w:t xml:space="preserve">Pub date: </w:t>
      </w:r>
      <w:r>
        <w:t>2026-03-02 00:00:00+00:00</w:t>
      </w:r>
      <w:r>
        <w:t xml:space="preserve">    </w:t>
      </w:r>
      <w:r>
        <w:rPr>
          <w:b/>
        </w:rPr>
        <w:t xml:space="preserve">DOI: </w:t>
      </w:r>
      <w:hyperlink r:id="rId268">
        <w:r>
          <w:rPr>
            <w:color w:val="1155CC"/>
            <w:u w:val="single"/>
          </w:rPr>
          <w:t>10.1016/j.matt.2025.102635</w:t>
        </w:r>
      </w:hyperlink>
    </w:p>
    <w:p>
      <w:pPr>
        <w:spacing w:before="0" w:after="120"/>
      </w:pPr>
      <w:r>
        <w:rPr>
          <w:b/>
        </w:rPr>
        <w:t xml:space="preserve">Notes: </w:t>
      </w:r>
      <w:r>
        <w:t>abstract_source=rss_cell</w:t>
      </w:r>
    </w:p>
    <w:p>
      <w:pPr>
        <w:spacing w:before="0" w:after="80" w:lineRule="auto" w:line="276"/>
      </w:pPr>
      <w:r>
        <w:rPr>
          <w:b/>
        </w:rPr>
        <w:t xml:space="preserve">摘要（ZH）: </w:t>
      </w:r>
      <w:r>
        <w:t>一种氧化石墨烯支持的环烯-偶氮苯共价网络作为选择性锂提取的光再生吸附剂。在可见光下，吸附剂选择性捕获锂离子，达到15.27 mmol g−1，Li+/Mg2+选择性为11.44。在紫外光照射下，偶氮苯发生异构化至顺式状态，扩展环烯的空腔并在6分钟内触发离子释放。该工作开创了一种设计新一代吸附材料的新方法，用于节能和可持续的离子提取和纯化。</w:t>
      </w:r>
    </w:p>
    <w:p>
      <w:pPr>
        <w:spacing w:before="0" w:after="200" w:lineRule="auto" w:line="276"/>
      </w:pPr>
      <w:r>
        <w:rPr>
          <w:b/>
        </w:rPr>
        <w:t xml:space="preserve">Abstract (EN): </w:t>
      </w:r>
      <w:r>
        <w:t>A graphene oxide-supported cyclen-azobenzene covalent network acts as a light-regenerable adsorbent for selective lithium extraction. Under visible light, the adsorbent selectively captures lithium ions up to 15.27 mmol g−1, with Li+/Mg2+ selectivity of 11.44. Under UV illumination, azobenzene undergoes isomerization to the cis state, expanding the cyclen’s cavity and triggering ion release in 6 min. This work pioneers a new approach for designing next-generation adsorption materials for energy-efficient and sustainable ion extraction and purification.</w:t>
      </w:r>
    </w:p>
    <w:p>
      <w:pPr>
        <w:spacing w:before="120" w:after="120"/>
      </w:pPr>
      <w:r>
        <w:rPr>
          <w:sz w:val="18"/>
        </w:rPr>
        <w:t>——————————————————————————————————————————————————————————————————————</w:t>
      </w:r>
    </w:p>
    <w:p>
      <w:pPr>
        <w:spacing w:before="160" w:after="40" w:line="240" w:lineRule="auto"/>
      </w:pPr>
      <w:r>
        <w:rPr>
          <w:b/>
        </w:rPr>
        <w:t xml:space="preserve">[75] </w:t>
      </w:r>
      <w:hyperlink r:id="rId269">
        <w:r>
          <w:rPr>
            <w:color w:val="1155CC"/>
            <w:u w:val="single"/>
          </w:rPr>
          <w:t>聚(庚嗪酰亚胺): 用于太阳能到化学能转换的聚合碳氮化物晶体同素异形体</w:t>
        </w:r>
      </w:hyperlink>
    </w:p>
    <w:p>
      <w:pPr>
        <w:spacing w:before="0" w:after="80"/>
      </w:pPr>
      <w:r>
        <w:rPr>
          <w:i/>
          <w:sz w:val="20"/>
        </w:rPr>
        <w:t>EN: Poly(heptazine imide): Crystalline Allotrope of Polymeric Carbon Nitrides for Solar to Chemical Energy Conversion</w:t>
      </w:r>
    </w:p>
    <w:p>
      <w:pPr>
        <w:spacing w:before="0" w:after="120"/>
      </w:pPr>
      <w:r>
        <w:rPr>
          <w:b/>
        </w:rPr>
        <w:t xml:space="preserve">Source: </w:t>
      </w:r>
      <w:r>
        <w:t>Wiley: Angewandte Chemie International Edition: Table of Contents</w:t>
      </w:r>
      <w:r>
        <w:t xml:space="preserve">    </w:t>
      </w:r>
      <w:r>
        <w:rPr>
          <w:b/>
        </w:rPr>
        <w:t xml:space="preserve">Pub date: </w:t>
      </w:r>
      <w:r>
        <w:t>2026-03-02 05:50:16+00:00</w:t>
      </w:r>
      <w:r>
        <w:t xml:space="preserve">    </w:t>
      </w:r>
      <w:r>
        <w:rPr>
          <w:b/>
        </w:rPr>
        <w:t xml:space="preserve">DOI: </w:t>
      </w:r>
      <w:hyperlink r:id="rId270">
        <w:r>
          <w:rPr>
            <w:color w:val="1155CC"/>
            <w:u w:val="single"/>
          </w:rPr>
          <w:t>10.1002/anie.1708637</w:t>
        </w:r>
      </w:hyperlink>
    </w:p>
    <w:p>
      <w:pPr>
        <w:spacing w:before="0" w:after="120"/>
      </w:pPr>
      <w:r>
        <w:rPr>
          <w:b/>
        </w:rPr>
        <w:t xml:space="preserve">Notes: </w:t>
      </w:r>
      <w:r>
        <w:t>abstract_source=pubmed</w:t>
      </w:r>
    </w:p>
    <w:p>
      <w:pPr>
        <w:spacing w:before="0" w:after="80" w:lineRule="auto" w:line="276"/>
      </w:pPr>
      <w:r>
        <w:rPr>
          <w:b/>
        </w:rPr>
        <w:t xml:space="preserve">摘要（ZH）: </w:t>
      </w:r>
      <w:r>
        <w:t>聚合碳氮化合物（PCN）作为一种新兴的半导体光催化剂，由于其无金属成分、可见光响应和强大的稳定性，在太阳能到化学能转换方面引起了极大的兴趣。然而，由传统热诱导聚合形成的无定形瓜氮基PCN表现出中等的光催化性能，这受到其高激子结合能的限制。近年来，聚（七嗪酰亚胺）（PHI）作为PCN的一种具有高结晶度和可见光吸收的结晶同素异形体，由于其增强的性能，在各种光催化应用中得到了广泛研究。在这篇简要综述中，我们总结了PHI在合成、改性和光催化应用方面的进展。我们已经展示了</w:t>
      </w:r>
    </w:p>
    <w:p>
      <w:pPr>
        <w:spacing w:before="0" w:after="200" w:lineRule="auto" w:line="276"/>
      </w:pPr>
      <w:r>
        <w:rPr>
          <w:b/>
        </w:rPr>
        <w:t xml:space="preserve">Abstract (EN): </w:t>
      </w:r>
      <w:r>
        <w:t>Polymeric carbon nitride (PCN), an emerging semiconductor photocatalyst, has drawn intense interest for solar to chemical energy conversion, owing to advantages of metal-free contents, visible-light response, and robust stability. However, the amorphous melon-based PCN formed by conventional thermal-induced polymerization exhibits moderate photocatalytic performance, that is, restricted by its high exciton binding energy. In recent years, poly(heptazine imide) (PHI), a crystalline allotrope of PCN with high crystallinity and visible-light absorption, has been widely investigated in various photocatalytic applications due to its enhanced performance. In this mini-review, we have summarized the progress in the synthesis, modification, and photocatalytic applications of PHI. We have presented the synthetic protocols, electronic structure, and structural identification of PHI. This review summarizes and provides a detailed analysis of four main strategies for modifying PHI: crystal structure, nanostructure, molecular structure, and atomic composition. Finally, the article discusses the challenges and potential future directions for optimizing and advancing the functions of state-of-the-art PHI photocatalysts. These insights are expected to offer valuable perspectives for driving the development of PHI and related conjugated polymers.</w:t>
      </w:r>
    </w:p>
    <w:p>
      <w:pPr>
        <w:spacing w:before="120" w:after="120"/>
      </w:pPr>
      <w:r>
        <w:rPr>
          <w:sz w:val="18"/>
        </w:rPr>
        <w:t>——————————————————————————————————————————————————————————————————————</w:t>
      </w:r>
    </w:p>
    <w:p>
      <w:pPr>
        <w:spacing w:before="160" w:after="40" w:line="240" w:lineRule="auto"/>
      </w:pPr>
      <w:r>
        <w:rPr>
          <w:b/>
        </w:rPr>
        <w:t xml:space="preserve">[76] </w:t>
      </w:r>
      <w:hyperlink r:id="rId271">
        <w:r>
          <w:rPr>
            <w:color w:val="1155CC"/>
            <w:u w:val="single"/>
          </w:rPr>
          <w:t>通过大尺寸溶液生长的无机钙钛矿单晶实现的超低检测限便携式剂量计</w:t>
        </w:r>
      </w:hyperlink>
    </w:p>
    <w:p>
      <w:pPr>
        <w:spacing w:before="0" w:after="80"/>
      </w:pPr>
      <w:r>
        <w:rPr>
          <w:i/>
          <w:sz w:val="20"/>
        </w:rPr>
        <w:t>EN: Portable Dosimeter With Ultralow Detection Limit Enabled by Large Size Solution Grown Inorganic Perovskite Single Crystal</w:t>
      </w:r>
    </w:p>
    <w:p>
      <w:pPr>
        <w:spacing w:before="0" w:after="120"/>
      </w:pPr>
      <w:r>
        <w:rPr>
          <w:b/>
        </w:rPr>
        <w:t xml:space="preserve">Source: </w:t>
      </w:r>
      <w:r>
        <w:t>Wiley: Advanced Materials: Table of Contents</w:t>
      </w:r>
      <w:r>
        <w:t xml:space="preserve">    </w:t>
      </w:r>
      <w:r>
        <w:rPr>
          <w:b/>
        </w:rPr>
        <w:t xml:space="preserve">Pub date: </w:t>
      </w:r>
      <w:r>
        <w:t>2026-03-02 05:50:48+00:00</w:t>
      </w:r>
      <w:r>
        <w:t xml:space="preserve">    </w:t>
      </w:r>
      <w:r>
        <w:rPr>
          <w:b/>
        </w:rPr>
        <w:t xml:space="preserve">DOI: </w:t>
      </w:r>
      <w:hyperlink r:id="rId272">
        <w:r>
          <w:rPr>
            <w:color w:val="1155CC"/>
            <w:u w:val="single"/>
          </w:rPr>
          <w:t>10.1002/adma.202522163</w:t>
        </w:r>
      </w:hyperlink>
    </w:p>
    <w:p>
      <w:pPr>
        <w:spacing w:before="0" w:after="120"/>
      </w:pPr>
      <w:r>
        <w:rPr>
          <w:b/>
        </w:rPr>
        <w:t xml:space="preserve">Notes: </w:t>
      </w:r>
      <w:r>
        <w:t>abstract_source=pubmed</w:t>
      </w:r>
    </w:p>
    <w:p>
      <w:pPr>
        <w:spacing w:before="0" w:after="80" w:lineRule="auto" w:line="276"/>
      </w:pPr>
      <w:r>
        <w:rPr>
          <w:b/>
        </w:rPr>
        <w:t xml:space="preserve">摘要（ZH）: </w:t>
      </w:r>
      <w:r>
        <w:t>通过低成本溶液法生长的无机钙钛矿CsPbCl3单晶（SCs）通常尺寸小于1毫米，主要是由于原材料在溶剂中的溶解度低。这一限制显著限制了其在X射线检测应用中的可行性。为了解决这一挑战，开发了一种有效的策略，不仅将原材料的溶解度提高了28倍，还显著改善了不同组分之间的结晶匹配。这一进展使得使用低温溶液工艺成功生长出高质量的CsPbCl3基SCs，尺寸达到13毫米。溶液生长的SCs表现出低陷阱密度（∼108 cm-3）、大电阻率（2.35 ×109 Ω cm）、高µτ产品（1.02 ×10-3 cm2 V-1）和优越的</w:t>
      </w:r>
    </w:p>
    <w:p>
      <w:pPr>
        <w:spacing w:before="0" w:after="200" w:lineRule="auto" w:line="276"/>
      </w:pPr>
      <w:r>
        <w:rPr>
          <w:b/>
        </w:rPr>
        <w:t xml:space="preserve">Abstract (EN): </w:t>
      </w:r>
      <w:r>
        <w:t>Inorganic perovskite CsPbCl3 single crystals (SCs) grown via low-cost solution methods typically achieve sizes smaller than 1 mm, primarily due to the low solubility of the raw materials in solvents. This limitation significantly constrains their viability for X-ray detection applications. To address this challenge, an effective strategy is developed that not only increased the solubility of raw materials by 28 times but also significantly improved the crystallization matching between different components. This advance enabled the successful growth of high-quality CsPbCl3-based SCs reaching 13 mm in size using a low-temperature solution process. The solution-grown SCs exhibit low trap density (∼108 cm-3), large resistivity (2.35 ×109 Ω cm), high µτ product (1.02 ×10-3 cm2 V-1), and superior uniformity. Therefore, X-ray detectors fabricated on these SCs achieved a record-high sensitivity of 2.19 ×105 µC Gy-1 cm-2, a short response time of 307 µs, low noise current, and stable response output. Owing to these superior figures of merit, a prototype portable dosimeter assembled by the SC detector exhibited an extremely low detectable radiation of 0.07 nSv s-1. Furthermore, the high-definition X-ray imaging of the SC detector is also demonstrated. This work provides an effective approach for the low-cost manufacturing of high-performance X-ray detection systems.</w:t>
      </w:r>
    </w:p>
    <w:p>
      <w:pPr>
        <w:spacing w:before="120" w:after="120"/>
      </w:pPr>
      <w:r>
        <w:rPr>
          <w:sz w:val="18"/>
        </w:rPr>
        <w:t>——————————————————————————————————————————————————————————————————————</w:t>
      </w:r>
    </w:p>
    <w:p>
      <w:pPr>
        <w:spacing w:before="160" w:after="40" w:line="240" w:lineRule="auto"/>
      </w:pPr>
      <w:r>
        <w:rPr>
          <w:b/>
        </w:rPr>
        <w:t xml:space="preserve">[77] </w:t>
      </w:r>
      <w:hyperlink r:id="rId273">
        <w:r>
          <w:rPr>
            <w:color w:val="1155CC"/>
            <w:u w:val="single"/>
          </w:rPr>
          <w:t>α‐三氟甲基取代的α‐羟基肼作为二阴离子配体实现Cu催化的芳基胺化反应，具有更高的周转率</w:t>
        </w:r>
      </w:hyperlink>
    </w:p>
    <w:p>
      <w:pPr>
        <w:spacing w:before="0" w:after="80"/>
      </w:pPr>
      <w:r>
        <w:rPr>
          <w:i/>
          <w:sz w:val="20"/>
        </w:rPr>
        <w:t>EN: α‐Trifluoromethyl Substituted α‐Hydroxyhydrazides as Dianionic Ligands Enable Cu‐Catalyzed Aryl Amination With Higher Turnovers</w:t>
      </w:r>
    </w:p>
    <w:p>
      <w:pPr>
        <w:spacing w:before="0" w:after="120"/>
      </w:pPr>
      <w:r>
        <w:rPr>
          <w:b/>
        </w:rPr>
        <w:t xml:space="preserve">Source: </w:t>
      </w:r>
      <w:r>
        <w:t>Wiley: Angewandte Chemie International Edition: Table of Contents</w:t>
      </w:r>
      <w:r>
        <w:t xml:space="preserve">    </w:t>
      </w:r>
      <w:r>
        <w:rPr>
          <w:b/>
        </w:rPr>
        <w:t xml:space="preserve">Pub date: </w:t>
      </w:r>
      <w:r>
        <w:t>2026-03-02 05:53:25+00:00</w:t>
      </w:r>
      <w:r>
        <w:t xml:space="preserve">    </w:t>
      </w:r>
      <w:r>
        <w:rPr>
          <w:b/>
        </w:rPr>
        <w:t xml:space="preserve">DOI: </w:t>
      </w:r>
      <w:hyperlink r:id="rId274">
        <w:r>
          <w:rPr>
            <w:color w:val="1155CC"/>
            <w:u w:val="single"/>
          </w:rPr>
          <w:t>10.1002/anie.4978376</w:t>
        </w:r>
      </w:hyperlink>
    </w:p>
    <w:p>
      <w:pPr>
        <w:spacing w:before="0" w:after="120"/>
      </w:pPr>
      <w:r>
        <w:rPr>
          <w:b/>
        </w:rPr>
        <w:t xml:space="preserve">Notes: </w:t>
      </w:r>
      <w:r>
        <w:t>abstract_source=pubmed</w:t>
      </w:r>
    </w:p>
    <w:p>
      <w:pPr>
        <w:spacing w:before="0" w:after="80" w:lineRule="auto" w:line="276"/>
      </w:pPr>
      <w:r>
        <w:rPr>
          <w:b/>
        </w:rPr>
        <w:t xml:space="preserve">摘要（ZH）: </w:t>
      </w:r>
      <w:r>
        <w:t>α-三氟甲基取代的α-羟基肼作为铜催化的（杂）芳基卤化物（Cl, Br）与胺之间偶联反应的高效配体。对于（杂）芳基氯化物，仅需1 mol%的催化剂即可在130°C下实现完全转化。对于（杂）芳基溴化物，反应在室温下仅需0.5 mol%的催化剂负载即可高效进行，并且在加热至90°C时可达到近10,000次的周转数。这些周转数代表了迄今为止铜催化的（杂）芳基卤化物（Cl, Br）胺化反应的最高报道。该方法适用于一、二级胺以及各种（杂）芳基卤化物，能够以良好到优异的产率提供多样的（杂）芳基胺。</w:t>
      </w:r>
    </w:p>
    <w:p>
      <w:pPr>
        <w:spacing w:before="0" w:after="200" w:lineRule="auto" w:line="276"/>
      </w:pPr>
      <w:r>
        <w:rPr>
          <w:b/>
        </w:rPr>
        <w:t xml:space="preserve">Abstract (EN): </w:t>
      </w:r>
      <w:r>
        <w:t>The α-trifluoromethyl-substituted α-hydroxy-hydrazides function as highly efficient ligands for copper-catalyzed coupling reactions between (hetero)aryl halides (Cl, Br) and amines. With (hetero)aryl chlorides, only 1 mol% of the catalyst is required to achieve complete conversion at 130°C. For (hetero)aryl bromides, the reaction proceeds efficiently at room temperature with just 0.5 mol% catalyst loading and can reach nearly 10,000 turnovers when heated to 90°C. These turnover numbers represent the highest reported to date for copper-catalyzed amination of (hetero)aryl halides (Cl, Br). The method is applicable to both primary and secondary amines, as well as a wide range of (hetero)aryl halides, delivering diverse (hetero)aryl amines in good to excellent yields.</w:t>
      </w:r>
    </w:p>
    <w:p>
      <w:pPr>
        <w:spacing w:before="120" w:after="120"/>
      </w:pPr>
      <w:r>
        <w:rPr>
          <w:sz w:val="18"/>
        </w:rPr>
        <w:t>——————————————————————————————————————————————————————————————————————</w:t>
      </w:r>
    </w:p>
    <w:p>
      <w:pPr>
        <w:spacing w:before="160" w:after="40" w:line="240" w:lineRule="auto"/>
      </w:pPr>
      <w:r>
        <w:rPr>
          <w:b/>
        </w:rPr>
        <w:t xml:space="preserve">[78] </w:t>
      </w:r>
      <w:hyperlink r:id="rId275">
        <w:r>
          <w:rPr>
            <w:color w:val="1155CC"/>
            <w:u w:val="single"/>
          </w:rPr>
          <w:t>利用甲基转移酶引导的靶向进行DNA的序列特异性邻近标记</w:t>
        </w:r>
      </w:hyperlink>
    </w:p>
    <w:p>
      <w:pPr>
        <w:spacing w:before="0" w:after="80"/>
      </w:pPr>
      <w:r>
        <w:rPr>
          <w:i/>
          <w:sz w:val="20"/>
        </w:rPr>
        <w:t>EN: Harnessing Methyltransferase‐Guided Targeting for Sequence‐Specific Proximity Labeling of DNA</w:t>
      </w:r>
    </w:p>
    <w:p>
      <w:pPr>
        <w:spacing w:before="0" w:after="120"/>
      </w:pPr>
      <w:r>
        <w:rPr>
          <w:b/>
        </w:rPr>
        <w:t xml:space="preserve">Source: </w:t>
      </w:r>
      <w:r>
        <w:t>Wiley: Angewandte Chemie International Edition: Table of Contents</w:t>
      </w:r>
      <w:r>
        <w:t xml:space="preserve">    </w:t>
      </w:r>
      <w:r>
        <w:rPr>
          <w:b/>
        </w:rPr>
        <w:t xml:space="preserve">Pub date: </w:t>
      </w:r>
      <w:r>
        <w:t>2026-03-02 06:04:24+00:00</w:t>
      </w:r>
      <w:r>
        <w:t xml:space="preserve">    </w:t>
      </w:r>
      <w:r>
        <w:rPr>
          <w:b/>
        </w:rPr>
        <w:t xml:space="preserve">DOI: </w:t>
      </w:r>
      <w:hyperlink r:id="rId276">
        <w:r>
          <w:rPr>
            <w:color w:val="1155CC"/>
            <w:u w:val="single"/>
          </w:rPr>
          <w:t>10.1002/anie.202520412</w:t>
        </w:r>
      </w:hyperlink>
    </w:p>
    <w:p>
      <w:pPr>
        <w:spacing w:before="0" w:after="120"/>
      </w:pPr>
      <w:r>
        <w:rPr>
          <w:b/>
        </w:rPr>
        <w:t xml:space="preserve">Notes: </w:t>
      </w:r>
      <w:r>
        <w:t>abstract_source=pubmed</w:t>
      </w:r>
    </w:p>
    <w:p>
      <w:pPr>
        <w:spacing w:before="0" w:after="80" w:lineRule="auto" w:line="276"/>
      </w:pPr>
      <w:r>
        <w:rPr>
          <w:b/>
        </w:rPr>
        <w:t xml:space="preserve">摘要（ZH）: </w:t>
      </w:r>
      <w:r>
        <w:t>甲基转移酶（MTase）为基础的DNA标记已成为基因组和表观遗传分析的强大策略，因为其独特的能力能够以位点特异性方式识别和功能化DNA序列。扩展这一工具箱对于充分利用MTases作为可编程分子导向至关重要。在此，我们介绍了一种MTase指导的邻近标记方法，使得超越天然催化转移位点的序列特异性DNA修饰成为可能：GLOW，MTases指导的天然位点外标记。使用新设计的S-腺苷-L-蛋氨酸（SAM）类似物，我们通过单分子荧光成像和基于凝胶的限制性内切酶测定展示了序列特异性DNA标记，确认标记发生在经典位点之外的邻近区域。</w:t>
      </w:r>
    </w:p>
    <w:p>
      <w:pPr>
        <w:spacing w:before="0" w:after="200" w:lineRule="auto" w:line="276"/>
      </w:pPr>
      <w:r>
        <w:rPr>
          <w:b/>
        </w:rPr>
        <w:t xml:space="preserve">Abstract (EN): </w:t>
      </w:r>
      <w:r>
        <w:t>Methyltransferase (MTase)-based DNA labeling has become a powerful strategy for genomic and epigenetic analysis because of its unique ability to recognize and functionalize DNA sequences in a site-specific manner. Expanding this toolbox is essential to fully exploit MTases as programmable molecular guides. Here, we introduce an MTase-directed proximity labeling approach that enables sequence-specific DNA modification beyond the natural catalytic transfer site: GLOW, Guided Labeling Outside the natural site With MTases. Using newly designed S-adenosyl-L-methionine (SAM) analogues, we demonstrate sequence-specific DNA labeling revealed by single-molecule fluorescence imaging and gel-based restriction enzyme assays, confirming that labeling occurs adjacent to, rather than within, the canonical recognition site. Unlike conventional MTase-mediated methods, this strategy provides enhanced ligand stability and avoids interference from endogenous DNA methylation, thereby broadening its potential to complex genomic contexts. These findings establish MTase-guided proximity labeling as a conceptually new mode of enzymatic targeting that enriches the chemical biology toolkit for sequence-specific DNA modification.</w:t>
      </w:r>
    </w:p>
    <w:p>
      <w:pPr>
        <w:spacing w:before="120" w:after="120"/>
      </w:pPr>
      <w:r>
        <w:rPr>
          <w:sz w:val="18"/>
        </w:rPr>
        <w:t>——————————————————————————————————————————————————————————————————————</w:t>
      </w:r>
    </w:p>
    <w:p>
      <w:pPr>
        <w:spacing w:before="160" w:after="40" w:line="240" w:lineRule="auto"/>
      </w:pPr>
      <w:r>
        <w:rPr>
          <w:b/>
        </w:rPr>
        <w:t xml:space="preserve">[79] </w:t>
      </w:r>
      <w:hyperlink r:id="rId277">
        <w:r>
          <w:rPr>
            <w:color w:val="1155CC"/>
            <w:u w:val="single"/>
          </w:rPr>
          <w:t>通过D‐6R SBU引导的铝重组在脱硅过程中工程化Al对富集的分级沸石</w:t>
        </w:r>
      </w:hyperlink>
    </w:p>
    <w:p>
      <w:pPr>
        <w:spacing w:before="0" w:after="80"/>
      </w:pPr>
      <w:r>
        <w:rPr>
          <w:i/>
          <w:sz w:val="20"/>
        </w:rPr>
        <w:t>EN: Engineering Al‐Pair‐Enriched Hierarchical Zeolites via D‐6R SBU‐Directed Aluminum Reorganization During Desilication</w:t>
      </w:r>
    </w:p>
    <w:p>
      <w:pPr>
        <w:spacing w:before="0" w:after="120"/>
      </w:pPr>
      <w:r>
        <w:rPr>
          <w:b/>
        </w:rPr>
        <w:t xml:space="preserve">Source: </w:t>
      </w:r>
      <w:r>
        <w:t>Wiley: Angewandte Chemie International Edition: Table of Contents</w:t>
      </w:r>
      <w:r>
        <w:t xml:space="preserve">    </w:t>
      </w:r>
      <w:r>
        <w:rPr>
          <w:b/>
        </w:rPr>
        <w:t xml:space="preserve">Pub date: </w:t>
      </w:r>
      <w:r>
        <w:t>2026-03-02 06:05:00+00:00</w:t>
      </w:r>
      <w:r>
        <w:t xml:space="preserve">    </w:t>
      </w:r>
      <w:r>
        <w:rPr>
          <w:b/>
        </w:rPr>
        <w:t xml:space="preserve">DOI: </w:t>
      </w:r>
      <w:hyperlink r:id="rId278">
        <w:r>
          <w:rPr>
            <w:color w:val="1155CC"/>
            <w:u w:val="single"/>
          </w:rPr>
          <w:t>10.1002/anie.202523357</w:t>
        </w:r>
      </w:hyperlink>
    </w:p>
    <w:p>
      <w:pPr>
        <w:spacing w:before="0" w:after="120"/>
      </w:pPr>
      <w:r>
        <w:rPr>
          <w:b/>
        </w:rPr>
        <w:t xml:space="preserve">Notes: </w:t>
      </w:r>
      <w:r>
        <w:t>abstract_source=pubmed</w:t>
      </w:r>
    </w:p>
    <w:p>
      <w:pPr>
        <w:spacing w:before="0" w:after="80" w:lineRule="auto" w:line="276"/>
      </w:pPr>
      <w:r>
        <w:rPr>
          <w:b/>
        </w:rPr>
        <w:t xml:space="preserve">摘要（ZH）: </w:t>
      </w:r>
      <w:r>
        <w:t>碱性脱硅常用于在沸石中创建分级孔，但通常受到脱铝和表面钝化的限制，因为浸出的铝（Al）物种与硅醇基团重新沉积，导致框架Si/Al比率基本保持不变。在此，我们揭示了一种在仅含有4元环（4R）组织的双6元环（D-6R）次级构建单元（SBUs）的沸石（SSZ-13、SSZ-39、Y和AFX）中的自我修正铝迁移机制。在碱性处理过程中，浸出的铝物种动态地重新结合到框架中，减轻了钝化并实现了持续的脱硅，同时伴随着显著的Si/Al降低。此过程产生了富含铝对的分级SSZ-39，其框架Si/Al比率低至2-这是通过传统方法无法实现的。</w:t>
      </w:r>
    </w:p>
    <w:p>
      <w:pPr>
        <w:spacing w:before="0" w:after="200" w:lineRule="auto" w:line="276"/>
      </w:pPr>
      <w:r>
        <w:rPr>
          <w:b/>
        </w:rPr>
        <w:t xml:space="preserve">Abstract (EN): </w:t>
      </w:r>
      <w:r>
        <w:t>Alkaline desilication is commonly used to create hierarchical pores in zeolites but is often limited by dealumination and surface passivation, as leached aluminum (Al) species redeposit with silanol groups, leaving the framework Si/Al ratio largely unchanged. Here, we reveal a self-correcting Al migration mechanism in zeolites (SSZ-13, SSZ-39, Y, and AFX) only containing 4-membered ring(4R)-organized double-6-membered ring(D-6R) secondary building units (SBUs). During alkaline treatment, leached Al species dynamically reincorporate into the framework, mitigating passivation and enabling continuous desilication accompanied by significant Si/Al reduction. This process produces Al-pair-enriched hierarchical SSZ-39 with framework Si/Al ratio as low as 2-previously unattainable through conventional synthesis. Using SSZ-13 as a model, we identify a two-stage evolution: rapid desilication forming silica-alumina fragments, followed by Al migration that transforms isolated Al into paired Al species stabilized within SBUs under strong alkalinity. The resulting Al-rich SSZ-13/SSZ-39 zeolites and derivatives exhibit enhanced CO2 adsorption and improved catalytic activity in Wacker oxidation and methanol-to-olefin reactions. This SBUs-directed Al redistribution creates high-silica hierarchical variants and establishes a general strategy to control porosity, Al distribution, and multifunctionality in zeolites for adsorption, ion exchange, and catalysis.</w:t>
      </w:r>
    </w:p>
    <w:p>
      <w:pPr>
        <w:spacing w:before="120" w:after="120"/>
      </w:pPr>
      <w:r>
        <w:rPr>
          <w:sz w:val="18"/>
        </w:rPr>
        <w:t>——————————————————————————————————————————————————————————————————————</w:t>
      </w:r>
    </w:p>
    <w:p>
      <w:pPr>
        <w:spacing w:before="160" w:after="40" w:line="240" w:lineRule="auto"/>
      </w:pPr>
      <w:r>
        <w:rPr>
          <w:b/>
        </w:rPr>
        <w:t xml:space="preserve">[80] </w:t>
      </w:r>
      <w:hyperlink r:id="rId279">
        <w:r>
          <w:rPr>
            <w:color w:val="1155CC"/>
            <w:u w:val="single"/>
          </w:rPr>
          <w:t>非共价簇包装实现超稳定玻璃，用于保存和递送不稳定生物分子</w:t>
        </w:r>
      </w:hyperlink>
    </w:p>
    <w:p>
      <w:pPr>
        <w:spacing w:before="0" w:after="80"/>
      </w:pPr>
      <w:r>
        <w:rPr>
          <w:i/>
          <w:sz w:val="20"/>
        </w:rPr>
        <w:t>EN: Noncovalent Cluster Packing Enables Ultrastable Glasses for Preservation and Delivery of Labile Biomolecules</w:t>
      </w:r>
    </w:p>
    <w:p>
      <w:pPr>
        <w:spacing w:before="0" w:after="120"/>
      </w:pPr>
      <w:r>
        <w:rPr>
          <w:b/>
        </w:rPr>
        <w:t xml:space="preserve">Source: </w:t>
      </w:r>
      <w:r>
        <w:t>Wiley: Angewandte Chemie International Edition: Table of Contents</w:t>
      </w:r>
      <w:r>
        <w:t xml:space="preserve">    </w:t>
      </w:r>
      <w:r>
        <w:rPr>
          <w:b/>
        </w:rPr>
        <w:t xml:space="preserve">Pub date: </w:t>
      </w:r>
      <w:r>
        <w:t>2026-03-02 06:05:56+00:00</w:t>
      </w:r>
      <w:r>
        <w:t xml:space="preserve">    </w:t>
      </w:r>
      <w:r>
        <w:rPr>
          <w:b/>
        </w:rPr>
        <w:t xml:space="preserve">DOI: </w:t>
      </w:r>
      <w:hyperlink r:id="rId280">
        <w:r>
          <w:rPr>
            <w:color w:val="1155CC"/>
            <w:u w:val="single"/>
          </w:rPr>
          <w:t>10.1002/anie.4411241</w:t>
        </w:r>
      </w:hyperlink>
    </w:p>
    <w:p>
      <w:pPr>
        <w:spacing w:before="0" w:after="120"/>
      </w:pPr>
      <w:r>
        <w:rPr>
          <w:b/>
        </w:rPr>
        <w:t xml:space="preserve">Notes: </w:t>
      </w:r>
      <w:r>
        <w:t>abstract_source=pubmed</w:t>
      </w:r>
    </w:p>
    <w:p>
      <w:pPr>
        <w:spacing w:before="0" w:after="80" w:lineRule="auto" w:line="276"/>
      </w:pPr>
      <w:r>
        <w:rPr>
          <w:b/>
        </w:rPr>
        <w:t xml:space="preserve">摘要（ZH）: </w:t>
      </w:r>
      <w:r>
        <w:t>分子玻璃的性质由Adam-Gibbs理论描述的热力学-动力学耦合所支配。这种关系强制存在一个持久的权衡：低玻璃化转变温度的玻璃对于温和加工是必需的，但本质上不稳定且易于快速结晶。在此，我们报告了一种非共价玻璃系统，打破了这一范式，实现了超过653.2 kJ mol-1的异常结晶障碍，同时保持了低于332.3 K的适中玻璃化转变温度。这种异常的解耦源于一种“非共价簇包装”结构，其中内部刚性的氢键纳米簇通过弱相互作用松散连接。这种独特的拓扑结构有效地将局部结构刚性与整体分离。</w:t>
      </w:r>
    </w:p>
    <w:p>
      <w:pPr>
        <w:spacing w:before="0" w:after="200" w:lineRule="auto" w:line="276"/>
      </w:pPr>
      <w:r>
        <w:rPr>
          <w:b/>
        </w:rPr>
        <w:t xml:space="preserve">Abstract (EN): </w:t>
      </w:r>
      <w:r>
        <w:t>The properties of molecular glasses are governed by a thermodynamic-kinetic coupling described by the Adam-Gibbs theory. This relationship enforces a persistent trade-off: glasses with low glass transition temperatures, essential for gentle processing, are inherently unstable and prone to rapid crystallization. Here, we report a noncovalent glass system that, defies this paradigm, achieving an exceptional crystallization barrier exceeding 653.2 kJ mol-1, while maintaining a moderate glass transition temperature below 332.3 K. This anomalous decoupling originates from a "noncovalent cluster packing" architecture where internally rigid, hydrogen-bonded nanoclusters are loosely interconnected by weak interactions. This distinct topology effectively isolates local structural rigidity from global relaxation, creating a landscape that, suppresses nucleation pathways. We demonstrate the practical utility of this principle through the robust room-temperature preservation and delivery of labile biomolecules. By challenging conventional theoretical constraints, this work establishes a general design strategy for creating ultrastable yet functionally versatile amorphous materials.</w:t>
      </w:r>
    </w:p>
    <w:p>
      <w:pPr>
        <w:spacing w:before="120" w:after="120"/>
      </w:pPr>
      <w:r>
        <w:rPr>
          <w:sz w:val="18"/>
        </w:rPr>
        <w:t>——————————————————————————————————————————————————————————————————————</w:t>
      </w:r>
    </w:p>
    <w:p>
      <w:pPr>
        <w:spacing w:before="160" w:after="40" w:line="240" w:lineRule="auto"/>
      </w:pPr>
      <w:r>
        <w:rPr>
          <w:b/>
        </w:rPr>
        <w:t xml:space="preserve">[81] </w:t>
      </w:r>
      <w:hyperlink r:id="rId281">
        <w:r>
          <w:rPr>
            <w:color w:val="1155CC"/>
            <w:u w:val="single"/>
          </w:rPr>
          <w:t>通过Co–Zn电催化剂引导反应路径选择性将NOx转化为异噁唑</w:t>
        </w:r>
      </w:hyperlink>
    </w:p>
    <w:p>
      <w:pPr>
        <w:spacing w:before="0" w:after="80"/>
      </w:pPr>
      <w:r>
        <w:rPr>
          <w:i/>
          <w:sz w:val="20"/>
        </w:rPr>
        <w:t>EN: Selective Conversion NOx Into Isoxazoles via Co–Zn Electrocatalyst Steering the Reaction Pathway</w:t>
      </w:r>
    </w:p>
    <w:p>
      <w:pPr>
        <w:spacing w:before="0" w:after="120"/>
      </w:pPr>
      <w:r>
        <w:rPr>
          <w:b/>
        </w:rPr>
        <w:t xml:space="preserve">Source: </w:t>
      </w:r>
      <w:r>
        <w:t>Wiley: Angewandte Chemie International Edition: Table of Contents</w:t>
      </w:r>
      <w:r>
        <w:t xml:space="preserve">    </w:t>
      </w:r>
      <w:r>
        <w:rPr>
          <w:b/>
        </w:rPr>
        <w:t xml:space="preserve">Pub date: </w:t>
      </w:r>
      <w:r>
        <w:t>2026-03-02 06:07:00+00:00</w:t>
      </w:r>
      <w:r>
        <w:t xml:space="preserve">    </w:t>
      </w:r>
      <w:r>
        <w:rPr>
          <w:b/>
        </w:rPr>
        <w:t xml:space="preserve">DOI: </w:t>
      </w:r>
      <w:hyperlink r:id="rId282">
        <w:r>
          <w:rPr>
            <w:color w:val="1155CC"/>
            <w:u w:val="single"/>
          </w:rPr>
          <w:t>10.1002/anie.8486876</w:t>
        </w:r>
      </w:hyperlink>
    </w:p>
    <w:p>
      <w:pPr>
        <w:spacing w:before="0" w:after="120"/>
      </w:pPr>
      <w:r>
        <w:rPr>
          <w:b/>
        </w:rPr>
        <w:t xml:space="preserve">Notes: </w:t>
      </w:r>
      <w:r>
        <w:t>abstract_source=pubmed</w:t>
      </w:r>
    </w:p>
    <w:p>
      <w:pPr>
        <w:spacing w:before="0" w:after="80" w:lineRule="auto" w:line="276"/>
      </w:pPr>
      <w:r>
        <w:rPr>
          <w:b/>
        </w:rPr>
        <w:t xml:space="preserve">摘要（ZH）: </w:t>
      </w:r>
      <w:r>
        <w:t>NOx物种的电催化升级为有价值的N-杂环提供了一条有吸引力的途径，但面临复杂路径和低催化活性的挑战。这项工作报告了一种通过与1,3-二羰基化合物偶联的电化学还原NOx为异噁唑的高选择性策略，由Co-Zn双原子催化剂（Co-Zn-NC）实现。有趣的是，该系统实现了92%的异噁唑法拉第效率，并显著抑制了氢和氨的生成。独特的电子结构显著调节了硝酸盐还原反应的能量障碍和氢吸附能，这通过密度泛函理论计算揭示，同时获得了对羟胺中间体和异噁唑产物的适度亲和力。</w:t>
      </w:r>
    </w:p>
    <w:p>
      <w:pPr>
        <w:spacing w:before="0" w:after="200" w:lineRule="auto" w:line="276"/>
      </w:pPr>
      <w:r>
        <w:rPr>
          <w:b/>
        </w:rPr>
        <w:t xml:space="preserve">Abstract (EN): </w:t>
      </w:r>
      <w:r>
        <w:t>The electrocatalytic upcycling of NOx species into valuable N-heterocycles presents an attractive route, but it is challenged by complex paths and low catalytic activity. This work reports a highly selective strategy for the electrochemical reduction of NOx to isoxazoles via coupling with 1,3-dicarbonyls, enabled by a Co-Zn dual-atom catalyst (Co-Zn-NC). Interestingly, the system achieves a remarkable Faraday efficiency of 92% for isoxazole and significantly inhibits hydrogen and ammonia production. The unique electronic structure significantly regulates the energy barrier of nitrate reduction reaction and the hydrogen adsorption energy revealed by density functional theory calculations, while obtaining moderate affinity towards hydroxylamine intermediate and isoxazole product illustrated from the adsorption measurements. This strategy demonstrates exceptional universality across various nitrogen sources (NO3 -, NO2 -, NO, NO2), carbon sources (1,3-dicarbonyls), and a series of M-Zn-NC catalysts, establishing a novel paradigm for synthesizing structurally complex N─O heterocycles directly from inorganic nitrogen wastes and creating a new platform for sustainable molecular manufacturing.</w:t>
      </w:r>
    </w:p>
    <w:p>
      <w:pPr>
        <w:spacing w:before="120" w:after="120"/>
      </w:pPr>
      <w:r>
        <w:rPr>
          <w:sz w:val="18"/>
        </w:rPr>
        <w:t>——————————————————————————————————————————————————————————————————————</w:t>
      </w:r>
    </w:p>
    <w:p>
      <w:pPr>
        <w:spacing w:before="160" w:after="40" w:line="240" w:lineRule="auto"/>
      </w:pPr>
      <w:r>
        <w:rPr>
          <w:b/>
        </w:rPr>
        <w:t xml:space="preserve">[82] </w:t>
      </w:r>
      <w:hyperlink r:id="rId283">
        <w:r>
          <w:rPr>
            <w:color w:val="1155CC"/>
            <w:u w:val="single"/>
          </w:rPr>
          <w:t>脂质口袋结合物对蛋白激酶p38α活性位点周围的蛋白质动态施加变构变化</w:t>
        </w:r>
      </w:hyperlink>
    </w:p>
    <w:p>
      <w:pPr>
        <w:spacing w:before="0" w:after="80"/>
      </w:pPr>
      <w:r>
        <w:rPr>
          <w:i/>
          <w:sz w:val="20"/>
        </w:rPr>
        <w:t>EN: Lipid Pocket Binders Impose Allosteric Changes of Protein Dynamics Around the Active Site of the Protein Kinase p38α</w:t>
      </w:r>
    </w:p>
    <w:p>
      <w:pPr>
        <w:spacing w:before="0" w:after="120"/>
      </w:pPr>
      <w:r>
        <w:rPr>
          <w:b/>
        </w:rPr>
        <w:t xml:space="preserve">Source: </w:t>
      </w:r>
      <w:r>
        <w:t>Wiley: Angewandte Chemie International Edition: Table of Contents</w:t>
      </w:r>
      <w:r>
        <w:t xml:space="preserve">    </w:t>
      </w:r>
      <w:r>
        <w:rPr>
          <w:b/>
        </w:rPr>
        <w:t xml:space="preserve">Pub date: </w:t>
      </w:r>
      <w:r>
        <w:t>2026-03-02 06:08:08+00:00</w:t>
      </w:r>
      <w:r>
        <w:t xml:space="preserve">    </w:t>
      </w:r>
      <w:r>
        <w:rPr>
          <w:b/>
        </w:rPr>
        <w:t xml:space="preserve">DOI: </w:t>
      </w:r>
      <w:hyperlink r:id="rId284">
        <w:r>
          <w:rPr>
            <w:color w:val="1155CC"/>
            <w:u w:val="single"/>
          </w:rPr>
          <w:t>10.1002/anie.202522665</w:t>
        </w:r>
      </w:hyperlink>
    </w:p>
    <w:p>
      <w:pPr>
        <w:spacing w:before="0" w:after="120"/>
      </w:pPr>
      <w:r>
        <w:rPr>
          <w:b/>
        </w:rPr>
        <w:t xml:space="preserve">Notes: </w:t>
      </w:r>
      <w:r>
        <w:t>abstract_source=pubmed</w:t>
      </w:r>
    </w:p>
    <w:p>
      <w:pPr>
        <w:spacing w:before="0" w:after="80" w:lineRule="auto" w:line="276"/>
      </w:pPr>
      <w:r>
        <w:rPr>
          <w:b/>
        </w:rPr>
        <w:t xml:space="preserve">摘要（ZH）: </w:t>
      </w:r>
      <w:r>
        <w:t>蛋白激酶是主要的药物靶点，但开发选择性调节剂仍然具有挑战性。在寻找丝氨酸/苏氨酸激酶p38α的变构位点时，发现C-叶中的一个“脂质口袋”有望结合小分子。然而，最初发现的那些低亲和力结合物的药理潜力尚不明显，这引发了一个总的问题，即该口袋与酶的功能位点之间是否存在任何形式的通信。在此，我们使用NMR光谱揭示了这些位点之间的有效连接，尽管它们在空间上相距较远。数据揭示了通过动态变构作用，不同结构元素之间的蛋白质动态存在明显的相互依赖性，进一步表明一种药物</w:t>
      </w:r>
    </w:p>
    <w:p>
      <w:pPr>
        <w:spacing w:before="0" w:after="200" w:lineRule="auto" w:line="276"/>
      </w:pPr>
      <w:r>
        <w:rPr>
          <w:b/>
        </w:rPr>
        <w:t xml:space="preserve">Abstract (EN): </w:t>
      </w:r>
      <w:r>
        <w:t>Protein kinases represent major pharmaceutical targets, but the development of selective modulators remains challenging. In search of allosteric sites in the serine/threonine kinase p38α, a "lipid pocket" in the C-lobe has been found to bear prospects for the binding of small molecules. A pharmacological potential of those low-affinity binders found initially has not become obvious, however, raising the overarching question whether any sort of communication between this pocket and the enzyme's functional sites exists. Here, we use NMR spectroscopy to reveal an effective connectivity of these sites in spite of their spatial distance. The data reveal a clear interdependency of protein dynamics between the different structural elements through dynamic allostery, together suggesting a pharmacological avenue for the development of suitable lipid pocket binders to allosterically alter enzymatic functionality in a disease context.</w:t>
      </w:r>
    </w:p>
    <w:p>
      <w:pPr>
        <w:spacing w:before="120" w:after="120"/>
      </w:pPr>
      <w:r>
        <w:rPr>
          <w:sz w:val="18"/>
        </w:rPr>
        <w:t>——————————————————————————————————————————————————————————————————————</w:t>
      </w:r>
    </w:p>
    <w:p>
      <w:pPr>
        <w:spacing w:before="160" w:after="40" w:line="240" w:lineRule="auto"/>
      </w:pPr>
      <w:r>
        <w:rPr>
          <w:b/>
        </w:rPr>
        <w:t xml:space="preserve">[83] </w:t>
      </w:r>
      <w:hyperlink r:id="rId285">
        <w:r>
          <w:rPr>
            <w:color w:val="1155CC"/>
            <w:u w:val="single"/>
          </w:rPr>
          <w:t>通过In─O─Fe基元形成抑制Fe2O3的还原失活以进行CO2加氢</w:t>
        </w:r>
      </w:hyperlink>
    </w:p>
    <w:p>
      <w:pPr>
        <w:spacing w:before="0" w:after="80"/>
      </w:pPr>
      <w:r>
        <w:rPr>
          <w:i/>
          <w:sz w:val="20"/>
        </w:rPr>
        <w:t>EN: Suppressing Reductive Deactivation of Fe2O3 via In─O─Fe Motif Formation for CO2 Hydrogenation</w:t>
      </w:r>
    </w:p>
    <w:p>
      <w:pPr>
        <w:spacing w:before="0" w:after="120"/>
      </w:pPr>
      <w:r>
        <w:rPr>
          <w:b/>
        </w:rPr>
        <w:t xml:space="preserve">Source: </w:t>
      </w:r>
      <w:r>
        <w:t>Wiley: Angewandte Chemie International Edition: Table of Contents</w:t>
      </w:r>
      <w:r>
        <w:t xml:space="preserve">    </w:t>
      </w:r>
      <w:r>
        <w:rPr>
          <w:b/>
        </w:rPr>
        <w:t xml:space="preserve">Pub date: </w:t>
      </w:r>
      <w:r>
        <w:t>2026-03-02 06:11:44+00:00</w:t>
      </w:r>
      <w:r>
        <w:t xml:space="preserve">    </w:t>
      </w:r>
      <w:r>
        <w:rPr>
          <w:b/>
        </w:rPr>
        <w:t xml:space="preserve">DOI: </w:t>
      </w:r>
      <w:hyperlink r:id="rId286">
        <w:r>
          <w:rPr>
            <w:color w:val="1155CC"/>
            <w:u w:val="single"/>
          </w:rPr>
          <w:t>10.1002/anie.4720181</w:t>
        </w:r>
      </w:hyperlink>
    </w:p>
    <w:p>
      <w:pPr>
        <w:spacing w:before="0" w:after="120"/>
      </w:pPr>
      <w:r>
        <w:rPr>
          <w:b/>
        </w:rPr>
        <w:t xml:space="preserve">Notes: </w:t>
      </w:r>
      <w:r>
        <w:t>abstract_source=pubmed</w:t>
      </w:r>
    </w:p>
    <w:p>
      <w:pPr>
        <w:spacing w:before="0" w:after="80" w:lineRule="auto" w:line="276"/>
      </w:pPr>
      <w:r>
        <w:rPr>
          <w:b/>
        </w:rPr>
        <w:t xml:space="preserve">摘要（ZH）: </w:t>
      </w:r>
      <w:r>
        <w:t>过渡金属氧化物在富氢条件下容易过度还原，从而阻碍中间体的周转并加速失活。面对这一反应现实，我们展示了Fe2O3在300°C的逆水煤气变换（RWGS）过程中不可避免地转化为Fe3O4，但可以通过铟（In）的原位氧化形成界面In─O─Fe结构重新激活。原位和反应后分析确定In2O3/Fe3O4为工作结构。在这些界面上，In和O原子之间的强sp-sp轨道杂化削弱了表面甲酸盐中的C─O键并加速其分解，缩短了其表面停留时间并导致高稳定性。相比之下，Fe3O4中的Fe─O─C轨道共轭增强了电子离域，从而稳定</w:t>
      </w:r>
    </w:p>
    <w:p>
      <w:pPr>
        <w:spacing w:before="0" w:after="200" w:lineRule="auto" w:line="276"/>
      </w:pPr>
      <w:r>
        <w:rPr>
          <w:b/>
        </w:rPr>
        <w:t xml:space="preserve">Abstract (EN): </w:t>
      </w:r>
      <w:r>
        <w:t>Transition-metal oxides are susceptible to over-reduction under hydrogen-rich conditions, thereby hindering intermediate turnover and accelerating deactivation. Embracing this reaction reality, we show that Fe2O3 inevitably converts to Fe3O4 during reverse water-gas shift (RWGS) at 300°C, yet can be reactivated by forming interfacial In─O─Fe motifs through in situ oxidation of indium (In). Operando and post-reaction analyses identify In2O3/Fe3O4 as the working architecture. At these interfaces, strong sp-sp orbital hybridization between In and O atoms weakens the C─O bond within surface formate and accelerates its decomposition, shortening its surface residence and leading to high stability. In contrast, Fe─O─C orbital conjugation in Fe3O4 reinforces electronic delocalization, thereby stabilizing the intermediate and poisoning the surface. The In-modified catalyst delivers nearly twofold higher CO yield than Fe2O3 and exhibits marked durability at 450°C (activity loss 6% versus 62%). Rather than preventing phase transformation by bulk lattice stabilization (e.g., doping heteroatoms/constructing high-entropy oxides), this interface-motif strategy rebuilds functionality on the reduced steady state of transition metal oxides, providing a concise route to durable CO2 hydrogenation.</w:t>
      </w:r>
    </w:p>
    <w:p>
      <w:pPr>
        <w:spacing w:before="120" w:after="120"/>
      </w:pPr>
      <w:r>
        <w:rPr>
          <w:sz w:val="18"/>
        </w:rPr>
        <w:t>——————————————————————————————————————————————————————————————————————</w:t>
      </w:r>
    </w:p>
    <w:p>
      <w:pPr>
        <w:spacing w:before="160" w:after="40" w:line="240" w:lineRule="auto"/>
      </w:pPr>
      <w:r>
        <w:rPr>
          <w:b/>
        </w:rPr>
        <w:t xml:space="preserve">[84] </w:t>
      </w:r>
      <w:hyperlink r:id="rId287">
        <w:r>
          <w:rPr>
            <w:color w:val="1155CC"/>
            <w:u w:val="single"/>
          </w:rPr>
          <w:t>通过细胞内点击释放反应的小分子激活mRNA翻译</w:t>
        </w:r>
      </w:hyperlink>
    </w:p>
    <w:p>
      <w:pPr>
        <w:spacing w:before="0" w:after="80"/>
      </w:pPr>
      <w:r>
        <w:rPr>
          <w:i/>
          <w:sz w:val="20"/>
        </w:rPr>
        <w:t>EN: Small‐Molecule Activation of mRNA Translation by Click‐to‐Release Reaction in Cells</w:t>
      </w:r>
    </w:p>
    <w:p>
      <w:pPr>
        <w:spacing w:before="0" w:after="120"/>
      </w:pPr>
      <w:r>
        <w:rPr>
          <w:b/>
        </w:rPr>
        <w:t xml:space="preserve">Source: </w:t>
      </w:r>
      <w:r>
        <w:t>Wiley: Angewandte Chemie International Edition: Table of Contents</w:t>
      </w:r>
      <w:r>
        <w:t xml:space="preserve">    </w:t>
      </w:r>
      <w:r>
        <w:rPr>
          <w:b/>
        </w:rPr>
        <w:t xml:space="preserve">Pub date: </w:t>
      </w:r>
      <w:r>
        <w:t>2026-03-02 06:13:48+00:00</w:t>
      </w:r>
      <w:r>
        <w:t xml:space="preserve">    </w:t>
      </w:r>
      <w:r>
        <w:rPr>
          <w:b/>
        </w:rPr>
        <w:t xml:space="preserve">DOI: </w:t>
      </w:r>
      <w:hyperlink r:id="rId288">
        <w:r>
          <w:rPr>
            <w:color w:val="1155CC"/>
            <w:u w:val="single"/>
          </w:rPr>
          <w:t>10.1002/anie.202524223</w:t>
        </w:r>
      </w:hyperlink>
    </w:p>
    <w:p>
      <w:pPr>
        <w:spacing w:before="0" w:after="120"/>
      </w:pPr>
      <w:r>
        <w:rPr>
          <w:b/>
        </w:rPr>
        <w:t xml:space="preserve">Notes: </w:t>
      </w:r>
      <w:r>
        <w:t>abstract_source=pubmed</w:t>
      </w:r>
    </w:p>
    <w:p>
      <w:pPr>
        <w:spacing w:before="0" w:after="80" w:lineRule="auto" w:line="276"/>
      </w:pPr>
      <w:r>
        <w:rPr>
          <w:b/>
        </w:rPr>
        <w:t xml:space="preserve">摘要（ZH）: </w:t>
      </w:r>
      <w:r>
        <w:t>mRNA是一种新兴的医学模式，然而，控制其活性的方式落后于其他生物制剂。生物正交点击释放反应能够在高反应速率下甚至在活细胞中打破化学键，以释放功能活性生物分子（“解笼”）。我们开发了一种用反式环辛烯（TCO-cap）修饰的5'帽，与羟基芳基-四唑嗪反应以有效释放天然帽0。这一策略与体外转录兼容，并促进了所得TCO帽mRNA的HPLC纯化，避免了在过程中产生的未帽mRNA的消化。使用eGFP和荧光素酶mRNA在哺乳动物细胞中，我们展示了TCO帽mRNA在翻译上是静默的，并可以通过添加细胞激活翻译</w:t>
      </w:r>
    </w:p>
    <w:p>
      <w:pPr>
        <w:spacing w:before="0" w:after="200" w:lineRule="auto" w:line="276"/>
      </w:pPr>
      <w:r>
        <w:rPr>
          <w:b/>
        </w:rPr>
        <w:t xml:space="preserve">Abstract (EN): </w:t>
      </w:r>
      <w:r>
        <w:t>mRNA is an emerging medical modality, however, approaches to control its activity lack behind other biologics. Bioorthogonal click-to-release reactions enable breaking chemical bonds at high reaction rates even in living cells to release a functionally active biomolecule ("uncaging"). We developed a 5' cap modified with a trans-cyclooctene (TCO-cap) that reacts with hydroxyaryl-tetrazines to efficiently release the native cap 0. This strategy is compatible with in vitro transcription and facilitates HPLC-based purification of the resulting TCO-capped mRNA, circumventing the need to digest uncapped mRNA produced in the process. Using eGFP- and luciferase-mRNAs in mammalian cells, we show that TCO-capped mRNAs are translationally muted and can be activated for translation by addition of cell-permeable, non-toxic sulfonamide-modified hydroxyphenyl-tetrazines. This work presents a new approach for small-molecule-induced translation in eukaryotes with potential to be applicable to any mRNA.</w:t>
      </w:r>
    </w:p>
    <w:p>
      <w:pPr>
        <w:spacing w:before="120" w:after="120"/>
      </w:pPr>
      <w:r>
        <w:rPr>
          <w:sz w:val="18"/>
        </w:rPr>
        <w:t>——————————————————————————————————————————————————————————————————————</w:t>
      </w:r>
    </w:p>
    <w:p>
      <w:pPr>
        <w:spacing w:before="160" w:after="40" w:line="240" w:lineRule="auto"/>
      </w:pPr>
      <w:r>
        <w:rPr>
          <w:b/>
        </w:rPr>
        <w:t xml:space="preserve">[85] </w:t>
      </w:r>
      <w:hyperlink r:id="rId289">
        <w:r>
          <w:rPr>
            <w:color w:val="1155CC"/>
            <w:u w:val="single"/>
          </w:rPr>
          <w:t>在磁性外尔半金属Co3Sn2S2‐xSex中显著非常规地增强异常霍尔角</w:t>
        </w:r>
      </w:hyperlink>
    </w:p>
    <w:p>
      <w:pPr>
        <w:spacing w:before="0" w:after="80"/>
      </w:pPr>
      <w:r>
        <w:rPr>
          <w:i/>
          <w:sz w:val="20"/>
        </w:rPr>
        <w:t>EN: Significantly Unconventional Enhancement of Anomalous Hall Angle in Magnetic Weyl Semimetal Co3Sn2S2‐xSex</w:t>
      </w:r>
    </w:p>
    <w:p>
      <w:pPr>
        <w:spacing w:before="0" w:after="120"/>
      </w:pPr>
      <w:r>
        <w:rPr>
          <w:b/>
        </w:rPr>
        <w:t xml:space="preserve">Source: </w:t>
      </w:r>
      <w:r>
        <w:t>Wiley: Advanced Materials: Table of Contents</w:t>
      </w:r>
      <w:r>
        <w:t xml:space="preserve">    </w:t>
      </w:r>
      <w:r>
        <w:rPr>
          <w:b/>
        </w:rPr>
        <w:t xml:space="preserve">Pub date: </w:t>
      </w:r>
      <w:r>
        <w:t>2026-03-02 07:27:18+00:00</w:t>
      </w:r>
      <w:r>
        <w:t xml:space="preserve">    </w:t>
      </w:r>
      <w:r>
        <w:rPr>
          <w:b/>
        </w:rPr>
        <w:t xml:space="preserve">DOI: </w:t>
      </w:r>
      <w:hyperlink r:id="rId290">
        <w:r>
          <w:rPr>
            <w:color w:val="1155CC"/>
            <w:u w:val="single"/>
          </w:rPr>
          <w:t>10.1002/adma.202522443</w:t>
        </w:r>
      </w:hyperlink>
    </w:p>
    <w:p>
      <w:pPr>
        <w:spacing w:before="0" w:after="120"/>
      </w:pPr>
      <w:r>
        <w:rPr>
          <w:b/>
        </w:rPr>
        <w:t xml:space="preserve">Notes: </w:t>
      </w:r>
      <w:r>
        <w:t>abstract_source=pubmed</w:t>
      </w:r>
    </w:p>
    <w:p>
      <w:pPr>
        <w:spacing w:before="0" w:after="80" w:lineRule="auto" w:line="276"/>
      </w:pPr>
      <w:r>
        <w:rPr>
          <w:b/>
        </w:rPr>
        <w:t xml:space="preserve">摘要（ZH）: </w:t>
      </w:r>
      <w:r>
        <w:t>理论上，将不均匀磁化引入磁性拓扑Weyl半金属可以显著增强异常霍尔电导率，这归因于手性规范场效应。然而，增强策略仍然难以捉摸。在此，我们通过引入具有强自旋轨道耦合的掺杂剂，成功在最近发现的磁性Weyl半金属Co3Sn2S2中生成不均匀磁化。巨大的异常霍尔角在130 K时达到42%，即使在相对较弱的磁场（∼0.1 T）下，也是迄今为止报道的最高值。理论和磁性微结构分析表明，显著增强的异常霍尔效应可能是由于不均匀磁化在实空间直接诱导的手性规范场。进一步</w:t>
      </w:r>
    </w:p>
    <w:p>
      <w:pPr>
        <w:spacing w:before="0" w:after="200" w:lineRule="auto" w:line="276"/>
      </w:pPr>
      <w:r>
        <w:rPr>
          <w:b/>
        </w:rPr>
        <w:t xml:space="preserve">Abstract (EN): </w:t>
      </w:r>
      <w:r>
        <w:t>Theoretically, introducing inhomogeneous magnetization into magnetic topological Weyl semimetals can dramatically enhance the anomalous Hall conductivity owing to the chiral-gauge field effect. However, an enhancement strategy remains elusive. Here, we demonstrate the successful generation of inhomogeneous magnetization in a recently discovered magnetic Weyl semimetal Co3Sn2S2 by introducing a dopant with strong spin-orbit coupling. The giant anomalous Hall angle reached 42% at 130 K, even under a relatively weak magnetic field (∼0.1 T), making it the highest reported value. Theoretical and magnetic microstructure analyses suggest that the significantly enhanced anomalous Hall effect may be due to the chiral-gauge field induced directly by inhomogeneous magnetization in real-space. Furthermore, considering the electronic band structure of Co3Sn2S2 and the chiral-gauge field, the theoretical Hall resistivity is quantitatively in good agreement with the experimental value. This study demonstrated the feasibility of dramatically manipulating the physical properties of Anomalous-Hall-angmagnetic topological materials using magnetic microstructure engineering.</w:t>
      </w:r>
    </w:p>
    <w:p>
      <w:pPr>
        <w:spacing w:before="120" w:after="120"/>
      </w:pPr>
      <w:r>
        <w:rPr>
          <w:sz w:val="18"/>
        </w:rPr>
        <w:t>——————————————————————————————————————————————————————————————————————</w:t>
      </w:r>
    </w:p>
    <w:p>
      <w:pPr>
        <w:spacing w:before="160" w:after="40" w:line="240" w:lineRule="auto"/>
      </w:pPr>
      <w:r>
        <w:rPr>
          <w:b/>
        </w:rPr>
        <w:t xml:space="preserve">[86] </w:t>
      </w:r>
      <w:hyperlink r:id="rId291">
        <w:r>
          <w:rPr>
            <w:color w:val="1155CC"/>
            <w:u w:val="single"/>
          </w:rPr>
          <w:t>像猫狗一样竞争：美洲狮将其辛苦获得的猎物输给狼</w:t>
        </w:r>
      </w:hyperlink>
    </w:p>
    <w:p>
      <w:pPr>
        <w:spacing w:before="0" w:after="80"/>
      </w:pPr>
      <w:r>
        <w:rPr>
          <w:i/>
          <w:sz w:val="20"/>
        </w:rPr>
        <w:t>EN: Competing like cats and dogs: Cougars lose their hard-won prey to wolves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292">
        <w:r>
          <w:rPr>
            <w:color w:val="1155CC"/>
            <w:u w:val="single"/>
          </w:rPr>
          <w:t>10.1073/pnas.2537201123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[87] </w:t>
      </w:r>
      <w:hyperlink r:id="rId293">
        <w:r>
          <w:rPr>
            <w:color w:val="1155CC"/>
            <w:u w:val="single"/>
          </w:rPr>
          <w:t>广泛适用的亲水性添加剂增强电化学晶体管功能</w:t>
        </w:r>
      </w:hyperlink>
    </w:p>
    <w:p>
      <w:pPr>
        <w:spacing w:before="0" w:after="80"/>
      </w:pPr>
      <w:r>
        <w:rPr>
          <w:i/>
          <w:sz w:val="20"/>
        </w:rPr>
        <w:t>EN: Broadly applicable hydrophilic additive enhances electrochemical transistor function</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294">
        <w:r>
          <w:rPr>
            <w:color w:val="1155CC"/>
            <w:u w:val="single"/>
          </w:rPr>
          <w:t>10.1073/pnas.2523877123</w:t>
        </w:r>
      </w:hyperlink>
    </w:p>
    <w:p>
      <w:pPr>
        <w:spacing w:before="0" w:after="120"/>
      </w:pPr>
      <w:r>
        <w:rPr>
          <w:b/>
        </w:rPr>
        <w:t xml:space="preserve">Notes: </w:t>
      </w:r>
      <w:r>
        <w:t>abstract_source=crossref</w:t>
      </w:r>
    </w:p>
    <w:p>
      <w:pPr>
        <w:spacing w:before="0" w:after="80" w:lineRule="auto" w:line="276"/>
      </w:pPr>
      <w:r>
        <w:rPr>
          <w:b/>
        </w:rPr>
        <w:t xml:space="preserve">摘要（ZH）: </w:t>
      </w:r>
      <w:r>
        <w:t>提供高效混合离子-电子电荷传输的有机半导体是未来生物电子学和其他技术所需的有机电化学晶体管（OECTs）的关键组件。然而，疏水性半导体通常具有有限的离子迁移率，并且在水环境中不稳定，限制了OECT的应用。为了解决这些问题，我们通过将聚合物半导体与光交联亲水性离子导电补充剂聚（乙二醇）-二甲基丙烯酸酯（PEGDMA）混合，报告了一种广泛适用的高性能OECT策略。结果是在无定形离子导电基质中形成有序、互连的半导体域，能够快速和可逆地掺杂/去掺杂而不影响电荷传输。这种方法增强</w:t>
      </w:r>
    </w:p>
    <w:p>
      <w:pPr>
        <w:spacing w:before="0" w:after="200" w:lineRule="auto" w:line="276"/>
      </w:pPr>
      <w:r>
        <w:rPr>
          <w:b/>
        </w:rPr>
        <w:t xml:space="preserve">Abstract (EN): </w:t>
      </w:r>
      <w:r>
        <w:t>Organic semiconductors offering efficient mixed ionic-electronic charge transport are key components of organic electrochemical transistors (OECTs) needed for future bioelectronics and other technologies. However, hydrophobic semiconductors typically have limited ion mobility and are unstable in aqueous environments, restricting OECT applications. To address these issues, we report a broadly applicable strategy for high-performance OECTs by blending polymeric semiconductors with a photocrosslinkable hydrophilic ion-conducting supplement, poly(ethyleneglycol)-dimethylacrylate (PEGDMA). The result is ordered, interconnected semiconductor domains within an amorphous ion-conducting matrix, enabling rapid and reversible doping/dedoping without compromising charge transport. This approach enhances OECT performance across diverse electrolytes, semiconductors, and device architectures. Furthermore, PEGDMA enables high-resolution photopatterning of both semiconductors (&amp;lt;0.4 μm) and electrolytes (&amp;lt;2 μm), affording high-stability OECTs sustaining &amp;gt;10,000 cycles. This approach also enables wafer-scale array fabrication of 2,548 OECTs on 2” wafer, and miniaturized inverter, NAND, and NOR circuits. Also demonstrated are integration of these OECTs with a photosensor, creating a vision sensing array (10 × 10 pixels) that mimics visual image processing similar to the brain’s perception system.</w:t>
      </w:r>
    </w:p>
    <w:p>
      <w:pPr>
        <w:spacing w:before="120" w:after="120"/>
      </w:pPr>
      <w:r>
        <w:rPr>
          <w:sz w:val="18"/>
        </w:rPr>
        <w:t>——————————————————————————————————————————————————————————————————————</w:t>
      </w:r>
    </w:p>
    <w:p>
      <w:pPr>
        <w:spacing w:before="160" w:after="40" w:line="240" w:lineRule="auto"/>
      </w:pPr>
      <w:r>
        <w:rPr>
          <w:b/>
        </w:rPr>
        <w:t xml:space="preserve">[88] </w:t>
      </w:r>
      <w:hyperlink r:id="rId295">
        <w:r>
          <w:rPr>
            <w:color w:val="1155CC"/>
            <w:u w:val="single"/>
          </w:rPr>
          <w:t>南极冰川接地线退缩三十年</w:t>
        </w:r>
      </w:hyperlink>
    </w:p>
    <w:p>
      <w:pPr>
        <w:spacing w:before="0" w:after="80"/>
      </w:pPr>
      <w:r>
        <w:rPr>
          <w:i/>
          <w:sz w:val="20"/>
        </w:rPr>
        <w:t>EN: Thirty years of glacier grounding line retreat in Antarctica</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296">
        <w:r>
          <w:rPr>
            <w:color w:val="1155CC"/>
            <w:u w:val="single"/>
          </w:rPr>
          <w:t>10.1073/pnas.2524380123</w:t>
        </w:r>
      </w:hyperlink>
    </w:p>
    <w:p>
      <w:pPr>
        <w:spacing w:before="0" w:after="120"/>
      </w:pPr>
      <w:r>
        <w:rPr>
          <w:b/>
        </w:rPr>
        <w:t xml:space="preserve">Notes: </w:t>
      </w:r>
      <w:r>
        <w:t>abstract_source=crossref</w:t>
      </w:r>
    </w:p>
    <w:p>
      <w:pPr>
        <w:spacing w:before="0" w:after="80" w:lineRule="auto" w:line="276"/>
      </w:pPr>
      <w:r>
        <w:rPr>
          <w:b/>
        </w:rPr>
        <w:t xml:space="preserve">摘要（ZH）: </w:t>
      </w:r>
      <w:r>
        <w:t>冰川基线（GL）——从大陆上冰川到海洋中漂浮冰川的过渡——是冰川稳定性和质量平衡的敏感指标。使用ERS-1/2、Sentinel-1、RADARSAT-1/2、RADARSAT Constellation Mission、ALOS PALSAR-2、COSMO-SkyMed和ICEYE的差分合成孔径雷达干涉测量，我们汇集了1992年至2025年大陆尺度的基线迁移记录。在超过77 ± 10%的南极洲海岸线上，我们未检测到GL迁移。退缩集中在i）南极半岛——Larsen A-B沿线2至18公里和George VI部分沿线2至6公里；ii）Wilkes和George V地区——Denman、Totten、Moscow、Frost、Holmes、Mertz、Ninnis和Cook上6至10公里，Vanderford上26公里；以及iii）西南极——Ferrigno、Fox上5至7公里，</w:t>
      </w:r>
    </w:p>
    <w:p>
      <w:pPr>
        <w:spacing w:before="0" w:after="200" w:lineRule="auto" w:line="276"/>
      </w:pPr>
      <w:r>
        <w:rPr>
          <w:b/>
        </w:rPr>
        <w:t xml:space="preserve">Abstract (EN): </w:t>
      </w:r>
      <w:r>
        <w:t>The Grounding Line (GL)—the transition from ice grounded on the continent and ice afloat in the ocean—is a sensitive indicator of glacier stability and mass balance. Using differential synthetic aperture radar interferometry from ERS-1/2, Sentinel-1, RADARSAT-1/2, RADARSAT Constellation Mission, ALOS PALSAR-2, COSMO-SkyMed, and ICEYE, we assemble a continental scale record of grounding line migration from 1992 to 2025. Over 77 ± 10% of Antarctic coastal length, we detect no GL migration. Retreat is concentrated in i) the Antarctic Peninsula–2 to 18 km along Larsen A-B and 2 to 6 km along parts of George VI; ii) Wilkes and George V lands–6 to 10 km on Denman, Totten, Moscow, Frost, Holmes, Mertz, Ninnis, and Cook, and 26 km on Vanderford; and iii) West Antarctica–5 to 7-km on Ferrigno, Fox, and Venable, with extreme retreat in the Amundsen and Getz sectors (Pine Island 33 km, Thwaites 26 km, Haynes 20 km, Pope 23 km, Smith 42 km, Kohler 12 km, East Getz 9 km toward Berry 18 km, Hull 14 km, and Land 5 km). The ice sheet lost 12,820 ± 1,873 km</w:t>
      </w:r>
      <w:r>
        <w:rPr>
          <w:vertAlign w:val="subscript"/>
        </w:rPr>
        <w:t>2</w:t>
      </w:r>
      <w:r>
        <w:t>of grounded ice in 1996–2025, or 442 ± 64 km</w:t>
      </w:r>
      <w:r>
        <w:rPr>
          <w:vertAlign w:val="subscript"/>
        </w:rPr>
        <w:t>2</w:t>
      </w:r>
      <w:r>
        <w:t>/y, with 62% from West Antarctica and 28% from East Antarctica. Retreat clusters in areas where bathymetry channelizes warm Circumpolar Deep Water toward deep grounding zones where beds are retrograde, except in the northeastern Antarctic Peninsula. The results provide a harmonized benchmark for ice grounding zone-based ice sheet models and identifies gateways where future retreat is likely to accelerate.</w:t>
      </w:r>
    </w:p>
    <w:p>
      <w:pPr>
        <w:spacing w:before="120" w:after="120"/>
      </w:pPr>
      <w:r>
        <w:rPr>
          <w:sz w:val="18"/>
        </w:rPr>
        <w:t>——————————————————————————————————————————————————————————————————————</w:t>
      </w:r>
    </w:p>
    <w:p>
      <w:pPr>
        <w:spacing w:before="160" w:after="40" w:line="240" w:lineRule="auto"/>
      </w:pPr>
      <w:r>
        <w:rPr>
          <w:b/>
        </w:rPr>
        <w:t xml:space="preserve">[89] </w:t>
      </w:r>
      <w:hyperlink r:id="rId297">
        <w:r>
          <w:rPr>
            <w:color w:val="1155CC"/>
            <w:u w:val="single"/>
          </w:rPr>
          <w:t>通过黄酮类渗透增强剂实现的延长局部麻醉</w:t>
        </w:r>
      </w:hyperlink>
    </w:p>
    <w:p>
      <w:pPr>
        <w:spacing w:before="0" w:after="80"/>
      </w:pPr>
      <w:r>
        <w:rPr>
          <w:i/>
          <w:sz w:val="20"/>
        </w:rPr>
        <w:t>EN: Extended local anesthesia enabled by flavonoid permeation enhancers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298">
        <w:r>
          <w:rPr>
            <w:color w:val="1155CC"/>
            <w:u w:val="single"/>
          </w:rPr>
          <w:t>10.1073/pnas.2523195123</w:t>
        </w:r>
      </w:hyperlink>
    </w:p>
    <w:p>
      <w:pPr>
        <w:spacing w:before="0" w:after="120"/>
      </w:pPr>
      <w:r>
        <w:rPr>
          <w:b/>
        </w:rPr>
        <w:t xml:space="preserve">Notes: </w:t>
      </w:r>
      <w:r>
        <w:t>abstract_source=crossref</w:t>
      </w:r>
    </w:p>
    <w:p>
      <w:pPr>
        <w:spacing w:before="0" w:after="80" w:lineRule="auto" w:line="276"/>
      </w:pPr>
      <w:r>
        <w:rPr>
          <w:b/>
        </w:rPr>
        <w:t xml:space="preserve">摘要（ZH）: </w:t>
      </w:r>
      <w:r>
        <w:t>1号位钠通道阻滞剂（S1SCBs），如河豚毒素（TTX）和新石房蛤毒素，是超强效的局部麻醉剂，组织毒性低。其作用持续时间相对较短，但增加剂量可能导致全身毒性。在此，我们报告选定的黄酮类化合物——葛根素（PUE）、柚皮素和山奈酚——可将S1SCBs的神经阻滞时间延长4至25倍。通过使用鼓膜（TM）渗透和坐骨神经荧光分布模型，我们证明黄酮类化合物增加了药物穿过生物屏障（TM和神经内外屏障）的渗透，表明它们作为化学渗透增强剂（CPEs）发挥作用。重要的是，与传统CPEs相比，黄酮类化合物表现出极小的组织毒性。将TTX和PUE共同封装到一个液体中</w:t>
      </w:r>
    </w:p>
    <w:p>
      <w:pPr>
        <w:spacing w:before="0" w:after="200" w:lineRule="auto" w:line="276"/>
      </w:pPr>
      <w:r>
        <w:rPr>
          <w:b/>
        </w:rPr>
        <w:t xml:space="preserve">Abstract (EN): </w:t>
      </w:r>
      <w:r>
        <w:t>Site 1 sodium channel blockers (S1SCBs), such as tetrodotoxin (TTX) and neosaxitoxin, are ultrapotent local anesthetics with low tissue toxicity. Their duration of action is relatively brief, but increasing the dose can lead to systemic toxicity. Here, we report that selected flavonoids—puerarin (PUE), naringenin, and kaempferol—prolong nerve block from S1SCBs 4- to 25-fold. Using both tympanic membrane (TM) permeation and sciatic nerve fluorescence distribution models, we demonstrate the flavonoids increase drug penetration across biological barriers (the TM and the barriers in and around nerve), suggesting that they act as chemical permeation enhancers (CPEs). Importantly, flavonoids exhibited minimal tissue toxicity compared to conventional CPEs. Coencapsulation of TTX and PUE into a liposomal delivery system further prolonged local anesthesia to over 25 d from a single injection. These findings establish flavonoid compounds as a safe class of CPEs and provide a platform of long-acting, nonopioid pain therapies. Flavonoids may be attractive alternatives to conventional CPEs in biomedical applications.</w:t>
      </w:r>
    </w:p>
    <w:p>
      <w:pPr>
        <w:spacing w:before="120" w:after="120"/>
      </w:pPr>
      <w:r>
        <w:rPr>
          <w:sz w:val="18"/>
        </w:rPr>
        <w:t>——————————————————————————————————————————————————————————————————————</w:t>
      </w:r>
    </w:p>
    <w:p>
      <w:pPr>
        <w:spacing w:before="160" w:after="40" w:line="240" w:lineRule="auto"/>
      </w:pPr>
      <w:r>
        <w:rPr>
          <w:b/>
        </w:rPr>
        <w:t xml:space="preserve">[90] </w:t>
      </w:r>
      <w:hyperlink r:id="rId299">
        <w:r>
          <w:rPr>
            <w:color w:val="1155CC"/>
            <w:u w:val="single"/>
          </w:rPr>
          <w:t>细胞昼夜节律周期及其偏差与认知受损老年人中的阿尔茨海默病病理和大脑老化相关</w:t>
        </w:r>
      </w:hyperlink>
    </w:p>
    <w:p>
      <w:pPr>
        <w:spacing w:before="0" w:after="80"/>
      </w:pPr>
      <w:r>
        <w:rPr>
          <w:i/>
          <w:sz w:val="20"/>
        </w:rPr>
        <w:t>EN: Cellular circadian period and its deviation associate with Alzheimer’s pathology and brain aging in cognitively impaired older adults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00">
        <w:r>
          <w:rPr>
            <w:color w:val="1155CC"/>
            <w:u w:val="single"/>
          </w:rPr>
          <w:t>10.1073/pnas.2527236123</w:t>
        </w:r>
      </w:hyperlink>
    </w:p>
    <w:p>
      <w:pPr>
        <w:spacing w:before="0" w:after="120"/>
      </w:pPr>
      <w:r>
        <w:rPr>
          <w:b/>
        </w:rPr>
        <w:t xml:space="preserve">Notes: </w:t>
      </w:r>
      <w:r>
        <w:t>abstract_source=crossref</w:t>
      </w:r>
    </w:p>
    <w:p>
      <w:pPr>
        <w:spacing w:before="0" w:after="80" w:lineRule="auto" w:line="276"/>
      </w:pPr>
      <w:r>
        <w:rPr>
          <w:b/>
        </w:rPr>
        <w:t xml:space="preserve">摘要（ZH）: </w:t>
      </w:r>
      <w:r>
        <w:t>昼夜节律紊乱被认为是衰老和神经退行性疾病的特征，但内在细胞昼夜节律特性是否与人类的潜在过程相关仍然未知。我们使用体外生物发光测量了135名有认知投诉的老年人皮肤成纤维细胞的内在昼夜节律周期及其与24小时的偏差（Δ周期）。在淀粉样蛋白-τ-神经退行性变[ATN (IV)]框架内，使用多变量模型和Cox回归分析，研究了与血浆生物标志物（pTau-217、神经丝轻链[NfL]和胶质纤维酸性蛋白[GFAP]）、淀粉样蛋白正电子发射断层扫描（PET）、结构MRI、认知功能和临床进展的关联。细胞昼夜节律周期的中位数为24.2小时，而</w:t>
      </w:r>
    </w:p>
    <w:p>
      <w:pPr>
        <w:spacing w:before="0" w:after="200" w:lineRule="auto" w:line="276"/>
      </w:pPr>
      <w:r>
        <w:rPr>
          <w:b/>
        </w:rPr>
        <w:t xml:space="preserve">Abstract (EN): </w:t>
      </w:r>
      <w:r>
        <w:t>Circadian rhythm disruption is recognized as a feature of aging and neurodegenerative disease, yet whether intrinsic cellular circadian properties relate to underlying processes in humans remains unknown. We measured intrinsic circadian period and its deviation from 24 h (Δ-period) using ex vivo bioluminescence in dermal fibroblasts from 135 older adults with cognitive complaints. Associations with plasma biomarkers (pTau-217, neurofilament light chain [NfL], and glial fibrillary acidic protein [GFAP]), amyloid positron emission tomography (PET), structural MRI, cognitive function, and clinical progression were examined within the amyloid–tau–neurodegeneration [ATN (IV)] framework, using multivariable models and Cox regression analyses. The median cellular circadian period was 24.2 h, while Δ-period increased with age. A longer intrinsic circadian period was selectively associated with higher pTau-217, NfL, and GFAP levels and medial temporal atrophy, consistent with Alzheimer’s disease (AD)-related tau pathology, neurodegeneration, and glial activation. In contrast, greater Δ-period was associated with older age, poorer cognitive performance across multiple domains, and more widespread brain atrophy, consistent with broader aging-related neurodegenerative processes. Both longer period (HR = 4.41, 95% CI: 1.52 to 12.83) and greater Δ-period (HR = 2.65, 95% CI: 1.03 to 6.86) independently predicted faster clinical decline. Thus, cellular circadian period and Δ-period capture distinct biological processes—AD-related tau pathology vs. broader aging-related neurodegeneration—and together represent complementary cellular biomarkers with potential prognostic value in older adults with cognitive concerns.</w:t>
      </w:r>
    </w:p>
    <w:p>
      <w:pPr>
        <w:spacing w:before="120" w:after="120"/>
      </w:pPr>
      <w:r>
        <w:rPr>
          <w:sz w:val="18"/>
        </w:rPr>
        <w:t>——————————————————————————————————————————————————————————————————————</w:t>
      </w:r>
    </w:p>
    <w:p>
      <w:pPr>
        <w:spacing w:before="160" w:after="40" w:line="240" w:lineRule="auto"/>
      </w:pPr>
      <w:r>
        <w:rPr>
          <w:b/>
        </w:rPr>
        <w:t xml:space="preserve">[91] </w:t>
      </w:r>
      <w:hyperlink r:id="rId301">
        <w:r>
          <w:rPr>
            <w:color w:val="1155CC"/>
            <w:u w:val="single"/>
          </w:rPr>
          <w:t>海洋变暖增强了海洋氨氧化古菌的铁利用效率</w:t>
        </w:r>
      </w:hyperlink>
    </w:p>
    <w:p>
      <w:pPr>
        <w:spacing w:before="0" w:after="80"/>
      </w:pPr>
      <w:r>
        <w:rPr>
          <w:i/>
          <w:sz w:val="20"/>
        </w:rPr>
        <w:t>EN: Ocean warming enhances iron use efficiencies of marine ammonia-oxidizing archaea</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02">
        <w:r>
          <w:rPr>
            <w:color w:val="1155CC"/>
            <w:u w:val="single"/>
          </w:rPr>
          <w:t>10.1073/pnas.2531032123</w:t>
        </w:r>
      </w:hyperlink>
    </w:p>
    <w:p>
      <w:pPr>
        <w:spacing w:before="0" w:after="120"/>
      </w:pPr>
      <w:r>
        <w:rPr>
          <w:b/>
        </w:rPr>
        <w:t xml:space="preserve">Notes: </w:t>
      </w:r>
      <w:r>
        <w:t>abstract_source=crossref</w:t>
      </w:r>
    </w:p>
    <w:p>
      <w:pPr>
        <w:spacing w:before="0" w:after="80" w:lineRule="auto" w:line="276"/>
      </w:pPr>
      <w:r>
        <w:rPr>
          <w:b/>
        </w:rPr>
        <w:t xml:space="preserve">摘要（ZH）: </w:t>
      </w:r>
      <w:r>
        <w:t>氨氧化古菌（AOA）是海洋中最丰富的微生物之一，在海洋氮循环中起着基础性作用。虽然温度和微量金属的可用性各自对海洋AOA的生长和活性有影响，但对这两个主要因素对快速变化的海洋中AOA的交互作用的理解非常有限。在此，我们展示了模式海洋AOA物种Nitrosopumilus maritimus SCM1的铁需求对温度变化高度敏感。生长温度增加5°C使SCM1的铁需求减少了超过80%，并且在铁限制条件下与铁利用效率（IUE，mol C固定/h/mol细胞Fe）的显著增加相关。</w:t>
      </w:r>
    </w:p>
    <w:p>
      <w:pPr>
        <w:spacing w:before="0" w:after="200" w:lineRule="auto" w:line="276"/>
      </w:pPr>
      <w:r>
        <w:rPr>
          <w:b/>
        </w:rPr>
        <w:t xml:space="preserve">Abstract (EN): </w:t>
      </w:r>
      <w:r>
        <w:t>Ammonia-oxidizing archaea (AOA) are among the most abundant microorganisms in the ocean, playing a fundamental role in the marine nitrogen cycle. Although temperature and trace metal availability each individually influence the growth and activity of marine AOA, there is only a very limited understanding of the interactive effects of these two major factors on AOA in the rapidly changing ocean. Here, we show that the iron requirements of the model marine AOA species</w:t>
      </w:r>
      <w:r>
        <w:t xml:space="preserve"> </w:t>
      </w:r>
      <w:r>
        <w:t>Nitrosopumilus maritimus</w:t>
      </w:r>
      <w:r>
        <w:t xml:space="preserve"> </w:t>
      </w:r>
      <w:r>
        <w:t>SCM1 are highly sensitive to temperature changes. A 5 °C increase in growth temperature reduced SCM1 iron requirements by &amp;gt;80%, and was associated with a substantial increase in iron use efficiencies (IUE, mol C fixed/h/mol cellular Fe) under iron-limited and warming conditions. A thermally enhanced IUE enables SCM1 to more efficiently utilize scarce available iron supplies to support its growth. Whole-cell proteomic analysis revealed that iron limitation decreased expression of a ferredoxin and increased expression of a copper-dependent plastocyanin that became more pronounced with warming, suggesting coordinated electron transport response regulation under combined iron and temperature stress. The global impacts of these temperature-dependent changes to AOA iron demands were assessed using sensitivity experiments with a state-of-the-art biogeochemical model. Simulations showed that impacts on nitrification were concentrated at higher latitudes, but the alterations to ammonia concentrations were redistributed toward lower latitudes by mode and intermediate water transport. These findings reveal a previously unrecognized mechanism by which ocean warming may alleviate iron limitation of AOA, enhance their ecological competitiveness, and reshape ocean nitrogen cycling throughout marine ecosystems.</w:t>
      </w:r>
    </w:p>
    <w:p>
      <w:pPr>
        <w:spacing w:before="120" w:after="120"/>
      </w:pPr>
      <w:r>
        <w:rPr>
          <w:sz w:val="18"/>
        </w:rPr>
        <w:t>——————————————————————————————————————————————————————————————————————</w:t>
      </w:r>
    </w:p>
    <w:p>
      <w:pPr>
        <w:spacing w:before="160" w:after="40" w:line="240" w:lineRule="auto"/>
      </w:pPr>
      <w:r>
        <w:rPr>
          <w:b/>
        </w:rPr>
        <w:t xml:space="preserve">[92] </w:t>
      </w:r>
      <w:hyperlink r:id="rId303">
        <w:r>
          <w:rPr>
            <w:color w:val="1155CC"/>
            <w:u w:val="single"/>
          </w:rPr>
          <w:t>通过离子通道特性的双时间尺度调节实现的持久适应</w:t>
        </w:r>
      </w:hyperlink>
    </w:p>
    <w:p>
      <w:pPr>
        <w:spacing w:before="0" w:after="80"/>
      </w:pPr>
      <w:r>
        <w:rPr>
          <w:i/>
          <w:sz w:val="20"/>
        </w:rPr>
        <w:t>EN: Persistent adaptation through dual-timescale regulation of ion channel properties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04">
        <w:r>
          <w:rPr>
            <w:color w:val="1155CC"/>
            <w:u w:val="single"/>
          </w:rPr>
          <w:t>10.1073/pnas.2530340123</w:t>
        </w:r>
      </w:hyperlink>
    </w:p>
    <w:p>
      <w:pPr>
        <w:spacing w:before="0" w:after="120"/>
      </w:pPr>
      <w:r>
        <w:rPr>
          <w:b/>
        </w:rPr>
        <w:t xml:space="preserve">Notes: </w:t>
      </w:r>
      <w:r>
        <w:t>abstract_source=crossref</w:t>
      </w:r>
    </w:p>
    <w:p>
      <w:pPr>
        <w:spacing w:before="0" w:after="80" w:lineRule="auto" w:line="276"/>
      </w:pPr>
      <w:r>
        <w:rPr>
          <w:b/>
        </w:rPr>
        <w:t xml:space="preserve">摘要（ZH）: </w:t>
      </w:r>
      <w:r>
        <w:t>神经元是终末分化的细胞，尽管遇到各种环境扰动，但它们能够适应以维持多年的稳定功能。在某些情况下，扰动后的恢复不受先前暴露的影响；而在其他情况下，恢复取决于神经元的扰动历史。一种特别引人注目的历史依赖性恢复形式是，先前的暴露增强了神经元从未来扰动中恢复的能力，同时基本活动几乎不变。在可能促进这种历史依赖性恢复改善的众多机制中，我们研究了一种基于内在电流调节的机制。使用基于活动依赖性稳态的模型，我们展示了通过通道持久变化编码的改善恢复。</w:t>
      </w:r>
    </w:p>
    <w:p>
      <w:pPr>
        <w:spacing w:before="0" w:after="200" w:lineRule="auto" w:line="276"/>
      </w:pPr>
      <w:r>
        <w:rPr>
          <w:b/>
        </w:rPr>
        <w:t xml:space="preserve">Abstract (EN): </w:t>
      </w:r>
      <w:r>
        <w:t>Neurons are terminally differentiated cells that adapt to maintain stable function over years, despite encountering a wide range of environmental perturbations. In some cases, recovery from perturbation is not shaped by prior exposure; in others, recovery depends on the neuron’s perturbation history. A particularly striking form of history-dependent recovery occurs when prior exposure enhances the neuron’s ability to recover from future perturbations while leaving baseline activity largely unchanged. Among the many mechanisms that may contribute to such history-dependent improvement in recovery, we investigate one based on the regulation of intrinsic currents. Using a model of activity-dependent homeostasis, we show that improved recovery can be encoded through lasting changes in channel density, while rapid shifts in ion channel voltage-dependence provide immediate compensation during perturbations. We refer to the long-lasting intrinsic trace that accompanies this improved recovery a persistent adaptation. Interestingly, these roles are noninterchangeable: when voltage-dependence evolves slowly and maximal conductances change rapidly, an intrinsic trace is not stored, eliminating persistent adaptation even when improved recovery is preserved.</w:t>
      </w:r>
    </w:p>
    <w:p>
      <w:pPr>
        <w:spacing w:before="120" w:after="120"/>
      </w:pPr>
      <w:r>
        <w:rPr>
          <w:sz w:val="18"/>
        </w:rPr>
        <w:t>——————————————————————————————————————————————————————————————————————</w:t>
      </w:r>
    </w:p>
    <w:p>
      <w:pPr>
        <w:spacing w:before="160" w:after="40" w:line="240" w:lineRule="auto"/>
      </w:pPr>
      <w:r>
        <w:rPr>
          <w:b/>
        </w:rPr>
        <w:t xml:space="preserve">[93] </w:t>
      </w:r>
      <w:hyperlink r:id="rId305">
        <w:r>
          <w:rPr>
            <w:color w:val="1155CC"/>
            <w:u w:val="single"/>
          </w:rPr>
          <w:t>RNase P与核糖体的共同进化</w:t>
        </w:r>
      </w:hyperlink>
    </w:p>
    <w:p>
      <w:pPr>
        <w:spacing w:before="0" w:after="80"/>
      </w:pPr>
      <w:r>
        <w:rPr>
          <w:i/>
          <w:sz w:val="20"/>
        </w:rPr>
        <w:t>EN: Coevolution of RNase P and the ribosome</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06">
        <w:r>
          <w:rPr>
            <w:color w:val="1155CC"/>
            <w:u w:val="single"/>
          </w:rPr>
          <w:t>10.1073/pnas.2518495123</w:t>
        </w:r>
      </w:hyperlink>
    </w:p>
    <w:p>
      <w:pPr>
        <w:spacing w:before="0" w:after="120"/>
      </w:pPr>
      <w:r>
        <w:rPr>
          <w:b/>
        </w:rPr>
        <w:t xml:space="preserve">Notes: </w:t>
      </w:r>
      <w:r>
        <w:t>abstract_source=crossref</w:t>
      </w:r>
    </w:p>
    <w:p>
      <w:pPr>
        <w:spacing w:before="0" w:after="80" w:lineRule="auto" w:line="276"/>
      </w:pPr>
      <w:r>
        <w:rPr>
          <w:b/>
        </w:rPr>
        <w:t xml:space="preserve">摘要（ZH）: </w:t>
      </w:r>
      <w:r>
        <w:t>翻译是由生物学中最保守的组件进行的。在这些组件中，核糖体和RNase P是核心参与者。这些古老的核糖核蛋白复合物在生命的最后一个共同祖先（LUCA）时达到了结构和功能的成熟。在之前的工作中，我们利用核糖体的三维结构重建了其进化历史，基于累积和分子指纹追溯到生命的最早阶段。在此，我们基于累积模型扩展我们的结构系统发育框架到RNase P，这是一种负责处理前tRNA的核糖核蛋白。通过在系统发育中采样RNase P RNA（RPR）序列和结构，并根据插入指纹将其划分为RNA片段，我们表征了</w:t>
      </w:r>
    </w:p>
    <w:p>
      <w:pPr>
        <w:spacing w:before="0" w:after="200" w:lineRule="auto" w:line="276"/>
      </w:pPr>
      <w:r>
        <w:rPr>
          <w:b/>
        </w:rPr>
        <w:t xml:space="preserve">Abstract (EN): </w:t>
      </w:r>
      <w:r>
        <w:t>Translation is carried out by the most conserved assemblies in biology. Among these assemblies, the ribosome and RNase P are central players. These ancient ribonucleoprotein complexes achieved structural and functional maturity by the last universal common ancestor (LUCA) of life. In prior work, we reconstructed the evolutionary history of the ribosome using its three-dimensional structure, based on accretion and molecular fingerprints that date back to life’s earliest stages. Here, we extend our structural phylogenetic framework—based on the accretion model—to RNase P, a ribonucleoprotein responsible for processing pre-tRNAs. By sampling RNase P RNA (RPR) sequences and structures across phylogeny and partitioning them into RNA fragments based on insertion fingerprints, we characterize the state of RPR at LUCA and reconstruct the chronology of its emergence. The chronology reveals that RNase P, like the ribosome, accreted modular RNA elements over evolution, while preserving the structure of preexisting elements, thus maintaining a structural record. We used interactions with tRNA to link and unify the evolutionary trajectories of RPR and rRNA. These results support the view that RNase P and the ribosome coevolved as part of a functionally integrated system. The ancestral catalytic sites of rRNA and RPR formed by the same process, fusion of two stem–elbow–stem elements. Analysis of these two coevolving RNAs also suggests that some of their accreted elements share common ancestry. Application of the accretion model requires correct secondary structures and was successful for RPR only when the traditional secondary structure was corrected by reorganizing a pseudoknot.</w:t>
      </w:r>
    </w:p>
    <w:p>
      <w:pPr>
        <w:spacing w:before="120" w:after="120"/>
      </w:pPr>
      <w:r>
        <w:rPr>
          <w:sz w:val="18"/>
        </w:rPr>
        <w:t>——————————————————————————————————————————————————————————————————————</w:t>
      </w:r>
    </w:p>
    <w:p>
      <w:pPr>
        <w:spacing w:before="160" w:after="40" w:line="240" w:lineRule="auto"/>
      </w:pPr>
      <w:r>
        <w:rPr>
          <w:b/>
        </w:rPr>
        <w:t xml:space="preserve">[94] </w:t>
      </w:r>
      <w:hyperlink r:id="rId307">
        <w:r>
          <w:rPr>
            <w:color w:val="1155CC"/>
            <w:u w:val="single"/>
          </w:rPr>
          <w:t>通过多周期检查点降解进行癌症免疫治疗的肿瘤免疫网络动态重编程</w:t>
        </w:r>
      </w:hyperlink>
    </w:p>
    <w:p>
      <w:pPr>
        <w:spacing w:before="0" w:after="80"/>
      </w:pPr>
      <w:r>
        <w:rPr>
          <w:i/>
          <w:sz w:val="20"/>
        </w:rPr>
        <w:t>EN: Dynamic reprogramming of the tumor immune network via multicycle checkpoint degradation for cancer immunotherapy</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08">
        <w:r>
          <w:rPr>
            <w:color w:val="1155CC"/>
            <w:u w:val="single"/>
          </w:rPr>
          <w:t>10.1073/pnas.2525047123</w:t>
        </w:r>
      </w:hyperlink>
    </w:p>
    <w:p>
      <w:pPr>
        <w:spacing w:before="0" w:after="120"/>
      </w:pPr>
      <w:r>
        <w:rPr>
          <w:b/>
        </w:rPr>
        <w:t xml:space="preserve">Notes: </w:t>
      </w:r>
      <w:r>
        <w:t>abstract_source=crossref</w:t>
      </w:r>
    </w:p>
    <w:p>
      <w:pPr>
        <w:spacing w:before="0" w:after="80" w:lineRule="auto" w:line="276"/>
      </w:pPr>
      <w:r>
        <w:rPr>
          <w:b/>
        </w:rPr>
        <w:t xml:space="preserve">摘要（ZH）: </w:t>
      </w:r>
      <w:r>
        <w:t>免疫检查点阻断的疗效通常受到肿瘤免疫微环境（TIME）内固有免疫抑制网络的限制。尽管癌症治疗取得了进展，但当前的细胞外靶向蛋白降解方法往往忽视了免疫检查点的多细胞分布和相互作用。在此，我们报告了一种受体介导的内溶酶体循环嵌合体（RECYC）平台。RECYC采用了一种CI-M6PR靶向适配体，该适配体在晚期内体pH值下保持稳定，并结合了一种具有中等亲和力和pH响应性的蛋白结合肽，两者共同驱动循环和持续的检查点清除。在体外共培养和体内小鼠模型中，RECYC有效消除了肿瘤细胞和肿瘤中的程序性死亡配体1（PD-L1）表达。</w:t>
      </w:r>
    </w:p>
    <w:p>
      <w:pPr>
        <w:spacing w:before="0" w:after="200" w:lineRule="auto" w:line="276"/>
      </w:pPr>
      <w:r>
        <w:rPr>
          <w:b/>
        </w:rPr>
        <w:t xml:space="preserve">Abstract (EN): </w:t>
      </w:r>
      <w:r>
        <w:t>The efficacy of immune checkpoint blockade is often limited by intrinsic immunosuppressive networks within the tumor immune microenvironment (TIME). Despite progress in cancer treatment, current extracellular targeted protein degradation approaches often overlook the multicellular distribution and crosstalk of immune checkpoints. Here we reported a Receptor-mediated Endolysosomal recYcling Chimera (RECYC) platform. RECYC employs a CI-M6PR-targeting aptamer that remains stable across late endosomal pH and a protein-binding peptide with moderate affinity and pH responsiveness, which together drive recycling and sustained checkpoint clearance. In ex vivo co-culture and in vivo murine models, RECYC efficiently eliminated programmed death-ligand 1 (PD-L1) expression from both tumor cells and tumor-associated myeloid cells (macrophages, neutrophils and dendritic cells). By converting an immunosuppressive TIME to an immunostimulatory state, RECYC remodeled the tumor-immune network in an anti-tumor direction, thereby enhancing CD8</w:t>
      </w:r>
      <w:r>
        <w:t xml:space="preserve"> </w:t>
      </w:r>
      <w:r>
        <w:t>+</w:t>
      </w:r>
      <w:r>
        <w:t xml:space="preserve"> </w:t>
      </w:r>
      <w:r>
        <w:t>T cell response and repolarizing immunosuppressive myeloid cells. Moreover, in both immune-cold and immune-hot murine cancer models, RECYC demonstrated superior anti-tumor effect compared to PD-L1 blockade treatment. Collectively, we propose an effective strategy to induce recycling and broad checkpoint clearance in the TIME, which in turn reprograms the multicellular tumor–immune network to achieve durable immunotherapy responses.</w:t>
      </w:r>
    </w:p>
    <w:p>
      <w:pPr>
        <w:spacing w:before="120" w:after="120"/>
      </w:pPr>
      <w:r>
        <w:rPr>
          <w:sz w:val="18"/>
        </w:rPr>
        <w:t>——————————————————————————————————————————————————————————————————————</w:t>
      </w:r>
    </w:p>
    <w:p>
      <w:pPr>
        <w:spacing w:before="160" w:after="40" w:line="240" w:lineRule="auto"/>
      </w:pPr>
      <w:r>
        <w:rPr>
          <w:b/>
        </w:rPr>
        <w:t xml:space="preserve">[95] </w:t>
      </w:r>
      <w:hyperlink r:id="rId309">
        <w:r>
          <w:rPr>
            <w:color w:val="1155CC"/>
            <w:u w:val="single"/>
          </w:rPr>
          <w:t>前语言婴儿中注意力瞬脱的动态</w:t>
        </w:r>
      </w:hyperlink>
    </w:p>
    <w:p>
      <w:pPr>
        <w:spacing w:before="0" w:after="80"/>
      </w:pPr>
      <w:r>
        <w:rPr>
          <w:i/>
          <w:sz w:val="20"/>
        </w:rPr>
        <w:t>EN: Dynamics of the attentional blink in preverbal infants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10">
        <w:r>
          <w:rPr>
            <w:color w:val="1155CC"/>
            <w:u w:val="single"/>
          </w:rPr>
          <w:t>10.1073/pnas.2526752123</w:t>
        </w:r>
      </w:hyperlink>
    </w:p>
    <w:p>
      <w:pPr>
        <w:spacing w:before="0" w:after="120"/>
      </w:pPr>
      <w:r>
        <w:rPr>
          <w:b/>
        </w:rPr>
        <w:t xml:space="preserve">Notes: </w:t>
      </w:r>
      <w:r>
        <w:t>abstract_source=crossref</w:t>
      </w:r>
    </w:p>
    <w:p>
      <w:pPr>
        <w:spacing w:before="0" w:after="80" w:lineRule="auto" w:line="276"/>
      </w:pPr>
      <w:r>
        <w:rPr>
          <w:b/>
        </w:rPr>
        <w:t xml:space="preserve">摘要（ZH）: </w:t>
      </w:r>
      <w:r>
        <w:t>在人类婴儿出生后的最初几个月，传统上认为他们对环境是被动的，无法专注或持续关注特定物体。在此，我们询问4个月大的婴儿是否能够在视觉任务中足够强烈地集中注意力，以阻止对后续有趣刺激的感知——一种被称为注意力瞬脱的现象，在成人中反映了访问中央工作空间的串行处理瓶颈。我们呈现了三个连续的视觉事件：一个中央的泰迪熊（T1），随后是一个侧向的面孔和一个扰乱的面孔（T2），在不同的刺激开始异步（SOAs：400、800和1,200毫秒）下，然后同一面孔在1,600毫秒后重新出现（T3）。我们监测了朝向面孔的眼跳、瞳孔大小和对闪烁的脑电图（EEG）反应。</w:t>
      </w:r>
    </w:p>
    <w:p>
      <w:pPr>
        <w:spacing w:before="0" w:after="200" w:lineRule="auto" w:line="276"/>
      </w:pPr>
      <w:r>
        <w:rPr>
          <w:b/>
        </w:rPr>
        <w:t xml:space="preserve">Abstract (EN): </w:t>
      </w:r>
      <w:r>
        <w:t>In the first months postterm, human infants are traditionally viewed as passive to their environment, unable to focus or sustain attention on specific objects. Here, we asked whether 4-mo-old infants could engage their attention strongly enough in a visual task to block the perception of a subsequent interesting stimulus—a phenomenon known as attentional blink, which in adults reflects a serial processing bottleneck for accessing a central workspace. We presented three successive visual events: a central teddy bear (T1) followed by a lateralized face and scrambled face (T2) at varying stimulus onset asynchrony (SOAs: 400, 800, and 1,200 ms), then the same face reappeared after 1,600 ms (T3). We monitored saccades toward the face, pupil size, and electroencephalic (EEG) responses to the flickering background. Our behavioral and EEG results showed that infants missed the lateralized face at the shortest SOA (400 ms). At 800 ms, detection occurred only when the face appeared in the left hemifield, while detection in the right hemifield required 1,200 ms, suggesting a hemispheric asymmetry in face processing. Furthermore, at SOAs where T2 should be visible, a trial-by-trial metric based on event-related variability revealed that the depth of attentional engagement to T1 predicted access to T2, despite identical visual input. These findings support the presence of a global workspace in early infancy, though with slower dynamics.</w:t>
      </w:r>
    </w:p>
    <w:p>
      <w:pPr>
        <w:spacing w:before="120" w:after="120"/>
      </w:pPr>
      <w:r>
        <w:rPr>
          <w:sz w:val="18"/>
        </w:rPr>
        <w:t>——————————————————————————————————————————————————————————————————————</w:t>
      </w:r>
    </w:p>
    <w:p>
      <w:pPr>
        <w:spacing w:before="160" w:after="40" w:line="240" w:lineRule="auto"/>
      </w:pPr>
      <w:r>
        <w:rPr>
          <w:b/>
        </w:rPr>
        <w:t xml:space="preserve">[96] </w:t>
      </w:r>
      <w:hyperlink r:id="rId311">
        <w:r>
          <w:rPr>
            <w:color w:val="1155CC"/>
            <w:u w:val="single"/>
          </w:rPr>
          <w:t>纤毛虫中AlkB家族去甲基化酶的一个独特亚类保护真核生物N6-甲基腺嘌呤（6mA）的定位保真性</w:t>
        </w:r>
      </w:hyperlink>
    </w:p>
    <w:p>
      <w:pPr>
        <w:spacing w:before="0" w:after="80"/>
      </w:pPr>
      <w:r>
        <w:rPr>
          <w:i/>
          <w:sz w:val="20"/>
        </w:rPr>
        <w:t>EN: A distinct subclade of AlkB family demethylases in ciliates safeguards the positional fidelity of eukaryotic N6-methyladenine (6mA)</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12">
        <w:r>
          <w:rPr>
            <w:color w:val="1155CC"/>
            <w:u w:val="single"/>
          </w:rPr>
          <w:t>10.1073/pnas.2526398123</w:t>
        </w:r>
      </w:hyperlink>
    </w:p>
    <w:p>
      <w:pPr>
        <w:spacing w:before="0" w:after="120"/>
      </w:pPr>
      <w:r>
        <w:rPr>
          <w:b/>
        </w:rPr>
        <w:t xml:space="preserve">Notes: </w:t>
      </w:r>
      <w:r>
        <w:t>abstract_source=crossref</w:t>
      </w:r>
    </w:p>
    <w:p>
      <w:pPr>
        <w:spacing w:before="0" w:after="80" w:lineRule="auto" w:line="276"/>
      </w:pPr>
      <w:r>
        <w:rPr>
          <w:b/>
        </w:rPr>
        <w:t xml:space="preserve">摘要（ZH）: </w:t>
      </w:r>
      <w:r>
        <w:t>DNA N</w:t>
      </w:r>
      <w:r>
        <w:rPr>
          <w:vertAlign w:val="subscript"/>
        </w:rPr>
        <w:t>6</w:t>
      </w:r>
      <w:r>
        <w:t>-甲基腺嘌呤（6mA）是新近被认可的真核生物中与转录相关的表观遗传标记。虽然其甲基化途径已被很好地建立，但负责其去除和动态调节的真核生物6mA去甲基化酶的身份仍然难以捉摸。在此，我们识别并表征了DMT3（TtALKBH5），一种在</w:t>
      </w:r>
      <w:r>
        <w:t xml:space="preserve"> </w:t>
      </w:r>
      <w:r>
        <w:t>Tetrahymena thermophila</w:t>
      </w:r>
      <w:r>
        <w:t xml:space="preserve"> </w:t>
      </w:r>
      <w:r>
        <w:t>中的AlkB家族双加氧酶，作为纤毛虫中的6mA去甲基化酶，并可能在其他几种具有丰富6mA和定义的AMT1甲基转移酶（MTase）复合物的单细胞真核生物中发挥作用，这得到了遗传和分子证据的支持。DMT3作用于完全和半甲基化的ApT二核苷酸，这种活性部分由一种自然发生的半胱氨酸促进。</w:t>
      </w:r>
    </w:p>
    <w:p>
      <w:pPr>
        <w:spacing w:before="0" w:after="200" w:lineRule="auto" w:line="276"/>
      </w:pPr>
      <w:r>
        <w:rPr>
          <w:b/>
        </w:rPr>
        <w:t xml:space="preserve">Abstract (EN): </w:t>
      </w:r>
      <w:r>
        <w:t>DNA N</w:t>
      </w:r>
      <w:r>
        <w:rPr>
          <w:vertAlign w:val="subscript"/>
        </w:rPr>
        <w:t>6</w:t>
      </w:r>
      <w:r>
        <w:t>-methyladenine (6mA) is a newly recognized transcription-associated epigenetic mark in eukaryotes. While its methylation pathway has been well established, the identity of eukaryotic 6mA demethylase(s) responsible for its removal and dynamic regulation has remained elusive. Here, we identify and characterize DMT3 (TtALKBH5), an AlkB family dioxygenase in</w:t>
      </w:r>
      <w:r>
        <w:t xml:space="preserve"> </w:t>
      </w:r>
      <w:r>
        <w:t>Tetrahymena thermophila</w:t>
      </w:r>
      <w:r>
        <w:t xml:space="preserve"> </w:t>
      </w:r>
      <w:r>
        <w:t>, as a 6mA demethylase in ciliates and potentially several other unicellular eukaryotes with abundant 6mA and a defined AMT1 methyltransferase (MTase) complex, supported by genetic and molecular evidence. DMT3 acts on both fully and hemimethylated ApT dinucleotides, an activity partially facilitated by a naturally occurring cysteine-to-serine substitution. Genome profiling shows that DMT3 is enriched at transcription start sites (TSSs) of 6mA-enriched genes, complementary to the occupancy pattern of the AMT1 complex, where it selectively removes spurious 6mA deposited by AMT1. Genetic disruption of DMT3-mediated demethylation, either by knockout or catalytic inactivation, leads to aberrant 6mA accumulation at TSS regions, transcriptional dysregulation, altered chromatin accessibility, and impaired initiation of sexual reproduction. Notably, simultaneous removal of DMT3 and AMT1 eliminates these defects, indicating that spurious TSS 6mA underlies transcriptional and developmental impairment.</w:t>
      </w:r>
    </w:p>
    <w:p>
      <w:pPr>
        <w:spacing w:before="120" w:after="120"/>
      </w:pPr>
      <w:r>
        <w:rPr>
          <w:sz w:val="18"/>
        </w:rPr>
        <w:t>——————————————————————————————————————————————————————————————————————</w:t>
      </w:r>
    </w:p>
    <w:p>
      <w:pPr>
        <w:spacing w:before="160" w:after="40" w:line="240" w:lineRule="auto"/>
      </w:pPr>
      <w:r>
        <w:rPr>
          <w:b/>
        </w:rPr>
        <w:t xml:space="preserve">[97] </w:t>
      </w:r>
      <w:hyperlink r:id="rId313">
        <w:r>
          <w:rPr>
            <w:color w:val="1155CC"/>
            <w:u w:val="single"/>
          </w:rPr>
          <w:t>数据缺乏、分类偏见和经济利益限制了美国昆虫和蛛形纲动物的保护</w:t>
        </w:r>
      </w:hyperlink>
    </w:p>
    <w:p>
      <w:pPr>
        <w:spacing w:before="0" w:after="80"/>
      </w:pPr>
      <w:r>
        <w:rPr>
          <w:i/>
          <w:sz w:val="20"/>
        </w:rPr>
        <w:t>EN: Data deficiency, taxonomic bias, and economic interests curtail insect and arachnid conservation in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14">
        <w:r>
          <w:rPr>
            <w:color w:val="1155CC"/>
            <w:u w:val="single"/>
          </w:rPr>
          <w:t>10.1073/pnas.2522779123</w:t>
        </w:r>
      </w:hyperlink>
    </w:p>
    <w:p>
      <w:pPr>
        <w:spacing w:before="0" w:after="120"/>
      </w:pPr>
      <w:r>
        <w:rPr>
          <w:b/>
        </w:rPr>
        <w:t xml:space="preserve">Notes: </w:t>
      </w:r>
      <w:r>
        <w:t>abstract_source=crossref</w:t>
      </w:r>
    </w:p>
    <w:p>
      <w:pPr>
        <w:spacing w:before="0" w:after="80" w:lineRule="auto" w:line="276"/>
      </w:pPr>
      <w:r>
        <w:rPr>
          <w:b/>
        </w:rPr>
        <w:t xml:space="preserve">摘要（ZH）: </w:t>
      </w:r>
      <w:r>
        <w:t>地球正面临生物多样性危机。在减少的类群中，昆虫和蜘蛛占据了世界大多数动物物种，并在生态和经济上至关重要。因此，迫切需要了解影响昆虫和蜘蛛保护政策的因素。在此，我们回顾了46,257种北美昆虫和蜘蛛的保护评估，并研究了影响美国物种州和联邦法律保护的因素。我们发现，北美88.5%的已描述昆虫和蜘蛛物种的保护状态未知，未评估的昆虫和蜘蛛物种不太可能获得保护。在美国已知在其分布范围内处于危险的昆虫和蜘蛛中，94.7%未受到任何保护。</w:t>
      </w:r>
    </w:p>
    <w:p>
      <w:pPr>
        <w:spacing w:before="0" w:after="200" w:lineRule="auto" w:line="276"/>
      </w:pPr>
      <w:r>
        <w:rPr>
          <w:b/>
        </w:rPr>
        <w:t xml:space="preserve">Abstract (EN): </w:t>
      </w:r>
      <w:r>
        <w:t>Earth is experiencing a biodiversity crisis. Among the declining taxa are insects and arachnids, which account for most of the world’s animal species, and are ecologically and economically vital. Thus, understanding the factors influencing insect and arachnid conservation policies is urgently needed. Here, we review conservation assessments for 46,257 North American insect and arachnid species and examine the factors that affect state and federal legal protections for species in the United States. We find the conservation status of 88.5% of described insect and arachnid species in North America is unknown, and that unassessed insect and arachnid species are unlikely to receive protection. Of US insects and arachnids known to be at-risk throughout their range, 94.7% are not protected by any state or federal law; only 2.5% are protected nationwide under the federal Endangered Species Act compared to 27.7% of range wide at-risk US bird species. Insect and arachnid protections are taxonomically biased, favoring dragonflies and damselflies (Odonata) and butterflies and moths (Lepidoptera) while overlooking other vulnerable taxa. We find that socioeconomic factors are the strongest predictors of state-level conservation policies: states with economies more reliant on mining, quarrying, and oil and gas extraction are less likely to protect insects and arachnids. In states where protections exist, more insect and arachnid species are protected when more residents hold eco-centric values. This quantitative assessment of US insect and arachnid conservation rectifies a previous dearth of data and highlights specific, addressable issues which have left countless species vulnerable to decline and possible extinction.</w:t>
      </w:r>
    </w:p>
    <w:p>
      <w:pPr>
        <w:spacing w:before="120" w:after="120"/>
      </w:pPr>
      <w:r>
        <w:rPr>
          <w:sz w:val="18"/>
        </w:rPr>
        <w:t>——————————————————————————————————————————————————————————————————————</w:t>
      </w:r>
    </w:p>
    <w:p>
      <w:pPr>
        <w:spacing w:before="160" w:after="40" w:line="240" w:lineRule="auto"/>
      </w:pPr>
      <w:r>
        <w:rPr>
          <w:b/>
        </w:rPr>
        <w:t xml:space="preserve">[98] </w:t>
      </w:r>
      <w:hyperlink r:id="rId315">
        <w:r>
          <w:rPr>
            <w:color w:val="1155CC"/>
            <w:u w:val="single"/>
          </w:rPr>
          <w:t>通过杰克山锆石揭示的氧化太古宙岩浆和太古代活动盖板构造</w:t>
        </w:r>
      </w:hyperlink>
    </w:p>
    <w:p>
      <w:pPr>
        <w:spacing w:before="0" w:after="80"/>
      </w:pPr>
      <w:r>
        <w:rPr>
          <w:i/>
          <w:sz w:val="20"/>
        </w:rPr>
        <w:t>EN: Oxidized Hadean magmas and Archean mobile-lid tectonics revealed by Jack Hills zircon</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16">
        <w:r>
          <w:rPr>
            <w:color w:val="1155CC"/>
            <w:u w:val="single"/>
          </w:rPr>
          <w:t>10.1073/pnas.2525466123</w:t>
        </w:r>
      </w:hyperlink>
    </w:p>
    <w:p>
      <w:pPr>
        <w:spacing w:before="0" w:after="120"/>
      </w:pPr>
      <w:r>
        <w:rPr>
          <w:b/>
        </w:rPr>
        <w:t xml:space="preserve">Notes: </w:t>
      </w:r>
      <w:r>
        <w:t>abstract_source=crossref</w:t>
      </w:r>
    </w:p>
    <w:p>
      <w:pPr>
        <w:spacing w:before="0" w:after="80" w:lineRule="auto" w:line="276"/>
      </w:pPr>
      <w:r>
        <w:rPr>
          <w:b/>
        </w:rPr>
        <w:t xml:space="preserve">摘要（ZH）: </w:t>
      </w:r>
      <w:r>
        <w:t>活动盖板构造是现代地球的一级特征，但由于古代陆地材料的稀缺，其起源仍然神秘。碎屑锆石提供了地球早期地壳的最完整档案，并保存了延伸至约4.0 Ga之前的唯一记录。在此，我们结合U XANES氧化计量法与U-Pb和微量元素分析，研究了来自澳大利亚杰克山的太古宙-太古宙锆石的火成核和变质边缘。火成核记录了一致的、中度氧化的岩浆条件（FMQ-1至+1），挑战了早期地球高度还原的观念，并支持在太古宙期间有效地幔对流的模型。相反，氧化还原状态和微量元素含量显示变质边缘记录了i)高-ƒO</w:t>
      </w:r>
    </w:p>
    <w:p>
      <w:pPr>
        <w:spacing w:before="0" w:after="200" w:lineRule="auto" w:line="276"/>
      </w:pPr>
      <w:r>
        <w:rPr>
          <w:b/>
        </w:rPr>
        <w:t xml:space="preserve">Abstract (EN): </w:t>
      </w:r>
      <w:r>
        <w:t>Mobile-lid tectonics is a first-order feature characterizing the modern Earth, yet its origins remain enigmatic due to a scarcity of ancient terrestrial materials. Detrital zircons provide the most complete archive of Earth’s early crust and preserve the only record extending beyond ~4.0 Ga. Here, we combine U XANES oxybarometry with U-Pb and trace element analysis to investigate the igneous cores and metamorphic rims of Hadean–Archean zircon from the Jack Hills, Australia. Igneous cores record consistent, moderately oxidized magma conditions (FMQ-1 to +1), challenging notions of a highly reduced early Earth and supporting models that evoke efficient mantle convection throughout the Hadean. In contrast, redox states and trace element contents show that metamorphic rims record i) high-ƒO</w:t>
      </w:r>
      <w:r>
        <w:rPr>
          <w:vertAlign w:val="subscript"/>
        </w:rPr>
        <w:t>2</w:t>
      </w:r>
      <w:r>
        <w:t>and high-intermediate T/P conditions (FMQ+1.6 to +2.5; &amp;gt;600 °C/GPa) and ii) low-ƒO</w:t>
      </w:r>
      <w:r>
        <w:rPr>
          <w:vertAlign w:val="subscript"/>
        </w:rPr>
        <w:t>2</w:t>
      </w:r>
      <w:r>
        <w:t>and generally lower T/P conditions (FMQ-0.2 to +0.5; &amp;lt;500 °C/GPa). While only high T/P conditions are observed in Hadean zircon rims, Archean rims (~3.35 Ga) preserve both the low and high T/P signatures, a pattern typical of large-scale plate underthrusting. These findings imply Earth’s mantle had near-modern redox states by 4.15 Ga and that mobile-lid tectonics was active by the early Archean, at the latest.</w:t>
      </w:r>
    </w:p>
    <w:p>
      <w:pPr>
        <w:spacing w:before="120" w:after="120"/>
      </w:pPr>
      <w:r>
        <w:rPr>
          <w:sz w:val="18"/>
        </w:rPr>
        <w:t>——————————————————————————————————————————————————————————————————————</w:t>
      </w:r>
    </w:p>
    <w:p>
      <w:pPr>
        <w:spacing w:before="160" w:after="40" w:line="240" w:lineRule="auto"/>
      </w:pPr>
      <w:r>
        <w:rPr>
          <w:b/>
        </w:rPr>
        <w:t xml:space="preserve">[99] </w:t>
      </w:r>
      <w:hyperlink r:id="rId317">
        <w:r>
          <w:rPr>
            <w:color w:val="1155CC"/>
            <w:u w:val="single"/>
          </w:rPr>
          <w:t>精英向民主党靠拢的程度超过非精英的远离：1980-2020年美国总统选举中的收入、教育和职业阶层</w:t>
        </w:r>
      </w:hyperlink>
    </w:p>
    <w:p>
      <w:pPr>
        <w:spacing w:before="0" w:after="80"/>
      </w:pPr>
      <w:r>
        <w:rPr>
          <w:i/>
          <w:sz w:val="20"/>
        </w:rPr>
        <w:t>EN: Elites moved toward democrats more than nonelites moved away: Income, education, and occupational class in US presidential elections, 1980–2020</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18">
        <w:r>
          <w:rPr>
            <w:color w:val="1155CC"/>
            <w:u w:val="single"/>
          </w:rPr>
          <w:t>10.1073/pnas.2526263123</w:t>
        </w:r>
      </w:hyperlink>
    </w:p>
    <w:p>
      <w:pPr>
        <w:spacing w:before="0" w:after="120"/>
      </w:pPr>
      <w:r>
        <w:rPr>
          <w:b/>
        </w:rPr>
        <w:t xml:space="preserve">Notes: </w:t>
      </w:r>
      <w:r>
        <w:t>abstract_source=crossref</w:t>
      </w:r>
    </w:p>
    <w:p>
      <w:pPr>
        <w:spacing w:before="0" w:after="80" w:lineRule="auto" w:line="276"/>
      </w:pPr>
      <w:r>
        <w:rPr>
          <w:b/>
        </w:rPr>
        <w:t xml:space="preserve">摘要（ZH）: </w:t>
      </w:r>
      <w:r>
        <w:t>最近关于美国选举投票的讨论声称，白人工人阶级选民强烈转向不投票给民主党，许多讨论仅集中在2012年到现在的选举。我们考察了1980年至2020年间更有特权和较少特权的白人选民——通过家庭收入、教育和职业阶级衡量——如何转向或远离投票给民主党。我们还探讨了这些运动如何改变这三个社会经济指标与投票给民主党之间关系的形状。我们发现，收入较低、教育较少或工人阶级工作的选民中，长期远离民主党的证据很少，尽管在2012年之后有一些证据。最明显的长期趋势是高收入选民的</w:t>
      </w:r>
    </w:p>
    <w:p>
      <w:pPr>
        <w:spacing w:before="0" w:after="200" w:lineRule="auto" w:line="276"/>
      </w:pPr>
      <w:r>
        <w:rPr>
          <w:b/>
        </w:rPr>
        <w:t xml:space="preserve">Abstract (EN): </w:t>
      </w:r>
      <w:r>
        <w:t>Recent discussion of voting in US elections claims a strong movement of White working-class voters away from voting for Democrats, with much discussion focusing only on elections between 2012 and the present. We examine longer-term trends from 1980 to 2020 in how more and less privileged White voters—measured by household income, education, and occupational class—moved toward or away from voting Democratic. We also explore how these movements changed the shape of the relationships between these three socioeconomic indicators and voting Democratic. We find little evidence of a long-term movement away from Democrats among voters with lower income, less education, or working-class jobs, although there is some evidence of this after 2012. The clearest long-term trend is that voters in the highest decile of income, college graduates, and white-collar workers moved steadily toward voting Democratic across the 40 y. Thus, the change from negative to flat for income’s relationship to voting Democratic, and from negative to positive for education’s relationship to voting Democratic comes less from a movement of less privileged voters away from Democratic voting and more from a long-term movement of those in the top decile of income, college graduates, and white-collar workers toward voting Democratic. Whether the post-2012 movement away from voting Democratic among voters without a high school degree and in working-class jobs becomes an enduring trend or is idiosyncratic to Trump’s candidacy is an important question for future research.</w:t>
      </w:r>
    </w:p>
    <w:p>
      <w:pPr>
        <w:spacing w:before="120" w:after="120"/>
      </w:pPr>
      <w:r>
        <w:rPr>
          <w:sz w:val="18"/>
        </w:rPr>
        <w:t>——————————————————————————————————————————————————————————————————————</w:t>
      </w:r>
    </w:p>
    <w:p>
      <w:pPr>
        <w:spacing w:before="160" w:after="40" w:line="240" w:lineRule="auto"/>
      </w:pPr>
      <w:r>
        <w:rPr>
          <w:b/>
        </w:rPr>
        <w:t xml:space="preserve">[100] </w:t>
      </w:r>
      <w:hyperlink r:id="rId319">
        <w:r>
          <w:rPr>
            <w:color w:val="1155CC"/>
            <w:u w:val="single"/>
          </w:rPr>
          <w:t>KCNQ2/3钾通道在轴突初始段的功能与运输的耦合</w:t>
        </w:r>
      </w:hyperlink>
    </w:p>
    <w:p>
      <w:pPr>
        <w:spacing w:before="0" w:after="80"/>
      </w:pPr>
      <w:r>
        <w:rPr>
          <w:i/>
          <w:sz w:val="20"/>
        </w:rPr>
        <w:t>EN: Coupling of functionality to trafficking of KCNQ2/3 potassium channels at the axon initial segment</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20">
        <w:r>
          <w:rPr>
            <w:color w:val="1155CC"/>
            <w:u w:val="single"/>
          </w:rPr>
          <w:t>10.1073/pnas.2527749123</w:t>
        </w:r>
      </w:hyperlink>
    </w:p>
    <w:p>
      <w:pPr>
        <w:spacing w:before="0" w:after="120"/>
      </w:pPr>
      <w:r>
        <w:rPr>
          <w:b/>
        </w:rPr>
        <w:t xml:space="preserve">Notes: </w:t>
      </w:r>
      <w:r>
        <w:t>abstract_source=crossref</w:t>
      </w:r>
    </w:p>
    <w:p>
      <w:pPr>
        <w:spacing w:before="0" w:after="80" w:lineRule="auto" w:line="276"/>
      </w:pPr>
      <w:r>
        <w:rPr>
          <w:b/>
        </w:rPr>
        <w:t xml:space="preserve">摘要（ZH）: </w:t>
      </w:r>
      <w:r>
        <w:t>KCNQ2/3是轴突起始段（AIS）上的一个主要电压门控钾通道，在控制神经元兴奋性方面起着关键作用。虽然KCNQ2/3的功能性是通过电压感应的构象变化来调节的，但KCNQ2/3在AIS的定位是由ankyrinG（ankG）调节的。然而，调节通道功能性和运输机制之间的潜在耦合仍未解决。在此，我们结合通道功能性的基因工程与通道运输的先进成像技术，揭示了KCNQ2/3功能性与运输的耦合。单分子成像显示，KCNQ3功能性降低会改变整个运输途径，包括外/内吞作用和侧向扩散，减少KCNQ2/3在AIS的定位。</w:t>
      </w:r>
    </w:p>
    <w:p>
      <w:pPr>
        <w:spacing w:before="0" w:after="200" w:lineRule="auto" w:line="276"/>
      </w:pPr>
      <w:r>
        <w:rPr>
          <w:b/>
        </w:rPr>
        <w:t xml:space="preserve">Abstract (EN): </w:t>
      </w:r>
      <w:r>
        <w:t>KCNQ2/3, a major voltage-gated potassium channel at the axon initial segment (AIS), plays a crucial role in controlling neuronal excitability. While the functionality of KCNQ2/3 is regulated by conformational changes from voltage sensing, the AIS localization of KCNQ2/3 is regulated by ankyrinG (ankG). However, the potential coupling between the mechanisms governing channel functionality and trafficking remains unresolved. Here, we combine genetic engineering of channel functionality with advanced imaging techniques of channel trafficking to uncover a coupling of KCNQ2/3 functionality to trafficking. Single-molecule imaging reveals that reduced KCNQ3 functionality alters the entire trafficking pathway, including exo/endocytosis and lateral diffusion, reducing AIS localization of KCNQ2/3. Furthermore, we develop a live-cell assay to quantify the interactions between full-length KCNQ3 and ankG, demonstrating that the active conformation of KCNQ3 is essential for the stable ankG binding. Our findings establish a mechanistic basis for the integration of KCNQ2/3 gating and trafficking in regulating neuronal excitability.</w:t>
      </w:r>
    </w:p>
    <w:p>
      <w:pPr>
        <w:spacing w:before="120" w:after="120"/>
      </w:pPr>
      <w:r>
        <w:rPr>
          <w:sz w:val="18"/>
        </w:rPr>
        <w:t>——————————————————————————————————————————————————————————————————————</w:t>
      </w:r>
    </w:p>
    <w:p>
      <w:pPr>
        <w:spacing w:before="160" w:after="40" w:line="240" w:lineRule="auto"/>
      </w:pPr>
      <w:r>
        <w:rPr>
          <w:b/>
        </w:rPr>
        <w:t xml:space="preserve">[101] </w:t>
      </w:r>
      <w:hyperlink r:id="rId321">
        <w:r>
          <w:rPr>
            <w:color w:val="1155CC"/>
            <w:u w:val="single"/>
          </w:rPr>
          <w:t>伯利兹天堂鸟湿地田地中的玛雅后古典时期的持续存在</w:t>
        </w:r>
      </w:hyperlink>
    </w:p>
    <w:p>
      <w:pPr>
        <w:spacing w:before="0" w:after="80"/>
      </w:pPr>
      <w:r>
        <w:rPr>
          <w:i/>
          <w:sz w:val="20"/>
        </w:rPr>
        <w:t>EN: Maya Postclassic persistence in the Birds of Paradise Wetland Fields, Belize</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22">
        <w:r>
          <w:rPr>
            <w:color w:val="1155CC"/>
            <w:u w:val="single"/>
          </w:rPr>
          <w:t>10.1073/pnas.2521892123</w:t>
        </w:r>
      </w:hyperlink>
    </w:p>
    <w:p>
      <w:pPr>
        <w:spacing w:before="0" w:after="120"/>
      </w:pPr>
      <w:r>
        <w:rPr>
          <w:b/>
        </w:rPr>
        <w:t xml:space="preserve">Notes: </w:t>
      </w:r>
      <w:r>
        <w:t>abstract_source=crossref</w:t>
      </w:r>
    </w:p>
    <w:p>
      <w:pPr>
        <w:spacing w:before="0" w:after="80" w:lineRule="auto" w:line="276"/>
      </w:pPr>
      <w:r>
        <w:rPr>
          <w:b/>
        </w:rPr>
        <w:t xml:space="preserve">摘要（ZH）: </w:t>
      </w:r>
      <w:r>
        <w:t>有机遗物的快速衰变模糊了我们对古代热带定居点的观察。我们展示了一项对在天堂鸟（BOP）田地挖掘的古代定居点的建筑和遗物集合的研究，这是最大的激光雷达和实地验证的古玛雅湿地田地综合体。该遗址的独特环境保存了建筑木材，并提供了玛雅终端经典期（公元800至1000年）到后经典期（公元1000至1500年）在热带湿地中持续存在的卓越证据，尽管经历了大规模的社会和气候变化。一个新的贝叶斯时间模型基于14个新的木材和木炭的放射性碳年代测定，收紧了更广泛的BOP湿地的占领历史。这些湿地及其保存的古代木材面临着迫在眉睫的破坏。</w:t>
      </w:r>
    </w:p>
    <w:p>
      <w:pPr>
        <w:spacing w:before="0" w:after="200" w:lineRule="auto" w:line="276"/>
      </w:pPr>
      <w:r>
        <w:rPr>
          <w:b/>
        </w:rPr>
        <w:t xml:space="preserve">Abstract (EN): </w:t>
      </w:r>
      <w:r>
        <w:t>Rapid decay of organic artifacts obscures our view of ancient tropical settlements. We present a study of architecture and artifact assemblages from an ancient settlement excavated at the Birds of Paradise (BOP) fields, the largest lidar and field-validated ancient Maya wetland field complex. The site’s unique setting preserved architectural wood and provides exceptional evidence of Maya Terminal Classic (CE 800 to 1000) to Postclassic (CE 1000 to 1500) persistence within tropical wetlands through periods of large-scale societal and climate change. A new Bayesian chronological model tightens the occupation history for the broader BOP wetlands based on 14 new radiocarbon dates of wood and charcoal from this settlement. These wetlands and their preserved ancient wood face imminent destruction through modern land uses.</w:t>
      </w:r>
    </w:p>
    <w:p>
      <w:pPr>
        <w:spacing w:before="120" w:after="120"/>
      </w:pPr>
      <w:r>
        <w:rPr>
          <w:sz w:val="18"/>
        </w:rPr>
        <w:t>——————————————————————————————————————————————————————————————————————</w:t>
      </w:r>
    </w:p>
    <w:p>
      <w:pPr>
        <w:spacing w:before="160" w:after="40" w:line="240" w:lineRule="auto"/>
      </w:pPr>
      <w:r>
        <w:rPr>
          <w:b/>
        </w:rPr>
        <w:t xml:space="preserve">[102] </w:t>
      </w:r>
      <w:hyperlink r:id="rId323">
        <w:r>
          <w:rPr>
            <w:color w:val="1155CC"/>
            <w:u w:val="single"/>
          </w:rPr>
          <w:t>亨廷顿病LIG1修饰变体增加连接酶的保真度并抑制体细胞CAG重复扩展</w:t>
        </w:r>
      </w:hyperlink>
    </w:p>
    <w:p>
      <w:pPr>
        <w:spacing w:before="0" w:after="80"/>
      </w:pPr>
      <w:r>
        <w:rPr>
          <w:i/>
          <w:sz w:val="20"/>
        </w:rPr>
        <w:t>EN: Huntington’s disease LIG1 modifier variant increases ligase fidelity and suppresses somatic CAG repeat expansion</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24">
        <w:r>
          <w:rPr>
            <w:color w:val="1155CC"/>
            <w:u w:val="single"/>
          </w:rPr>
          <w:t>10.1073/pnas.2518854123</w:t>
        </w:r>
      </w:hyperlink>
    </w:p>
    <w:p>
      <w:pPr>
        <w:spacing w:before="0" w:after="120"/>
      </w:pPr>
      <w:r>
        <w:rPr>
          <w:b/>
        </w:rPr>
        <w:t xml:space="preserve">Notes: </w:t>
      </w:r>
      <w:r>
        <w:t>abstract_source=crossref</w:t>
      </w:r>
    </w:p>
    <w:p>
      <w:pPr>
        <w:spacing w:before="0" w:after="80" w:lineRule="auto" w:line="276"/>
      </w:pPr>
      <w:r>
        <w:rPr>
          <w:b/>
        </w:rPr>
        <w:t xml:space="preserve">摘要（ZH）: </w:t>
      </w:r>
      <w:r>
        <w:t>亨廷顿病（HD）是一种致命的神经退行性疾病，由于在亨廷顿基因（HTT）中继承了扩展的CAG重复序列，并在个体一生中在体细胞中进一步扩展而引起。全基因组关联研究为改变疾病进程的因素提供了关键见解。这些因素包括改变体细胞扩展速率的DNA修复基因和其他似乎不直接影响这一过程的基因。一个修饰基因是DNA连接酶1（LIG1），其中一个指定赖氨酸到天冬酰胺替代（K845N）的变体与运动症状的发作延迟（7到8年）显著相关。在此，我们采取多方面的方法以获得见解。</w:t>
      </w:r>
    </w:p>
    <w:p>
      <w:pPr>
        <w:spacing w:before="0" w:after="200" w:lineRule="auto" w:line="276"/>
      </w:pPr>
      <w:r>
        <w:rPr>
          <w:b/>
        </w:rPr>
        <w:t xml:space="preserve">Abstract (EN): </w:t>
      </w:r>
      <w:r>
        <w:t>Huntington’s disease (HD) is a fatal neurodegenerative disorder caused by inheriting an expanded CAG repeat tract in the huntingtin gene (</w:t>
      </w:r>
      <w:r>
        <w:t xml:space="preserve"> </w:t>
      </w:r>
      <w:r>
        <w:t>HTT</w:t>
      </w:r>
      <w:r>
        <w:t xml:space="preserve"> </w:t>
      </w:r>
      <w:r>
        <w:t>) that further expands in somatic cells over an individual’s lifetime. Genome-wide association studies have provided critical insight into factors that modify the course of disease. These include DNA repair genes that alter the rate of somatic expansion and other genes that do not appear to directly influence this process. One modifier gene is DNA ligase 1 (</w:t>
      </w:r>
      <w:r>
        <w:t xml:space="preserve"> </w:t>
      </w:r>
      <w:r>
        <w:t>LIG1</w:t>
      </w:r>
      <w:r>
        <w:t xml:space="preserve"> </w:t>
      </w:r>
      <w:r>
        <w:t>), in which a variant specifying a lysine to asparagine substitution (K845N) is associated with a profound (7 to 8 y) delay in the onset of motor signs. Here, we have taken a multifaceted approach to gain insight into the protective nature of this variant in HD. We demonstrate using in vitro ligase assays and enzyme kinetics that K845N enhances discrimination toward mismatched substrates and increases repair fidelity. Consistent with increased ligation fidelity, K845N confers protection against oxidative stress in cell-based assays. Finally, we demonstrate that the mouse LIG1 K843N orthologue suppresses somatic CAG expansion in HD knock-in mice. Overall, our data provide evidence that altered LIG1 function due to the K845N substitution may contribute to HD clinical delay by slowing somatic expansion in the brain and protecting the genome globally against damage. Significantly, our results provide a mechanistic foundation for considering DNA ligase fidelity as a therapeutic target in HD and potentially in other trinucleotide repeat disorders.</w:t>
      </w:r>
    </w:p>
    <w:p>
      <w:pPr>
        <w:spacing w:before="120" w:after="120"/>
      </w:pPr>
      <w:r>
        <w:rPr>
          <w:sz w:val="18"/>
        </w:rPr>
        <w:t>——————————————————————————————————————————————————————————————————————</w:t>
      </w:r>
    </w:p>
    <w:p>
      <w:pPr>
        <w:spacing w:before="160" w:after="40" w:line="240" w:lineRule="auto"/>
      </w:pPr>
      <w:r>
        <w:rPr>
          <w:b/>
        </w:rPr>
        <w:t xml:space="preserve">[103] </w:t>
      </w:r>
      <w:hyperlink r:id="rId325">
        <w:r>
          <w:rPr>
            <w:color w:val="1155CC"/>
            <w:u w:val="single"/>
          </w:rPr>
          <w:t>ADAR-GPT：学习表观转录组的语言</w:t>
        </w:r>
      </w:hyperlink>
    </w:p>
    <w:p>
      <w:pPr>
        <w:spacing w:before="0" w:after="80"/>
      </w:pPr>
      <w:r>
        <w:rPr>
          <w:i/>
          <w:sz w:val="20"/>
        </w:rPr>
        <w:t>EN: ADAR-GPT: Learning the language of the epitranscriptome</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26">
        <w:r>
          <w:rPr>
            <w:color w:val="1155CC"/>
            <w:u w:val="single"/>
          </w:rPr>
          <w:t>10.1073/pnas.2537202123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327">
        <w:r>
          <w:rPr>
            <w:color w:val="1155CC"/>
            <w:u w:val="single"/>
          </w:rPr>
          <w:t>核糖核苷酸还原酶中自由基传输的变构调控</w:t>
        </w:r>
      </w:hyperlink>
    </w:p>
    <w:p>
      <w:pPr>
        <w:spacing w:before="0" w:after="80"/>
      </w:pPr>
      <w:r>
        <w:rPr>
          <w:i/>
          <w:sz w:val="20"/>
        </w:rPr>
        <w:t>EN: Allosteric gating of radical transport in ribonucleotide reductase</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28">
        <w:r>
          <w:rPr>
            <w:color w:val="1155CC"/>
            <w:u w:val="single"/>
          </w:rPr>
          <w:t>10.1073/pnas.2600465123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329">
        <w:r>
          <w:rPr>
            <w:color w:val="1155CC"/>
            <w:u w:val="single"/>
          </w:rPr>
          <w:t>潜力的持久性：约翰·B·格登爵士的一生</w:t>
        </w:r>
      </w:hyperlink>
    </w:p>
    <w:p>
      <w:pPr>
        <w:spacing w:before="0" w:after="80"/>
      </w:pPr>
      <w:r>
        <w:rPr>
          <w:i/>
          <w:sz w:val="20"/>
        </w:rPr>
        <w:t>EN: The persistence of potential: The life of Sir John B. Gurdon</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30">
        <w:r>
          <w:rPr>
            <w:color w:val="1155CC"/>
            <w:u w:val="single"/>
          </w:rPr>
          <w:t>10.1073/pnas.2600791123</w:t>
        </w:r>
      </w:hyperlink>
    </w:p>
    <w:p>
      <w:pPr>
        <w:spacing w:before="0" w:after="120"/>
      </w:pPr>
      <w:r>
        <w:rPr>
          <w:b/>
        </w:rPr>
        <w:t xml:space="preserve">Notes: </w:t>
      </w:r>
      <w:r>
        <w:t>abstract_source=crossref</w:t>
      </w:r>
    </w:p>
    <w:p>
      <w:pPr>
        <w:spacing w:before="0" w:after="80" w:lineRule="auto" w:line="276"/>
      </w:pPr>
      <w:r>
        <w:rPr>
          <w:b/>
        </w:rPr>
        <w:t xml:space="preserve">摘要（ZH）: </w:t>
      </w:r>
      <w:r>
        <w:t>2025年10月，约翰·伯特兰·戈登爵士的去世标志着现代时代最具影响力的生物学家之一的逝去。作为一名发育生物学家，戈登爵士最著名的实验是用青蛙卵和核转移进行的，这些实验导致了对基因如何控制动物发育的理解的变革性发现，并建立了支撑动物克隆、核重编程和再生医学的原则。这些经典实验为诱导多能干细胞的进步铺平了道路，并激发了用细胞疗法治疗疾病的新思路。约翰·戈登爵士的遗产通过他的变革性发现、机构领导力以及他所激励的科学家而得以延续。</w:t>
      </w:r>
    </w:p>
    <w:p>
      <w:pPr>
        <w:spacing w:before="0" w:after="200" w:lineRule="auto" w:line="276"/>
      </w:pPr>
      <w:r>
        <w:rPr>
          <w:b/>
        </w:rPr>
        <w:t xml:space="preserve">Abstract (EN): </w:t>
      </w:r>
      <w:r>
        <w:t>The death of Sir John Bertrand Gurdon in October 2025 marks the passing of one of the most influential biologists of the modern era. A developmental biologist, Sir Gurdon’s best-known experiments were performed with frog eggs and nuclear transfer, leading to discoveries that transformed our understanding of how genes control animal development and established the principles that underpin animal cloning, nuclear reprogramming, and regenerative medicine. These classical experiments paved the way for advances in induced pluripotent stem cells and energized thinking of new ways to treat diseases with cellular therapies. Sir John Gurdon’s legacy endures through his transformative discoveries, institutional leadership, and the scientists he inspired.</w:t>
      </w:r>
    </w:p>
    <w:p>
      <w:pPr>
        <w:spacing w:before="120" w:after="120"/>
      </w:pPr>
      <w:r>
        <w:rPr>
          <w:sz w:val="18"/>
        </w:rPr>
        <w:t>——————————————————————————————————————————————————————————————————————</w:t>
      </w:r>
    </w:p>
    <w:p>
      <w:pPr>
        <w:spacing w:before="160" w:after="40" w:line="240" w:lineRule="auto"/>
      </w:pPr>
      <w:r>
        <w:rPr>
          <w:b/>
        </w:rPr>
        <w:t xml:space="preserve">[106] </w:t>
      </w:r>
      <w:hyperlink r:id="rId331">
        <w:r>
          <w:rPr>
            <w:color w:val="1155CC"/>
            <w:u w:val="single"/>
          </w:rPr>
          <w:t>HES1振荡对于雌激素受体阳性乳腺癌细胞的细胞周期再入是必需的</w:t>
        </w:r>
      </w:hyperlink>
    </w:p>
    <w:p>
      <w:pPr>
        <w:spacing w:before="0" w:after="80"/>
      </w:pPr>
      <w:r>
        <w:rPr>
          <w:i/>
          <w:sz w:val="20"/>
        </w:rPr>
        <w:t>EN: HES1 oscillations are required for cell cycle reentry in oestrogen receptor–positive breast cancer cells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32">
        <w:r>
          <w:rPr>
            <w:color w:val="1155CC"/>
            <w:u w:val="single"/>
          </w:rPr>
          <w:t>10.1073/pnas.2520724123</w:t>
        </w:r>
      </w:hyperlink>
    </w:p>
    <w:p>
      <w:pPr>
        <w:spacing w:before="0" w:after="120"/>
      </w:pPr>
      <w:r>
        <w:rPr>
          <w:b/>
        </w:rPr>
        <w:t xml:space="preserve">Notes: </w:t>
      </w:r>
      <w:r>
        <w:t>abstract_source=crossref</w:t>
      </w:r>
    </w:p>
    <w:p>
      <w:pPr>
        <w:spacing w:before="0" w:after="80" w:lineRule="auto" w:line="276"/>
      </w:pPr>
      <w:r>
        <w:rPr>
          <w:b/>
        </w:rPr>
        <w:t xml:space="preserve">摘要（ZH）: </w:t>
      </w:r>
      <w:r>
        <w:t>乳腺癌的长期复发是由休眠的播散性肿瘤细胞（DTCs）的再激活驱动的，并且仍然是一个主要的临床挑战，特别是在雌激素受体阳性（ER+</w:t>
      </w:r>
      <w:r>
        <w:t xml:space="preserve"> </w:t>
      </w:r>
      <w:r>
        <w:t>）肿瘤中。这个过程是由控制静止维持和退出的细胞周期机制的调节所支撑的。HES1是一个Notch通路转录因子，调节关键的细胞周期基因，并已被证明表现出蛋白质表达的振荡。在这里，我们试图确定HES1振荡是否可能调节ER+癌细胞的静止和再激活。为此，我们开发了一个基于可逆CDK4/6抑制（CDK4/6i）与palbociclib的细胞周期停滞和再进入的基本体外模型，兼容quan</w:t>
      </w:r>
    </w:p>
    <w:p>
      <w:pPr>
        <w:spacing w:before="0" w:after="200" w:lineRule="auto" w:line="276"/>
      </w:pPr>
      <w:r>
        <w:rPr>
          <w:b/>
        </w:rPr>
        <w:t xml:space="preserve">Abstract (EN): </w:t>
      </w:r>
      <w:r>
        <w:t>Long-term recurrence in breast cancer is driven by reactivation of dormant disseminated tumor cells (DTCs) and remains a major clinical challenge, particularly in estrogen receptor–positive (ER</w:t>
      </w:r>
      <w:r>
        <w:t xml:space="preserve"> </w:t>
      </w:r>
      <w:r>
        <w:t>+</w:t>
      </w:r>
      <w:r>
        <w:t xml:space="preserve"> </w:t>
      </w:r>
      <w:r>
        <w:t>) tumors. This process is underpinned by regulation of the cell cycle machinery that controls quiescence maintenance and exit. HES1, a Notch pathway transcription factor, regulates key cell cycle genes and has been shown to demonstrate protein expression oscillations. Here, we sought to establish whether HES1 oscillations may regulate ER+ cancer cell quiescence and reactivation. To investigate this, we developed a fundamental in vitro model of cell cycle arrest and reentry based on reversible CDK4/6 inhibition (CDK4/6i) with palbociclib, compatible with quantitative single-cell live-imaging of a knock-in endogenous HES1 reporter. Consistent with earlier findings, HES1 exhibited ~24 h protein oscillations in cycling cells demonstrating a reproducible dip in protein expression prior to S-Phase. During CDK4/6i-mediated arrest, the ~24 h HES1 oscillation was lost, HES1 levels were maintained at a moderately higher level and HES1 exhibited smaller dips. Similar changes were observed in unperturbed, spontaneously quiescent cells. Following release from CDK4/6i and cell cycle reentry, these alterations were reversed and the characteristic G1/S HES1 dip was observed. Preventing this dip at the point of release, by inducibly sustaining HES1 with a Tet-On system, upregulated the cell cycle inhibitor p21, impeded cell cycle reentry and induced cell death. These findings suggest that manipulating HES1 dynamics could represent a promising therapeutic approach to prevent reactivation of dormant tumor cells.</w:t>
      </w:r>
    </w:p>
    <w:p>
      <w:pPr>
        <w:spacing w:before="120" w:after="120"/>
      </w:pPr>
      <w:r>
        <w:rPr>
          <w:sz w:val="18"/>
        </w:rPr>
        <w:t>——————————————————————————————————————————————————————————————————————</w:t>
      </w:r>
    </w:p>
    <w:p>
      <w:pPr>
        <w:spacing w:before="160" w:after="40" w:line="240" w:lineRule="auto"/>
      </w:pPr>
      <w:r>
        <w:rPr>
          <w:b/>
        </w:rPr>
        <w:t xml:space="preserve">[107] </w:t>
      </w:r>
      <w:hyperlink r:id="rId333">
        <w:r>
          <w:rPr>
            <w:color w:val="1155CC"/>
            <w:u w:val="single"/>
          </w:rPr>
          <w:t>脑源性pTau217和总pTau217在脑淀粉样蛋白和tau病理分类中的正面对比</w:t>
        </w:r>
      </w:hyperlink>
    </w:p>
    <w:p>
      <w:pPr>
        <w:spacing w:before="0" w:after="80"/>
      </w:pPr>
      <w:r>
        <w:rPr>
          <w:i/>
          <w:sz w:val="20"/>
        </w:rPr>
        <w:t>EN: Head-to-head comparison of brain-derived pTau217 and total pTau217 for brain amyloid and tau pathology classification</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34">
        <w:r>
          <w:rPr>
            <w:color w:val="1155CC"/>
            <w:u w:val="single"/>
          </w:rPr>
          <w:t>10.1073/pnas.2536792123</w:t>
        </w:r>
      </w:hyperlink>
    </w:p>
    <w:p>
      <w:pPr>
        <w:spacing w:before="0" w:after="120"/>
      </w:pPr>
      <w:r>
        <w:rPr>
          <w:b/>
        </w:rPr>
        <w:t xml:space="preserve">Notes: </w:t>
      </w:r>
      <w:r>
        <w:t>abstract_source=crossref</w:t>
      </w:r>
    </w:p>
    <w:p>
      <w:pPr>
        <w:spacing w:before="0" w:after="80" w:lineRule="auto" w:line="276"/>
      </w:pPr>
      <w:r>
        <w:rPr>
          <w:b/>
        </w:rPr>
        <w:t xml:space="preserve">摘要（ZH）: </w:t>
      </w:r>
      <w:r>
        <w:t>磷酸化tau 217（pTau217）目前是准确检测阿尔茨海默病（AD）病理的最有前途的血液生物标志物。然而，来自肾脏或外周神经的外周tau种类的干扰可能会阻碍诊断精度。最近开发的脑源性pTau217（BD-pTau217）检测方法成为检测大脑中与AD相关病理变化的高度特异性工具。在这项研究中，我们对NULISAqpcr BD-pTau217检测和Simoa ALZpath总p-Tau217检测在两个独立的、淀粉样蛋白PET表征的中国队列中进行了对比。我们的结果显示BD-pTau217与总pTau217之间有很强的相关性（ρ = 0.89到0.90），BD-pTau217显示出显著减少的肾功能障碍干扰，</w:t>
      </w:r>
    </w:p>
    <w:p>
      <w:pPr>
        <w:spacing w:before="0" w:after="200" w:lineRule="auto" w:line="276"/>
      </w:pPr>
      <w:r>
        <w:rPr>
          <w:b/>
        </w:rPr>
        <w:t xml:space="preserve">Abstract (EN): </w:t>
      </w:r>
      <w:r>
        <w:t>Phosphorylated-tau 217 (pTau217) is currently the most promising blood-based biomarker for accurately detecting Alzheimer’s disease (AD) pathology. However, interference from peripheral tau species in the kidneys or peripheral nerves can hinder diagnostic precision. Recently developed brain-derived pTau217 (BD-pTau217) assays emerge as highly specific tools for detecting AD-related pathological changes in the brain. In this study, we conducted a head-to-head comparison of the NULISAqpcr BD-pTau217 assay and Simoa ALZpath total p-Tau217 assay in two independent, amyloid-PET–characterized Chinese cohorts. Our results demonstrate a strong correlation between BD-pTau217 and total pTau217 (ρ = 0.89 to 0.90), with BD-pTau217 showing significantly reduced interference from kidney dysfunction, as evidenced by weaker associations with blood levels of urea (ρ</w:t>
      </w:r>
      <w:r>
        <w:t xml:space="preserve"> </w:t>
      </w:r>
      <w:r>
        <w:t>BD-pTau217</w:t>
      </w:r>
      <w:r>
        <w:t xml:space="preserve"> </w:t>
      </w:r>
      <w:r>
        <w:t>= 0.02 to 0.06, ρ</w:t>
      </w:r>
      <w:r>
        <w:t xml:space="preserve"> </w:t>
      </w:r>
      <w:r>
        <w:t>Total-pTau217</w:t>
      </w:r>
      <w:r>
        <w:t xml:space="preserve"> </w:t>
      </w:r>
      <w:r>
        <w:t>= 0.06 to 0.12) and creatinine (ρ</w:t>
      </w:r>
      <w:r>
        <w:t xml:space="preserve"> </w:t>
      </w:r>
      <w:r>
        <w:t>BD-pTau217</w:t>
      </w:r>
      <w:r>
        <w:t xml:space="preserve"> </w:t>
      </w:r>
      <w:r>
        <w:t>= 0.03 to 0.08, ρ</w:t>
      </w:r>
      <w:r>
        <w:t xml:space="preserve"> </w:t>
      </w:r>
      <w:r>
        <w:t>Total-pTau217</w:t>
      </w:r>
      <w:r>
        <w:t xml:space="preserve"> </w:t>
      </w:r>
      <w:r>
        <w:t>= 0.16 to 0.18). Moreover, BD-pTau217 is more strongly associated with amyloid-PET Centiloid values (ρ</w:t>
      </w:r>
      <w:r>
        <w:t xml:space="preserve"> </w:t>
      </w:r>
      <w:r>
        <w:t>BD-pTau217</w:t>
      </w:r>
      <w:r>
        <w:t xml:space="preserve"> </w:t>
      </w:r>
      <w:r>
        <w:t>= 0.78 to 0.80, ρ</w:t>
      </w:r>
      <w:r>
        <w:t xml:space="preserve"> </w:t>
      </w:r>
      <w:r>
        <w:t>Total-pTau217</w:t>
      </w:r>
      <w:r>
        <w:t xml:space="preserve"> </w:t>
      </w:r>
      <w:r>
        <w:t>= 0.74 to 0.77) and exhibits superior classification performance for amyloid-β (Aβ) pathology (area under the curve [AUC]</w:t>
      </w:r>
      <w:r>
        <w:t xml:space="preserve"> </w:t>
      </w:r>
      <w:r>
        <w:t>BD-pTau217</w:t>
      </w:r>
      <w:r>
        <w:t xml:space="preserve"> </w:t>
      </w:r>
      <w:r>
        <w:t>= 0.96 to 0.98, AUC</w:t>
      </w:r>
      <w:r>
        <w:t xml:space="preserve"> </w:t>
      </w:r>
      <w:r>
        <w:t>Total-pTau217</w:t>
      </w:r>
      <w:r>
        <w:t xml:space="preserve"> </w:t>
      </w:r>
      <w:r>
        <w:t>= 0.94 to 0.97). Furthermore, BD-pTau217 outperforms total pTau217 for identifying tau-positive individuals within the Aβ-positive group (AUC</w:t>
      </w:r>
      <w:r>
        <w:t xml:space="preserve"> </w:t>
      </w:r>
      <w:r>
        <w:t>BD-pTau217</w:t>
      </w:r>
      <w:r>
        <w:t xml:space="preserve"> </w:t>
      </w:r>
      <w:r>
        <w:t>= 0.89, AUC</w:t>
      </w:r>
      <w:r>
        <w:t xml:space="preserve"> </w:t>
      </w:r>
      <w:r>
        <w:t>Total-pTau217</w:t>
      </w:r>
      <w:r>
        <w:t xml:space="preserve"> </w:t>
      </w:r>
      <w:r>
        <w:t>= 0.78), facilitating more accurate disease staging. These findings underscore BD-pTau217 as a highly sensitive and specific blood-based biomarker for AD that has significant potential for early detection, precise classification, and staging of AD-related brain pathology in clinical practice.</w:t>
      </w:r>
    </w:p>
    <w:p>
      <w:pPr>
        <w:spacing w:before="120" w:after="120"/>
      </w:pPr>
      <w:r>
        <w:rPr>
          <w:sz w:val="18"/>
        </w:rPr>
        <w:t>——————————————————————————————————————————————————————————————————————</w:t>
      </w:r>
    </w:p>
    <w:p>
      <w:pPr>
        <w:spacing w:before="160" w:after="40" w:line="240" w:lineRule="auto"/>
      </w:pPr>
      <w:r>
        <w:rPr>
          <w:b/>
        </w:rPr>
        <w:t xml:space="preserve">[108] </w:t>
      </w:r>
      <w:hyperlink r:id="rId335">
        <w:r>
          <w:rPr>
            <w:color w:val="1155CC"/>
            <w:u w:val="single"/>
          </w:rPr>
          <w:t>高压氧过掺杂铜酸盐中超导性的饱和：YBa2Cu3O7+δ, δ → 1的相图</w:t>
        </w:r>
      </w:hyperlink>
    </w:p>
    <w:p>
      <w:pPr>
        <w:spacing w:before="0" w:after="80"/>
      </w:pPr>
      <w:r>
        <w:rPr>
          <w:i/>
          <w:sz w:val="20"/>
        </w:rPr>
        <w:t>EN: Saturation of superconductivity in cuprates overdoped with high-pressure oxygen: Phase diagram with YBa2Cu3O7+δ, δ → 1</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36">
        <w:r>
          <w:rPr>
            <w:color w:val="1155CC"/>
            <w:u w:val="single"/>
          </w:rPr>
          <w:t>10.1073/pnas.2520089123</w:t>
        </w:r>
      </w:hyperlink>
    </w:p>
    <w:p>
      <w:pPr>
        <w:spacing w:before="0" w:after="120"/>
      </w:pPr>
      <w:r>
        <w:rPr>
          <w:b/>
        </w:rPr>
        <w:t xml:space="preserve">Notes: </w:t>
      </w:r>
      <w:r>
        <w:t>abstract_source=crossref</w:t>
      </w:r>
    </w:p>
    <w:p>
      <w:pPr>
        <w:spacing w:before="0" w:after="80" w:lineRule="auto" w:line="276"/>
      </w:pPr>
      <w:r>
        <w:rPr>
          <w:b/>
        </w:rPr>
        <w:t xml:space="preserve">摘要（ZH）: </w:t>
      </w:r>
      <w:r>
        <w:t>高温超导性（HTSC）通常在其相图中的一个狭窄掺杂范围内呈现为一个“穹顶”。YBa</w:t>
      </w:r>
      <w:r>
        <w:rPr>
          <w:vertAlign w:val="subscript"/>
        </w:rPr>
        <w:t>2</w:t>
      </w:r>
      <w:r>
        <w:t>Cu</w:t>
      </w:r>
      <w:r>
        <w:rPr>
          <w:vertAlign w:val="subscript"/>
        </w:rPr>
        <w:t>3</w:t>
      </w:r>
      <w:r>
        <w:t>O</w:t>
      </w:r>
      <w:r>
        <w:rPr>
          <w:vertAlign w:val="subscript"/>
        </w:rPr>
        <w:t>7</w:t>
      </w:r>
      <w:r>
        <w:t>与 Ag</w:t>
      </w:r>
      <w:r>
        <w:rPr>
          <w:vertAlign w:val="subscript"/>
        </w:rPr>
        <w:t>2</w:t>
      </w:r>
      <w:r>
        <w:t>O</w:t>
      </w:r>
      <w:r>
        <w:rPr>
          <w:vertAlign w:val="subscript"/>
        </w:rPr>
        <w:t>2</w:t>
      </w:r>
      <w:r>
        <w:t>在≥800 °C 和 6 GPa 下反应，将氧原子插入 Cu1 位点之间，形成四方晶系的 YBa</w:t>
      </w:r>
      <w:r>
        <w:rPr>
          <w:vertAlign w:val="subscript"/>
        </w:rPr>
        <w:t>2</w:t>
      </w:r>
      <w:r>
        <w:t>Cu</w:t>
      </w:r>
      <w:r>
        <w:rPr>
          <w:vertAlign w:val="subscript"/>
        </w:rPr>
        <w:t>3</w:t>
      </w:r>
      <w:r>
        <w:t>O</w:t>
      </w:r>
      <w:r>
        <w:rPr>
          <w:vertAlign w:val="subscript"/>
        </w:rPr>
        <w:t>8</w:t>
      </w:r>
      <w:r>
        <w:t>，而对其整体结构或原子间距离没有显著改变。YBa</w:t>
      </w:r>
      <w:r>
        <w:rPr>
          <w:vertAlign w:val="subscript"/>
        </w:rPr>
        <w:t>2</w:t>
      </w:r>
      <w:r>
        <w:t>Cu</w:t>
      </w:r>
      <w:r>
        <w:rPr>
          <w:vertAlign w:val="subscript"/>
        </w:rPr>
        <w:t>3</w:t>
      </w:r>
      <w:r>
        <w:t>O</w:t>
      </w:r>
      <w:r>
        <w:t xml:space="preserve"> </w:t>
      </w:r>
      <w:r>
        <w:t>中的超导性</w:t>
      </w:r>
    </w:p>
    <w:p>
      <w:pPr>
        <w:spacing w:before="0" w:after="200" w:lineRule="auto" w:line="276"/>
      </w:pPr>
      <w:r>
        <w:rPr>
          <w:b/>
        </w:rPr>
        <w:t xml:space="preserve">Abstract (EN): </w:t>
      </w:r>
      <w:r>
        <w:t>High temperature superconductivity (HTSC) typically occurs as a “dome” over a narrow range of doping in its phase diagram. The reaction of YBa</w:t>
      </w:r>
      <w:r>
        <w:rPr>
          <w:vertAlign w:val="subscript"/>
        </w:rPr>
        <w:t>2</w:t>
      </w:r>
      <w:r>
        <w:t>Cu</w:t>
      </w:r>
      <w:r>
        <w:rPr>
          <w:vertAlign w:val="subscript"/>
        </w:rPr>
        <w:t>3</w:t>
      </w:r>
      <w:r>
        <w:t>O</w:t>
      </w:r>
      <w:r>
        <w:rPr>
          <w:vertAlign w:val="subscript"/>
        </w:rPr>
        <w:t>7</w:t>
      </w:r>
      <w:r>
        <w:t>with Ag</w:t>
      </w:r>
      <w:r>
        <w:rPr>
          <w:vertAlign w:val="subscript"/>
        </w:rPr>
        <w:t>2</w:t>
      </w:r>
      <w:r>
        <w:t>O</w:t>
      </w:r>
      <w:r>
        <w:rPr>
          <w:vertAlign w:val="subscript"/>
        </w:rPr>
        <w:t>2</w:t>
      </w:r>
      <w:r>
        <w:t>at ≥800 °C and 6 GPa inserts oxygen atoms between the Cu1 sites to form tetragonal YBa</w:t>
      </w:r>
      <w:r>
        <w:rPr>
          <w:vertAlign w:val="subscript"/>
        </w:rPr>
        <w:t>2</w:t>
      </w:r>
      <w:r>
        <w:t>Cu</w:t>
      </w:r>
      <w:r>
        <w:rPr>
          <w:vertAlign w:val="subscript"/>
        </w:rPr>
        <w:t>3</w:t>
      </w:r>
      <w:r>
        <w:t>O</w:t>
      </w:r>
      <w:r>
        <w:rPr>
          <w:vertAlign w:val="subscript"/>
        </w:rPr>
        <w:t>8</w:t>
      </w:r>
      <w:r>
        <w:t>without significant changes to its overall structure or interatomic distances. The superconductivity in YBa</w:t>
      </w:r>
      <w:r>
        <w:rPr>
          <w:vertAlign w:val="subscript"/>
        </w:rPr>
        <w:t>2</w:t>
      </w:r>
      <w:r>
        <w:t>Cu</w:t>
      </w:r>
      <w:r>
        <w:rPr>
          <w:vertAlign w:val="subscript"/>
        </w:rPr>
        <w:t>3</w:t>
      </w:r>
      <w:r>
        <w:t>O</w:t>
      </w:r>
      <w:r>
        <w:rPr>
          <w:vertAlign w:val="subscript"/>
        </w:rPr>
        <w:t>8</w:t>
      </w:r>
      <w:r>
        <w:t>is essentially unaffected, with the reduction of the transition temperature by ≤2 K and its superconducting fraction by ≤ 15% between the O7 and O8 endpoints of the oxygen stoichiometry and associated carrier density. The dome therefore only pertains to compounds doped by cation substitution or presumably interstitial oxygen. Band structure calculations of the fully ordered endpoints show substantial changes in the density of states at the Fermi level because of its shift to lower energy with increasing oxygen stoichiometry. The coincidence of optimum and saturation HTSC at a carrier:CuO</w:t>
      </w:r>
      <w:r>
        <w:rPr>
          <w:vertAlign w:val="subscript"/>
        </w:rPr>
        <w:t>2</w:t>
      </w:r>
      <w:r>
        <w:t>ratio of ≈1/6 implies a direct coupling of HTSC with the lattice such that this value is intrinsic to the superconducting phase. The SC in YBa</w:t>
      </w:r>
      <w:r>
        <w:rPr>
          <w:vertAlign w:val="subscript"/>
        </w:rPr>
        <w:t>2</w:t>
      </w:r>
      <w:r>
        <w:t>Cu</w:t>
      </w:r>
      <w:r>
        <w:rPr>
          <w:vertAlign w:val="subscript"/>
        </w:rPr>
        <w:t>3</w:t>
      </w:r>
      <w:r>
        <w:t>O</w:t>
      </w:r>
      <w:r>
        <w:rPr>
          <w:vertAlign w:val="subscript"/>
        </w:rPr>
        <w:t>8</w:t>
      </w:r>
      <w:r>
        <w:t>is therefore not only pinned at its optimum values but also separated from the other electronic states so that the additional holes have no measurable effect on the condensate. In addition, the 95 K transition temperature of Sr</w:t>
      </w:r>
      <w:r>
        <w:rPr>
          <w:vertAlign w:val="subscript"/>
        </w:rPr>
        <w:t>2</w:t>
      </w:r>
      <w:r>
        <w:t>CuO</w:t>
      </w:r>
      <w:r>
        <w:t xml:space="preserve"> </w:t>
      </w:r>
      <w:r>
        <w:t>3.4</w:t>
      </w:r>
      <w:r>
        <w:t xml:space="preserve"> </w:t>
      </w:r>
      <w:r>
        <w:t>that possesses CuO</w:t>
      </w:r>
      <w:r>
        <w:t xml:space="preserve"> </w:t>
      </w:r>
      <w:r>
        <w:t>1.5</w:t>
      </w:r>
      <w:r>
        <w:t xml:space="preserve"> </w:t>
      </w:r>
      <w:r>
        <w:t>ladders instead of CuO</w:t>
      </w:r>
      <w:r>
        <w:rPr>
          <w:vertAlign w:val="subscript"/>
        </w:rPr>
        <w:t>2</w:t>
      </w:r>
      <w:r>
        <w:t>planes reveals a second distinct behavior of cuprates overdoped with high-pressure oxygen, demonstrating significant gaps in our understanding of HTSC.</w:t>
      </w:r>
    </w:p>
    <w:p>
      <w:pPr>
        <w:spacing w:before="120" w:after="120"/>
      </w:pPr>
      <w:r>
        <w:rPr>
          <w:sz w:val="18"/>
        </w:rPr>
        <w:t>——————————————————————————————————————————————————————————————————————</w:t>
      </w:r>
    </w:p>
    <w:p>
      <w:pPr>
        <w:spacing w:before="160" w:after="40" w:line="240" w:lineRule="auto"/>
      </w:pPr>
      <w:r>
        <w:rPr>
          <w:b/>
        </w:rPr>
        <w:t xml:space="preserve">[109] </w:t>
      </w:r>
      <w:hyperlink r:id="rId337">
        <w:r>
          <w:rPr>
            <w:color w:val="1155CC"/>
            <w:u w:val="single"/>
          </w:rPr>
          <w:t>高细菌多样性驱动土传植物病害的抑制</w:t>
        </w:r>
      </w:hyperlink>
    </w:p>
    <w:p>
      <w:pPr>
        <w:spacing w:before="0" w:after="80"/>
      </w:pPr>
      <w:r>
        <w:rPr>
          <w:i/>
          <w:sz w:val="20"/>
        </w:rPr>
        <w:t>EN: High bacterial diversity drives the suppression of a soilborne plant disease</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38">
        <w:r>
          <w:rPr>
            <w:color w:val="1155CC"/>
            <w:u w:val="single"/>
          </w:rPr>
          <w:t>10.1073/pnas.2509303123</w:t>
        </w:r>
      </w:hyperlink>
    </w:p>
    <w:p>
      <w:pPr>
        <w:spacing w:before="0" w:after="120"/>
      </w:pPr>
      <w:r>
        <w:rPr>
          <w:b/>
        </w:rPr>
        <w:t xml:space="preserve">Notes: </w:t>
      </w:r>
      <w:r>
        <w:t>abstract_source=crossref</w:t>
      </w:r>
    </w:p>
    <w:p>
      <w:pPr>
        <w:spacing w:before="0" w:after="80" w:lineRule="auto" w:line="276"/>
      </w:pPr>
      <w:r>
        <w:rPr>
          <w:b/>
        </w:rPr>
        <w:t xml:space="preserve">摘要（ZH）: </w:t>
      </w:r>
      <w:r>
        <w:t>根际微生物群在抵抗土传植物病害中起着至关重要的作用。然而，由于土壤微生物群落的复杂性，解释和预测哪些微生物群对土传病原体有效的原则仍然缺乏。我们假设，无论特定的微生物菌株如何，高多样性与有效抑制相关或增加其概率。我们通过证明具有相同细菌多样性的根际微生物分离物的随机组合对抑制根部疾病有相同的影响来测试这一假设。当土壤细菌多样性高时，根腐病的发生率显著降低。我们进一步研究了高多样性细菌群落如何抑制</w:t>
      </w:r>
    </w:p>
    <w:p>
      <w:pPr>
        <w:spacing w:before="0" w:after="200" w:lineRule="auto" w:line="276"/>
      </w:pPr>
      <w:r>
        <w:rPr>
          <w:b/>
        </w:rPr>
        <w:t xml:space="preserve">Abstract (EN): </w:t>
      </w:r>
      <w:r>
        <w:t>The rhizosphere microbiome plays a crucial role in the resistance to soilborne plant diseases. However, the principles needed to explain and predict which microbiota will be effective against soilborne pathogens are still lacking due to the complexity of the soil microbial community. We hypothesized that, independent of particular microbial strains, a high diversity is associated with, or increases the probability of, effective suppression. We tested this hypothesis by demonstrating that random combinations of rhizosphere microbial isolates, with the same bacterial diversity, had an equal impact on suppressing root diseases. The incidence of root rot was significantly reduced when soil bacterial diversity was high. We further investigated how high-diversity bacterial communities suppress root rot by constructing synthetic bacterial communities (SynComs). The results suggest that high bacterial diversity suppresses pathogens through mechanisms potentially including nutrient competition and the formation of physical barriers on the root surface. Our study highlights that high bacterial diversity is beneficial for suppressing soilborne plant diseases, offering a nonchemical and sustainable approach for crop disease management.</w:t>
      </w:r>
    </w:p>
    <w:p>
      <w:pPr>
        <w:spacing w:before="120" w:after="120"/>
      </w:pPr>
      <w:r>
        <w:rPr>
          <w:sz w:val="18"/>
        </w:rPr>
        <w:t>——————————————————————————————————————————————————————————————————————</w:t>
      </w:r>
    </w:p>
    <w:p>
      <w:pPr>
        <w:spacing w:before="160" w:after="40" w:line="240" w:lineRule="auto"/>
      </w:pPr>
      <w:r>
        <w:rPr>
          <w:b/>
        </w:rPr>
        <w:t xml:space="preserve">[110] </w:t>
      </w:r>
      <w:hyperlink r:id="rId339">
        <w:r>
          <w:rPr>
            <w:color w:val="1155CC"/>
            <w:u w:val="single"/>
          </w:rPr>
          <w:t>鸟类繁殖成功率如何以及为何因降水而变化：全球荟萃分析</w:t>
        </w:r>
      </w:hyperlink>
    </w:p>
    <w:p>
      <w:pPr>
        <w:spacing w:before="0" w:after="80"/>
      </w:pPr>
      <w:r>
        <w:rPr>
          <w:i/>
          <w:sz w:val="20"/>
        </w:rPr>
        <w:t>EN: How and why avian reproductive success varies in response to precipitation: A global meta-analysis</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40">
        <w:r>
          <w:rPr>
            <w:color w:val="1155CC"/>
            <w:u w:val="single"/>
          </w:rPr>
          <w:t>10.1073/pnas.2511125123</w:t>
        </w:r>
      </w:hyperlink>
    </w:p>
    <w:p>
      <w:pPr>
        <w:spacing w:before="0" w:after="120"/>
      </w:pPr>
      <w:r>
        <w:rPr>
          <w:b/>
        </w:rPr>
        <w:t xml:space="preserve">Notes: </w:t>
      </w:r>
      <w:r>
        <w:t>abstract_source=crossref</w:t>
      </w:r>
    </w:p>
    <w:p>
      <w:pPr>
        <w:spacing w:before="0" w:after="80" w:lineRule="auto" w:line="276"/>
      </w:pPr>
      <w:r>
        <w:rPr>
          <w:b/>
        </w:rPr>
        <w:t xml:space="preserve">摘要（ZH）: </w:t>
      </w:r>
      <w:r>
        <w:t>降水影响动物的生理、行为和生态相互作用，从而影响人口统计。然而，这些影响的性质和强度差异很大，被归因于在不同时间尺度上运行的机制，并可能取决于物种层面的属性。我们进行了一项全球元分析，考虑到共同的进化历史，以a）了解降水与鸟类繁殖成功之间关系的性质，并b）测试替代假设，解释基于物种层面属性或环境的降水为何以及在何处对某些鸟类物种的影响大于其他物种。对降水的反应的性质和程度与物种属性无关，但取决于降水的时机和地理条件</w:t>
      </w:r>
    </w:p>
    <w:p>
      <w:pPr>
        <w:spacing w:before="0" w:after="200" w:lineRule="auto" w:line="276"/>
      </w:pPr>
      <w:r>
        <w:rPr>
          <w:b/>
        </w:rPr>
        <w:t xml:space="preserve">Abstract (EN): </w:t>
      </w:r>
      <w:r>
        <w:t>Precipitation influences animal physiology, behavior, and ecological interactions, therefore affecting demography. However, the nature and strength of those effects vary widely, have been attributed to mechanisms operating over different time scales, and may depend on species-level attributes. We conducted a global meta-analysis accounting for shared evolutionary history to a) understand the nature of relationships between precipitation and avian reproductive success and b) test alternative hypotheses explaining where and why precipitation affects some bird species more than others based on species-level attributes or environment. The nature and magnitude of responses to precipitation were unrelated to species attributes but were dependent upon the timing of precipitation and geographic context. Birds responded negatively to precipitation that fell during the nesting period, while birds responded positively to precipitation that fell prior to the breeding season. Responses to precipitation varied with elevation and latitude; at high elevations at high latitudes, birds experienced lower reproductive success following precipitation, while at high elevations at low latitudes (i.e., in the tropics), the responses were opposite, though sample sizes at high elevations in the tropics were small. Negative responses in colder regions likely reflect direct thermogenic consequences of wetting. In warmer regions, because positive responses to precipitation were unrelated to diet or predation risk, responses to precipitation were likely indirect and mediated by vegetation. Ultimately, this study implicates both direct and indirect responses to precipitation that depend on the timing of precipitation and biogeographic context with large implications for avian populations under changing climate regimes.</w:t>
      </w:r>
    </w:p>
    <w:p>
      <w:pPr>
        <w:spacing w:before="120" w:after="120"/>
      </w:pPr>
      <w:r>
        <w:rPr>
          <w:sz w:val="18"/>
        </w:rPr>
        <w:t>——————————————————————————————————————————————————————————————————————</w:t>
      </w:r>
    </w:p>
    <w:p>
      <w:pPr>
        <w:spacing w:before="160" w:after="40" w:line="240" w:lineRule="auto"/>
      </w:pPr>
      <w:r>
        <w:rPr>
          <w:b/>
        </w:rPr>
        <w:t xml:space="preserve">[111] </w:t>
      </w:r>
      <w:hyperlink r:id="rId341">
        <w:r>
          <w:rPr>
            <w:color w:val="1155CC"/>
            <w:u w:val="single"/>
          </w:rPr>
          <w:t>Pri微肽作为细胞内在计时器，控制细胞命运诱导的短暂阶段</w:t>
        </w:r>
      </w:hyperlink>
    </w:p>
    <w:p>
      <w:pPr>
        <w:spacing w:before="0" w:after="80"/>
      </w:pPr>
      <w:r>
        <w:rPr>
          <w:i/>
          <w:sz w:val="20"/>
        </w:rPr>
        <w:t>EN: Pri micropeptide functions as a cell-intrinsic timer controlling the transient phase of cell fate induction</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42">
        <w:r>
          <w:rPr>
            <w:color w:val="1155CC"/>
            <w:u w:val="single"/>
          </w:rPr>
          <w:t>10.1073/pnas.2511138123</w:t>
        </w:r>
      </w:hyperlink>
    </w:p>
    <w:p>
      <w:pPr>
        <w:spacing w:before="0" w:after="120"/>
      </w:pPr>
      <w:r>
        <w:rPr>
          <w:b/>
        </w:rPr>
        <w:t xml:space="preserve">Notes: </w:t>
      </w:r>
      <w:r>
        <w:t>abstract_source=crossref</w:t>
      </w:r>
    </w:p>
    <w:p>
      <w:pPr>
        <w:spacing w:before="0" w:after="80" w:lineRule="auto" w:line="276"/>
      </w:pPr>
      <w:r>
        <w:rPr>
          <w:b/>
        </w:rPr>
        <w:t xml:space="preserve">摘要（ZH）: </w:t>
      </w:r>
      <w:r>
        <w:t>在发育过程中，细胞通过时间顺序的调控系统依次获得特定的命运。为了确保和谐的进程，每个系统必须在适当的时间被激活并随后失活。在这项研究中，我们表明命运诱导的持续时间是由在</w:t>
      </w:r>
      <w:r>
        <w:t xml:space="preserve"> </w:t>
      </w:r>
      <w:r>
        <w:t>果蝇</w:t>
      </w:r>
      <w:r>
        <w:t xml:space="preserve"> </w:t>
      </w:r>
      <w:r>
        <w:t>气管发育过程中短暂表达的</w:t>
      </w:r>
      <w:r>
        <w:t xml:space="preserve"> </w:t>
      </w:r>
      <w:r>
        <w:t>polished rice</w:t>
      </w:r>
      <w:r>
        <w:t xml:space="preserve"> </w:t>
      </w:r>
      <w:r>
        <w:t>(</w:t>
      </w:r>
      <w:r>
        <w:t xml:space="preserve"> </w:t>
      </w:r>
      <w:r>
        <w:t>pri</w:t>
      </w:r>
      <w:r>
        <w:t xml:space="preserve"> </w:t>
      </w:r>
      <w:r>
        <w:t>)基因控制的，该基因编码微肽。</w:t>
      </w:r>
      <w:r>
        <w:t xml:space="preserve"> </w:t>
      </w:r>
      <w:r>
        <w:t>pri</w:t>
      </w:r>
      <w:r>
        <w:t xml:space="preserve"> </w:t>
      </w:r>
      <w:r>
        <w:t>在未来的气管斑块中短暂表达，并在</w:t>
      </w:r>
      <w:r>
        <w:t xml:space="preserve"> </w:t>
      </w:r>
      <w:r>
        <w:t>trachealess</w:t>
      </w:r>
      <w:r>
        <w:t xml:space="preserve"> </w:t>
      </w:r>
      <w:r>
        <w:t>(</w:t>
      </w:r>
      <w:r>
        <w:t xml:space="preserve"> </w:t>
      </w:r>
      <w:r>
        <w:t>trh</w:t>
      </w:r>
      <w:r>
        <w:t xml:space="preserve"> </w:t>
      </w:r>
      <w:r>
        <w:t>)表达之前。</w:t>
      </w:r>
    </w:p>
    <w:p>
      <w:pPr>
        <w:spacing w:before="0" w:after="200" w:lineRule="auto" w:line="276"/>
      </w:pPr>
      <w:r>
        <w:rPr>
          <w:b/>
        </w:rPr>
        <w:t xml:space="preserve">Abstract (EN): </w:t>
      </w:r>
      <w:r>
        <w:t>During development, cells sequentially acquire specific fates through temporally ordered regulatory systems. To ensure the harmonious progression, each system must be activated and subsequently inactivated at the appropriate time. In this study, we show that the duration of fate induction is controlled by the transient expression of</w:t>
      </w:r>
      <w:r>
        <w:t xml:space="preserve"> </w:t>
      </w:r>
      <w:r>
        <w:t>polished rice</w:t>
      </w:r>
      <w:r>
        <w:t xml:space="preserve"> </w:t>
      </w:r>
      <w:r>
        <w:t>(</w:t>
      </w:r>
      <w:r>
        <w:t xml:space="preserve"> </w:t>
      </w:r>
      <w:r>
        <w:t>pri</w:t>
      </w:r>
      <w:r>
        <w:t xml:space="preserve"> </w:t>
      </w:r>
      <w:r>
        <w:t>), a gene encoding micropeptides, during</w:t>
      </w:r>
      <w:r>
        <w:t xml:space="preserve"> </w:t>
      </w:r>
      <w:r>
        <w:t>Drosophila</w:t>
      </w:r>
      <w:r>
        <w:t xml:space="preserve"> </w:t>
      </w:r>
      <w:r>
        <w:t>tracheal development.</w:t>
      </w:r>
      <w:r>
        <w:t xml:space="preserve"> </w:t>
      </w:r>
      <w:r>
        <w:t>pri</w:t>
      </w:r>
      <w:r>
        <w:t xml:space="preserve"> </w:t>
      </w:r>
      <w:r>
        <w:t>is transiently expressed in prospective tracheal placodes and precedes the expression of</w:t>
      </w:r>
      <w:r>
        <w:t xml:space="preserve"> </w:t>
      </w:r>
      <w:r>
        <w:t>trachealess</w:t>
      </w:r>
      <w:r>
        <w:t xml:space="preserve"> </w:t>
      </w:r>
      <w:r>
        <w:t>(</w:t>
      </w:r>
      <w:r>
        <w:t xml:space="preserve"> </w:t>
      </w:r>
      <w:r>
        <w:t>trh</w:t>
      </w:r>
      <w:r>
        <w:t xml:space="preserve"> </w:t>
      </w:r>
      <w:r>
        <w:t>), a master transcription factor that initiates tracheal fate.</w:t>
      </w:r>
      <w:r>
        <w:t xml:space="preserve"> </w:t>
      </w:r>
      <w:r>
        <w:t>pri</w:t>
      </w:r>
      <w:r>
        <w:t xml:space="preserve"> </w:t>
      </w:r>
      <w:r>
        <w:t>induces the expression of</w:t>
      </w:r>
      <w:r>
        <w:t xml:space="preserve"> </w:t>
      </w:r>
      <w:r>
        <w:t>trh</w:t>
      </w:r>
      <w:r>
        <w:t xml:space="preserve"> </w:t>
      </w:r>
      <w:r>
        <w:t>through promoting the disappearance of the repressor form of the transcriptional factor Shavenbaby (Svb). Conversely, after placode invagination, artificially prolonging</w:t>
      </w:r>
      <w:r>
        <w:t xml:space="preserve"> </w:t>
      </w:r>
      <w:r>
        <w:t>pri</w:t>
      </w:r>
      <w:r>
        <w:t xml:space="preserve"> </w:t>
      </w:r>
      <w:r>
        <w:t>expression or constitutive loss of Svb leads to ectopic maintenance of</w:t>
      </w:r>
      <w:r>
        <w:t xml:space="preserve"> </w:t>
      </w:r>
      <w:r>
        <w:t>trh</w:t>
      </w:r>
      <w:r>
        <w:t xml:space="preserve"> </w:t>
      </w:r>
      <w:r>
        <w:t>expression in noninvaginated placode cells surrounding the properly invaginated domain. These results indicate that the rapid disappearance of</w:t>
      </w:r>
      <w:r>
        <w:t xml:space="preserve"> </w:t>
      </w:r>
      <w:r>
        <w:t>pri</w:t>
      </w:r>
      <w:r>
        <w:t xml:space="preserve"> </w:t>
      </w:r>
      <w:r>
        <w:t>properly terminates the initial fate induction system and suggest that this termination ensures a smooth transition to the subsequent fate-regulatory program—that is, the maintenance of tracheal cell fate specifically in the invaginated cells. Together, we propose that the transiency of</w:t>
      </w:r>
      <w:r>
        <w:t xml:space="preserve"> </w:t>
      </w:r>
      <w:r>
        <w:t>pri</w:t>
      </w:r>
      <w:r>
        <w:t xml:space="preserve"> </w:t>
      </w:r>
      <w:r>
        <w:t>serves as a cell-intrinsic molecular timer that controls the transient phase of cell fate induction and ensures the transition between sequential fate-regulatory systems, thereby enabling the precise coordination of cell identity with morphogenesis during organogenesis.</w:t>
      </w:r>
    </w:p>
    <w:p>
      <w:pPr>
        <w:spacing w:before="120" w:after="120"/>
      </w:pPr>
      <w:r>
        <w:rPr>
          <w:sz w:val="18"/>
        </w:rPr>
        <w:t>——————————————————————————————————————————————————————————————————————</w:t>
      </w:r>
    </w:p>
    <w:p>
      <w:pPr>
        <w:spacing w:before="160" w:after="40" w:line="240" w:lineRule="auto"/>
      </w:pPr>
      <w:r>
        <w:rPr>
          <w:b/>
        </w:rPr>
        <w:t xml:space="preserve">[112] </w:t>
      </w:r>
      <w:hyperlink r:id="rId343">
        <w:r>
          <w:rPr>
            <w:color w:val="1155CC"/>
            <w:u w:val="single"/>
          </w:rPr>
          <w:t>随机水分胁迫下的进化权衡塑造木质部对干旱的脆弱性</w:t>
        </w:r>
      </w:hyperlink>
    </w:p>
    <w:p>
      <w:pPr>
        <w:spacing w:before="0" w:after="80"/>
      </w:pPr>
      <w:r>
        <w:rPr>
          <w:i/>
          <w:sz w:val="20"/>
        </w:rPr>
        <w:t>EN: Evolutionary trade-offs under stochastic water stress shape xylem vulnerability to drought</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44">
        <w:r>
          <w:rPr>
            <w:color w:val="1155CC"/>
            <w:u w:val="single"/>
          </w:rPr>
          <w:t>10.1073/pnas.2516579123</w:t>
        </w:r>
      </w:hyperlink>
    </w:p>
    <w:p>
      <w:pPr>
        <w:spacing w:before="0" w:after="120"/>
      </w:pPr>
      <w:r>
        <w:rPr>
          <w:b/>
        </w:rPr>
        <w:t xml:space="preserve">Notes: </w:t>
      </w:r>
      <w:r>
        <w:t>abstract_source=crossref</w:t>
      </w:r>
    </w:p>
    <w:p>
      <w:pPr>
        <w:spacing w:before="0" w:after="80" w:lineRule="auto" w:line="276"/>
      </w:pPr>
      <w:r>
        <w:rPr>
          <w:b/>
        </w:rPr>
        <w:t xml:space="preserve">摘要（ZH）: </w:t>
      </w:r>
      <w:r>
        <w:t>植物水供应系统（木质部）在水分胁迫期间的损伤是干旱下植物死亡的主要原因。然而，理论上缺乏对木质部在每年经历的最大水分胁迫是随机的情况下抵抗损伤的进化出现和变异的解释。我们确定了木质部对水分胁迫的最佳脆弱性，这在光合作用碳增益的水分运输、构建抗损伤木质部的碳成本以及经历水分胁迫的可能性之间取得了平衡。更高的水分胁迫最佳选择了对水分胁迫更高的抵抗力，在更大范围的水分胁迫下功能性木质部的丧失，更高的水分利用效率，以及，反直觉地，更高的完全丧失木质部功能的可能性。</w:t>
      </w:r>
    </w:p>
    <w:p>
      <w:pPr>
        <w:spacing w:before="0" w:after="200" w:lineRule="auto" w:line="276"/>
      </w:pPr>
      <w:r>
        <w:rPr>
          <w:b/>
        </w:rPr>
        <w:t xml:space="preserve">Abstract (EN): </w:t>
      </w:r>
      <w:r>
        <w:t>Damage to the water supply system in plants (xylem) during water stress is a major cause of plant mortality under drought. However, theory is lacking for the evolutionary emergence of, and variation in, the ability of xylem to resist damage when the maximum water stress experienced each year is stochastic. We determine optimal xylem vulnerability to water stress that balances trade-offs among water transport for photosynthetic carbon gains, carbon costs of constructing xylem that is resistant to damage, and the likelihood of experiencing water stress. Higher water stress optimally selects for higher resistance to water stress, loss of functional xylem over a larger range of water stress, greater water use efficiency, and, counterintuitively, higher chances of complete loss of xylem function despite larger hydraulic safety margins. The greater hydraulic safety observed in gymnosperms over angiosperms is most likely because of less severe increases in the cost of xylem that can withstand higher water stress. Species with longer-lived xylem are predicted to be especially vulnerable to increased mortality if transitions to a drier climate occur faster than adaptation. Our stochastic water stress theory shows that a relative metric of hydraulic safety, the hydraulic safety index, coupled with climate variability, better reflects the likelihood of hydraulic failure than does the widely used hydraulic safety margin. By placing water stress in a stochastic framework, our theory provides insights into adaptive xylem vulnerability and the risk of hydraulic failure.</w:t>
      </w:r>
    </w:p>
    <w:p>
      <w:pPr>
        <w:spacing w:before="120" w:after="120"/>
      </w:pPr>
      <w:r>
        <w:rPr>
          <w:sz w:val="18"/>
        </w:rPr>
        <w:t>——————————————————————————————————————————————————————————————————————</w:t>
      </w:r>
    </w:p>
    <w:p>
      <w:pPr>
        <w:spacing w:before="160" w:after="40" w:line="240" w:lineRule="auto"/>
      </w:pPr>
      <w:r>
        <w:rPr>
          <w:b/>
        </w:rPr>
        <w:t xml:space="preserve">[113] </w:t>
      </w:r>
      <w:hyperlink r:id="rId345">
        <w:r>
          <w:rPr>
            <w:color w:val="1155CC"/>
            <w:u w:val="single"/>
          </w:rPr>
          <w:t>吞噬细胞作为斑块催化剂：人类巨噬细胞生成具有交叉播种活性的Aβ42纤维</w:t>
        </w:r>
      </w:hyperlink>
    </w:p>
    <w:p>
      <w:pPr>
        <w:spacing w:before="0" w:after="80"/>
      </w:pPr>
      <w:r>
        <w:rPr>
          <w:i/>
          <w:sz w:val="20"/>
        </w:rPr>
        <w:t>EN: Phagocytes as plaque catalysts: Human macrophages generate seeding-competent Aβ42 fibrils with cross-seeding activity</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46">
        <w:r>
          <w:rPr>
            <w:color w:val="1155CC"/>
            <w:u w:val="single"/>
          </w:rPr>
          <w:t>10.1073/pnas.2516774123</w:t>
        </w:r>
      </w:hyperlink>
    </w:p>
    <w:p>
      <w:pPr>
        <w:spacing w:before="0" w:after="120"/>
      </w:pPr>
      <w:r>
        <w:rPr>
          <w:b/>
        </w:rPr>
        <w:t xml:space="preserve">Notes: </w:t>
      </w:r>
      <w:r>
        <w:t>abstract_source=crossref</w:t>
      </w:r>
    </w:p>
    <w:p>
      <w:pPr>
        <w:spacing w:before="0" w:after="80" w:lineRule="auto" w:line="276"/>
      </w:pPr>
      <w:r>
        <w:rPr>
          <w:b/>
        </w:rPr>
        <w:t xml:space="preserve">摘要（ZH）: </w:t>
      </w:r>
      <w:r>
        <w:t>普遍观点认为小胶质细胞和巨噬细胞是防止阿尔茨海默病（AD）中淀粉样蛋白β（Aβ）积累的守护者。在此，我们通过展示人类吞噬细胞，包括分化的THP-1巨噬细胞和hESC衍生的小胶质细胞，不仅是被动响应者，而且是细胞外、具有播种能力的Aβ42纤维的活跃生产者，颠覆了这一范式。Aβ42是与实质斑块形成和神经退行性变最密切相关的淀粉样蛋白种类。这些细胞生成的聚集体在结构和功能上与合成纤维不同，在生物传感器模型中表现出增强的播种和tau交叉播种活性。值得注意的是，在该系统中，Aβ42纤维的形成需要活跃的细胞过程，并因触发受体表达的丧失而加剧。</w:t>
      </w:r>
    </w:p>
    <w:p>
      <w:pPr>
        <w:spacing w:before="0" w:after="200" w:lineRule="auto" w:line="276"/>
      </w:pPr>
      <w:r>
        <w:rPr>
          <w:b/>
        </w:rPr>
        <w:t xml:space="preserve">Abstract (EN): </w:t>
      </w:r>
      <w:r>
        <w:t>The prevailing view frames microglia and macrophages as guardians against amyloid beta (Aβ) accumulation in Alzheimer’s disease (AD). Here, we overturn this paradigm by demonstrating that human phagocytic cells, including differentiated THP-1 macrophages and hESC-derived microglia, are not merely passive responders but active producers of extracellular, seeding-competent Aβ42 fibrils, the amyloid species most strongly linked to parenchymal plaque formation and neurodegeneration. These cell-generated aggregates differ structurally and functionally from synthetic fibrils, displaying enhanced seeding and tau cross-seeding activity in biosensor models. Notably, Aβ42 fibril formation in this system requires active cellular processes and is exacerbated by loss of Triggering Receptor Expressed on Myeloid Cells 2 (TREM2), a major AD risk gene. Transcriptomic profiling reveals an early inflammatory response resembling microglial states observed in human AD models. Together, these findings support emerging evidence from in vivo studies that macrophages and microglia can influence amyloid seeding and introduce a human-relevant in vitro platform to explore how Aβ aggregation intersects with innate immune function and genetic risk. Our results reinforce the concept that microglia may play a dual role in AD, acting both as responders and inadvertent facilitators of amyloid assembly, with implications for early therapeutic intervention.</w:t>
      </w:r>
    </w:p>
    <w:p>
      <w:pPr>
        <w:spacing w:before="120" w:after="120"/>
      </w:pPr>
      <w:r>
        <w:rPr>
          <w:sz w:val="18"/>
        </w:rPr>
        <w:t>——————————————————————————————————————————————————————————————————————</w:t>
      </w:r>
    </w:p>
    <w:p>
      <w:pPr>
        <w:spacing w:before="160" w:after="40" w:line="240" w:lineRule="auto"/>
      </w:pPr>
      <w:r>
        <w:rPr>
          <w:b/>
        </w:rPr>
        <w:t xml:space="preserve">[114] </w:t>
      </w:r>
      <w:hyperlink r:id="rId347">
        <w:r>
          <w:rPr>
            <w:color w:val="1155CC"/>
            <w:u w:val="single"/>
          </w:rPr>
          <w:t>基于药物警戒数据的方法揭示检查点免疫治疗后高致命不良事件</w:t>
        </w:r>
      </w:hyperlink>
    </w:p>
    <w:p>
      <w:pPr>
        <w:spacing w:before="0" w:after="80"/>
      </w:pPr>
      <w:r>
        <w:rPr>
          <w:i/>
          <w:sz w:val="20"/>
        </w:rPr>
        <w:t>EN: A pharmacovigilance data–driven approach to reveal high fatal adverse events following checkpoint immunotherapy</w:t>
      </w:r>
    </w:p>
    <w:p>
      <w:pPr>
        <w:spacing w:before="0" w:after="120"/>
      </w:pPr>
      <w:r>
        <w:rPr>
          <w:b/>
        </w:rPr>
        <w:t xml:space="preserve">Source: </w:t>
      </w:r>
      <w:r>
        <w:t>Proceedings of the National Academy of Sciences: Keyword search for query</w:t>
      </w:r>
      <w:r>
        <w:t xml:space="preserve">    </w:t>
      </w:r>
      <w:r>
        <w:rPr>
          <w:b/>
        </w:rPr>
        <w:t xml:space="preserve">Pub date: </w:t>
      </w:r>
      <w:r>
        <w:t>2026-03-02 08:00:00+00:00</w:t>
      </w:r>
      <w:r>
        <w:t xml:space="preserve">    </w:t>
      </w:r>
      <w:r>
        <w:rPr>
          <w:b/>
        </w:rPr>
        <w:t xml:space="preserve">DOI: </w:t>
      </w:r>
      <w:hyperlink r:id="rId348">
        <w:r>
          <w:rPr>
            <w:color w:val="1155CC"/>
            <w:u w:val="single"/>
          </w:rPr>
          <w:t>10.1073/pnas.2427234123</w:t>
        </w:r>
      </w:hyperlink>
    </w:p>
    <w:p>
      <w:pPr>
        <w:spacing w:before="0" w:after="120"/>
      </w:pPr>
      <w:r>
        <w:rPr>
          <w:b/>
        </w:rPr>
        <w:t xml:space="preserve">Notes: </w:t>
      </w:r>
      <w:r>
        <w:t>abstract_source=crossref</w:t>
      </w:r>
    </w:p>
    <w:p>
      <w:pPr>
        <w:spacing w:before="0" w:after="80" w:lineRule="auto" w:line="276"/>
      </w:pPr>
      <w:r>
        <w:rPr>
          <w:b/>
        </w:rPr>
        <w:t xml:space="preserve">摘要（ZH）: </w:t>
      </w:r>
      <w:r>
        <w:t>免疫检查点抑制剂（ICIs）显著改善了癌症治疗的结果，但也使大多数患者暴露于各种治疗相关的不良事件（AEs）。本研究引入了一种改进的药物警戒方法，以识别“ICI相关高死亡率AEs”，这是一类在ICI治疗期间报告的死亡率较高的治疗相关并发症。利用来自FDA AEs报告系统的148,972例ICI治疗病例和WHO全球VigiBase的142,645例ICI治疗病例的大规模药物警戒数据，我们发现了63种ICI相关高死亡率AE，如间质性肺病、肌炎和肝功能衰竭，这需要提高临床警惕性。经历这些事件的患者有显著</w:t>
      </w:r>
    </w:p>
    <w:p>
      <w:pPr>
        <w:spacing w:before="0" w:after="200" w:lineRule="auto" w:line="276"/>
      </w:pPr>
      <w:r>
        <w:rPr>
          <w:b/>
        </w:rPr>
        <w:t xml:space="preserve">Abstract (EN): </w:t>
      </w:r>
      <w:r>
        <w:t>Immune checkpoint inhibitors (ICIs) have significantly improved the outcome of cancer treatment, but they also expose most patients to a variety of treatment-related adverse events (AEs). This study introduces a modified pharmacovigilance approach to identify “ICI-related high-mortality AEs”, a subset of treatment-related complications that are disproportionately reported with elevated fatality during ICI therapy. Utilizing large-scale pharmacovigilance data from 148,972 ICI-treated cases in the FDA AEs Reporting System and 142,645 ICI-treated cases in the WHO global VigiBase, we found 63 types of ICI-related high-mortality AE, such as interstitial lung disease, myositis, and hepatic failure, which necessitate heightened clinical vigilance. Patients who experienced these events had significantly higher fatality reporting rates compared to other cases (36.25% vs. 10.66%). These findings were corroborated in the additional clinical datasets to ensure their generalizability. In summary, identifying these ICI-related high-mortality AEs provides crucial insights for developing proactive monitoring strategies and prioritizes specific events for prevention and intervention to mitigate fatality risk.</w:t>
      </w:r>
    </w:p>
    <w:p>
      <w:pPr>
        <w:spacing w:before="120" w:after="120"/>
      </w:pPr>
      <w:r>
        <w:rPr>
          <w:sz w:val="18"/>
        </w:rPr>
        <w:t>——————————————————————————————————————————————————————————————————————</w:t>
      </w:r>
    </w:p>
    <w:p>
      <w:pPr>
        <w:spacing w:before="160" w:after="40" w:line="240" w:lineRule="auto"/>
      </w:pPr>
      <w:r>
        <w:rPr>
          <w:b/>
        </w:rPr>
        <w:t xml:space="preserve">[115] </w:t>
      </w:r>
      <w:hyperlink r:id="rId349">
        <w:r>
          <w:rPr>
            <w:color w:val="1155CC"/>
            <w:u w:val="single"/>
          </w:rPr>
          <w:t>热塑性弹性体：推进可拉伸有机电子产品的多功能组件</w:t>
        </w:r>
      </w:hyperlink>
    </w:p>
    <w:p>
      <w:pPr>
        <w:spacing w:before="0" w:after="80"/>
      </w:pPr>
      <w:r>
        <w:rPr>
          <w:i/>
          <w:sz w:val="20"/>
        </w:rPr>
        <w:t>EN: Thermoplastic Elastomer: A Versatile Component for Advancing Stretchable Organic Electronics</w:t>
      </w:r>
    </w:p>
    <w:p>
      <w:pPr>
        <w:spacing w:before="0" w:after="120"/>
      </w:pPr>
      <w:r>
        <w:rPr>
          <w:b/>
        </w:rPr>
        <w:t xml:space="preserve">Source: </w:t>
      </w:r>
      <w:r>
        <w:t>Wiley: Advanced Energy Materials: Table of Contents</w:t>
      </w:r>
      <w:r>
        <w:t xml:space="preserve">    </w:t>
      </w:r>
      <w:r>
        <w:rPr>
          <w:b/>
        </w:rPr>
        <w:t xml:space="preserve">Pub date: </w:t>
      </w:r>
      <w:r>
        <w:t>2026-03-02 08:42:55+00:00</w:t>
      </w:r>
      <w:r>
        <w:t xml:space="preserve">    </w:t>
      </w:r>
      <w:r>
        <w:rPr>
          <w:b/>
        </w:rPr>
        <w:t xml:space="preserve">DOI: </w:t>
      </w:r>
      <w:hyperlink r:id="rId350">
        <w:r>
          <w:rPr>
            <w:color w:val="1155CC"/>
            <w:u w:val="single"/>
          </w:rPr>
          <w:t>10.1002/aenm.202506761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[116] </w:t>
      </w:r>
      <w:hyperlink r:id="rId351">
        <w:r>
          <w:rPr>
            <w:color w:val="1155CC"/>
            <w:u w:val="single"/>
          </w:rPr>
          <w:t>三重矩阵限制诱导的超亮余辉来自具有多变量响应余辉颜色的碳点，用于高级动态信息加密</w:t>
        </w:r>
      </w:hyperlink>
    </w:p>
    <w:p>
      <w:pPr>
        <w:spacing w:before="0" w:after="80"/>
      </w:pPr>
      <w:r>
        <w:rPr>
          <w:i/>
          <w:sz w:val="20"/>
        </w:rPr>
        <w:t>EN: Triple Matrix Confinement‐Induced Ultrabright Afterglow From Carbon Dots With Multivariate Responsive Afterglow Colors for Advanced Dynamic Information Encryption</w:t>
      </w:r>
    </w:p>
    <w:p>
      <w:pPr>
        <w:spacing w:before="0" w:after="120"/>
      </w:pPr>
      <w:r>
        <w:rPr>
          <w:b/>
        </w:rPr>
        <w:t xml:space="preserve">Source: </w:t>
      </w:r>
      <w:r>
        <w:t>Wiley: Angewandte Chemie International Edition: Table of Contents</w:t>
      </w:r>
      <w:r>
        <w:t xml:space="preserve">    </w:t>
      </w:r>
      <w:r>
        <w:rPr>
          <w:b/>
        </w:rPr>
        <w:t xml:space="preserve">Pub date: </w:t>
      </w:r>
      <w:r>
        <w:t>2026-03-02 08:43:05+00:00</w:t>
      </w:r>
      <w:r>
        <w:t xml:space="preserve">    </w:t>
      </w:r>
      <w:r>
        <w:rPr>
          <w:b/>
        </w:rPr>
        <w:t xml:space="preserve">DOI: </w:t>
      </w:r>
      <w:hyperlink r:id="rId352">
        <w:r>
          <w:rPr>
            <w:color w:val="1155CC"/>
            <w:u w:val="single"/>
          </w:rPr>
          <w:t>10.1002/anie.8266335</w:t>
        </w:r>
      </w:hyperlink>
    </w:p>
    <w:p>
      <w:pPr>
        <w:spacing w:before="0" w:after="120"/>
      </w:pPr>
      <w:r>
        <w:rPr>
          <w:b/>
        </w:rPr>
        <w:t xml:space="preserve">Notes: </w:t>
      </w:r>
      <w:r>
        <w:t>abstract_source=pubmed</w:t>
      </w:r>
    </w:p>
    <w:p>
      <w:pPr>
        <w:spacing w:before="0" w:after="80" w:lineRule="auto" w:line="276"/>
      </w:pPr>
      <w:r>
        <w:rPr>
          <w:b/>
        </w:rPr>
        <w:t xml:space="preserve">摘要（ZH）: </w:t>
      </w:r>
      <w:r>
        <w:t>动态余辉碳点（CDs）材料能够在激发后实现长时间发光和动态颜色变化，在高级加密和视觉传感方面具有广泛的应用前景。然而，单变量响应的余辉颜色变化限制了CDs在复杂环境中进行多维信息编码和动态加密的潜力。在此，我们报道了一种无金属CDs，具有三重变量响应（时间、温度和激发波长），能够实现多种动态余辉颜色，并且其余辉亮度（406 cd m-2）远远超过其他余辉材料。基于三重基质限制和界面效应的协同作用，室温磷光（RTP）和热激活延迟荧光</w:t>
      </w:r>
    </w:p>
    <w:p>
      <w:pPr>
        <w:spacing w:before="0" w:after="200" w:lineRule="auto" w:line="276"/>
      </w:pPr>
      <w:r>
        <w:rPr>
          <w:b/>
        </w:rPr>
        <w:t xml:space="preserve">Abstract (EN): </w:t>
      </w:r>
      <w:r>
        <w:t>Dynamic afterglow carbon dots (CDs) materials, capable of long-duration emission and dynamic color changes after excitation, hold promise for widespread applications in high-level encryption and visual sensing. However, the single-variable response afterglow color changing limits the potential of CDs for multidimensional information encoding and dynamic encryption in complex environments. Here, we report metal-free CDs with triple-variable responses (time, temperature, and excitation wavelength) for multiple dynamic afterglow colors and an ultra-high afterglow brightness (406 cd m-2) far exceeding those of other afterglow materials. Based on the synergistic effect of triple matrix confinement and interface effects, room‑temperature phosphorescence (RTP) and thermally activated delayed fluorescence (TADF) are integrated into a single CD system. Owing to the different lifetimes of the dual-mode afterglow (phosphorescence and TADF) and their varying sensitivities to temperature and excitation wavelength, time-dependent afterglow colors (TDAC), excitation-dependent afterglow colors (EDAC), and thermochromic afterglow (TCAG) are simultaneously achieved. Finally, we also designed a three-dimensional variable-response color code that varies with time, temperature, and excitation wavelength, spanning the entire visible spectrum. This platform enables high-capacity, programmable, full-gamut, and visually intuitive information encryption and display, providing a promising pathway for advanced, multidimensional anti-counterfeiting and secure communication technologies.</w:t>
      </w:r>
    </w:p>
    <w:p>
      <w:pPr>
        <w:spacing w:before="120" w:after="120"/>
      </w:pPr>
      <w:r>
        <w:rPr>
          <w:sz w:val="18"/>
        </w:rPr>
        <w:t>——————————————————————————————————————————————————————————————————————</w:t>
      </w:r>
    </w:p>
    <w:p>
      <w:pPr>
        <w:spacing w:before="160" w:after="40" w:line="240" w:lineRule="auto"/>
      </w:pPr>
      <w:r>
        <w:rPr>
          <w:b/>
        </w:rPr>
        <w:t xml:space="preserve">[117] </w:t>
      </w:r>
      <w:hyperlink r:id="rId353">
        <w:r>
          <w:rPr>
            <w:color w:val="1155CC"/>
            <w:u w:val="single"/>
          </w:rPr>
          <w:t>通过SuFEx辅助方法实现机械平面手性分子</w:t>
        </w:r>
      </w:hyperlink>
    </w:p>
    <w:p>
      <w:pPr>
        <w:spacing w:before="0" w:after="80"/>
      </w:pPr>
      <w:r>
        <w:rPr>
          <w:i/>
          <w:sz w:val="20"/>
        </w:rPr>
        <w:t>EN: Mechanically Planar Chiral Molecules by a SuFEx‐Auxiliary Approach</w:t>
      </w:r>
    </w:p>
    <w:p>
      <w:pPr>
        <w:spacing w:before="0" w:after="120"/>
      </w:pPr>
      <w:r>
        <w:rPr>
          <w:b/>
        </w:rPr>
        <w:t xml:space="preserve">Source: </w:t>
      </w:r>
      <w:r>
        <w:t>Wiley: Angewandte Chemie International Edition: Table of Contents</w:t>
      </w:r>
      <w:r>
        <w:t xml:space="preserve">    </w:t>
      </w:r>
      <w:r>
        <w:rPr>
          <w:b/>
        </w:rPr>
        <w:t xml:space="preserve">Pub date: </w:t>
      </w:r>
      <w:r>
        <w:t>2026-03-02 08:49:12+00:00</w:t>
      </w:r>
      <w:r>
        <w:t xml:space="preserve">    </w:t>
      </w:r>
      <w:r>
        <w:rPr>
          <w:b/>
        </w:rPr>
        <w:t xml:space="preserve">DOI: </w:t>
      </w:r>
      <w:hyperlink r:id="rId354">
        <w:r>
          <w:rPr>
            <w:color w:val="1155CC"/>
            <w:u w:val="single"/>
          </w:rPr>
          <w:t>10.1002/anie.202525515</w:t>
        </w:r>
      </w:hyperlink>
    </w:p>
    <w:p>
      <w:pPr>
        <w:spacing w:before="0" w:after="120"/>
      </w:pPr>
      <w:r>
        <w:rPr>
          <w:b/>
        </w:rPr>
        <w:t xml:space="preserve">Notes: </w:t>
      </w:r>
      <w:r>
        <w:t>abstract_source=pubmed</w:t>
      </w:r>
    </w:p>
    <w:p>
      <w:pPr>
        <w:spacing w:before="0" w:after="80" w:lineRule="auto" w:line="276"/>
      </w:pPr>
      <w:r>
        <w:rPr>
          <w:b/>
        </w:rPr>
        <w:t xml:space="preserve">摘要（ZH）: </w:t>
      </w:r>
      <w:r>
        <w:t>机械手性是立体化学中一种新兴的范式，独特地源于在非手性和定向分子子组件之间形成机械键，使得生成的机械互锁分子（MIMs）具有广泛的应用潜力。尽管其潜力巨大，但由于合成上生产对映纯机械平面手性（MPC）分子的挑战，特别是可扩展的方法，机械手性一直未被充分探索。在此，我们将硫（VI）氟化物交换（SuFEx）点击反应引入MIMs领域，报告使用SuFEx作为一种无金属活性模板方法合成MPC轮烷（可达克级）。随后，通过便捷的一步辅助方法可以高效获得对映纯MPC轮烷（ee &gt;99%）</w:t>
      </w:r>
    </w:p>
    <w:p>
      <w:pPr>
        <w:spacing w:before="0" w:after="200" w:lineRule="auto" w:line="276"/>
      </w:pPr>
      <w:r>
        <w:rPr>
          <w:b/>
        </w:rPr>
        <w:t xml:space="preserve">Abstract (EN): </w:t>
      </w:r>
      <w:r>
        <w:t>Mechanical chirality, an emerging paradigm in stereochemistry, arises uniquely from the formation of a mechanical bond between achiral and oriented molecular subcomponents, endowing the resulting mechanically interlocked molecules (MIMs) with broad application potential. Despite its potential, it has remained underexplored largely due to the synthetic challenges in producing enantiopure mechanically planar chiral (MPC) molecules, particularly a scalable approach. Here, we introduce the sulfur(VI) fluoride exchange (SuFEx) click reaction into the MIMs field, reporting to employ SuFEx as a metal-free active template method for the synthesis of MPC rotaxanes (up to gram-scale). Subsequently, enantiopure MPC rotaxanes (ee &gt;99%) can be efficiently obtained after the convenient one-step auxiliary elimination by either removal or oxidation of sulfinyl group. Furthermore, the derivative synthesis that can introduce various functional groups either on the macrocycles or on the dumbbells of rotaxanes enables the preparation of a large variety of enantiopure MPC rotaxanes, including higher-order enantiopure MPC [3]rotaxane and enantiopure co-conformationally MPC [3]rotaxane. Notably, using this strategy, enantiopure MPC catenanes can also be obtained by the transformation of rotaxanes, which preserves the enantiopurity and chiroptical properties of parent rotaxanes and provides a new approach to synthesizing enantiopure MPC catenanes.</w:t>
      </w:r>
    </w:p>
    <w:p>
      <w:pPr>
        <w:spacing w:before="120" w:after="120"/>
      </w:pPr>
      <w:r>
        <w:rPr>
          <w:sz w:val="18"/>
        </w:rPr>
        <w:t>——————————————————————————————————————————————————————————————————————</w:t>
      </w:r>
    </w:p>
    <w:p>
      <w:pPr>
        <w:spacing w:before="160" w:after="40" w:line="240" w:lineRule="auto"/>
      </w:pPr>
      <w:r>
        <w:rPr>
          <w:b/>
        </w:rPr>
        <w:t xml:space="preserve">[118] </w:t>
      </w:r>
      <w:hyperlink r:id="rId355">
        <w:r>
          <w:rPr>
            <w:color w:val="1155CC"/>
            <w:u w:val="single"/>
          </w:rPr>
          <w:t>微晶注入的肽水凝胶实现持续的他克莫司释放以延长存活并防止肾移植排斥</w:t>
        </w:r>
      </w:hyperlink>
    </w:p>
    <w:p>
      <w:pPr>
        <w:spacing w:before="0" w:after="80"/>
      </w:pPr>
      <w:r>
        <w:rPr>
          <w:i/>
          <w:sz w:val="20"/>
        </w:rPr>
        <w:t>EN: Microcrystalline‐Infused Peptide Hydrogel Enables Sustained Tacrolimus Delivery to Prolong Survival and Prevent Rejection in Kidney Transplantation</w:t>
      </w:r>
    </w:p>
    <w:p>
      <w:pPr>
        <w:spacing w:before="0" w:after="120"/>
      </w:pPr>
      <w:r>
        <w:rPr>
          <w:b/>
        </w:rPr>
        <w:t xml:space="preserve">Source: </w:t>
      </w:r>
      <w:r>
        <w:t>Wiley: Advanced Materials: Table of Contents</w:t>
      </w:r>
      <w:r>
        <w:t xml:space="preserve">    </w:t>
      </w:r>
      <w:r>
        <w:rPr>
          <w:b/>
        </w:rPr>
        <w:t xml:space="preserve">Pub date: </w:t>
      </w:r>
      <w:r>
        <w:t>2026-03-02 09:09:56+00:00</w:t>
      </w:r>
      <w:r>
        <w:t xml:space="preserve">    </w:t>
      </w:r>
      <w:r>
        <w:rPr>
          <w:b/>
        </w:rPr>
        <w:t xml:space="preserve">DOI: </w:t>
      </w:r>
      <w:hyperlink r:id="rId356">
        <w:r>
          <w:rPr>
            <w:color w:val="1155CC"/>
            <w:u w:val="single"/>
          </w:rPr>
          <w:t>10.1002/adma.72590</w:t>
        </w:r>
      </w:hyperlink>
    </w:p>
    <w:p>
      <w:pPr>
        <w:spacing w:before="0" w:after="120"/>
      </w:pPr>
      <w:r>
        <w:rPr>
          <w:b/>
        </w:rPr>
        <w:t xml:space="preserve">Notes: </w:t>
      </w:r>
      <w:r>
        <w:t>abstract_source=pubmed</w:t>
      </w:r>
    </w:p>
    <w:p>
      <w:pPr>
        <w:spacing w:before="0" w:after="80" w:lineRule="auto" w:line="276"/>
      </w:pPr>
      <w:r>
        <w:rPr>
          <w:b/>
        </w:rPr>
        <w:t xml:space="preserve">摘要（ZH）: </w:t>
      </w:r>
      <w:r>
        <w:t>他克莫司（TAC）在肾移植后的免疫抑制治疗中至关重要，但由于其窄的治疗窗口和患者长期依从性挑战，导致受者出现严重的副作用。为了解决这个问题，我们开发了一种可注射的自组装肽水凝胶，通过一种新颖的多相组装策略将TAC封装在微晶相中。该水凝胶能够持续释放TAC，在注射后七天内维持治疗血药浓度（5-15 ng/mL）。在血管化复合异体移植模型中，负载TAC的水凝胶在第7天保持皮肤完整性并进行血管缝合，突显其组织保存的潜力。在维持生命的肾移植模型中，接受单次注射的TA</w:t>
      </w:r>
    </w:p>
    <w:p>
      <w:pPr>
        <w:spacing w:before="0" w:after="200" w:lineRule="auto" w:line="276"/>
      </w:pPr>
      <w:r>
        <w:rPr>
          <w:b/>
        </w:rPr>
        <w:t xml:space="preserve">Abstract (EN): </w:t>
      </w:r>
      <w:r>
        <w:t>Tacrolimus (TAC) is essential in post-kidney transplantation immunosuppressive therapy but is hindered by its narrow therapeutic window and patient long-term adherence challenges, leading to severe side effects in recipients. To address this, we developed an injectable self-assembling peptide hydrogel that encapsulates TAC within a microcrystalline phase via a novel multiphase assembly strategy. This hydrogel enables sustained TAC release, maintaining therapeutic blood concentrations (5-15 ng/mL) for seven days post-injection. In a vascularized composite allotransplant model, TAC-loaded hydrogel preserves skin integrity on day 7 with vessel sutures, highlighting its potential for tissue preservation. In a life-sustaining kidney transplantation model, rats receiving a single injection of TAC-loaded hydrogel exhibited significantly improved survival (∼68 days) compared to the oral administration group (∼21 days). Histopathological and blood analysis confirmed minimal inflammation and intact tissue architecture in hydrogel-treated grafts, alongside no systemic toxicity in major organs. These findings highlight multiphase assembly as a novel, effective strategy for controlled TAC release, offering a promising approach to improve patient outcomes in organ transplantation.</w:t>
      </w:r>
    </w:p>
    <w:p>
      <w:pPr>
        <w:spacing w:before="120" w:after="120"/>
      </w:pPr>
      <w:r>
        <w:rPr>
          <w:sz w:val="18"/>
        </w:rPr>
        <w:t>——————————————————————————————————————————————————————————————————————</w:t>
      </w:r>
    </w:p>
    <w:p>
      <w:pPr>
        <w:spacing w:before="160" w:after="40" w:line="240" w:lineRule="auto"/>
      </w:pPr>
      <w:r>
        <w:rPr>
          <w:b/>
        </w:rPr>
        <w:t xml:space="preserve">[119] </w:t>
      </w:r>
      <w:hyperlink r:id="rId357">
        <w:r>
          <w:rPr>
            <w:color w:val="1155CC"/>
            <w:u w:val="single"/>
          </w:rPr>
          <w:t>氢键有机框架（HOFs）的网状设计：从结构调节到功能定制</w:t>
        </w:r>
      </w:hyperlink>
    </w:p>
    <w:p>
      <w:pPr>
        <w:spacing w:before="0" w:after="80"/>
      </w:pPr>
      <w:r>
        <w:rPr>
          <w:i/>
          <w:sz w:val="20"/>
        </w:rPr>
        <w:t>EN: Reticular Design of Hydrogen‐Bonded Organic Frameworks (HOFs): From Structure Tuning to Function Customization</w:t>
      </w:r>
    </w:p>
    <w:p>
      <w:pPr>
        <w:spacing w:before="0" w:after="120"/>
      </w:pPr>
      <w:r>
        <w:rPr>
          <w:b/>
        </w:rPr>
        <w:t xml:space="preserve">Source: </w:t>
      </w:r>
      <w:r>
        <w:t>Wiley: Angewandte Chemie International Edition: Table of Contents</w:t>
      </w:r>
      <w:r>
        <w:t xml:space="preserve">    </w:t>
      </w:r>
      <w:r>
        <w:rPr>
          <w:b/>
        </w:rPr>
        <w:t xml:space="preserve">Pub date: </w:t>
      </w:r>
      <w:r>
        <w:t>2026-03-02 09:09:59+00:00</w:t>
      </w:r>
      <w:r>
        <w:t xml:space="preserve">    </w:t>
      </w:r>
      <w:r>
        <w:rPr>
          <w:b/>
        </w:rPr>
        <w:t xml:space="preserve">DOI: </w:t>
      </w:r>
      <w:hyperlink r:id="rId358">
        <w:r>
          <w:rPr>
            <w:color w:val="1155CC"/>
            <w:u w:val="single"/>
          </w:rPr>
          <w:t>10.1002/anie.8641245</w:t>
        </w:r>
      </w:hyperlink>
    </w:p>
    <w:p>
      <w:pPr>
        <w:spacing w:before="0" w:after="120"/>
      </w:pPr>
      <w:r>
        <w:rPr>
          <w:b/>
        </w:rPr>
        <w:t xml:space="preserve">Notes: </w:t>
      </w:r>
      <w:r>
        <w:t>abstract_source=pubmed</w:t>
      </w:r>
    </w:p>
    <w:p>
      <w:pPr>
        <w:spacing w:before="0" w:after="80" w:lineRule="auto" w:line="276"/>
      </w:pPr>
      <w:r>
        <w:rPr>
          <w:b/>
        </w:rPr>
        <w:t xml:space="preserve">摘要（ZH）: </w:t>
      </w:r>
      <w:r>
        <w:t>氢键有机框架（HOFs）作为一种独特的多孔晶体材料，通过定向但可逆的氢键组装而成。其温和的合成、动态结构行为和可回收性使其区别于金属和共价有机框架，同时在实现目标合成方面也面临挑战。网状化学的引入逐渐将HOFs从经验组装转变为由设计原则支配的系统。这篇小综述讨论了从分子连接性到拓扑设计的演变，强调了定向氢键对和明确的构造几何如何实现可预测和稳定的框架构建。它进一步总结了增强网状策略的最新进展</w:t>
      </w:r>
    </w:p>
    <w:p>
      <w:pPr>
        <w:spacing w:before="0" w:after="200" w:lineRule="auto" w:line="276"/>
      </w:pPr>
      <w:r>
        <w:rPr>
          <w:b/>
        </w:rPr>
        <w:t xml:space="preserve">Abstract (EN): </w:t>
      </w:r>
      <w:r>
        <w:t>Hydrogen-bonded organic frameworks (HOFs) have emerged as a distinctive class of porous crystalline materials assembled through directional yet reversible H-bonds. Their mild synthesis, dynamic structural behavior, and recyclability distinguish them from metal- and covalent-organic frameworks, while also presenting challenges in achieving targeted synthesis. The incorporation of reticular chemistry has gradually transformed HOFs from empirical assemblies into systems governed by design principles. This minireview discusses the evolution from molecular connectivity to topological design, emphasizing how directional H-bond pairs and well-defined tecton geometry enable the construction of predictable and stable frameworks. It further summarizes recent advances in reticular strategies for enhancing stability, tuning pore environment and functionality, and introducing framework flexibility through reticular design. Together, these developments illustrate how the rational control of weak interactions is guiding HOF chemistry toward programmable, multifunctional porous materials.</w:t>
      </w:r>
    </w:p>
    <w:p>
      <w:pPr>
        <w:spacing w:before="120" w:after="120"/>
      </w:pPr>
      <w:r>
        <w:rPr>
          <w:sz w:val="18"/>
        </w:rPr>
        <w:t>——————————————————————————————————————————————————————————————————————</w:t>
      </w:r>
    </w:p>
    <w:p>
      <w:pPr>
        <w:spacing w:before="160" w:after="40" w:line="240" w:lineRule="auto"/>
      </w:pPr>
      <w:r>
        <w:rPr>
          <w:b/>
        </w:rPr>
        <w:t xml:space="preserve">[120] </w:t>
      </w:r>
      <w:hyperlink r:id="rId359">
        <w:r>
          <w:rPr>
            <w:color w:val="1155CC"/>
            <w:u w:val="single"/>
          </w:rPr>
          <w:t>[ASAP] 基于氟化BODIPY的纳米带的分级组装用于高效无金属光催化产氢</w:t>
        </w:r>
      </w:hyperlink>
    </w:p>
    <w:p>
      <w:pPr>
        <w:spacing w:before="0" w:after="80"/>
      </w:pPr>
      <w:r>
        <w:rPr>
          <w:i/>
          <w:sz w:val="20"/>
        </w:rPr>
        <w:t>EN: [ASAP] Hierarchical Assembly of Fluorinated BODIPY-Based Nanoribbons for Highly Efficient Metal-Free Photocatalytic Hydrogen Production</w:t>
      </w:r>
    </w:p>
    <w:p>
      <w:pPr>
        <w:spacing w:before="0" w:after="120"/>
      </w:pPr>
      <w:r>
        <w:rPr>
          <w:b/>
        </w:rPr>
        <w:t xml:space="preserve">Source: </w:t>
      </w:r>
      <w:r>
        <w:t>Journal of the American Chemical Society: Latest Articles (ACS Publications)</w:t>
      </w:r>
      <w:r>
        <w:t xml:space="preserve">    </w:t>
      </w:r>
      <w:r>
        <w:rPr>
          <w:b/>
        </w:rPr>
        <w:t xml:space="preserve">Pub date: </w:t>
      </w:r>
      <w:r>
        <w:t>2026-03-02 09:20:58+00:00</w:t>
      </w:r>
      <w:r>
        <w:t xml:space="preserve">    </w:t>
      </w:r>
      <w:r>
        <w:rPr>
          <w:b/>
        </w:rPr>
        <w:t xml:space="preserve">DOI: </w:t>
      </w:r>
      <w:hyperlink r:id="rId360">
        <w:r>
          <w:rPr>
            <w:color w:val="1155CC"/>
            <w:u w:val="single"/>
          </w:rPr>
          <w:t>10.1021/jacs.5c22856</w:t>
        </w:r>
      </w:hyperlink>
    </w:p>
    <w:p>
      <w:pPr>
        <w:spacing w:before="0" w:after="120"/>
      </w:pPr>
      <w:r>
        <w:rPr>
          <w:b/>
        </w:rPr>
        <w:t xml:space="preserve">Notes: </w:t>
      </w:r>
      <w:r>
        <w:t>abstract_source=pubmed</w:t>
      </w:r>
    </w:p>
    <w:p>
      <w:pPr>
        <w:spacing w:before="0" w:after="80" w:lineRule="auto" w:line="276"/>
      </w:pPr>
      <w:r>
        <w:rPr>
          <w:b/>
        </w:rPr>
        <w:t xml:space="preserve">摘要（ZH）: </w:t>
      </w:r>
      <w:r>
        <w:t>自组装为自然光合作用提供了结构基础，协调了光捕获、能量转移和催化。然而，在人工系统中实现对组装的精确控制以实现高效和稳定的无金属光催化仍然是一个巨大的挑战。在此，我们报告了第一个受叶绿体启发的仿生系统，通过一步分级自组装氟化BODIPY两亲分子构建成定义明确的纳米带。全氟烷基链的整合通过氟相互作用驱动紧密的分子堆积，这极大地增强了光捕获阵列效应和结构稳定性。该系统实现了卓越的无金属光催化产氢，速率为162.5 μmol·g-1·h-1─10和30</w:t>
      </w:r>
    </w:p>
    <w:p>
      <w:pPr>
        <w:spacing w:before="0" w:after="200" w:lineRule="auto" w:line="276"/>
      </w:pPr>
      <w:r>
        <w:rPr>
          <w:b/>
        </w:rPr>
        <w:t xml:space="preserve">Abstract (EN): </w:t>
      </w:r>
      <w:r>
        <w:t>Self-assembly provides the structural basis for natural photosynthesis, coordinating light-harvesting, energy transfer, and catalysis. However, achieving precise control over assemblies in artificial systems to realize efficient and stable metal-free photocatalysis remains a formidable challenge. Herein, we report the first biomimetic system inspired by the chlorosome, constructed via one-step hierarchical self-assembly of a fluorinated BODIPY amphiphile into well-defined nanoribbons. The integration of perfluoroalkyl chains drives tight molecular packing through fluorous interactions, which crucially enhances the light-harvesting array effect and structural stability. This system achieves exceptional metal-free photocatalytic hydrogen evolution with a rate of 162.5 μmol·g-1·h-1─10 and 30 times higher than that of its nonfluorinated analog PBAH nanoribbons and the molecular control PB, respectively. Under optimized conditions, the system delivers a photocatalytic hydrogen production rate of 1150 μmol·g-1·h-1 with a quantum yield of 0.42% at 550 nm. Mechanistic studies reveal an array-enhanced mechanism in which fluorine-induced close packing promotes exciton delocalization and charge separation, stabilizes a key pyridinyl radical intermediate (&gt;5 ns), collectively establishing a new paradigm for efficient metal-free artificial photosynthesis.</w:t>
      </w:r>
    </w:p>
    <w:p>
      <w:pPr>
        <w:spacing w:before="120" w:after="120"/>
      </w:pPr>
      <w:r>
        <w:rPr>
          <w:sz w:val="18"/>
        </w:rPr>
        <w:t>——————————————————————————————————————————————————————————————————————</w:t>
      </w:r>
    </w:p>
    <w:p>
      <w:pPr>
        <w:spacing w:before="160" w:after="40" w:line="240" w:lineRule="auto"/>
      </w:pPr>
      <w:r>
        <w:rPr>
          <w:b/>
        </w:rPr>
        <w:t xml:space="preserve">[121] </w:t>
      </w:r>
      <w:hyperlink r:id="rId361">
        <w:r>
          <w:rPr>
            <w:color w:val="1155CC"/>
            <w:u w:val="single"/>
          </w:rPr>
          <w:t>在硅中同位素选择性共掺杂121Sb和123Sb对</w:t>
        </w:r>
      </w:hyperlink>
    </w:p>
    <w:p>
      <w:pPr>
        <w:spacing w:before="0" w:after="80"/>
      </w:pPr>
      <w:r>
        <w:rPr>
          <w:i/>
          <w:sz w:val="20"/>
        </w:rPr>
        <w:t>EN: Isotopically Selected Co‐Doping of 121Sb and 123Sb Pairs in Silicon</w:t>
      </w:r>
    </w:p>
    <w:p>
      <w:pPr>
        <w:spacing w:before="0" w:after="120"/>
      </w:pPr>
      <w:r>
        <w:rPr>
          <w:b/>
        </w:rPr>
        <w:t xml:space="preserve">Source: </w:t>
      </w:r>
      <w:r>
        <w:t>Wiley: Advanced Materials: Table of Contents</w:t>
      </w:r>
      <w:r>
        <w:t xml:space="preserve">    </w:t>
      </w:r>
      <w:r>
        <w:rPr>
          <w:b/>
        </w:rPr>
        <w:t xml:space="preserve">Pub date: </w:t>
      </w:r>
      <w:r>
        <w:t>2026-03-02 09:21:50+00:00</w:t>
      </w:r>
      <w:r>
        <w:t xml:space="preserve">    </w:t>
      </w:r>
      <w:r>
        <w:rPr>
          <w:b/>
        </w:rPr>
        <w:t xml:space="preserve">DOI: </w:t>
      </w:r>
      <w:hyperlink r:id="rId362">
        <w:r>
          <w:rPr>
            <w:color w:val="1155CC"/>
            <w:u w:val="single"/>
          </w:rPr>
          <w:t>10.1002/adma.202522240</w:t>
        </w:r>
      </w:hyperlink>
    </w:p>
    <w:p>
      <w:pPr>
        <w:spacing w:before="0" w:after="120"/>
      </w:pPr>
      <w:r>
        <w:rPr>
          <w:b/>
        </w:rPr>
        <w:t xml:space="preserve">Notes: </w:t>
      </w:r>
      <w:r>
        <w:t>abstract_source=pubmed</w:t>
      </w:r>
    </w:p>
    <w:p>
      <w:pPr>
        <w:spacing w:before="0" w:after="80" w:lineRule="auto" w:line="276"/>
      </w:pPr>
      <w:r>
        <w:rPr>
          <w:b/>
        </w:rPr>
        <w:t xml:space="preserve">摘要（ZH）: </w:t>
      </w:r>
      <w:r>
        <w:t>需要一种可靠的方法来确定性地制造硅中的杂质离子供体，以推进基于此类系统的量子计算架构。本文报告了将同位素定义的独特(121Sb123Sb)2+分子离子掺入硅中的能力，测得的检测效率为94%。掺杂的Sb离子的原子分辨成像显示出替代性掺入的原子，植入后Sb-Sb间距约为2 nm，表明其适合形成耦合的量子位系统。分子动力学模拟支持掺杂的Sb原子占据晶格位点的偏好，由于局部离子植入引起的损伤在300 K下快速（≈1s）再结晶驱动。所使用的Sb掺杂方法完全兼容于集成到</w:t>
      </w:r>
    </w:p>
    <w:p>
      <w:pPr>
        <w:spacing w:before="0" w:after="200" w:lineRule="auto" w:line="276"/>
      </w:pPr>
      <w:r>
        <w:rPr>
          <w:b/>
        </w:rPr>
        <w:t xml:space="preserve">Abstract (EN): </w:t>
      </w:r>
      <w:r>
        <w:t>A reliable route to the deterministic fabrication of impurity ion donors in silicon is required to advance quantum computing architectures based upon such systems. This paper reports the ability to dope isotopically-defined unique (121Sb123Sb)2+ molecular ions into silicon with measured detection efficiencies of 94% being obtained. Atomically resolved imaging of the doped Sb ions reveals substitutionally incorporated atoms with a Sb-to-Sb separation of ≈2 nm post-implantation, thus indicating suitability to form coupled qudit systems. Molecular dynamics simulations support the preference for doped Sb atoms to occupy lattice sites, driven by fast (≈1s) re-crystallization of localized ion implantation induced damage at 300 K. The Sb doping method used is fully compatible with integration into processing that includes pre-enrichment of the silicon host to sub-3 ppm 29Si levels. As such, we present a potential pathway to the creation of scaled qudit arrays within silicon platforms for quantum computing.</w:t>
      </w:r>
    </w:p>
    <w:p>
      <w:pPr>
        <w:spacing w:before="120" w:after="120"/>
      </w:pPr>
      <w:r>
        <w:rPr>
          <w:sz w:val="18"/>
        </w:rPr>
        <w:t>——————————————————————————————————————————————————————————————————————</w:t>
      </w:r>
    </w:p>
    <w:p>
      <w:pPr>
        <w:spacing w:before="160" w:after="40" w:line="240" w:lineRule="auto"/>
      </w:pPr>
      <w:r>
        <w:rPr>
          <w:b/>
        </w:rPr>
        <w:t xml:space="preserve">[122] </w:t>
      </w:r>
      <w:hyperlink r:id="rId363">
        <w:r>
          <w:rPr>
            <w:color w:val="1155CC"/>
            <w:u w:val="single"/>
          </w:rPr>
          <w:t>注意间隙——成像扭曲氧化物莫尔图案中的埋藏界面</w:t>
        </w:r>
      </w:hyperlink>
    </w:p>
    <w:p>
      <w:pPr>
        <w:spacing w:before="0" w:after="80"/>
      </w:pPr>
      <w:r>
        <w:rPr>
          <w:i/>
          <w:sz w:val="20"/>
        </w:rPr>
        <w:t>EN: Mind the Gap—Imaging Buried Interfaces in Twisted Oxide Moirés</w:t>
      </w:r>
    </w:p>
    <w:p>
      <w:pPr>
        <w:spacing w:before="0" w:after="120"/>
      </w:pPr>
      <w:r>
        <w:rPr>
          <w:b/>
        </w:rPr>
        <w:t xml:space="preserve">Source: </w:t>
      </w:r>
      <w:r>
        <w:t>Wiley: Advanced Materials: Table of Contents</w:t>
      </w:r>
      <w:r>
        <w:t xml:space="preserve">    </w:t>
      </w:r>
      <w:r>
        <w:rPr>
          <w:b/>
        </w:rPr>
        <w:t xml:space="preserve">Pub date: </w:t>
      </w:r>
      <w:r>
        <w:t>2026-03-02 09:25:19+00:00</w:t>
      </w:r>
      <w:r>
        <w:t xml:space="preserve">    </w:t>
      </w:r>
      <w:r>
        <w:rPr>
          <w:b/>
        </w:rPr>
        <w:t xml:space="preserve">DOI: </w:t>
      </w:r>
      <w:hyperlink r:id="rId364">
        <w:r>
          <w:rPr>
            <w:color w:val="1155CC"/>
            <w:u w:val="single"/>
          </w:rPr>
          <w:t>10.1002/adma.202521189</w:t>
        </w:r>
      </w:hyperlink>
    </w:p>
    <w:p>
      <w:pPr>
        <w:spacing w:before="0" w:after="120"/>
      </w:pPr>
      <w:r>
        <w:rPr>
          <w:b/>
        </w:rPr>
        <w:t xml:space="preserve">Notes: </w:t>
      </w:r>
      <w:r>
        <w:t>abstract_source=semanticscholar</w:t>
      </w:r>
    </w:p>
    <w:p>
      <w:pPr>
        <w:spacing w:before="0" w:after="80" w:lineRule="auto" w:line="276"/>
      </w:pPr>
      <w:r>
        <w:rPr>
          <w:b/>
        </w:rPr>
        <w:t xml:space="preserve">摘要（ZH）: </w:t>
      </w:r>
      <w:r>
        <w:t>在层状二维（2D）材料的扭曲堆叠中调节电子结构的能力激发了对扭曲氧化物膜堆叠中类似莫尔物理的探索。由于许多氧化物中固有的三维键合特性，实现原子级耦合比在2D材料中要困难得多。尽管在块状陶瓷双晶中通过高温高压处理以促进原子扩散从而平整粗糙界面，已展示了具有原子级接近的干净界面，但在键合氧化物膜时，这种条件不易实现。本研究展示了膜表面粗糙度的地形不匹配如何限制界面处的原子级接近，仅限于孤立的区域。</w:t>
      </w:r>
    </w:p>
    <w:p>
      <w:pPr>
        <w:spacing w:before="0" w:after="200" w:lineRule="auto" w:line="276"/>
      </w:pPr>
      <w:r>
        <w:rPr>
          <w:b/>
        </w:rPr>
        <w:t xml:space="preserve">Abstract (EN): </w:t>
      </w:r>
      <w:r>
        <w:t>The ability to tune electronic structure in twisted stacks of layered, two-dimensional (2D) materials has motivated the exploration of similar moiré physics with stacks of twisted oxide membranes. Due to the intrinsic three-dimensional nature of bonding in many oxides, achieving atomic-level coupling is significantly more challenging than in 2D materials. Although clean interfaces with atomic-level proximity have been demonstrated in bulk ceramic bicrystals using high-temperature and high-pressure processing to facilitate atomic diffusion that flattens rough interfaces, such conditions are not readily accessible when bonding oxide membranes. This study shows how topographic mismatch from surface roughness of the membranes restricts atomic-scale proximity at the interface to isolated patches even after contaminants and amorphous interlayers are eliminated. The reduced ability of 2D materials to conform to a membrane's step-terrace topography also limits atomic-scale contact. In all these material systems, the interface morphology is best characterized using cross-sectional imaging and is necessary to corroborate investigations of interlayer coupling. When imaging the stacked membranes in projection, conventional through-focal imaging is found to be insensitive to the buried interface, whereas electron ptychography reliably resolves structural variations on the order of a nanometer. These findings highlight interface roughness as a key challenge for oxide twistronics.</w:t>
      </w:r>
    </w:p>
    <w:p>
      <w:pPr>
        <w:spacing w:before="120" w:after="120"/>
      </w:pPr>
      <w:r>
        <w:rPr>
          <w:sz w:val="18"/>
        </w:rPr>
        <w:t>——————————————————————————————————————————————————————————————————————</w:t>
      </w:r>
    </w:p>
    <w:p>
      <w:pPr>
        <w:spacing w:before="160" w:after="40" w:line="240" w:lineRule="auto"/>
      </w:pPr>
      <w:r>
        <w:rPr>
          <w:b/>
        </w:rPr>
        <w:t xml:space="preserve">[123] </w:t>
      </w:r>
      <w:hyperlink r:id="rId365">
        <w:r>
          <w:rPr>
            <w:color w:val="1155CC"/>
            <w:u w:val="single"/>
          </w:rPr>
          <w:t>[ASAP] 电解辅助还原二甲基甲酰胺用于未活化烯烃的功能化</w:t>
        </w:r>
      </w:hyperlink>
    </w:p>
    <w:p>
      <w:pPr>
        <w:spacing w:before="0" w:after="80"/>
      </w:pPr>
      <w:r>
        <w:rPr>
          <w:i/>
          <w:sz w:val="20"/>
        </w:rPr>
        <w:t>EN: [ASAP] Electrolysis-Assisted Reduction of Dimethylformamide for Unactivated Alkene Functionalizations</w:t>
      </w:r>
    </w:p>
    <w:p>
      <w:pPr>
        <w:spacing w:before="0" w:after="120"/>
      </w:pPr>
      <w:r>
        <w:rPr>
          <w:b/>
        </w:rPr>
        <w:t xml:space="preserve">Source: </w:t>
      </w:r>
      <w:r>
        <w:t>Journal of the American Chemical Society: Latest Articles (ACS Publications)</w:t>
      </w:r>
      <w:r>
        <w:t xml:space="preserve">    </w:t>
      </w:r>
      <w:r>
        <w:rPr>
          <w:b/>
        </w:rPr>
        <w:t xml:space="preserve">Pub date: </w:t>
      </w:r>
      <w:r>
        <w:t>2026-03-02 10:04:06+00:00</w:t>
      </w:r>
      <w:r>
        <w:t xml:space="preserve">    </w:t>
      </w:r>
      <w:r>
        <w:rPr>
          <w:b/>
        </w:rPr>
        <w:t xml:space="preserve">DOI: </w:t>
      </w:r>
      <w:hyperlink r:id="rId366">
        <w:r>
          <w:rPr>
            <w:color w:val="1155CC"/>
            <w:u w:val="single"/>
          </w:rPr>
          <w:t>10.1021/jacs.5c17824</w:t>
        </w:r>
      </w:hyperlink>
    </w:p>
    <w:p>
      <w:pPr>
        <w:spacing w:before="0" w:after="120"/>
      </w:pPr>
      <w:r>
        <w:rPr>
          <w:b/>
        </w:rPr>
        <w:t xml:space="preserve">Notes: </w:t>
      </w:r>
      <w:r>
        <w:t>abstract_source=pubmed</w:t>
      </w:r>
    </w:p>
    <w:p>
      <w:pPr>
        <w:spacing w:before="0" w:after="80" w:lineRule="auto" w:line="276"/>
      </w:pPr>
      <w:r>
        <w:rPr>
          <w:b/>
        </w:rPr>
        <w:t xml:space="preserve">摘要（ZH）: </w:t>
      </w:r>
      <w:r>
        <w:t>N,N-二甲基甲酰胺是一种广泛使用的溶剂，在某些条件下可作为试剂使用。在不同的离子和自由基活化方法中，由于其极低的还原电位，这种酰胺的直接单电子还原似乎难以实现。在这项工作中，展示了电解辅助生成N,N-二甲基甲酰胺双离子自由基阴离子。通过未活化烯烃的官能化确立了其合成适用性。该转化在几种单取代和双取代烯烃中得到验证，生成相应的氢甲酰化和氨甲基化产物。机制实验证实了双离子自由基的生成，表明该中间体是在表面生成的。</w:t>
      </w:r>
    </w:p>
    <w:p>
      <w:pPr>
        <w:spacing w:before="0" w:after="200" w:lineRule="auto" w:line="276"/>
      </w:pPr>
      <w:r>
        <w:rPr>
          <w:b/>
        </w:rPr>
        <w:t xml:space="preserve">Abstract (EN): </w:t>
      </w:r>
      <w:r>
        <w:t>N,N-Dimethylformamide is a widely used solvent, which can be employed as a reagent under certain conditions. Among the different ionic and radical activation approaches, the direct single-electron reduction of this amide appears elusive, owing to its prohibitively low reductive potential. In this work, electrolysis-assisted generation of the N,N-dimethylformamide distonic radical anion is presented. Its synthetic applicability was established by the functionalization of unactivated alkenes. The transformation was validated across several mono- and disubstituted olefins, generating the corresponding hydroformylated and hydroaminomethylated products. Mechanistic experiments confirmed the generation of the distonic radical, demonstrating that this intermediate was generated at the surface of the magnesium anode. This work provides a new perspective on the activation of this commonly used solvent, paving the way to other radical transformations.</w:t>
      </w:r>
    </w:p>
    <w:p>
      <w:pPr>
        <w:spacing w:before="120" w:after="120"/>
      </w:pPr>
      <w:r>
        <w:rPr>
          <w:sz w:val="18"/>
        </w:rPr>
        <w:t>——————————————————————————————————————————————————————————————————————</w:t>
      </w:r>
    </w:p>
    <w:p>
      <w:pPr>
        <w:spacing w:before="160" w:after="40" w:line="240" w:lineRule="auto"/>
      </w:pPr>
      <w:r>
        <w:rPr>
          <w:b/>
        </w:rPr>
        <w:t xml:space="preserve">[124] </w:t>
      </w:r>
      <w:hyperlink r:id="rId367">
        <w:r>
          <w:rPr>
            <w:color w:val="1155CC"/>
            <w:u w:val="single"/>
          </w:rPr>
          <w:t>[ASAP] 催化剂控制的BN-苯瓦烯的分歧再芳构化</w:t>
        </w:r>
      </w:hyperlink>
    </w:p>
    <w:p>
      <w:pPr>
        <w:spacing w:before="0" w:after="80"/>
      </w:pPr>
      <w:r>
        <w:rPr>
          <w:i/>
          <w:sz w:val="20"/>
        </w:rPr>
        <w:t>EN: [ASAP] A Catalyst-Controlled Divergent Rearomatization of BN-Benzvalene</w:t>
      </w:r>
    </w:p>
    <w:p>
      <w:pPr>
        <w:spacing w:before="0" w:after="120"/>
      </w:pPr>
      <w:r>
        <w:rPr>
          <w:b/>
        </w:rPr>
        <w:t xml:space="preserve">Source: </w:t>
      </w:r>
      <w:r>
        <w:t>Journal of the American Chemical Society: Latest Articles (ACS Publications)</w:t>
      </w:r>
      <w:r>
        <w:t xml:space="preserve">    </w:t>
      </w:r>
      <w:r>
        <w:rPr>
          <w:b/>
        </w:rPr>
        <w:t xml:space="preserve">Pub date: </w:t>
      </w:r>
      <w:r>
        <w:t>2026-03-02 10:09:13+00:00</w:t>
      </w:r>
      <w:r>
        <w:t xml:space="preserve">    </w:t>
      </w:r>
      <w:r>
        <w:rPr>
          <w:b/>
        </w:rPr>
        <w:t xml:space="preserve">DOI: </w:t>
      </w:r>
      <w:hyperlink r:id="rId368">
        <w:r>
          <w:rPr>
            <w:color w:val="1155CC"/>
            <w:u w:val="single"/>
          </w:rPr>
          <w:t>10.1021/jacs.5c23113</w:t>
        </w:r>
      </w:hyperlink>
    </w:p>
    <w:p>
      <w:pPr>
        <w:spacing w:before="0" w:after="120"/>
      </w:pPr>
      <w:r>
        <w:rPr>
          <w:b/>
        </w:rPr>
        <w:t xml:space="preserve">Notes: </w:t>
      </w:r>
      <w:r>
        <w:t>abstract_source=pubmed</w:t>
      </w:r>
    </w:p>
    <w:p>
      <w:pPr>
        <w:spacing w:before="0" w:after="80" w:lineRule="auto" w:line="276"/>
      </w:pPr>
      <w:r>
        <w:rPr>
          <w:b/>
        </w:rPr>
        <w:t xml:space="preserve">摘要（ZH）: </w:t>
      </w:r>
      <w:r>
        <w:t>基于碳的苯瓦烯在暴露于外部刺激时会发生多种重排。在本报告中，我们研究了BN-苯瓦烯（一种含硼-氮的苯的价异构体）的热和金属催化再芳构化途径。根据金属催化剂的选择，这些转化选择性地产生C5-或C3-官能化的1,2-氮硼杂环。C5-异构体的形成作为新分子光开关系统的概念验证，而C3-异构体的形成代表了1,2-氮硼杂环骨架上的官能团转位。机制研究，如氘标记研究和DFT计算，表明每种异构体生成的操作路径不同。</w:t>
      </w:r>
    </w:p>
    <w:p>
      <w:pPr>
        <w:spacing w:before="0" w:after="200" w:lineRule="auto" w:line="276"/>
      </w:pPr>
      <w:r>
        <w:rPr>
          <w:b/>
        </w:rPr>
        <w:t xml:space="preserve">Abstract (EN): </w:t>
      </w:r>
      <w:r>
        <w:t>Carbon-based benzvalene undergoes diverse rearrangements upon exposure to external stimuli. In this report, we investigate the thermal and metal-catalyzed rearomatization pathways of BN-benzvalene, a boron-nitrogen-containing valence isomer of benzene. Depending on the choice of metal catalyst, these transformations selectively yield either C5- or C3-functionalized 1,2-azaborines. The C5-isomer formation serves as a proof of concept for a new molecular photoswitch system, while the C3-isomer formation represents the functional group transposition on the 1,2-azaborine scaffold. Mechanistic investigations, such as deuterium labeling studies and DFT calculations, suggest distinct operative pathways for the generation of each isomer.</w:t>
      </w:r>
    </w:p>
    <w:p>
      <w:pPr>
        <w:spacing w:before="120" w:after="120"/>
      </w:pPr>
      <w:r>
        <w:rPr>
          <w:sz w:val="18"/>
        </w:rPr>
        <w:t>——————————————————————————————————————————————————————————————————————</w:t>
      </w:r>
    </w:p>
    <w:p>
      <w:pPr>
        <w:spacing w:before="160" w:after="40" w:line="240" w:lineRule="auto"/>
      </w:pPr>
      <w:r>
        <w:rPr>
          <w:b/>
        </w:rPr>
        <w:t xml:space="preserve">[125] </w:t>
      </w:r>
      <w:hyperlink r:id="rId369">
        <w:r>
          <w:rPr>
            <w:color w:val="1155CC"/>
            <w:u w:val="single"/>
          </w:rPr>
          <w:t>单分子全合一 (SMALL) 树枝状点用于精确癌症诊疗</w:t>
        </w:r>
      </w:hyperlink>
    </w:p>
    <w:p>
      <w:pPr>
        <w:spacing w:before="0" w:after="80"/>
      </w:pPr>
      <w:r>
        <w:rPr>
          <w:i/>
          <w:sz w:val="20"/>
        </w:rPr>
        <w:t>EN: Single‐Molecule All‐In‐One (SMALL) Dendritic Dots for Precise Cancer Theranostics</w:t>
      </w:r>
    </w:p>
    <w:p>
      <w:pPr>
        <w:spacing w:before="0" w:after="120"/>
      </w:pPr>
      <w:r>
        <w:rPr>
          <w:b/>
        </w:rPr>
        <w:t xml:space="preserve">Source: </w:t>
      </w:r>
      <w:r>
        <w:t>Wiley: Advanced Materials: Table of Contents</w:t>
      </w:r>
      <w:r>
        <w:t xml:space="preserve">    </w:t>
      </w:r>
      <w:r>
        <w:rPr>
          <w:b/>
        </w:rPr>
        <w:t xml:space="preserve">Pub date: </w:t>
      </w:r>
      <w:r>
        <w:t>2026-03-02 10:31:27+00:00</w:t>
      </w:r>
      <w:r>
        <w:t xml:space="preserve">    </w:t>
      </w:r>
      <w:r>
        <w:rPr>
          <w:b/>
        </w:rPr>
        <w:t xml:space="preserve">DOI: </w:t>
      </w:r>
      <w:hyperlink r:id="rId370">
        <w:r>
          <w:rPr>
            <w:color w:val="1155CC"/>
            <w:u w:val="single"/>
          </w:rPr>
          <w:t>10.1002/adma.202508639</w:t>
        </w:r>
      </w:hyperlink>
    </w:p>
    <w:p>
      <w:pPr>
        <w:spacing w:before="0" w:after="120"/>
      </w:pPr>
      <w:r>
        <w:rPr>
          <w:b/>
        </w:rPr>
        <w:t xml:space="preserve">Notes: </w:t>
      </w:r>
      <w:r>
        <w:t>abstract_source=pubmed</w:t>
      </w:r>
    </w:p>
    <w:p>
      <w:pPr>
        <w:spacing w:before="0" w:after="80" w:lineRule="auto" w:line="276"/>
      </w:pPr>
      <w:r>
        <w:rPr>
          <w:b/>
        </w:rPr>
        <w:t xml:space="preserve">摘要（ZH）: </w:t>
      </w:r>
      <w:r>
        <w:t>具有多种货物的多功能纳米颗粒已被广泛开发用于高效癌症治疗。然而，额外成分的需求会导致随机功能化，干扰精确的结构和期望的特性。因此，开发具有单一成分的多功能纳米颗粒是必要且具有挑战性的。在此，我们报告了一种通用、模块化和可扩展的设计方法，用于构建一种单分子全合一（SMALL）树状点（DDs），具有定义明确的功能架构，用于可定制的治疗。这些SMALL DDs通过基于树枝状聚合物的发散合成，通过正交保护、选择性去保护和精确结合制备。为了证明该策略的可行性</w:t>
      </w:r>
    </w:p>
    <w:p>
      <w:pPr>
        <w:spacing w:before="0" w:after="200" w:lineRule="auto" w:line="276"/>
      </w:pPr>
      <w:r>
        <w:rPr>
          <w:b/>
        </w:rPr>
        <w:t xml:space="preserve">Abstract (EN): </w:t>
      </w:r>
      <w:r>
        <w:t>Multifunctional nanoparticles with diverse cargos have been extensively developed for efficient cancer theranostics. However, the requirement of additional components would result in stochastic functionalization, interfering with the precise structure and desired characteristics. Thus, it is requisite and challenging to develop multifunctional nanoparticles with a single component. Herein, we report a universal, modular and scalable design approach for constructing a type of single-molecule all-in-one (SMALL) dendritic dots (DDs) with well-defined functional architectures for customizable theranostics. These SMALL DDs are prepared through dendrimer-based divergent synthesis by orthogonal protection, selective deprotection, and precise conjugation. To demonstrate the feasibility of the strategy, we synthesized a type of perylenediimide (PDI)-cored and camptothecin-loaded polylysine dendrimer-based SMALL DDs. These DDs possess precise structure, tunable drug loading, well-defined particle size, and bright and stable fluorescence. The SMALL DDs exhibit long blood circulation, superior tumor accumulation, and tumor-associated enzyme-responsive drug release and generate potent antitumor activity in mice bearing hepatocellular carcinoma. The SMALL DDs integrate imaging probes, drug molecules, and targeting and responsive ligands into a single molecule, which provides a strategy to solve the dilemma of multifunctionality and structural precision and is promising for cancer theranostics.</w:t>
      </w:r>
    </w:p>
    <w:p>
      <w:pPr>
        <w:spacing w:before="120" w:after="120"/>
      </w:pPr>
      <w:r>
        <w:rPr>
          <w:sz w:val="18"/>
        </w:rPr>
        <w:t>——————————————————————————————————————————————————————————————————————</w:t>
      </w:r>
    </w:p>
    <w:p>
      <w:pPr>
        <w:spacing w:before="160" w:after="40" w:line="240" w:lineRule="auto"/>
      </w:pPr>
      <w:r>
        <w:rPr>
          <w:b/>
        </w:rPr>
        <w:t xml:space="preserve">[126] </w:t>
      </w:r>
      <w:hyperlink r:id="rId371">
        <w:r>
          <w:rPr>
            <w:color w:val="1155CC"/>
            <w:u w:val="single"/>
          </w:rPr>
          <w:t>[ASAP] 吡哆醛5′-磷酸依赖的酶促脱羧环化</w:t>
        </w:r>
      </w:hyperlink>
    </w:p>
    <w:p>
      <w:pPr>
        <w:spacing w:before="0" w:after="80"/>
      </w:pPr>
      <w:r>
        <w:rPr>
          <w:i/>
          <w:sz w:val="20"/>
        </w:rPr>
        <w:t>EN: [ASAP] Pyridoxal 5′-Phosphate-Dependent Enzymatic Decarboxylative Annulation</w:t>
      </w:r>
    </w:p>
    <w:p>
      <w:pPr>
        <w:spacing w:before="0" w:after="120"/>
      </w:pPr>
      <w:r>
        <w:rPr>
          <w:b/>
        </w:rPr>
        <w:t xml:space="preserve">Source: </w:t>
      </w:r>
      <w:r>
        <w:t>Journal of the American Chemical Society: Latest Articles (ACS Publications)</w:t>
      </w:r>
      <w:r>
        <w:t xml:space="preserve">    </w:t>
      </w:r>
      <w:r>
        <w:rPr>
          <w:b/>
        </w:rPr>
        <w:t xml:space="preserve">Pub date: </w:t>
      </w:r>
      <w:r>
        <w:t>2026-03-02 11:48:55+00:00</w:t>
      </w:r>
      <w:r>
        <w:t xml:space="preserve">    </w:t>
      </w:r>
      <w:r>
        <w:rPr>
          <w:b/>
        </w:rPr>
        <w:t xml:space="preserve">DOI: </w:t>
      </w:r>
      <w:hyperlink r:id="rId372">
        <w:r>
          <w:rPr>
            <w:color w:val="1155CC"/>
            <w:u w:val="single"/>
          </w:rPr>
          <w:t>10.1021/jacs.5c20979</w:t>
        </w:r>
      </w:hyperlink>
    </w:p>
    <w:p>
      <w:pPr>
        <w:spacing w:before="0" w:after="120"/>
      </w:pPr>
      <w:r>
        <w:rPr>
          <w:b/>
        </w:rPr>
        <w:t xml:space="preserve">Notes: </w:t>
      </w:r>
      <w:r>
        <w:t>abstract_source=pubmed</w:t>
      </w:r>
    </w:p>
    <w:p>
      <w:pPr>
        <w:spacing w:before="0" w:after="80" w:lineRule="auto" w:line="276"/>
      </w:pPr>
      <w:r>
        <w:rPr>
          <w:b/>
        </w:rPr>
        <w:t xml:space="preserve">摘要（ZH）: </w:t>
      </w:r>
      <w:r>
        <w:t>吡哆醛5'-磷酸（PLP）依赖性酶是最具多功能性的生物催化剂之一，但涉及Cγ-亲核乙烯基甘氨酸醌（VGQ）中间体的转化仍然极为罕见。理解VGQ未开发的反应性可能为开发PLP依赖性生物催化剂开辟新途径。在此，我们建立了一个生物催化平台，人工访问并利用这种高能中间体的反应性。通过重新编程SphA（一种本身催化脱羧Claisen缩合的PLP依赖性酶），通过乙烯基氨基丙二酸酯的简便脱羧生成VGQ，我们实现了乙烯基氨基丙二酸酯与电子缺乏烯烃之间的脱羧[3 + 2]环化反应。晶体学、计算和突变研究</w:t>
      </w:r>
    </w:p>
    <w:p>
      <w:pPr>
        <w:spacing w:before="0" w:after="200" w:lineRule="auto" w:line="276"/>
      </w:pPr>
      <w:r>
        <w:rPr>
          <w:b/>
        </w:rPr>
        <w:t xml:space="preserve">Abstract (EN): </w:t>
      </w:r>
      <w:r>
        <w:t>Pyridoxal 5'-phosphate (PLP)-dependent enzymes are among the most versatile biocatalysts, yet transformations involving the Cγ-nucleophilic vinylglycine quinonoid (VGQ) intermediate remain exceptionally rare. Understanding the untapped reactivity of VGQ could open new avenues for developing PLP-dependent biocatalysts. Here, we establish a biocatalytic platform that artificially accesses and exploits the reactivity of this high-energy intermediate. By reprogramming SphA, a PLP-dependent enzyme that natively catalyzes decarboxylative Claisen condensation, to generate VGQ in situ through facile decarboxylation of vinylaminomalonate, we enable a decarboxylative [3 + 2] annulation between vinylaminomalonate and electron-deficient alkenes. Crystallographic, computational, and mutagenesis studies reveal the key mechanistic features underlying this abiotic transformation. Our findings demonstrate the latent [3 + 2] annulating potential of VGQ and expand the catalytic repertoire of PLP-dependent enzymes, establishing a new strategy for the enzymatic construction of complex carbocyclic architectures.</w:t>
      </w:r>
    </w:p>
    <w:p>
      <w:pPr>
        <w:spacing w:before="120" w:after="120"/>
      </w:pPr>
      <w:r>
        <w:rPr>
          <w:sz w:val="18"/>
        </w:rPr>
        <w:t>——————————————————————————————————————————————————————————————————————</w:t>
      </w:r>
    </w:p>
    <w:p>
      <w:pPr>
        <w:spacing w:before="160" w:after="40" w:line="240" w:lineRule="auto"/>
      </w:pPr>
      <w:r>
        <w:rPr>
          <w:b/>
        </w:rPr>
        <w:t xml:space="preserve">[127] </w:t>
      </w:r>
      <w:hyperlink r:id="rId373">
        <w:r>
          <w:rPr>
            <w:color w:val="1155CC"/>
            <w:u w:val="single"/>
          </w:rPr>
          <w:t>基于水凝胶的气道管道，具有可灌注的内皮腔和向外的上皮化</w:t>
        </w:r>
      </w:hyperlink>
    </w:p>
    <w:p>
      <w:pPr>
        <w:spacing w:before="0" w:after="80"/>
      </w:pPr>
      <w:r>
        <w:rPr>
          <w:i/>
          <w:sz w:val="20"/>
        </w:rPr>
        <w:t>EN: Hydrogel‐Based Airway‐on‐Tube With Perfusable Endothelial Lumen and Outward Epithelialization</w:t>
      </w:r>
    </w:p>
    <w:p>
      <w:pPr>
        <w:spacing w:before="0" w:after="120"/>
      </w:pPr>
      <w:r>
        <w:rPr>
          <w:b/>
        </w:rPr>
        <w:t xml:space="preserve">Source: </w:t>
      </w:r>
      <w:r>
        <w:t>Wiley: Advanced Materials: Table of Contents</w:t>
      </w:r>
      <w:r>
        <w:t xml:space="preserve">    </w:t>
      </w:r>
      <w:r>
        <w:rPr>
          <w:b/>
        </w:rPr>
        <w:t xml:space="preserve">Pub date: </w:t>
      </w:r>
      <w:r>
        <w:t>2026-03-02 11:50:33+00:00</w:t>
      </w:r>
      <w:r>
        <w:t xml:space="preserve">    </w:t>
      </w:r>
      <w:r>
        <w:rPr>
          <w:b/>
        </w:rPr>
        <w:t xml:space="preserve">DOI: </w:t>
      </w:r>
      <w:hyperlink r:id="rId374">
        <w:r>
          <w:rPr>
            <w:color w:val="1155CC"/>
            <w:u w:val="single"/>
          </w:rPr>
          <w:t>10.1002/adma.202523588</w:t>
        </w:r>
      </w:hyperlink>
    </w:p>
    <w:p>
      <w:pPr>
        <w:spacing w:before="0" w:after="120"/>
      </w:pPr>
      <w:r>
        <w:rPr>
          <w:b/>
        </w:rPr>
        <w:t xml:space="preserve">Notes: </w:t>
      </w:r>
      <w:r>
        <w:t>abstract_source=pubmed</w:t>
      </w:r>
    </w:p>
    <w:p>
      <w:pPr>
        <w:spacing w:before="0" w:after="80" w:lineRule="auto" w:line="276"/>
      </w:pPr>
      <w:r>
        <w:rPr>
          <w:b/>
        </w:rPr>
        <w:t xml:space="preserve">摘要（ZH）: </w:t>
      </w:r>
      <w:r>
        <w:t>慢性肺病是全球主要的死亡原因之一，但治疗选择仍然有限。肺部药物开发的一个主要障碍是缺乏能够重现肺部复杂性的临床前模型。尽管最近的气道芯片模型通过整合血管和细胞外基质（ECM）成分取得了进展，但这些模型大多局限于平面配置。只有少数管状设计存在，但它们通常缺乏可灌注的血管隔室以支持动态的内皮-上皮相互作用。为了解决这一空白，我们引入了一种气道管，它结合了工程化ECM（EnECM）水凝胶，调节至匹配肺组织的刚度，并与管状熔融电写（MEW）支架结合。MEW加强了EnECM水凝胶以进行动态培养，而不</w:t>
      </w:r>
    </w:p>
    <w:p>
      <w:pPr>
        <w:spacing w:before="0" w:after="200" w:lineRule="auto" w:line="276"/>
      </w:pPr>
      <w:r>
        <w:rPr>
          <w:b/>
        </w:rPr>
        <w:t xml:space="preserve">Abstract (EN): </w:t>
      </w:r>
      <w:r>
        <w:t>Chronic lung diseases are a leading cause of mortality worldwide, yet therapeutic options remain limited. A major barrier to pulmonary drug development is the lack of preclinical models that recapitulate lung complexity. While recent airway-on-chip models have advanced by integrating vascular and extracellular matrix (ECM) components, these are largely limited to planar configurations. Only a few tubular designs exist, yet they generally lack a perfusable vascular compartment that supports dynamic endothelial-epithelial interactions. To address this gap, we introduce an airway-on-tube that integrates an engineered ECM (EnECM) hydrogel, tuned to match lung tissue stiffness, with a tubular melt electrowritten (MEW) scaffold. The MEW reinforces the EnECM hydrogel for dynamic culture without affecting cell behavior. The tubular EnECM/MEW construct incorporates patient-derived primary human lung microvascular endothelial cells embedded within the EnECM hydrogel, forming a perfusable endothelial lumen, while primary human bronchial epithelial cells are cultured on the outer (abluminal) surface, establishing an outward-facing epithelium at the air-liquid interface (ALI). Pulsatile perfusion through the endothelial lumen delivers nutrients and mechanical cues (shear stress and cyclic stretch) while maintaining ALI culture. Together, this study establishes a versatile hydrogel-based platform for next-generation airway-on-chip models, opening new opportunities for preclinical lung research and precision therapeutic development.</w:t>
      </w:r>
    </w:p>
    <w:p>
      <w:pPr>
        <w:spacing w:before="120" w:after="120"/>
      </w:pPr>
      <w:r>
        <w:rPr>
          <w:sz w:val="18"/>
        </w:rPr>
        <w:t>——————————————————————————————————————————————————————————————————————</w:t>
      </w:r>
    </w:p>
    <w:p>
      <w:pPr>
        <w:spacing w:before="160" w:after="40" w:line="240" w:lineRule="auto"/>
      </w:pPr>
      <w:r>
        <w:rPr>
          <w:b/>
        </w:rPr>
        <w:t xml:space="preserve">[128] </w:t>
      </w:r>
      <w:hyperlink r:id="rId375">
        <w:r>
          <w:rPr>
            <w:color w:val="1155CC"/>
            <w:u w:val="single"/>
          </w:rPr>
          <w:t>[ASAP] 一种光激活的糖酶平台，用于时空控制、蛋白质选择性和体内糖链编辑</w:t>
        </w:r>
      </w:hyperlink>
    </w:p>
    <w:p>
      <w:pPr>
        <w:spacing w:before="0" w:after="80"/>
      </w:pPr>
      <w:r>
        <w:rPr>
          <w:i/>
          <w:sz w:val="20"/>
        </w:rPr>
        <w:t>EN: [ASAP] A Photoactivatable Glycoenzyme Platform for Spatiotemporally Controlled, Protein-Selective, and In Vivo Glycan Editing</w:t>
      </w:r>
    </w:p>
    <w:p>
      <w:pPr>
        <w:spacing w:before="0" w:after="120"/>
      </w:pPr>
      <w:r>
        <w:rPr>
          <w:b/>
        </w:rPr>
        <w:t xml:space="preserve">Source: </w:t>
      </w:r>
      <w:r>
        <w:t>Journal of the American Chemical Society: Latest Articles (ACS Publications)</w:t>
      </w:r>
      <w:r>
        <w:t xml:space="preserve">    </w:t>
      </w:r>
      <w:r>
        <w:rPr>
          <w:b/>
        </w:rPr>
        <w:t xml:space="preserve">Pub date: </w:t>
      </w:r>
      <w:r>
        <w:t>2026-03-02 11:53:06+00:00</w:t>
      </w:r>
      <w:r>
        <w:t xml:space="preserve">    </w:t>
      </w:r>
      <w:r>
        <w:rPr>
          <w:b/>
        </w:rPr>
        <w:t xml:space="preserve">DOI: </w:t>
      </w:r>
      <w:hyperlink r:id="rId376">
        <w:r>
          <w:rPr>
            <w:color w:val="1155CC"/>
            <w:u w:val="single"/>
          </w:rPr>
          <w:t>10.1021/jacs.5c21919</w:t>
        </w:r>
      </w:hyperlink>
    </w:p>
    <w:p>
      <w:pPr>
        <w:spacing w:before="0" w:after="120"/>
      </w:pPr>
      <w:r>
        <w:rPr>
          <w:b/>
        </w:rPr>
        <w:t xml:space="preserve">Notes: </w:t>
      </w:r>
      <w:r>
        <w:t>abstract_source=pubmed</w:t>
      </w:r>
    </w:p>
    <w:p>
      <w:pPr>
        <w:spacing w:before="0" w:after="80" w:lineRule="auto" w:line="276"/>
      </w:pPr>
      <w:r>
        <w:rPr>
          <w:b/>
        </w:rPr>
        <w:t xml:space="preserve">摘要（ZH）: </w:t>
      </w:r>
      <w:r>
        <w:t>由于糖基的动态和空间复杂性，对细胞表面糖基化的精确控制仍然具有挑战性。在此，我们提出GLOBE，一个通过位点特异性引入光笼罩非天然氨基酸来光学调节糖酶活性的系统。使用半乳糖氧化酶（GAO）作为模型，安装在邻近酪氨酸的邻硝基苄基-酪氨酸（ONBY）抑制活性，直到光激活，从而实现快速的细胞表面糖基氧化，具有微米级的空间和时间分辨率。将GAO与MUC1靶向适配体结合，产生结合门控的蛋白选择性糖基氧化，实现混合细胞群体中的精确控制。GLOBE进一步扩展到原位抑制唾液酸酶催化域，并集成到正交p</w:t>
      </w:r>
    </w:p>
    <w:p>
      <w:pPr>
        <w:spacing w:before="0" w:after="200" w:lineRule="auto" w:line="276"/>
      </w:pPr>
      <w:r>
        <w:rPr>
          <w:b/>
        </w:rPr>
        <w:t xml:space="preserve">Abstract (EN): </w:t>
      </w:r>
      <w:r>
        <w:t>Precise control of cell-surface glycosylation remains challenging due to the dynamic and spatially complex nature of glycans. Here, we present GLOBE, a platform for optical regulation of glycoenzyme activity via site-specific incorporation of photocaged unnatural amino acids. Using galactose oxidase (GAO) as a model, o-nitrobenzyl-tyrosine (ONBY) installed at a proximal tyrosine suppresses activity until photoactivation, enabling rapid cell-surface glycan oxidation with micrometer-scale spatial and temporal resolution. Coupling GAO with MUC1-targeting aptamer produces binding-gated, protein-selective glycan oxidation, achieving precise control in mixed cellular populations. GLOBE is further extended to in situ suppression of a sialidase catalytic domain, and integrated into an orthogonal photoresponsive cascade, where sialic acid removal exposes substrates for subsequent GAO oxidation, enhancing labeling efficiency. Finally, upconversion nanoparticle-assisted photoactivation enables in vivo glycan editing in a murine tumor model, overcoming UV tissue penetration limits. Together, GLOBE provides a modular, spatiotemporally programmable framework for probing and manipulating dynamic glycosylation at single-cell and tissue levels, offering a versatile strategy to interrogate and engineer the complex sugar code underlying biological and pathological processes.</w:t>
      </w:r>
    </w:p>
    <w:p>
      <w:pPr>
        <w:spacing w:before="120" w:after="120"/>
      </w:pPr>
      <w:r>
        <w:rPr>
          <w:sz w:val="18"/>
        </w:rPr>
        <w:t>——————————————————————————————————————————————————————————————————————</w:t>
      </w:r>
    </w:p>
    <w:p>
      <w:pPr>
        <w:spacing w:before="160" w:after="40" w:line="240" w:lineRule="auto"/>
      </w:pPr>
      <w:r>
        <w:rPr>
          <w:b/>
        </w:rPr>
        <w:t xml:space="preserve">[129] </w:t>
      </w:r>
      <w:hyperlink r:id="rId377">
        <w:r>
          <w:rPr>
            <w:color w:val="1155CC"/>
            <w:u w:val="single"/>
          </w:rPr>
          <w:t>[ASAP] 一维和伪二维螺烯共价有机框架</w:t>
        </w:r>
      </w:hyperlink>
    </w:p>
    <w:p>
      <w:pPr>
        <w:spacing w:before="0" w:after="80"/>
      </w:pPr>
      <w:r>
        <w:rPr>
          <w:i/>
          <w:sz w:val="20"/>
        </w:rPr>
        <w:t>EN: [ASAP] One-Dimensional and Pseudo-Two-Dimensional Helicene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2026-03-02 13:03:41+00:00</w:t>
      </w:r>
      <w:r>
        <w:t xml:space="preserve">    </w:t>
      </w:r>
      <w:r>
        <w:rPr>
          <w:b/>
        </w:rPr>
        <w:t xml:space="preserve">DOI: </w:t>
      </w:r>
      <w:hyperlink r:id="rId378">
        <w:r>
          <w:rPr>
            <w:color w:val="1155CC"/>
            <w:u w:val="single"/>
          </w:rPr>
          <w:t>10.1021/jacs.6c00036</w:t>
        </w:r>
      </w:hyperlink>
    </w:p>
    <w:p>
      <w:pPr>
        <w:spacing w:before="0" w:after="120"/>
      </w:pPr>
      <w:r>
        <w:rPr>
          <w:b/>
        </w:rPr>
        <w:t xml:space="preserve">Notes: </w:t>
      </w:r>
      <w:r>
        <w:t>abstract_source=pubmed</w:t>
      </w:r>
    </w:p>
    <w:p>
      <w:pPr>
        <w:spacing w:before="0" w:after="80" w:lineRule="auto" w:line="276"/>
      </w:pPr>
      <w:r>
        <w:rPr>
          <w:b/>
        </w:rPr>
        <w:t xml:space="preserve">摘要（ZH）: </w:t>
      </w:r>
      <w:r>
        <w:t>在此我们报告了一维（1D）共价有机框架的合成，该框架由空间折叠的螺烯单元构成，在传统拓扑设计中是拓扑禁止的。一个咔唑融合的螺烯采用V形几何结构，具有两个反应位点，分别以104°的角度定向并垂直分隔4.4 Å，这种配置与允许的1D框架生长不兼容。出乎意料的是，与四取代C2对称π结的缩合产生了前所未有的2倍互穿1D带状结构，其中P-和M-螺烯异构体沿相对边缘进行手性排序。这些带状结构通过同手性P-on-P和M-on-M堆叠柱阵列进一步组装成伪二维（2D）框架，促进电荷传输。可见光照射</w:t>
      </w:r>
    </w:p>
    <w:p>
      <w:pPr>
        <w:spacing w:before="0" w:after="200" w:lineRule="auto" w:line="276"/>
      </w:pPr>
      <w:r>
        <w:rPr>
          <w:b/>
        </w:rPr>
        <w:t xml:space="preserve">Abstract (EN): </w:t>
      </w:r>
      <w:r>
        <w:t>Here we report the synthesis of one-dimensional (1D) covalent organic frameworks constructed from spatially folded helicene units that are topologically forbidden in a conventional topology design. A carbazole-fused helicene adopts a V-shaped geometry with two reactive sites oriented at 104° and vertically separated by 4.4 Å, a configuration incompatible with the allowed 1D framework growth. Unexpectedly, condensation with tetrasubstituted C2-symmetric π knots produces unprecedented 2-fold-interpenetrated 1D belt architectures, in which P- and M-helicene isomers are chiral sorted along opposite edges. These belts further assemble into pseudo-two-dimensional (2D) frameworks through homochiral P-on-P and M-on-M stacking column arrays that facilitate charge transport. Visible light irradiation converts the frameworks into photocatalytic skeletons, where the knots reduce oxygen, the helicene units oxidize water, and the micropores deliver water and oxygen, producing hydrogen peroxide directly from oxygen and water without the need of metal cocatalysts and sacrificial agents. These findings open a way to unconventional 1D and pseudo-2D frameworks and photocatalysts.</w:t>
      </w:r>
    </w:p>
    <w:p>
      <w:pPr>
        <w:spacing w:before="120" w:after="120"/>
      </w:pPr>
      <w:r>
        <w:rPr>
          <w:sz w:val="18"/>
        </w:rPr>
        <w:t>——————————————————————————————————————————————————————————————————————</w:t>
      </w:r>
    </w:p>
    <w:p>
      <w:pPr>
        <w:spacing w:before="160" w:after="40" w:line="240" w:lineRule="auto"/>
      </w:pPr>
      <w:r>
        <w:rPr>
          <w:b/>
        </w:rPr>
        <w:t xml:space="preserve">[130] </w:t>
      </w:r>
      <w:hyperlink r:id="rId379">
        <w:r>
          <w:rPr>
            <w:color w:val="1155CC"/>
            <w:u w:val="single"/>
          </w:rPr>
          <w:t>[ASAP] 菲醌的位阻工程用于超快和可调的可见光诱导光点击反应</w:t>
        </w:r>
      </w:hyperlink>
    </w:p>
    <w:p>
      <w:pPr>
        <w:spacing w:before="0" w:after="80"/>
      </w:pPr>
      <w:r>
        <w:rPr>
          <w:i/>
          <w:sz w:val="20"/>
        </w:rPr>
        <w:t>EN: [ASAP] Steric Engineering of Phenanthrenequinone for Ultrafast and Tunable Visible Light-Induced Photoclick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2026-03-02 13:25:07+00:00</w:t>
      </w:r>
      <w:r>
        <w:t xml:space="preserve">    </w:t>
      </w:r>
      <w:r>
        <w:rPr>
          <w:b/>
        </w:rPr>
        <w:t xml:space="preserve">DOI: </w:t>
      </w:r>
      <w:hyperlink r:id="rId380">
        <w:r>
          <w:rPr>
            <w:color w:val="1155CC"/>
            <w:u w:val="single"/>
          </w:rPr>
          <w:t>10.1021/jacs.5c21739</w:t>
        </w:r>
      </w:hyperlink>
    </w:p>
    <w:p>
      <w:pPr>
        <w:spacing w:before="0" w:after="120"/>
      </w:pPr>
      <w:r>
        <w:rPr>
          <w:b/>
        </w:rPr>
        <w:t xml:space="preserve">Notes: </w:t>
      </w:r>
      <w:r>
        <w:t>abstract_source=pubmed</w:t>
      </w:r>
    </w:p>
    <w:p>
      <w:pPr>
        <w:spacing w:before="0" w:after="80" w:lineRule="auto" w:line="276"/>
      </w:pPr>
      <w:r>
        <w:rPr>
          <w:b/>
        </w:rPr>
        <w:t xml:space="preserve">摘要（ZH）: </w:t>
      </w:r>
      <w:r>
        <w:t>光诱导的9,10-菲醌-富电子烯烃（PQ-ERA）光环加成反应是一种具有快速转化的新型光点击反应。然而，迄今为止，反应的可调性几乎没有被研究。为此，我们探索了在PQ邻苯基位置的空间工程作为一种强大且前所未有的手段来大幅调节动力学。引入空间基团（例如，PQ-o2CH3中的2,6-二甲基）强制产生大二面角（69.5°），因此1nπ*态成为最低的电子激发单重态S1，而不是1ππ*态，同时保持T1为3ππ*，三重态寿命得到提升，并且实现了超快的直接[4 + 2]光点击反应。关键是，空间基团加速了速率超过21倍（k2上</w:t>
      </w:r>
    </w:p>
    <w:p>
      <w:pPr>
        <w:spacing w:before="0" w:after="200" w:lineRule="auto" w:line="276"/>
      </w:pPr>
      <w:r>
        <w:rPr>
          <w:b/>
        </w:rPr>
        <w:t xml:space="preserve">Abstract (EN): </w:t>
      </w:r>
      <w:r>
        <w:t>Light-induced 9,10-phenanthrenequinone-electron-rich alkene (PQ-ERA) photocycloadditions are an attractive new type of photoclick reaction featuring fast conversions. However, the tunability of the reaction has hardly been investigated up to now. To this end, we explored steric engineering at the PQ ortho-phenyl position as a powerful, unprecedented means to drastically modulate kinetics. Introducing steric groups (e.g., 2,6-dimethyl in PQ-o2CH3) enforced large dihedral angles (69.5°) as a result of which the 1nπ* state became the lowest electronically excited singlet state S1 instead of the 1ππ* state, while retaining T1 as 3ππ*, the triplet lifetime was boosted and an ultrafast direct [4 + 2] photoclick reaction was enabled. Critically, steric groups accelerated rates by &gt;21-fold (k2 up to 11,300 M-1 s-1), spanning 2 orders of magnitude. Leveraging this novel steric-kinetic relationship, we demonstrated a "burn-after-reading" encryption concept via spatially controlled photoclick and rapid erasure by uniform isoconversion. This demonstration of steric control over PQ-ERA photoclick efficiency provides a foundation for designing orthogonal ultrafast conjugation systems.</w:t>
      </w:r>
    </w:p>
    <w:p>
      <w:pPr>
        <w:spacing w:before="120" w:after="120"/>
      </w:pPr>
      <w:r>
        <w:rPr>
          <w:sz w:val="18"/>
        </w:rPr>
        <w:t>——————————————————————————————————————————————————————————————————————</w:t>
      </w:r>
    </w:p>
    <w:p>
      <w:pPr>
        <w:spacing w:before="160" w:after="40" w:line="240" w:lineRule="auto"/>
      </w:pPr>
      <w:r>
        <w:rPr>
          <w:b/>
        </w:rPr>
        <w:t xml:space="preserve">[131] </w:t>
      </w:r>
      <w:hyperlink r:id="rId381">
        <w:r>
          <w:rPr>
            <w:color w:val="1155CC"/>
            <w:u w:val="single"/>
          </w:rPr>
          <w:t>[ASAP] 范德华CrSBr中的腔增强巨磁光线性二色性</w:t>
        </w:r>
      </w:hyperlink>
    </w:p>
    <w:p>
      <w:pPr>
        <w:spacing w:before="0" w:after="80"/>
      </w:pPr>
      <w:r>
        <w:rPr>
          <w:i/>
          <w:sz w:val="20"/>
        </w:rPr>
        <w:t>EN: [ASAP] Cavity-Enhanced Giant Magneto-Optical Linear Dichroism in van der Waals CrSBr</w:t>
      </w:r>
    </w:p>
    <w:p>
      <w:pPr>
        <w:spacing w:before="0" w:after="120"/>
      </w:pPr>
      <w:r>
        <w:rPr>
          <w:b/>
        </w:rPr>
        <w:t xml:space="preserve">Source: </w:t>
      </w:r>
      <w:r>
        <w:t>Journal of the American Chemical Society: Latest Articles (ACS Publications)</w:t>
      </w:r>
      <w:r>
        <w:t xml:space="preserve">    </w:t>
      </w:r>
      <w:r>
        <w:rPr>
          <w:b/>
        </w:rPr>
        <w:t xml:space="preserve">Pub date: </w:t>
      </w:r>
      <w:r>
        <w:t>2026-03-02 14:31:12+00:00</w:t>
      </w:r>
      <w:r>
        <w:t xml:space="preserve">    </w:t>
      </w:r>
      <w:r>
        <w:rPr>
          <w:b/>
        </w:rPr>
        <w:t xml:space="preserve">DOI: </w:t>
      </w:r>
      <w:hyperlink r:id="rId382">
        <w:r>
          <w:rPr>
            <w:color w:val="1155CC"/>
            <w:u w:val="single"/>
          </w:rPr>
          <w:t>10.1021/jacs.5c19443</w:t>
        </w:r>
      </w:hyperlink>
    </w:p>
    <w:p>
      <w:pPr>
        <w:spacing w:before="0" w:after="120"/>
      </w:pPr>
      <w:r>
        <w:rPr>
          <w:b/>
        </w:rPr>
        <w:t xml:space="preserve">Notes: </w:t>
      </w:r>
      <w:r>
        <w:t>abstract_source=openalex</w:t>
      </w:r>
    </w:p>
    <w:p>
      <w:pPr>
        <w:spacing w:before="0" w:after="80" w:lineRule="auto" w:line="276"/>
      </w:pPr>
      <w:r>
        <w:rPr>
          <w:b/>
        </w:rPr>
        <w:t xml:space="preserve">摘要（ZH）: </w:t>
      </w:r>
      <w:r>
        <w:t>紧凑的磁光二色性设备促进了芯片级光子的主动和动态操控，使其成为集成光子和光电子系统开发的关键焦点。然而，现有光学各向异性材料的性能往往受到其窄操作带宽和温度以及磁诱导可调性不足的限制。在此，我们展示了一种稳健且可重构的磁光二色性，跨越从可见光到近红外光谱，使用由范德华CrSBr晶体构建的准一维激子-极化激元腔平台。该平台展示了强烈且多参数可调的面内线性二色性，对磁场、温度和晶体厚度变化具有响应性。各向异性</w:t>
      </w:r>
    </w:p>
    <w:p>
      <w:pPr>
        <w:spacing w:before="0" w:after="200" w:lineRule="auto" w:line="276"/>
      </w:pPr>
      <w:r>
        <w:rPr>
          <w:b/>
        </w:rPr>
        <w:t xml:space="preserve">Abstract (EN): </w:t>
      </w:r>
      <w:r>
        <w:t>Compact magneto-optical dichroism devices facilitate active and dynamic manipulation of photons at the chip scale, making them a key focus in the development of integrated photonic and optoelectronic systems. However, the performance of existing optical anisotropy materials is often constrained by their narrow operational bandwidth and temperature and insufficient magnetically induced tunability. Herein, we demonstrate robust and reconfigurable magneto-optical dichroism spanning the visible to near-infrared spectrum using a quasi-1D exciton-polariton cavity platform constructed from van der Waals CrSBr crystals. The platform demonstrates strong and multiparameter-tunable in-plane linear dichroism, responsive to magnetic field, temperature, and crystal thickness variations. The anisotropy in exciton-photon coupling is the origin of the superior and tunable in-plane anisotropy, which is enhanced by the optical cavity. We further demonstrate the effective modulation of the left- and right-circularly polarized components in anisotropy-induced optical spin-orbit coupling in CrSBr microcavities. These results offer valuable insights for the development of compact isolators, modulators, and polarizers for photonic, quantum, and optoelectronic applications.</w:t>
      </w:r>
    </w:p>
    <w:p>
      <w:pPr>
        <w:spacing w:before="120" w:after="120"/>
      </w:pPr>
      <w:r>
        <w:rPr>
          <w:sz w:val="18"/>
        </w:rPr>
        <w:t>——————————————————————————————————————————————————————————————————————</w:t>
      </w:r>
    </w:p>
    <w:p>
      <w:pPr>
        <w:spacing w:before="160" w:after="40" w:line="240" w:lineRule="auto"/>
      </w:pPr>
      <w:r>
        <w:rPr>
          <w:b/>
        </w:rPr>
        <w:t xml:space="preserve">[132] </w:t>
      </w:r>
      <w:hyperlink r:id="rId383">
        <w:r>
          <w:rPr>
            <w:color w:val="1155CC"/>
            <w:u w:val="single"/>
          </w:rPr>
          <w:t>[ASAP] 从硼到铋：芳基转移中的预转金属化复合物</w:t>
        </w:r>
      </w:hyperlink>
    </w:p>
    <w:p>
      <w:pPr>
        <w:spacing w:before="0" w:after="80"/>
      </w:pPr>
      <w:r>
        <w:rPr>
          <w:i/>
          <w:sz w:val="20"/>
        </w:rPr>
        <w:t>EN: [ASAP] From Boron to Bismuth: The Pre-transmetalation Complex in the Aryl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2026-03-02 14:33:14+00:00</w:t>
      </w:r>
      <w:r>
        <w:t xml:space="preserve">    </w:t>
      </w:r>
      <w:r>
        <w:rPr>
          <w:b/>
        </w:rPr>
        <w:t xml:space="preserve">DOI: </w:t>
      </w:r>
      <w:hyperlink r:id="rId384">
        <w:r>
          <w:rPr>
            <w:color w:val="1155CC"/>
            <w:u w:val="single"/>
          </w:rPr>
          <w:t>10.1021/jacs.5c21293</w:t>
        </w:r>
      </w:hyperlink>
    </w:p>
    <w:p>
      <w:pPr>
        <w:spacing w:before="0" w:after="120"/>
      </w:pPr>
      <w:r>
        <w:rPr>
          <w:b/>
        </w:rPr>
        <w:t xml:space="preserve">Notes: </w:t>
      </w:r>
      <w:r>
        <w:t>abstract_source=openalex</w:t>
      </w:r>
    </w:p>
    <w:p>
      <w:pPr>
        <w:spacing w:before="0" w:after="80" w:lineRule="auto" w:line="276"/>
      </w:pPr>
      <w:r>
        <w:rPr>
          <w:b/>
        </w:rPr>
        <w:t xml:space="preserve">摘要（ZH）: </w:t>
      </w:r>
      <w:r>
        <w:t>B到Bi的跨金属化越来越多地被视为Bi基协议中的关键有机金属步骤。然而，与过渡金属配合物类似，获得导致从B到金属的芳基转移的跨金属化中间体的结构证据是具有挑战性且罕见的。在此，我们提供了两个前所未有的跨金属化前配合物的结构表征，通过F-或OH-桥连接B和Bi。受早期d区元素研究的启发，我们建立了跨金属化可以发生的两种一般途径：&lt;i&gt;中性途径&lt;/i&gt;和&lt;i&gt;离子途径&lt;/i&gt;。这些研究阐明了成功跨金属化广泛的前所未有的芳基硼物种的要求。</w:t>
      </w:r>
    </w:p>
    <w:p>
      <w:pPr>
        <w:spacing w:before="0" w:after="200" w:lineRule="auto" w:line="276"/>
      </w:pPr>
      <w:r>
        <w:rPr>
          <w:b/>
        </w:rPr>
        <w:t xml:space="preserve">Abstract (EN): </w:t>
      </w:r>
      <w:r>
        <w:t>B-to-Bi transmetalation is increasingly encountered as a key organometallic step in Bi-based protocols. Yet, akin to transition metal complexes, obtaining structural evidence of pre-transmetalation intermediates that lead to the aryl transfer from B to a metal is challenging and rare. Herein, we provide structural characterization of two unprecedented pre-transmetalation complexes linking B and Bi through a F- or an OH- bridge. Inspired by earlier studies on d-block elements, we establish two general pathways by which transmetalation can occur: the &lt;i&gt;neutral&lt;/i&gt; and the &lt;i&gt;ionic pathway&lt;/i&gt;. These studies delineate the requirements for successful transmetalation of a wide range of unprecedented arylboron species.</w:t>
      </w:r>
    </w:p>
    <w:p>
      <w:pPr>
        <w:spacing w:before="120" w:after="120"/>
      </w:pPr>
      <w:r>
        <w:rPr>
          <w:sz w:val="18"/>
        </w:rPr>
        <w:t>——————————————————————————————————————————————————————————————————————</w:t>
      </w:r>
    </w:p>
    <w:p>
      <w:pPr>
        <w:spacing w:before="160" w:after="40" w:line="240" w:lineRule="auto"/>
      </w:pPr>
      <w:r>
        <w:rPr>
          <w:b/>
        </w:rPr>
        <w:t xml:space="preserve">[133] </w:t>
      </w:r>
      <w:hyperlink r:id="rId385">
        <w:r>
          <w:rPr>
            <w:color w:val="1155CC"/>
            <w:u w:val="single"/>
          </w:rPr>
          <w:t>[ASAP] 通过光学共振观察到的多孔交联聚合物的蒸汽诱导负膨胀</w:t>
        </w:r>
      </w:hyperlink>
    </w:p>
    <w:p>
      <w:pPr>
        <w:spacing w:before="0" w:after="80"/>
      </w:pPr>
      <w:r>
        <w:rPr>
          <w:i/>
          <w:sz w:val="20"/>
        </w:rPr>
        <w:t>EN: [ASAP] Vapor-Induced Negative Expansion of Porous Cross-Linked Polymers Observed by Optical Resonance</w:t>
      </w:r>
    </w:p>
    <w:p>
      <w:pPr>
        <w:spacing w:before="0" w:after="120"/>
      </w:pPr>
      <w:r>
        <w:rPr>
          <w:b/>
        </w:rPr>
        <w:t xml:space="preserve">Source: </w:t>
      </w:r>
      <w:r>
        <w:t>Journal of the American Chemical Society: Latest Articles (ACS Publications)</w:t>
      </w:r>
      <w:r>
        <w:t xml:space="preserve">    </w:t>
      </w:r>
      <w:r>
        <w:rPr>
          <w:b/>
        </w:rPr>
        <w:t xml:space="preserve">Pub date: </w:t>
      </w:r>
      <w:r>
        <w:t>2026-03-02 15:56:23+00:00</w:t>
      </w:r>
      <w:r>
        <w:t xml:space="preserve">    </w:t>
      </w:r>
      <w:r>
        <w:rPr>
          <w:b/>
        </w:rPr>
        <w:t xml:space="preserve">DOI: </w:t>
      </w:r>
      <w:hyperlink r:id="rId386">
        <w:r>
          <w:rPr>
            <w:color w:val="1155CC"/>
            <w:u w:val="single"/>
          </w:rPr>
          <w:t>10.1021/jacs.5c20173</w:t>
        </w:r>
      </w:hyperlink>
    </w:p>
    <w:p>
      <w:pPr>
        <w:spacing w:before="0" w:after="120"/>
      </w:pPr>
      <w:r>
        <w:rPr>
          <w:b/>
        </w:rPr>
        <w:t xml:space="preserve">Notes: </w:t>
      </w:r>
      <w:r>
        <w:t>abstract_source=openalex</w:t>
      </w:r>
    </w:p>
    <w:p>
      <w:pPr>
        <w:spacing w:before="0" w:after="80" w:lineRule="auto" w:line="276"/>
      </w:pPr>
      <w:r>
        <w:rPr>
          <w:b/>
        </w:rPr>
        <w:t xml:space="preserve">摘要（ZH）: </w:t>
      </w:r>
      <w:r>
        <w:t>我们报告了介孔交联聚合物微球（&lt;b&gt;PMS&lt;/b&gt;&lt;sup&gt;&lt;b&gt;1:0.5&lt;/b&gt;&lt;/sup&gt;），在吸收有机蒸气时发生负膨胀。这些微球是通过乳化含有乙二醇二甲基丙烯酸酯（EGDMA）作为可交联单体、2,2-二甲氧基-2-苯基乙酰苯酮（DMPA）作为光引发剂、（+）-柠檬烯作为模板和尼罗红作为荧光染料的油相，然后进行光固化和广泛洗涤制备的。所得的&lt;b&gt;PMS&lt;/b&gt;&lt;sup&gt;&lt;b&gt;1:0.5&lt;/b&gt;&lt;/sup&gt;具有193 m&lt;sup&gt;2&lt;/sup&gt; g&lt;sup&gt;-1&lt;/sup&gt;的Brunauer-Emmett-Teller表面积。在显微镜下光激发时，&lt;b&gt;PMS&lt;/b&gt;&lt;sup&gt;&lt;b&gt;1:0.5&lt;/b&gt;&lt;/sup&gt;由于均匀分散的尼罗红而显示出发光，尼罗红被限制在颗粒内。</w:t>
      </w:r>
    </w:p>
    <w:p>
      <w:pPr>
        <w:spacing w:before="0" w:after="200" w:lineRule="auto" w:line="276"/>
      </w:pPr>
      <w:r>
        <w:rPr>
          <w:b/>
        </w:rPr>
        <w:t xml:space="preserve">Abstract (EN): </w:t>
      </w:r>
      <w:r>
        <w:t>We report mesoporous cross-linked polymeric microspheres (&lt;b&gt;PMS&lt;/b&gt;&lt;sup&gt;&lt;b&gt;1:0.5&lt;/b&gt;&lt;/sup&gt;) that undergo negative expansion upon the uptake of organic vapor. The microspheres were prepared by emulsifying an oil phase containing ethylene glycol dimethacrylate (EGDMA) as a cross-linkable monomer, 2,2-dimethoxy-2-phenylacetophenone (DMPA) as a photoinitiator, (+)-limonene as a template, and Nile Red as a fluorescent dye, followed by photocuring and extensive washing. The resulting &lt;b&gt;PMS&lt;/b&gt;&lt;sup&gt;&lt;b&gt;1:0.5&lt;/b&gt;&lt;/sup&gt; possesses mesopores with a Brunauer-Emmett-Teller surface area of 193 m&lt;sup&gt;2&lt;/sup&gt; g&lt;sup&gt;-1&lt;/sup&gt;. Upon photoexcitation under a microscope, &lt;b&gt;PMS&lt;/b&gt;&lt;sup&gt;&lt;b&gt;1:0.5&lt;/b&gt;&lt;/sup&gt; displays luminescence due to homogeneously dispersed Nile Red, which is confined within the particle via total internal reflection and exhibits whispering gallery mode (WGM) optical resonance in the photoluminescence spectra. The WGM peaks blue-shift upon exposure to &lt;i&gt;n&lt;/i&gt;-hexane vapor, indicating a contraction of &lt;b&gt;PMS&lt;/b&gt;&lt;sup&gt;&lt;b&gt;1:0.5&lt;/b&gt;&lt;/sup&gt; by -2.2% in diameter. Scanning electron micrographs and N&lt;sub&gt;2&lt;/sub&gt; sorption isotherms further corroborate the shrinkage of &lt;b&gt;PMS&lt;/b&gt;&lt;sup&gt;&lt;b&gt;1:0.5&lt;/b&gt;&lt;/sup&gt;. The slight red-shift at lower vapor concentrations followed by an abrupt blue-shift at higher concentrations suggests that vapor condensation within the mesopores induces an inward Laplace pressure against the pore walls, which exceeds the elastic force of the polymer matrix and results in shrinkage.</w:t>
      </w:r>
    </w:p>
    <w:p>
      <w:pPr>
        <w:spacing w:before="120" w:after="120"/>
      </w:pPr>
      <w:r>
        <w:rPr>
          <w:sz w:val="18"/>
        </w:rPr>
        <w:t>——————————————————————————————————————————————————————————————————————</w:t>
      </w:r>
    </w:p>
    <w:p>
      <w:pPr>
        <w:spacing w:before="160" w:after="40" w:line="240" w:lineRule="auto"/>
      </w:pPr>
      <w:r>
        <w:rPr>
          <w:b/>
        </w:rPr>
        <w:t xml:space="preserve">[134] </w:t>
      </w:r>
      <w:hyperlink r:id="rId387">
        <w:r>
          <w:rPr>
            <w:color w:val="1155CC"/>
            <w:u w:val="single"/>
          </w:rPr>
          <w:t>[ASAP] 通过实时核酸酶消化进行高通量适配体表征</w:t>
        </w:r>
      </w:hyperlink>
    </w:p>
    <w:p>
      <w:pPr>
        <w:spacing w:before="0" w:after="80"/>
      </w:pPr>
      <w:r>
        <w:rPr>
          <w:i/>
          <w:sz w:val="20"/>
        </w:rPr>
        <w:t>EN: [ASAP] High-Throughput Aptamer Characterization via Real-Time Nuclease Digestion</w:t>
      </w:r>
    </w:p>
    <w:p>
      <w:pPr>
        <w:spacing w:before="0" w:after="120"/>
      </w:pPr>
      <w:r>
        <w:rPr>
          <w:b/>
        </w:rPr>
        <w:t xml:space="preserve">Source: </w:t>
      </w:r>
      <w:r>
        <w:t>Journal of the American Chemical Society: Latest Articles (ACS Publications)</w:t>
      </w:r>
      <w:r>
        <w:t xml:space="preserve">    </w:t>
      </w:r>
      <w:r>
        <w:rPr>
          <w:b/>
        </w:rPr>
        <w:t xml:space="preserve">Pub date: </w:t>
      </w:r>
      <w:r>
        <w:t>2026-03-02 16:19:32+00:00</w:t>
      </w:r>
      <w:r>
        <w:t xml:space="preserve">    </w:t>
      </w:r>
      <w:r>
        <w:rPr>
          <w:b/>
        </w:rPr>
        <w:t xml:space="preserve">DOI: </w:t>
      </w:r>
      <w:hyperlink r:id="rId388">
        <w:r>
          <w:rPr>
            <w:color w:val="1155CC"/>
            <w:u w:val="single"/>
          </w:rPr>
          <w:t>10.1021/jacs.5c17561</w:t>
        </w:r>
      </w:hyperlink>
    </w:p>
    <w:p>
      <w:pPr>
        <w:spacing w:before="0" w:after="120"/>
      </w:pPr>
      <w:r>
        <w:rPr>
          <w:b/>
        </w:rPr>
        <w:t xml:space="preserve">Notes: </w:t>
      </w:r>
      <w:r>
        <w:t>abstract_source=pubmed</w:t>
      </w:r>
    </w:p>
    <w:p>
      <w:pPr>
        <w:spacing w:before="0" w:after="80" w:lineRule="auto" w:line="276"/>
      </w:pPr>
      <w:r>
        <w:rPr>
          <w:b/>
        </w:rPr>
        <w:t xml:space="preserve">摘要（ZH）: </w:t>
      </w:r>
      <w:r>
        <w:t>适配体是与特定分子高亲和力结合的寡核苷酸，已成为多种应用的流行生物识别元件。虽然通过体外选择发现适配体变得更加简单，但准确表征适配体结合仍然具有挑战性，尤其是在高通量的情况下。在此，我们提出了我们先前报道的第一代外切酶消化测定法的下一代版本，用于以平行和无标记的方式筛选适配体-配体相互作用。我们新的实时外切酶（RT-Exo）测定法的通量比上一代方法高出几个数量级，且劳动和资源消耗显著减少。RT-Exo测定法使用荧光适配体作为信号报告器来监测e</w:t>
      </w:r>
    </w:p>
    <w:p>
      <w:pPr>
        <w:spacing w:before="0" w:after="200" w:lineRule="auto" w:line="276"/>
      </w:pPr>
      <w:r>
        <w:rPr>
          <w:b/>
        </w:rPr>
        <w:t xml:space="preserve">Abstract (EN): </w:t>
      </w:r>
      <w:r>
        <w:t>Aptamers, oligonucleotides that bind specific molecules with high affinity, have become popular biorecognition elements for diverse applications. While aptamer discovery via in vitro selection has become more straightforward, it remains challenging to accurately characterize aptamer binding in an accurate and high-throughput manner. Here, we present a next-generation version of our previously reported first-generation exonuclease digestion assays for screening aptamer-ligand interactions in a parallel and label-free manner. Our new real-time exonuclease (RT-Exo) assay delivers throughput exceeding that of the previous-generation method by orders of magnitude, with considerably less labor and resource consumption. The RT-Exo assay uses a fluorogenic aptamer as a signal reporter to monitor exonucleolytic digestion of aptamers in real time. Once samples are prepared and loaded into a microplate, a reader can autonomously monitor the digestion process, generating hundreds of data points per sample. Our fluorogenic reporter functions under many buffer and salt conditions, and we have validated the performance of RT-Exo with multiple aptamers of diverse structures binding to targets of varying physicochemical properties and divergent binding affinities. Finally, we showcase the utility of RT-Exo by screening mutants as part of structure-activity studies and its impressive throughput by profiling aptamer binding to 120 fentanyl analogs in a single run with just one experimentalist. With the greatly increased throughput, precision, and simplicity of the RT-Exo assay, the aptamer characterization process should become far more streamlined and efficient.</w:t>
      </w:r>
    </w:p>
    <w:p>
      <w:pPr>
        <w:spacing w:before="120" w:after="120"/>
      </w:pPr>
      <w:r>
        <w:rPr>
          <w:sz w:val="18"/>
        </w:rPr>
        <w:t>——————————————————————————————————————————————————————————————————————</w:t>
      </w:r>
    </w:p>
    <w:p>
      <w:pPr>
        <w:spacing w:before="160" w:after="40" w:line="240" w:lineRule="auto"/>
      </w:pPr>
      <w:r>
        <w:rPr>
          <w:b/>
        </w:rPr>
        <w:t xml:space="preserve">[135] </w:t>
      </w:r>
      <w:hyperlink r:id="rId389">
        <w:r>
          <w:rPr>
            <w:color w:val="1155CC"/>
            <w:u w:val="single"/>
          </w:rPr>
          <w:t>[ASAP] 电子泵驱动的氧化还原设计用于提升氧化铈的反应性</w:t>
        </w:r>
      </w:hyperlink>
    </w:p>
    <w:p>
      <w:pPr>
        <w:spacing w:before="0" w:after="80"/>
      </w:pPr>
      <w:r>
        <w:rPr>
          <w:i/>
          <w:sz w:val="20"/>
        </w:rPr>
        <w:t>EN: [ASAP] Electron-Pump Driven Redox Design for Boosting the Reactivity of Ceria</w:t>
      </w:r>
    </w:p>
    <w:p>
      <w:pPr>
        <w:spacing w:before="0" w:after="120"/>
      </w:pPr>
      <w:r>
        <w:rPr>
          <w:b/>
        </w:rPr>
        <w:t xml:space="preserve">Source: </w:t>
      </w:r>
      <w:r>
        <w:t>Journal of the American Chemical Society: Latest Articles (ACS Publications)</w:t>
      </w:r>
      <w:r>
        <w:t xml:space="preserve">    </w:t>
      </w:r>
      <w:r>
        <w:rPr>
          <w:b/>
        </w:rPr>
        <w:t xml:space="preserve">Pub date: </w:t>
      </w:r>
      <w:r>
        <w:t>2026-03-02 16:19:38+00:00</w:t>
      </w:r>
      <w:r>
        <w:t xml:space="preserve">    </w:t>
      </w:r>
      <w:r>
        <w:rPr>
          <w:b/>
        </w:rPr>
        <w:t xml:space="preserve">DOI: </w:t>
      </w:r>
      <w:hyperlink r:id="rId390">
        <w:r>
          <w:rPr>
            <w:color w:val="1155CC"/>
            <w:u w:val="single"/>
          </w:rPr>
          <w:t>10.1021/jacs.5c21866</w:t>
        </w:r>
      </w:hyperlink>
    </w:p>
    <w:p>
      <w:pPr>
        <w:spacing w:before="0" w:after="120"/>
      </w:pPr>
      <w:r>
        <w:rPr>
          <w:b/>
        </w:rPr>
        <w:t xml:space="preserve">Notes: </w:t>
      </w:r>
      <w:r>
        <w:t>abstract_source=openalex</w:t>
      </w:r>
    </w:p>
    <w:p>
      <w:pPr>
        <w:spacing w:before="0" w:after="80" w:lineRule="auto" w:line="276"/>
      </w:pPr>
      <w:r>
        <w:rPr>
          <w:b/>
        </w:rPr>
        <w:t xml:space="preserve">摘要（ZH）: </w:t>
      </w:r>
      <w:r>
        <w:t>电子泵行为可以增强异质催化中的电荷转移和氧化还原循环，但在反应条件下其动态演变难以控制。在此，我们通过两步合成将Nb&lt;sup&gt;5+&lt;/sup&gt;掺入CeO&lt;sub&gt;2&lt;/sub&gt;晶格中，作为电子泵送剂的供体掺杂剂，调节电子转移并稳定Ce&lt;sup&gt;3+&lt;/sup&gt;/Ce&lt;sup&gt;4+&lt;/sup&gt;氧化还原循环。Nb&lt;sup&gt;5+&lt;/sup&gt;掺杂促进了Ce&lt;sup&gt;3+&lt;/sup&gt;的形成并加速了可逆的Ce&lt;sup&gt;3+&lt;/sup&gt;/Ce&lt;sup&gt;4+&lt;/sup&gt;循环，从而提高了CeO&lt;sub&gt;2&lt;/sub&gt;在氨选择性催化还原反应中的活性、选择性和稳定性。原位光谱测量显示，加速的电子循环刺激了v的活化</w:t>
      </w:r>
    </w:p>
    <w:p>
      <w:pPr>
        <w:spacing w:before="0" w:after="200" w:lineRule="auto" w:line="276"/>
      </w:pPr>
      <w:r>
        <w:rPr>
          <w:b/>
        </w:rPr>
        <w:t xml:space="preserve">Abstract (EN): </w:t>
      </w:r>
      <w:r>
        <w:t>Electron-pump behavior can enhance charge transfer and redox cycling in heterogeneous catalysis, but its dynamic evolution under reaction conditions is difficult to control. Herein, we incorporate Nb&lt;sup&gt;5+&lt;/sup&gt; into the CeO&lt;sub&gt;2&lt;/sub&gt; lattice via a two-step synthesis to act as a donor dopant that functions as an electron-pumping agent, tuning electron transfer and stabilizing the Ce&lt;sup&gt;3+&lt;/sup&gt;/Ce&lt;sup&gt;4+&lt;/sup&gt; redox cycle. Nb&lt;sup&gt;5+&lt;/sup&gt; doping promotes Ce&lt;sup&gt;3+&lt;/sup&gt; formation and accelerates reversible Ce&lt;sup&gt;3+&lt;/sup&gt;/Ce&lt;sup&gt;4+&lt;/sup&gt; cycling, which leads to improved activity, selectivity, and stability of CeO&lt;sub&gt;2&lt;/sub&gt; for the ammonia selective catalytic reduction reaction. In situ spectroscopy measurements reveal that accelerated electron cycling stimulates the activation of a variety of molecules, including complexes of O&lt;sub&gt;2&lt;/sub&gt;, NO, and NH&lt;sub&gt;3&lt;/sub&gt;. The optimized Ce&lt;sub&gt;0.8&lt;/sub&gt;Nb&lt;sub&gt;0.2&lt;/sub&gt;O&lt;sub&gt;2&lt;/sub&gt; catalyst achieves &gt;98% NO conversion and &gt;98% N&lt;sub&gt;2&lt;/sub&gt; selectivity from 200 to 400 °C and exhibits excellent H&lt;sub&gt;2&lt;/sub&gt;O and SO&lt;sub&gt;2&lt;/sub&gt; resistance. This work establishes a clear structure-activity relationship centered on electron-pump function reinforcement and offers mechanistic insight into controlling the dynamic electron-transfer evolution during the catalytic reaction.</w:t>
      </w:r>
    </w:p>
    <w:p>
      <w:pPr>
        <w:spacing w:before="120" w:after="120"/>
      </w:pPr>
      <w:r>
        <w:rPr>
          <w:sz w:val="18"/>
        </w:rPr>
        <w:t>——————————————————————————————————————————————————————————————————————</w:t>
      </w:r>
    </w:p>
    <w:p>
      <w:pPr>
        <w:spacing w:before="160" w:after="40" w:line="240" w:lineRule="auto"/>
      </w:pPr>
      <w:r>
        <w:rPr>
          <w:b/>
        </w:rPr>
        <w:t xml:space="preserve">[136] </w:t>
      </w:r>
      <w:hyperlink r:id="rId391">
        <w:r>
          <w:rPr>
            <w:color w:val="1155CC"/>
            <w:u w:val="single"/>
          </w:rPr>
          <w:t>[ASAP] 构象可变的尖刺多肽通过条件性抗原捕获和STING激活实现原位癌症疫苗接种</w:t>
        </w:r>
      </w:hyperlink>
    </w:p>
    <w:p>
      <w:pPr>
        <w:spacing w:before="0" w:after="80"/>
      </w:pPr>
      <w:r>
        <w:rPr>
          <w:i/>
          <w:sz w:val="20"/>
        </w:rPr>
        <w:t>EN: [ASAP] Conformation-Transformable, Spiked Polypeptide Enables In Situ Cancer Vaccination via Conditional Antigen Capture and STING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2026-03-02 16:49:07+00:00</w:t>
      </w:r>
      <w:r>
        <w:t xml:space="preserve">    </w:t>
      </w:r>
      <w:r>
        <w:rPr>
          <w:b/>
        </w:rPr>
        <w:t xml:space="preserve">DOI: </w:t>
      </w:r>
      <w:hyperlink r:id="rId392">
        <w:r>
          <w:rPr>
            <w:color w:val="1155CC"/>
            <w:u w:val="single"/>
          </w:rPr>
          <w:t>10.1021/jacs.5c22249</w:t>
        </w:r>
      </w:hyperlink>
    </w:p>
    <w:p>
      <w:pPr>
        <w:spacing w:before="0" w:after="120"/>
      </w:pPr>
      <w:r>
        <w:rPr>
          <w:b/>
        </w:rPr>
        <w:t xml:space="preserve">Notes: </w:t>
      </w:r>
      <w:r>
        <w:t>abstract_source=pubmed</w:t>
      </w:r>
    </w:p>
    <w:p>
      <w:pPr>
        <w:spacing w:before="0" w:after="80" w:lineRule="auto" w:line="276"/>
      </w:pPr>
      <w:r>
        <w:rPr>
          <w:b/>
        </w:rPr>
        <w:t xml:space="preserve">摘要（ZH）: </w:t>
      </w:r>
      <w:r>
        <w:t>基于自体肿瘤抗原的癌症疫苗在抗肿瘤免疫治疗中具有深远的前景，但在抗原捕获和免疫激活方面面临低效率和缺乏癌症选择性的挑战。在此，开发了一种自佐剂疫苗前体，由可变构的尖刺多肽介导条件性抗原捕获和STING激活，形成原位癌症疫苗。疫苗前体由包裹蜂毒素的介孔二氧化硅纳米颗粒（MSN）构建，并共价修饰有DMXAA（一种STING激动剂）-结合的多肽。在休眠状态下，多肽采用灵活的随机卷曲构象，防止非抗原蛋白的捕获并伪装疏水的DMXAA。在</w:t>
      </w:r>
    </w:p>
    <w:p>
      <w:pPr>
        <w:spacing w:before="0" w:after="200" w:lineRule="auto" w:line="276"/>
      </w:pPr>
      <w:r>
        <w:rPr>
          <w:b/>
        </w:rPr>
        <w:t xml:space="preserve">Abstract (EN): </w:t>
      </w:r>
      <w:r>
        <w:t>Cancer vaccines based on autologous tumor antigens hold profound promise for antitumor immunotherapy but are challenged by the low efficiency and lack of cancer-selectivity in terms of antigen capture and immune activation. Herein, a self-adjuvanted vaccine precursor was developed from conformation-transformable, spiked polypeptides that can mediate conditional antigen capture and STING activation to form in situ cancer vaccine. The vaccine precursor was constructed from melittin-encapsulated mesoporous silica nanoparticles (MSN) covalently decorated with the DMXAA (a STING agonist)-conjugated polypeptides. At the dormant state, the polypeptides adopted the flexible, random-coiled conformation, preventing the capture of nonantigen proteins and camouflaging the hydrophobic DMXAA. Inside the mildly acidic tumor microenvironment, the polypeptides transformed into rigid, rod-like helices which formed the spiked array structure. Such a structure triggered melittin release to kill cancer cells and generate autologous antigens and, more noteworthy, enabled antigen capture inside the pockets among helix rods and STING activation through polyvalent display of the DMXAA motifs. As such, the in situ formed nanovaccine elicited robust antitumor immunity to inhibit tumor growth and recurrence in B16F10 tumor-bearing mice. This study represents an enlightened paradigm for constructing personalized cancer vaccines, and the control over polymer conformation, realized via the manipulation of chain rigidity and flexibility, provides a distinctive design strategy to regulate the interactions with biomacromolecules.</w:t>
      </w:r>
    </w:p>
    <w:p>
      <w:pPr>
        <w:spacing w:before="120" w:after="120"/>
      </w:pPr>
      <w:r>
        <w:rPr>
          <w:sz w:val="18"/>
        </w:rPr>
        <w:t>——————————————————————————————————————————————————————————————————————</w:t>
      </w:r>
    </w:p>
    <w:p>
      <w:pPr>
        <w:spacing w:before="160" w:after="40" w:line="240" w:lineRule="auto"/>
      </w:pPr>
      <w:r>
        <w:rPr>
          <w:b/>
        </w:rPr>
        <w:t xml:space="preserve">[137] </w:t>
      </w:r>
      <w:hyperlink r:id="rId393">
        <w:r>
          <w:rPr>
            <w:color w:val="1155CC"/>
            <w:u w:val="single"/>
          </w:rPr>
          <w:t>[ASAP] 共轭聚合物的固态侧链功能化以扩展化学和功能多样性</w:t>
        </w:r>
      </w:hyperlink>
    </w:p>
    <w:p>
      <w:pPr>
        <w:spacing w:before="0" w:after="80"/>
      </w:pPr>
      <w:r>
        <w:rPr>
          <w:i/>
          <w:sz w:val="20"/>
        </w:rPr>
        <w:t>EN: [ASAP] Solid-State Side-Chain Functionalization of Conjugated Polymers for Expanded Chemical and Functional Versatility</w:t>
      </w:r>
    </w:p>
    <w:p>
      <w:pPr>
        <w:spacing w:before="0" w:after="120"/>
      </w:pPr>
      <w:r>
        <w:rPr>
          <w:b/>
        </w:rPr>
        <w:t xml:space="preserve">Source: </w:t>
      </w:r>
      <w:r>
        <w:t>Journal of the American Chemical Society: Latest Articles (ACS Publications)</w:t>
      </w:r>
      <w:r>
        <w:t xml:space="preserve">    </w:t>
      </w:r>
      <w:r>
        <w:rPr>
          <w:b/>
        </w:rPr>
        <w:t xml:space="preserve">Pub date: </w:t>
      </w:r>
      <w:r>
        <w:t>2026-03-02 16:58:26+00:00</w:t>
      </w:r>
      <w:r>
        <w:t xml:space="preserve">    </w:t>
      </w:r>
      <w:r>
        <w:rPr>
          <w:b/>
        </w:rPr>
        <w:t xml:space="preserve">DOI: </w:t>
      </w:r>
      <w:hyperlink r:id="rId394">
        <w:r>
          <w:rPr>
            <w:color w:val="1155CC"/>
            <w:u w:val="single"/>
          </w:rPr>
          <w:t>10.1021/jacs.5c21851</w:t>
        </w:r>
      </w:hyperlink>
    </w:p>
    <w:p>
      <w:pPr>
        <w:spacing w:before="0" w:after="120"/>
      </w:pPr>
      <w:r>
        <w:rPr>
          <w:b/>
        </w:rPr>
        <w:t xml:space="preserve">Notes: </w:t>
      </w:r>
      <w:r>
        <w:t>abstract_source=pubmed</w:t>
      </w:r>
    </w:p>
    <w:p>
      <w:pPr>
        <w:spacing w:before="0" w:after="80" w:lineRule="auto" w:line="276"/>
      </w:pPr>
      <w:r>
        <w:rPr>
          <w:b/>
        </w:rPr>
        <w:t xml:space="preserve">摘要（ZH）: </w:t>
      </w:r>
      <w:r>
        <w:t>结合多种化学功能与高电子性能的共轭聚合物对于先进的有机电子、光电子和生物界面技术至关重要。实现这种多功能性通常需要将功能单元接枝到聚合物侧链上。然而，传统的溶液相方法仍然受到溶解性限制、侧链引起的堆积干扰以及保持电荷传输的挑战的限制。在此，我们介绍了一种固态侧链功能化策略，该策略利用可膨胀的极性侧链结构和叠氮-炔点击化学，实现了在预沉积的聚合物薄膜中高效的分子扩散和反应。这种方法大大拓宽了化学兼容性</w:t>
      </w:r>
    </w:p>
    <w:p>
      <w:pPr>
        <w:spacing w:before="0" w:after="200" w:lineRule="auto" w:line="276"/>
      </w:pPr>
      <w:r>
        <w:rPr>
          <w:b/>
        </w:rPr>
        <w:t xml:space="preserve">Abstract (EN): </w:t>
      </w:r>
      <w:r>
        <w:t>Conjugated polymers that integrate diverse chemical functionalities with high electronic performance are essential for advanced organic electronic, optoelectronic, and biointerfaced technologies. Achieving such multifunctionality typically requires grafting functional units onto polymer side chains. However, conventional solution-phase approaches remain constrained by solubility limitations, side-chain-induced packing disruptions, and challenges in preserving charge transport. Here, we introduce a solid-state side-chain functionalization strategy that exploits a swellable polar side-chain architecture and azide-alkyne click chemistry to enable efficient molecular diffusion and reaction throughout predeposited polymer thin films. This approach substantially broadens the chemical compatibility of graftable units and mitigates the adverse effects on the electrical property. Moreover, the method supports spatially selective functionalization within a continuous film, enabling the patterned incorporation of chemically distinct groups to produce spatially defined optical properties. This solid-state strategy thus provides a versatile platform for constructing conjugated polymers with expanded chemical versatility, preserved electronic performance, and programmable spatial functionality.</w:t>
      </w:r>
    </w:p>
    <w:p>
      <w:pPr>
        <w:spacing w:before="120" w:after="120"/>
      </w:pPr>
      <w:r>
        <w:rPr>
          <w:sz w:val="18"/>
        </w:rPr>
        <w:t>——————————————————————————————————————————————————————————————————————</w:t>
      </w:r>
    </w:p>
    <w:p>
      <w:pPr>
        <w:spacing w:before="160" w:after="40" w:line="240" w:lineRule="auto"/>
      </w:pPr>
      <w:r>
        <w:rPr>
          <w:b/>
        </w:rPr>
        <w:t xml:space="preserve">[138] </w:t>
      </w:r>
      <w:hyperlink r:id="rId395">
        <w:r>
          <w:rPr>
            <w:color w:val="1155CC"/>
            <w:u w:val="single"/>
          </w:rPr>
          <w:t>[ASAP] 深度学习辅助的质子纯移位NMR光谱</w:t>
        </w:r>
      </w:hyperlink>
    </w:p>
    <w:p>
      <w:pPr>
        <w:spacing w:before="0" w:after="80"/>
      </w:pPr>
      <w:r>
        <w:rPr>
          <w:i/>
          <w:sz w:val="20"/>
        </w:rPr>
        <w:t>EN: [ASAP] Deep Learning Assisted Proton Pure Shift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2026-03-02 18:47:16+00:00</w:t>
      </w:r>
      <w:r>
        <w:t xml:space="preserve">    </w:t>
      </w:r>
      <w:r>
        <w:rPr>
          <w:b/>
        </w:rPr>
        <w:t xml:space="preserve">DOI: </w:t>
      </w:r>
      <w:hyperlink r:id="rId396">
        <w:r>
          <w:rPr>
            <w:color w:val="1155CC"/>
            <w:u w:val="single"/>
          </w:rPr>
          <w:t>10.1021/jacs.5c22860</w:t>
        </w:r>
      </w:hyperlink>
    </w:p>
    <w:p>
      <w:pPr>
        <w:spacing w:before="0" w:after="120"/>
      </w:pPr>
      <w:r>
        <w:rPr>
          <w:b/>
        </w:rPr>
        <w:t xml:space="preserve">Notes: </w:t>
      </w:r>
      <w:r>
        <w:t>abstract_source=pubmed</w:t>
      </w:r>
    </w:p>
    <w:p>
      <w:pPr>
        <w:spacing w:before="0" w:after="80" w:lineRule="auto" w:line="276"/>
      </w:pPr>
      <w:r>
        <w:rPr>
          <w:b/>
        </w:rPr>
        <w:t xml:space="preserve">摘要（ZH）: </w:t>
      </w:r>
      <w:r>
        <w:t>核磁共振波谱（NMR）在分析包括天然产物和类药物有机分子在内的大量分子中起着关键作用。在这些情况下，1H NMR光谱因其高灵敏度和原子分辨率而被证明是不可或缺的。然而，这些光谱因复杂的多重峰重叠而变得复杂。在此，我们展示了一种深度学习方法，该方法将自旋回波调制的1H NMR光谱转化为高灵敏度和高分辨率的单峰NMR光谱，即虚拟同核去耦纯移谱。该方法在复杂有机化合物的实验NMR光谱上进行了评估，其性能优于当前方法。该方法还预测了转换的不确定性，因此可以进行量化，</w:t>
      </w:r>
    </w:p>
    <w:p>
      <w:pPr>
        <w:spacing w:before="0" w:after="200" w:lineRule="auto" w:line="276"/>
      </w:pPr>
      <w:r>
        <w:rPr>
          <w:b/>
        </w:rPr>
        <w:t xml:space="preserve">Abstract (EN): </w:t>
      </w:r>
      <w:r>
        <w:t>Nuclear magnetic resonance spectroscopy (NMR) plays a key role for the analysis of a plethora of molecules, including natural products and drug-like organic molecules. For such cases, 1H NMR spectra have proven imperative because of their high sensitivity and atomic resolution. However, these spectra are complicated by overlapped complex multiplet patterns. Here we show a deep-learning approach, which transforms spin-echo modulated 1H NMR spectra into highly sensitive and high-resolution singlet NMR spectra, that is, virtual homonuclear decoupled pure shift spectra. The approach was evaluated on experimental NMR spectra of complex organic compounds, where it outperforms current methods. The method also predicts uncertainties of the transformation and therefore allows for quantifications, which is a key strength of NMR. We believe that our approach will provide significant advantages when characterizing low-sensitivity samples and systems with exchangeable protons, where signals are not observed in traditional pure-shift spectra and substantial overlaps hamper analysis from conventional spectra.</w:t>
      </w:r>
    </w:p>
    <w:p>
      <w:pPr>
        <w:spacing w:before="120" w:after="120"/>
      </w:pPr>
      <w:r>
        <w:rPr>
          <w:sz w:val="18"/>
        </w:rPr>
        <w:t>——————————————————————————————————————————————————————————————————————</w:t>
      </w:r>
    </w:p>
    <w:p>
      <w:pPr>
        <w:spacing w:before="160" w:after="40" w:line="240" w:lineRule="auto"/>
      </w:pPr>
      <w:r>
        <w:rPr>
          <w:b/>
        </w:rPr>
        <w:t xml:space="preserve">[139] </w:t>
      </w:r>
      <w:hyperlink r:id="rId397">
        <w:r>
          <w:rPr>
            <w:color w:val="1155CC"/>
            <w:u w:val="single"/>
          </w:rPr>
          <w:t>[ASAP] 超声激活的前药用于肿瘤特异性免疫治疗</w:t>
        </w:r>
      </w:hyperlink>
    </w:p>
    <w:p>
      <w:pPr>
        <w:spacing w:before="0" w:after="80"/>
      </w:pPr>
      <w:r>
        <w:rPr>
          <w:i/>
          <w:sz w:val="20"/>
        </w:rPr>
        <w:t>EN: [ASAP] Ultrasound-Activated Prodrugs for Tumor-Specific Immunotherapy</w:t>
      </w:r>
    </w:p>
    <w:p>
      <w:pPr>
        <w:spacing w:before="0" w:after="120"/>
      </w:pPr>
      <w:r>
        <w:rPr>
          <w:b/>
        </w:rPr>
        <w:t xml:space="preserve">Source: </w:t>
      </w:r>
      <w:r>
        <w:t>Journal of the American Chemical Society: Latest Articles (ACS Publications)</w:t>
      </w:r>
      <w:r>
        <w:t xml:space="preserve">    </w:t>
      </w:r>
      <w:r>
        <w:rPr>
          <w:b/>
        </w:rPr>
        <w:t xml:space="preserve">Pub date: </w:t>
      </w:r>
      <w:r>
        <w:t>2026-03-02 19:08:49+00:00</w:t>
      </w:r>
      <w:r>
        <w:t xml:space="preserve">    </w:t>
      </w:r>
      <w:r>
        <w:rPr>
          <w:b/>
        </w:rPr>
        <w:t xml:space="preserve">DOI: </w:t>
      </w:r>
      <w:hyperlink r:id="rId398">
        <w:r>
          <w:rPr>
            <w:color w:val="1155CC"/>
            <w:u w:val="single"/>
          </w:rPr>
          <w:t>10.1021/jacs.6c00735</w:t>
        </w:r>
      </w:hyperlink>
    </w:p>
    <w:p>
      <w:pPr>
        <w:spacing w:before="0" w:after="120"/>
      </w:pPr>
      <w:r>
        <w:rPr>
          <w:b/>
        </w:rPr>
        <w:t xml:space="preserve">Notes: </w:t>
      </w:r>
      <w:r>
        <w:t>abstract_source=pubmed</w:t>
      </w:r>
    </w:p>
    <w:p>
      <w:pPr>
        <w:spacing w:before="0" w:after="80" w:lineRule="auto" w:line="276"/>
      </w:pPr>
      <w:r>
        <w:rPr>
          <w:b/>
        </w:rPr>
        <w:t xml:space="preserve">摘要（ZH）: </w:t>
      </w:r>
      <w:r>
        <w:t>精确的时空控制药物激活对于减轻强效免疫治疗药物的全身毒性至关重要。虽然超声波提供了一种具有内在深层组织穿透能力的安全模式，但高灵敏度化学触发器的稀缺性严重阻碍了直接超声激活前药的发展。在此，我们报告了一种基于苄氧羰基骨架的超声激活前药库的合理设计。通过系统地调节芳香环的电子特性，我们建立了一个结构-活性关系，控制对声解生成的羟基自由基（·OH）的响应性。在筛选的候选物中，3,5-双（甲氨基）取代的连接子（BMBC）被确定为最佳触发器，使得效</w:t>
      </w:r>
    </w:p>
    <w:p>
      <w:pPr>
        <w:spacing w:before="0" w:after="200" w:lineRule="auto" w:line="276"/>
      </w:pPr>
      <w:r>
        <w:rPr>
          <w:b/>
        </w:rPr>
        <w:t xml:space="preserve">Abstract (EN): </w:t>
      </w:r>
      <w:r>
        <w:t>Precise spatiotemporal control over drug activation is essential to mitigate the systemic toxicity of potent immunotherapeutics. While ultrasound offers a safe modality with intrinsic deep tissue penetration, the scarcity of high-sensitivity chemical triggers has severely hindered the development of direct ultrasound-activated prodrugs. Herein, we report the rational design of a library of ultrasound-activated prodrugs based on benzyloxycarbonyl scaffolds. By systematically modulating the electronic properties of the aromatic ring, we established a structure-activity relationship governing the responsiveness to sonolytically generated hydroxyl radicals (·OH). Among the screened candidates, the 3,5-bis(methylamino)-substituted linker (BMBC) was identified as an optimal trigger, enabling efficient and instantaneous drug activation. Density functional theory (DFT) calculations reveal that BMBC's superior performance stems from a unique synergy: a high-lying HOMO energy level indicative of enhanced electron-donating character and high susceptibility toward electrophilic radical attack, and a minimized activation barrier for the rate-determining self-immolation step. This platform demonstrates broad universality, efficiently caging amines, hydroxyls, and carboxyls. As a proof of concept, a BMBC-caged TLR7 agonist elicited robust antitumor immunity and durable immunological memory in a murine model. Notably, the prodrug exhibited a significantly widened therapeutic window, remaining safe even at a 10-fold therapeutic dose. This work provides a versatile chemical toolkit for safe and spatiotemporally controlled drug activation.</w:t>
      </w:r>
    </w:p>
    <w:p>
      <w:pPr>
        <w:spacing w:before="120" w:after="120"/>
      </w:pPr>
      <w:r>
        <w:rPr>
          <w:sz w:val="18"/>
        </w:rPr>
        <w:t>——————————————————————————————————————————————————————————————————————</w:t>
      </w:r>
    </w:p>
    <w:p>
      <w:pPr>
        <w:spacing w:before="160" w:after="40" w:line="240" w:lineRule="auto"/>
      </w:pPr>
      <w:r>
        <w:rPr>
          <w:b/>
        </w:rPr>
        <w:t xml:space="preserve">[140] </w:t>
      </w:r>
      <w:hyperlink r:id="rId399">
        <w:r>
          <w:rPr>
            <w:color w:val="1155CC"/>
            <w:u w:val="single"/>
          </w:rPr>
          <w:t>[ASAP] 揭示可离子化脂质异构体在调节mRNA递送的脂质纳米颗粒中的作用</w:t>
        </w:r>
      </w:hyperlink>
    </w:p>
    <w:p>
      <w:pPr>
        <w:spacing w:before="0" w:after="80"/>
      </w:pPr>
      <w:r>
        <w:rPr>
          <w:i/>
          <w:sz w:val="20"/>
        </w:rPr>
        <w:t>EN: [ASAP] Unraveling the Role of Ionizable Lipid Isomerism in Modulating Lipid Nanoparticles for mRNA Delivery</w:t>
      </w:r>
    </w:p>
    <w:p>
      <w:pPr>
        <w:spacing w:before="0" w:after="120"/>
      </w:pPr>
      <w:r>
        <w:rPr>
          <w:b/>
        </w:rPr>
        <w:t xml:space="preserve">Source: </w:t>
      </w:r>
      <w:r>
        <w:t>Journal of the American Chemical Society: Latest Articles (ACS Publications)</w:t>
      </w:r>
      <w:r>
        <w:t xml:space="preserve">    </w:t>
      </w:r>
      <w:r>
        <w:rPr>
          <w:b/>
        </w:rPr>
        <w:t xml:space="preserve">Pub date: </w:t>
      </w:r>
      <w:r>
        <w:t>2026-03-02 19:32:38+00:00</w:t>
      </w:r>
      <w:r>
        <w:t xml:space="preserve">    </w:t>
      </w:r>
      <w:r>
        <w:rPr>
          <w:b/>
        </w:rPr>
        <w:t xml:space="preserve">DOI: </w:t>
      </w:r>
      <w:hyperlink r:id="rId400">
        <w:r>
          <w:rPr>
            <w:color w:val="1155CC"/>
            <w:u w:val="single"/>
          </w:rPr>
          <w:t>10.1021/jacs.5c20438</w:t>
        </w:r>
      </w:hyperlink>
    </w:p>
    <w:p>
      <w:pPr>
        <w:spacing w:before="0" w:after="120"/>
      </w:pPr>
      <w:r>
        <w:rPr>
          <w:b/>
        </w:rPr>
        <w:t xml:space="preserve">Notes: </w:t>
      </w:r>
      <w:r>
        <w:t>abstract_source=pubmed</w:t>
      </w:r>
    </w:p>
    <w:p>
      <w:pPr>
        <w:spacing w:before="0" w:after="80" w:lineRule="auto" w:line="276"/>
      </w:pPr>
      <w:r>
        <w:rPr>
          <w:b/>
        </w:rPr>
        <w:t xml:space="preserve">摘要（ZH）: </w:t>
      </w:r>
      <w:r>
        <w:t>脂质纳米颗粒（LNPs）已被证明是有效的mRNA递送系统，其中可离子化脂质（ILs）是其体内递送效率的关键决定因素。然而，阐明ILs的结构-活性关系仍然是一个艰巨的挑战，阻碍了下一代LNPs的合理设计，以提高效率和靶向特异性。在此，我们提出了一种简单而强大的异构策略，通过四组分Ugi反应（Ugi-4CR）高效合成9种异构ILs。分子动力学模拟和小角中子散射研究表明，IL异构性差异导致IL-mRNA分子间相互作用和LNPs内IL分布模式的变化，最终导致变</w:t>
      </w:r>
    </w:p>
    <w:p>
      <w:pPr>
        <w:spacing w:before="0" w:after="200" w:lineRule="auto" w:line="276"/>
      </w:pPr>
      <w:r>
        <w:rPr>
          <w:b/>
        </w:rPr>
        <w:t xml:space="preserve">Abstract (EN): </w:t>
      </w:r>
      <w:r>
        <w:t>Lipid nanoparticles (LNPs) have been demonstrated as effective mRNA delivery systems, with ionizable lipids (ILs) serving as critical determinants of their in vivo delivery efficacy. However, elucidating the structure-activity relationship of ILs remains a formidable challenge, hindering the rational design of next-generation LNPs with improved efficiency and targeting specificity. Here, we present a straightforward and powerful isomerism strategy for the efficient synthesis of 9 isomeric ILs using a four-component Ugi reaction (Ugi-4CR). Molecular dynamics simulations and small-angle neutron scattering investigations revealed that differences in IL isomerism lead to distinct IL-mRNA intermolecular interactions and varied IL distribution patterns within LNPs, ultimately resulting in variations in the apparent pKa of LNPs. In vivo evaluation demonstrated that isomeric ILs contribute to different transfection profiles across liver cell types following intravenous administration, enhance muscle-selective mRNA delivery after intramuscular administration, and modulate the delivery efficiency of DOTAP-mediated lung-targeted LNPs. The establishment of IL isomerism not only introduces a new molecular design dimension for IL optimization but also lays the foundation for the rational design of ILs for targeted mRNA delivery, thus expanding the potential applications of mRNA therapeutics.</w:t>
      </w:r>
    </w:p>
    <w:p>
      <w:pPr>
        <w:spacing w:before="120" w:after="120"/>
      </w:pPr>
      <w:r>
        <w:rPr>
          <w:sz w:val="18"/>
        </w:rPr>
        <w:t>——————————————————————————————————————————————————————————————————————</w:t>
      </w:r>
    </w:p>
    <w:p>
      <w:pPr>
        <w:spacing w:before="160" w:after="40" w:line="240" w:lineRule="auto"/>
      </w:pPr>
      <w:r>
        <w:rPr>
          <w:b/>
        </w:rPr>
        <w:t xml:space="preserve">[141] </w:t>
      </w:r>
      <w:hyperlink r:id="rId401">
        <w:r>
          <w:rPr>
            <w:color w:val="1155CC"/>
            <w:u w:val="single"/>
          </w:rPr>
          <w:t>[ASAP] 缺陷工程钙钛矿：A位空位稳定的催化活性相的原子尺度特性</w:t>
        </w:r>
      </w:hyperlink>
    </w:p>
    <w:p>
      <w:pPr>
        <w:spacing w:before="0" w:after="80"/>
      </w:pPr>
      <w:r>
        <w:rPr>
          <w:i/>
          <w:sz w:val="20"/>
        </w:rPr>
        <w:t>EN: [ASAP] Defect-Engineered Perovskites: Atomic Scale Nature of A-Site Vacancy-Stabilized Catalytically Active Phase</w:t>
      </w:r>
    </w:p>
    <w:p>
      <w:pPr>
        <w:spacing w:before="0" w:after="120"/>
      </w:pPr>
      <w:r>
        <w:rPr>
          <w:b/>
        </w:rPr>
        <w:t xml:space="preserve">Source: </w:t>
      </w:r>
      <w:r>
        <w:t>Journal of the American Chemical Society: Latest Articles (ACS Publications)</w:t>
      </w:r>
      <w:r>
        <w:t xml:space="preserve">    </w:t>
      </w:r>
      <w:r>
        <w:rPr>
          <w:b/>
        </w:rPr>
        <w:t xml:space="preserve">Pub date: </w:t>
      </w:r>
      <w:r>
        <w:t>2026-03-02 19:34:37+00:00</w:t>
      </w:r>
      <w:r>
        <w:t xml:space="preserve">    </w:t>
      </w:r>
      <w:r>
        <w:rPr>
          <w:b/>
        </w:rPr>
        <w:t xml:space="preserve">DOI: </w:t>
      </w:r>
      <w:hyperlink r:id="rId402">
        <w:r>
          <w:rPr>
            <w:color w:val="1155CC"/>
            <w:u w:val="single"/>
          </w:rPr>
          <w:t>10.1021/jacs.5c22657</w:t>
        </w:r>
      </w:hyperlink>
    </w:p>
    <w:p>
      <w:pPr>
        <w:spacing w:before="0" w:after="120"/>
      </w:pPr>
      <w:r>
        <w:rPr>
          <w:b/>
        </w:rPr>
        <w:t xml:space="preserve">Notes: </w:t>
      </w:r>
      <w:r>
        <w:t>abstract_source=pubmed</w:t>
      </w:r>
    </w:p>
    <w:p>
      <w:pPr>
        <w:spacing w:before="0" w:after="80" w:lineRule="auto" w:line="276"/>
      </w:pPr>
      <w:r>
        <w:rPr>
          <w:b/>
        </w:rPr>
        <w:t xml:space="preserve">摘要（ZH）: </w:t>
      </w:r>
      <w:r>
        <w:t>利用像差校正电子显微镜和光谱学，我们揭示了A位缺陷钙钛矿La0.7Fe0.7Mn0.3O3的原子尺度结构和催化功能，揭示了控制其通过CO还原NO活性的异质缺陷景观。我们识别出一层高度A位缺陷的La0.7-xFe0.7Mn0.3O3。这层在钙钛矿颗粒的表面和界面处仅有两到三个晶胞厚，并向体相过渡为化学计量的LaFe0.7Mn0.3O3。这些受限的缺陷层稳定了催化活性位点，使得在表面形成大小约为1 nm到几纳米的FeOx夹杂物。原位表面表征和催化测量揭示了这些</w:t>
      </w:r>
    </w:p>
    <w:p>
      <w:pPr>
        <w:spacing w:before="0" w:after="200" w:lineRule="auto" w:line="276"/>
      </w:pPr>
      <w:r>
        <w:rPr>
          <w:b/>
        </w:rPr>
        <w:t xml:space="preserve">Abstract (EN): </w:t>
      </w:r>
      <w:r>
        <w:t>Using aberration-corrected electron microscopy and spectroscopy, we reveal the atomic scale structure and catalytic function of the A-site-deficient perovskite La0.7Fe0.7Mn0.3O3, uncovering a heterogeneous defect landscape that governs its activity in reducing NO by CO. We identified a layer of La0.7-xFe0.7Mn0.3O3 that is highly A-site-deficient. This layer is just two to three unit cells thick at the surfaces and the interfaces of the perovskite particles and transitions toward the bulk into stoichiometric LaFe0.7Mn0.3O3. These confined defect layers stabilize catalytically active sites, enabling the formation of FeOx inclusions ranging from approximately 1  nm to several nanometers in size at the surfaces. In situ surface characterization and catalytic measurements reveal that these interfacial FeOx nanoparticles serve as active sites during the NO reduction by CO via the Mars-van Krevelen mechanism. Our findings establish a direct relationship between the structure and properties of nanoscale A-site nonstoichiometry and redox-driven catalytic activity. This relationship offers a new design strategy for tailoring reactivity through defect engineering.</w:t>
      </w:r>
    </w:p>
    <w:p>
      <w:pPr>
        <w:spacing w:before="120" w:after="120"/>
      </w:pPr>
      <w:r>
        <w:rPr>
          <w:sz w:val="18"/>
        </w:rPr>
        <w:t>——————————————————————————————————————————————————————————————————————</w:t>
      </w:r>
    </w:p>
    <w:p>
      <w:pPr>
        <w:spacing w:before="160" w:after="40" w:line="240" w:lineRule="auto"/>
      </w:pPr>
      <w:r>
        <w:rPr>
          <w:b/>
        </w:rPr>
        <w:t xml:space="preserve">[142] </w:t>
      </w:r>
      <w:hyperlink r:id="rId403">
        <w:r>
          <w:rPr>
            <w:color w:val="1155CC"/>
            <w:u w:val="single"/>
          </w:rPr>
          <w:t>[ASAP] 在无金属有机框架中工程化顺磁自旋中心</w:t>
        </w:r>
      </w:hyperlink>
    </w:p>
    <w:p>
      <w:pPr>
        <w:spacing w:before="0" w:after="80"/>
      </w:pPr>
      <w:r>
        <w:rPr>
          <w:i/>
          <w:sz w:val="20"/>
        </w:rPr>
        <w:t>EN: [ASAP] Engineering Paramagnetic Spin Centers in Metal-Free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2026-03-02 19:48:00+00:00</w:t>
      </w:r>
      <w:r>
        <w:t xml:space="preserve">    </w:t>
      </w:r>
      <w:r>
        <w:rPr>
          <w:b/>
        </w:rPr>
        <w:t xml:space="preserve">DOI: </w:t>
      </w:r>
      <w:hyperlink r:id="rId404">
        <w:r>
          <w:rPr>
            <w:color w:val="1155CC"/>
            <w:u w:val="single"/>
          </w:rPr>
          <w:t>10.1021/jacs.6c00023</w:t>
        </w:r>
      </w:hyperlink>
    </w:p>
    <w:p>
      <w:pPr>
        <w:spacing w:before="0" w:after="120"/>
      </w:pPr>
      <w:r>
        <w:rPr>
          <w:b/>
        </w:rPr>
        <w:t xml:space="preserve">Notes: </w:t>
      </w:r>
      <w:r>
        <w:t>abstract_source=pubmed</w:t>
      </w:r>
    </w:p>
    <w:p>
      <w:pPr>
        <w:spacing w:before="0" w:after="80" w:lineRule="auto" w:line="276"/>
      </w:pPr>
      <w:r>
        <w:rPr>
          <w:b/>
        </w:rPr>
        <w:t xml:space="preserve">摘要（ZH）: </w:t>
      </w:r>
      <w:r>
        <w:t>调节π-共轭系统中顺磁自旋中心（PSC）的密度可以实现可控的磁性、相干自旋传输和分子自旋量子位，从而在无金属量子磁性和自旋电子技术中开辟新的前沿。在此，我们研究了关键的量子力学和结构参数如何控制sp2-碳共轭系统中自旋配对与未配对自旋密度之间的平衡。采用结合静电相互作用和静态无序的改进哈伯德风格哈密顿量，并结合组合分析和蒙特卡罗模拟，分析如何在线性聚合物、二维（2D）Lieb型单层和π堆叠的2D Lieb晶格中调节自旋密度。我们发现自旋-自旋排斥、自旋</w:t>
      </w:r>
    </w:p>
    <w:p>
      <w:pPr>
        <w:spacing w:before="0" w:after="200" w:lineRule="auto" w:line="276"/>
      </w:pPr>
      <w:r>
        <w:rPr>
          <w:b/>
        </w:rPr>
        <w:t xml:space="preserve">Abstract (EN): </w:t>
      </w:r>
      <w:r>
        <w:t>Tuning the density of paramagnetic spin centers (PSCs) in π-conjugated systems enables controllable magnetism, coherent spin transport, and molecular spin qubits, thereby opening new frontiers in metal-free quantum magnetism and spintronic technologies. Here, we investigate how key quantum-mechanical and structural parameters govern the balance between spin pairing and unpaired spin density in sp2-carbon-conjugated systems. A modified Hubbard-style Hamiltonian that incorporates electrostatic interactions and static disorder combined with combinatorial analysis and Monte Carlo simulations is employed to analyze how spin density can be tuned in linear polymers, two-dimensional (2D) Lieb-type monolayers, and π-stacked 2D Lieb lattices. We find that the interplay among spin-spin repulsion, spin-anion attraction, anion-anion repulsion, π-connectivity, building-block design, and pore geometry collectively determines whether systems favor spin pairing or stabilize unpaired PSCs. Our results show that 2D π-stacked systems can intrinsically suppress spin pairing, thereby enabling enhanced PSC densities relative to 2D monolayers and 1D linear polymers, consistent with experimental observations. Overall, these findings establish a series of robust design principles that can be used to tune PSC concentrations for applications ranging from isolated spin qubits to collective magnetic and spin-transport networks, thereby advancing the rational design of quantum-coherent, metal-free π-conjugated materials.</w:t>
      </w:r>
    </w:p>
    <w:p>
      <w:pPr>
        <w:spacing w:before="120" w:after="120"/>
      </w:pPr>
      <w:r>
        <w:rPr>
          <w:sz w:val="18"/>
        </w:rPr>
        <w:t>——————————————————————————————————————————————————————————————————————</w:t>
      </w:r>
    </w:p>
    <w:p>
      <w:pPr>
        <w:spacing w:before="160" w:after="40" w:line="240" w:lineRule="auto"/>
      </w:pPr>
      <w:r>
        <w:rPr>
          <w:b/>
        </w:rPr>
        <w:t xml:space="preserve">[143] </w:t>
      </w:r>
      <w:hyperlink r:id="rId405">
        <w:r>
          <w:rPr>
            <w:color w:val="1155CC"/>
            <w:u w:val="single"/>
          </w:rPr>
          <w:t>[ASAP] 由四嗪介导的生物正交激活治疗 (TBAT) 平台</w:t>
        </w:r>
      </w:hyperlink>
    </w:p>
    <w:p>
      <w:pPr>
        <w:spacing w:before="0" w:after="80"/>
      </w:pPr>
      <w:r>
        <w:rPr>
          <w:i/>
          <w:sz w:val="20"/>
        </w:rPr>
        <w:t>EN: [ASAP] Tetrazine-Mediated Bioorthogonally Activated Therapeutic (TBAT) Platforms</w:t>
      </w:r>
    </w:p>
    <w:p>
      <w:pPr>
        <w:spacing w:before="0" w:after="120"/>
      </w:pPr>
      <w:r>
        <w:rPr>
          <w:b/>
        </w:rPr>
        <w:t xml:space="preserve">Source: </w:t>
      </w:r>
      <w:r>
        <w:t>Journal of the American Chemical Society: Latest Articles (ACS Publications)</w:t>
      </w:r>
      <w:r>
        <w:t xml:space="preserve">    </w:t>
      </w:r>
      <w:r>
        <w:rPr>
          <w:b/>
        </w:rPr>
        <w:t xml:space="preserve">Pub date: </w:t>
      </w:r>
      <w:r>
        <w:t>2026-03-02 20:57:41+00:00</w:t>
      </w:r>
      <w:r>
        <w:t xml:space="preserve">    </w:t>
      </w:r>
      <w:r>
        <w:rPr>
          <w:b/>
        </w:rPr>
        <w:t xml:space="preserve">DOI: </w:t>
      </w:r>
      <w:hyperlink r:id="rId406">
        <w:r>
          <w:rPr>
            <w:color w:val="1155CC"/>
            <w:u w:val="single"/>
          </w:rPr>
          <w:t>10.1021/jacs.5c23084</w:t>
        </w:r>
      </w:hyperlink>
    </w:p>
    <w:p>
      <w:pPr>
        <w:spacing w:before="0" w:after="120"/>
      </w:pPr>
      <w:r>
        <w:rPr>
          <w:b/>
        </w:rPr>
        <w:t xml:space="preserve">Notes: </w:t>
      </w:r>
      <w:r>
        <w:t>abstract_source=pubmed</w:t>
      </w:r>
    </w:p>
    <w:p>
      <w:pPr>
        <w:spacing w:before="0" w:after="80" w:lineRule="auto" w:line="276"/>
      </w:pPr>
      <w:r>
        <w:rPr>
          <w:b/>
        </w:rPr>
        <w:t xml:space="preserve">摘要（ZH）: </w:t>
      </w:r>
      <w:r>
        <w:t>生物正交化学通过实现选择性转化，扩展了生物系统可访问的化学库，这些转化与内源生化过程正交。在多种生物正交反应中，四唑烯介导的逆电子需求Diels-Alder（IEDDA）化学已确立其作为动力学效率、模块化和生物相容性的基准。除了在生物分子标记和生物成像中的经典角色外，四唑烯连接已演变为强大的化学执行器，能够通过“点击-功能”激活以及“点击-释放”载荷部署来控制生物功能。通过对四唑烯电子学、立体化学、光化学和条件掩蔽的有意调节，以及</w:t>
      </w:r>
    </w:p>
    <w:p>
      <w:pPr>
        <w:spacing w:before="0" w:after="200" w:lineRule="auto" w:line="276"/>
      </w:pPr>
      <w:r>
        <w:rPr>
          <w:b/>
        </w:rPr>
        <w:t xml:space="preserve">Abstract (EN): </w:t>
      </w:r>
      <w:r>
        <w:t>Bioorthogonal chemistry has broadened the chemical repertoire accessible to biological systems by enabling selective transformations that operate orthogonally to endogenous biochemical processes. Among the diverse bioorthogonal reactions, tetrazine-mediated inverse-electron-demand Diels-Alder (IEDDA) chemistry has established it as a benchmark for kinetic efficiency, modularity, and biocompatibility. Beyond their classical roles in biomolecular labeling and bioimaging, tetrazine ligations have evolved into potent chemical actuators capable of governing biological functions through "click-to-function" activation as well as "click-to-release" payload deployment. Through deliberate modulation of tetrazine electronics, stereochemistry, photochemistry, and conditional masking, along with complementary dienophile engineering, this reaction manifold has been transformed into a programmable molecular switch capable of operating in complex physiological environments. Accordingly, these advances have catalyzed the emergence of tetrazine-mediated bioorthogonally activated therapeutic (TBAT) platforms to address long-standing challenges in drug delivery and precision oncology, including tumor hypoxia, "off-target" toxicity, therapeutic resistance, and insufficient subcellular targeting. Emerging applications now span organelle-specific phototherapy, sonodynamic therapy, immune receptor-guided cytotoxicity, and selective pretargeted nanomedicine, illustrating the breadth of biological contexts in which IEDDA reactivity can be precisely deployed. In this perspective, we provide a concise roadmap elucidating the evolution of tetrazine chemistry from a rapid bioconjugation reaction to a programmable molecular activation platform, emphasizing its potential toward targeted and precision-guided cancer therapies. We delineate the current state-of-the-art in TBAT platforms, highlighting pioneering advances across prodrug activation, photo and sonodynamic therapies, drug delivery, and pretargeted nanomedicine, and discuss how rational control over tetrazine-dienophile reactivity enables precision intervention in therapeutic pathways within complex biological environments.</w:t>
      </w:r>
    </w:p>
    <w:p>
      <w:pPr>
        <w:spacing w:before="120" w:after="120"/>
      </w:pPr>
      <w:r>
        <w:rPr>
          <w:sz w:val="18"/>
        </w:rPr>
        <w:t>——————————————————————————————————————————————————————————————————————</w:t>
      </w:r>
    </w:p>
    <w:p>
      <w:pPr>
        <w:spacing w:before="160" w:after="40" w:line="240" w:lineRule="auto"/>
      </w:pPr>
      <w:r>
        <w:rPr>
          <w:b/>
        </w:rPr>
        <w:t xml:space="preserve">[144] </w:t>
      </w:r>
      <w:hyperlink r:id="rId407">
        <w:r>
          <w:rPr>
            <w:color w:val="1155CC"/>
            <w:u w:val="single"/>
          </w:rPr>
          <w:t>通过光氧化还原催化的矿物到分子砷转移</w:t>
        </w:r>
      </w:hyperlink>
    </w:p>
    <w:p>
      <w:pPr>
        <w:spacing w:before="0" w:after="80"/>
      </w:pPr>
      <w:r>
        <w:rPr>
          <w:i/>
          <w:sz w:val="20"/>
        </w:rPr>
        <w:t>EN: Mineral-to-molecule arsenic transfer via photoredox catalysis</w:t>
      </w:r>
    </w:p>
    <w:p>
      <w:pPr>
        <w:spacing w:before="0" w:after="120"/>
      </w:pPr>
      <w:r>
        <w:rPr>
          <w:b/>
        </w:rPr>
        <w:t xml:space="preserve">Source: </w:t>
      </w:r>
      <w:r>
        <w:t>Nature Chemistry</w:t>
      </w:r>
      <w:r>
        <w:t xml:space="preserve">    </w:t>
      </w:r>
      <w:r>
        <w:rPr>
          <w:b/>
        </w:rPr>
        <w:t xml:space="preserve">Pub date: </w:t>
      </w:r>
      <w:r>
        <w:t>2026-03-03 00:00:00+00:00</w:t>
      </w:r>
      <w:r>
        <w:t xml:space="preserve">    </w:t>
      </w:r>
      <w:r>
        <w:rPr>
          <w:b/>
        </w:rPr>
        <w:t xml:space="preserve">DOI: </w:t>
      </w:r>
      <w:hyperlink r:id="rId408">
        <w:r>
          <w:rPr>
            <w:color w:val="1155CC"/>
            <w:u w:val="single"/>
          </w:rPr>
          <w:t>10.1038/s41557-026-02064-2</w:t>
        </w:r>
      </w:hyperlink>
    </w:p>
    <w:p>
      <w:pPr>
        <w:spacing w:before="0" w:after="120"/>
      </w:pPr>
      <w:r>
        <w:rPr>
          <w:b/>
        </w:rPr>
        <w:t xml:space="preserve">Notes: </w:t>
      </w:r>
      <w:r>
        <w:t>abstract_source=nature_html</w:t>
      </w:r>
    </w:p>
    <w:p>
      <w:pPr>
        <w:spacing w:before="0" w:after="80" w:lineRule="auto" w:line="276"/>
      </w:pPr>
      <w:r>
        <w:rPr>
          <w:b/>
        </w:rPr>
        <w:t xml:space="preserve">摘要（ZH）: </w:t>
      </w:r>
      <w:r>
        <w:t>在化学的二元性中，砷是一个典型的例子，其效用和毒性取决于应用。纵观历史，砷在人类文明中扮演了关键角色，其影响在现代科学中通过有机砷化合物（含有As–C键的化合物）得以延续。然而，这些分子的合成长期以来受到依赖于危险砷试剂的多步骤过程的限制，限制了其实际应用。在此，我们展示了一种变革性的矿物到分子的途径，利用光氧化还原催化直接将天然存在的硫化砷矿物，特别是雌黄（As2S3），在可见光照射下转化为多样的有机砷化合物。通过矿物衍生的砷与有机碘化物反应，我们的方法绕过了</w:t>
      </w:r>
    </w:p>
    <w:p>
      <w:pPr>
        <w:spacing w:before="0" w:after="200" w:lineRule="auto" w:line="276"/>
      </w:pPr>
      <w:r>
        <w:rPr>
          <w:b/>
        </w:rPr>
        <w:t xml:space="preserve">Abstract (EN): </w:t>
      </w:r>
      <w:r>
        <w:t>Few elements exemplify the duality of chemistry—where utility and toxicity depend on application—as strikingly as arsenic. Throughout history, arsenic has played a pivotal role in human civilization, and its influence endures in modern science through organoarsenicals, compounds featuring As–C bonds. However, the synthesis of these molecules has long been constrained by multistep processes reliant on hazardous arsenical reagents, limiting their practical adoption. Here we show a transformative mineral-to-molecule approach that leverages photoredox catalysis to directly convert naturally occurring arsenic sulfide minerals—particularly orpiment (As2S3)—into diverse organoarsenicals under visible-light irradiation. By reacting mineral-derived arsenic with organic iodides, our method bypasses toxic intermediates, enabling the efficient, one-step construction of functionalized arsenicals with broad structural diversity. Demonstrated across a wide range of substrates, this strategy establishes a safe, sustainable and scalable route to organoarsenicals, overcoming long-standing challenges in arsenic chemistry. Bridging geochemistry and synthetic chemistry, our work provides a blueprint for eco-friendly molecular manufacturing, transforming Earth’s mineral resources into high-value functional molecules.</w:t>
      </w:r>
    </w:p>
    <w:p>
      <w:pPr>
        <w:spacing w:before="120" w:after="120"/>
      </w:pPr>
      <w:r>
        <w:rPr>
          <w:sz w:val="18"/>
        </w:rPr>
        <w:t>——————————————————————————————————————————————————————————————————————</w:t>
      </w:r>
    </w:p>
    <w:p>
      <w:pPr>
        <w:spacing w:before="160" w:after="40" w:line="240" w:lineRule="auto"/>
      </w:pPr>
      <w:r>
        <w:rPr>
          <w:b/>
        </w:rPr>
        <w:t xml:space="preserve">[145] </w:t>
      </w:r>
      <w:hyperlink r:id="rId409">
        <w:r>
          <w:rPr>
            <w:color w:val="1155CC"/>
            <w:u w:val="single"/>
          </w:rPr>
          <w:t>韩国的人工智能框架法案侧重于权利和安全</w:t>
        </w:r>
      </w:hyperlink>
    </w:p>
    <w:p>
      <w:pPr>
        <w:spacing w:before="0" w:after="80"/>
      </w:pPr>
      <w:r>
        <w:rPr>
          <w:i/>
          <w:sz w:val="20"/>
        </w:rPr>
        <w:t>EN: South Korea’s AI framework act focuses on rights and safety</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10">
        <w:r>
          <w:rPr>
            <w:color w:val="1155CC"/>
            <w:u w:val="single"/>
          </w:rPr>
          <w:t>10.1038/d41586-026-00678-7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 </w:t>
      </w:r>
      <w:hyperlink r:id="rId411">
        <w:r>
          <w:rPr>
            <w:color w:val="1155CC"/>
            <w:u w:val="single"/>
          </w:rPr>
          <w:t>从第一部电话到100年后的视频会议</w:t>
        </w:r>
      </w:hyperlink>
    </w:p>
    <w:p>
      <w:pPr>
        <w:spacing w:before="0" w:after="80"/>
      </w:pPr>
      <w:r>
        <w:rPr>
          <w:i/>
          <w:sz w:val="20"/>
        </w:rPr>
        <w:t>EN: From the first telephone to videoconferencing in 100 years</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12">
        <w:r>
          <w:rPr>
            <w:color w:val="1155CC"/>
            <w:u w:val="single"/>
          </w:rPr>
          <w:t>10.1038/d41586-026-00641-6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413">
        <w:r>
          <w:rPr>
            <w:color w:val="1155CC"/>
            <w:u w:val="single"/>
          </w:rPr>
          <w:t>分步释放开放权重的人工智能可以缓解风险</w:t>
        </w:r>
      </w:hyperlink>
    </w:p>
    <w:p>
      <w:pPr>
        <w:spacing w:before="0" w:after="80"/>
      </w:pPr>
      <w:r>
        <w:rPr>
          <w:i/>
          <w:sz w:val="20"/>
        </w:rPr>
        <w:t>EN: Releasing open-weight AI in steps would alleviate risks</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14">
        <w:r>
          <w:rPr>
            <w:color w:val="1155CC"/>
            <w:u w:val="single"/>
          </w:rPr>
          <w:t>10.1038/d41586-026-00679-6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415">
        <w:r>
          <w:rPr>
            <w:color w:val="1155CC"/>
            <w:u w:val="single"/>
          </w:rPr>
          <w:t>拥挤的恒星系统是迄今发现的最紧凑的同类系统</w:t>
        </w:r>
      </w:hyperlink>
    </w:p>
    <w:p>
      <w:pPr>
        <w:spacing w:before="0" w:after="80"/>
      </w:pPr>
      <w:r>
        <w:rPr>
          <w:i/>
          <w:sz w:val="20"/>
        </w:rPr>
        <w:t>EN: Jam-packed star system is most compact of its kind ever found</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16">
        <w:r>
          <w:rPr>
            <w:color w:val="1155CC"/>
            <w:u w:val="single"/>
          </w:rPr>
          <w:t>10.1038/d41586-026-00667-w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[149] </w:t>
      </w:r>
      <w:hyperlink r:id="rId417">
        <w:r>
          <w:rPr>
            <w:color w:val="1155CC"/>
            <w:u w:val="single"/>
          </w:rPr>
          <w:t>祁连-昆仑大陆的泥盆纪北漂限制了古特提斯洋的早期演化</w:t>
        </w:r>
      </w:hyperlink>
    </w:p>
    <w:p>
      <w:pPr>
        <w:spacing w:before="0" w:after="80"/>
      </w:pPr>
      <w:r>
        <w:rPr>
          <w:i/>
          <w:sz w:val="20"/>
        </w:rPr>
        <w:t>EN: Devonian northward drift of the Qaidam–Kunlun continent constrains the early evolution of the Paleo-Tethys Ocean</w:t>
      </w:r>
    </w:p>
    <w:p>
      <w:pPr>
        <w:spacing w:before="0" w:after="120"/>
      </w:pPr>
      <w:r>
        <w:rPr>
          <w:b/>
        </w:rPr>
        <w:t xml:space="preserve">Source: </w:t>
      </w:r>
      <w:r>
        <w:t>National Science Review Advance Access</w:t>
      </w:r>
      <w:r>
        <w:t xml:space="preserve">    </w:t>
      </w:r>
      <w:r>
        <w:rPr>
          <w:b/>
        </w:rPr>
        <w:t xml:space="preserve">Pub date: </w:t>
      </w:r>
      <w:r>
        <w:t>2026-03-03 00:00:00+00:00</w:t>
      </w:r>
      <w:r>
        <w:t xml:space="preserve">    </w:t>
      </w:r>
      <w:r>
        <w:rPr>
          <w:b/>
        </w:rPr>
        <w:t xml:space="preserve">DOI: </w:t>
      </w:r>
      <w:hyperlink r:id="rId418">
        <w:r>
          <w:rPr>
            <w:color w:val="1155CC"/>
            <w:u w:val="single"/>
          </w:rPr>
          <w:t>10.1093/nsr/nwag131</w:t>
        </w:r>
      </w:hyperlink>
    </w:p>
    <w:p>
      <w:pPr>
        <w:spacing w:before="0" w:after="120"/>
      </w:pPr>
      <w:r>
        <w:rPr>
          <w:b/>
        </w:rPr>
        <w:t xml:space="preserve">Notes: </w:t>
      </w:r>
      <w:r>
        <w:t>abstract_source=rss_oup</w:t>
      </w:r>
    </w:p>
    <w:p>
      <w:pPr>
        <w:spacing w:before="0" w:after="80" w:lineRule="auto" w:line="276"/>
      </w:pPr>
      <w:r>
        <w:rPr>
          <w:b/>
        </w:rPr>
        <w:t xml:space="preserve">摘要（ZH）: </w:t>
      </w:r>
      <w:r>
        <w:t>青藏高原北部的柴达木–昆仑大陆的裂解和漂移引发了古特提斯洋的开启，但其古地理仍存在争议，特别是海洋开启的时间，从前志留纪到泥盆纪不等。这一争议主要反映了缺乏可靠的泥盆纪古纬度约束。在此，我们提供了来自柴达木–昆仑泥盆纪双峰火山岩的新古地磁、年代学和地球化学数据。主要剩磁方向，得到正褶皱、反转和砾岩测试的支持，显示在约411 Ma时的古纬度为~25.6°S。这些结果将柴达木–昆仑置于冈瓦纳北缘，并显示出与同时期北中国的显著纬度分离</w:t>
      </w:r>
    </w:p>
    <w:p>
      <w:pPr>
        <w:spacing w:before="0" w:after="200" w:lineRule="auto" w:line="276"/>
      </w:pPr>
      <w:r>
        <w:rPr>
          <w:b/>
        </w:rPr>
        <w:t xml:space="preserve">Abstract (EN): </w:t>
      </w:r>
      <w:r>
        <w:t>Rifting and drifting of the Qaidam–Kunlun continent in northern Tibet triggered the opening of the Paleo-Tethys Ocean, but its paleogeography remains debated, particularly the timing of ocean opening, which ranges from pre-Silurian to Devonian. This debate largely reflects the lack of reliable Devonian paleolatitude constraints. Here, we present new paleomagnetic, geochronological, and geochemical data from Devonian bimodal volcanics of Qaidam–Kunlun. Primary remanent magnetization directions, supported by positive fold, reversal, and conglomerate tests, yield a paleolatitude of ~25.6°S at ~411 Ma. These results place Qaidam–Kunlun along the northern margin of Gondwana and demonstrate significant latitudinal separation from the contemporaneously northern North China during the Early Devonian. Geochemical characteristics of the volcanic indicate formation in an intraplate extensional regime. Integration with available Paleozoic paleomagnetic data suggests that Qaidam–Kunlun rifted from Indian Gondwana in the Early Devonian, and subsequently drifted northward during the Devonian, facilitating the opening of Paleo-Tethys.</w:t>
      </w:r>
    </w:p>
    <w:p>
      <w:pPr>
        <w:spacing w:before="120" w:after="120"/>
      </w:pPr>
      <w:r>
        <w:rPr>
          <w:sz w:val="18"/>
        </w:rPr>
        <w:t>——————————————————————————————————————————————————————————————————————</w:t>
      </w:r>
    </w:p>
    <w:p>
      <w:pPr>
        <w:spacing w:before="160" w:after="40" w:line="240" w:lineRule="auto"/>
      </w:pPr>
      <w:r>
        <w:rPr>
          <w:b/>
        </w:rPr>
        <w:t xml:space="preserve">[150] </w:t>
      </w:r>
      <w:hyperlink r:id="rId419">
        <w:r>
          <w:rPr>
            <w:color w:val="1155CC"/>
            <w:u w:val="single"/>
          </w:rPr>
          <w:t>通过活细胞标记实现的单细胞硫醇分析揭示了铁死亡中的代谢异质性</w:t>
        </w:r>
      </w:hyperlink>
    </w:p>
    <w:p>
      <w:pPr>
        <w:spacing w:before="0" w:after="80"/>
      </w:pPr>
      <w:r>
        <w:rPr>
          <w:i/>
          <w:sz w:val="20"/>
        </w:rPr>
        <w:t>EN: Single-cell thiol profiling enabled by live-cell labeling reveals metabolic heterogeneity in ferroptosis</w:t>
      </w:r>
    </w:p>
    <w:p>
      <w:pPr>
        <w:spacing w:before="0" w:after="120"/>
      </w:pPr>
      <w:r>
        <w:rPr>
          <w:b/>
        </w:rPr>
        <w:t xml:space="preserve">Source: </w:t>
      </w:r>
      <w:r>
        <w:t>Nature Communications</w:t>
      </w:r>
      <w:r>
        <w:t xml:space="preserve">    </w:t>
      </w:r>
      <w:r>
        <w:rPr>
          <w:b/>
        </w:rPr>
        <w:t xml:space="preserve">Pub date: </w:t>
      </w:r>
      <w:r>
        <w:t>2026-03-03 00:00:00+00:00</w:t>
      </w:r>
      <w:r>
        <w:t xml:space="preserve">    </w:t>
      </w:r>
      <w:r>
        <w:rPr>
          <w:b/>
        </w:rPr>
        <w:t xml:space="preserve">DOI: </w:t>
      </w:r>
      <w:hyperlink r:id="rId420">
        <w:r>
          <w:rPr>
            <w:color w:val="1155CC"/>
            <w:u w:val="single"/>
          </w:rPr>
          <w:t>10.1038/s41467-026-70336-z</w:t>
        </w:r>
      </w:hyperlink>
    </w:p>
    <w:p>
      <w:pPr>
        <w:spacing w:before="0" w:after="120"/>
      </w:pPr>
      <w:r>
        <w:rPr>
          <w:b/>
        </w:rPr>
        <w:t xml:space="preserve">Notes: </w:t>
      </w:r>
      <w:r>
        <w:t>abstract_source=nature_html</w:t>
      </w:r>
    </w:p>
    <w:p>
      <w:pPr>
        <w:spacing w:before="0" w:after="80" w:lineRule="auto" w:line="276"/>
      </w:pPr>
      <w:r>
        <w:rPr>
          <w:b/>
        </w:rPr>
        <w:t xml:space="preserve">摘要（ZH）: </w:t>
      </w:r>
      <w:r>
        <w:t>硫醇在催化、氧化还原稳态和能量代谢中具有不可或缺的生化功能。然而，由于其微量和易氧化性，在单细胞水平上分析多种硫醇仍然具有挑战性。在此，我们报告了一种单细胞水平硫醇分析的综合策略，该策略结合了活细胞标记和有机质谱细胞术。活细胞标记策略促进了内在硫醇的全面测量，具有扩展的覆盖范围和提高的灵敏度，而有机质谱细胞术能够同时定量单细胞中的27种标记硫醇和355种其他代谢物。对刺激后代谢波动的评估证明了该综合方法的实用性和准确性</w:t>
      </w:r>
    </w:p>
    <w:p>
      <w:pPr>
        <w:spacing w:before="0" w:after="200" w:lineRule="auto" w:line="276"/>
      </w:pPr>
      <w:r>
        <w:rPr>
          <w:b/>
        </w:rPr>
        <w:t xml:space="preserve">Abstract (EN): </w:t>
      </w:r>
      <w:r>
        <w:t>Thiols serve indispensable biochemical functions across catalysis, redox homeostasis and energy metabolism. However, profiling multiple thiols at the single-cell level remains challenging due to their trace amount and susceptibility to oxidation. Herein, we report an integrated strategy for thiol profiling at the single-cell level which combines live-cell labeling with organic mass cytometry. The live-cell labeling strategy facilitates the comprehensive measurement of intrinsic thiols with expanded coverage and improved sensitivity, while organic mass cytometry enables simultaneous quantification of 27 labeled thiols and 355 other metabolites from single cells. Assessment of metabolic fluctuation upon stimulation demonstrates practicability and accuracy of this integrated methodology which is capable of pathway activity monitoring, metabolic network mapping and untargeted metabolome profiling. Further application of this method in investigating RSL3-triggered ferroptosis reveals that RSL3 inhibits glutathione synthesis via nuclear factor E2-related factor 2- glutathione axis and results in heterogenous glutathione metabolism between subtypes.</w:t>
      </w:r>
    </w:p>
    <w:p>
      <w:pPr>
        <w:spacing w:before="120" w:after="120"/>
      </w:pPr>
      <w:r>
        <w:rPr>
          <w:sz w:val="18"/>
        </w:rPr>
        <w:t>——————————————————————————————————————————————————————————————————————</w:t>
      </w:r>
    </w:p>
    <w:p>
      <w:pPr>
        <w:spacing w:before="160" w:after="40" w:line="240" w:lineRule="auto"/>
      </w:pPr>
      <w:r>
        <w:rPr>
          <w:b/>
        </w:rPr>
        <w:t xml:space="preserve">[151] </w:t>
      </w:r>
      <w:hyperlink r:id="rId421">
        <w:r>
          <w:rPr>
            <w:color w:val="1155CC"/>
            <w:u w:val="single"/>
          </w:rPr>
          <w:t>单根纤维能有多功能？</w:t>
        </w:r>
      </w:hyperlink>
    </w:p>
    <w:p>
      <w:pPr>
        <w:spacing w:before="0" w:after="80"/>
      </w:pPr>
      <w:r>
        <w:rPr>
          <w:i/>
          <w:sz w:val="20"/>
        </w:rPr>
        <w:t>EN: How multifunctional can a single fiber be?</w:t>
      </w:r>
    </w:p>
    <w:p>
      <w:pPr>
        <w:spacing w:before="0" w:after="120"/>
      </w:pPr>
      <w:r>
        <w:rPr>
          <w:b/>
        </w:rPr>
        <w:t xml:space="preserve">Source: </w:t>
      </w:r>
      <w:r>
        <w:t>National Science Review Advance Access</w:t>
      </w:r>
      <w:r>
        <w:t xml:space="preserve">    </w:t>
      </w:r>
      <w:r>
        <w:rPr>
          <w:b/>
        </w:rPr>
        <w:t xml:space="preserve">Pub date: </w:t>
      </w:r>
      <w:r>
        <w:t>2026-03-03 00:00:00+00:00</w:t>
      </w:r>
      <w:r>
        <w:t xml:space="preserve">    </w:t>
      </w:r>
      <w:r>
        <w:rPr>
          <w:b/>
        </w:rPr>
        <w:t xml:space="preserve">DOI: </w:t>
      </w:r>
      <w:hyperlink r:id="rId422">
        <w:r>
          <w:rPr>
            <w:color w:val="1155CC"/>
            <w:u w:val="single"/>
          </w:rPr>
          <w:t>10.1093/nsr/nwag133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[152] </w:t>
      </w:r>
      <w:hyperlink r:id="rId423">
        <w:r>
          <w:rPr>
            <w:color w:val="1155CC"/>
            <w:u w:val="single"/>
          </w:rPr>
          <w:t>在钯催化下1,3-炔烃与苯胺的化学多样性偶联以获得二氢吡咯骨架</w:t>
        </w:r>
      </w:hyperlink>
    </w:p>
    <w:p>
      <w:pPr>
        <w:spacing w:before="0" w:after="80"/>
      </w:pPr>
      <w:r>
        <w:rPr>
          <w:i/>
          <w:sz w:val="20"/>
        </w:rPr>
        <w:t>EN: Chemodivergent Coupling of 1,3-Enynes with Anilines to Access Dihydropyrrole Skeleton under Palladium Catalysis</w:t>
      </w:r>
    </w:p>
    <w:p>
      <w:pPr>
        <w:spacing w:before="0" w:after="120"/>
      </w:pPr>
      <w:r>
        <w:rPr>
          <w:b/>
        </w:rPr>
        <w:t xml:space="preserve">Source: </w:t>
      </w:r>
      <w:r>
        <w:t>Nature Communications</w:t>
      </w:r>
      <w:r>
        <w:t xml:space="preserve">    </w:t>
      </w:r>
      <w:r>
        <w:rPr>
          <w:b/>
        </w:rPr>
        <w:t xml:space="preserve">Pub date: </w:t>
      </w:r>
      <w:r>
        <w:t>2026-03-03 00:00:00+00:00</w:t>
      </w:r>
      <w:r>
        <w:t xml:space="preserve">    </w:t>
      </w:r>
      <w:r>
        <w:rPr>
          <w:b/>
        </w:rPr>
        <w:t xml:space="preserve">DOI: </w:t>
      </w:r>
      <w:hyperlink r:id="rId424">
        <w:r>
          <w:rPr>
            <w:color w:val="1155CC"/>
            <w:u w:val="single"/>
          </w:rPr>
          <w:t>10.1038/s41467-026-70201-z</w:t>
        </w:r>
      </w:hyperlink>
    </w:p>
    <w:p>
      <w:pPr>
        <w:spacing w:before="0" w:after="120"/>
      </w:pPr>
      <w:r>
        <w:rPr>
          <w:b/>
        </w:rPr>
        <w:t xml:space="preserve">Notes: </w:t>
      </w:r>
      <w:r>
        <w:t>abstract_source=nature_html</w:t>
      </w:r>
    </w:p>
    <w:p>
      <w:pPr>
        <w:spacing w:before="0" w:after="80" w:lineRule="auto" w:line="276"/>
      </w:pPr>
      <w:r>
        <w:rPr>
          <w:b/>
        </w:rPr>
        <w:t xml:space="preserve">摘要（ZH）: </w:t>
      </w:r>
      <w:r>
        <w:t>2,5-二氢吡咯是多种天然产物和生物活性分子中常见的结构基元。构建这些杂环的传统方法通常依赖于复杂的多步程序或复杂的起始材料。在此，我们描述了一种钯催化的化学多样性合成策略，用于从易得的1,3-炔烃和苯胺合成功能化的2,5-二氢吡咯骨架。通过调节选择性决定步骤的相对速率，可以选择性地实现两组分环化或三组分端聚合，提供两种不同类型的功能化2,5-二氢吡咯，产率优异且选择性高。机理研究表明，反应最初通过1,4-氢胺化进行</w:t>
      </w:r>
    </w:p>
    <w:p>
      <w:pPr>
        <w:spacing w:before="0" w:after="200" w:lineRule="auto" w:line="276"/>
      </w:pPr>
      <w:r>
        <w:rPr>
          <w:b/>
        </w:rPr>
        <w:t xml:space="preserve">Abstract (EN): </w:t>
      </w:r>
      <w:r>
        <w:t>2,5-Dihydropyrroles are prevalent structural motifs in various natural products and biologically active molecules. Conventional methods for constructing these heterocycles often rely on elaborate multi-step procedures or complex starting materials. Herein, we describe a palladium-catalyzed chemodivergent protocol for synthesizing functionalized 2,5-dihydropyrrole scaffolds from readily accessible 1,3-enynes and anilines. By modulating the relative rates of the selectivity-determining steps, either two-component annulation or three-component telomerization can be selectively achieved, affording two distinct types of functionalized 2,5-dihydropyrroles in excellent yields and with high selectivities. Mechanistic studies reveal that the reaction initially proceeds through 1,4-hydroamination of 1,3-enynes to generate an aminomethyl allene intermediate, followed by an intramolecular annulation affording 2-substituted 2,5-dihydropyrroles. This process is significantly accelerated in the presence of Pd(II) catalysts. However, employing Pd(0) precursors, strong acids, and excess ligand effectively decelerates this pathway, diverting the selectivity towards reaction with a second equivalent of 1,3-enyne to yield the telomeric products. This study not only provides an atom-economical method for constructing the 2,5-dihydropyrrole core but also offers a valuable strategy for the development of telomerization chemistry.</w:t>
      </w:r>
    </w:p>
    <w:p>
      <w:pPr>
        <w:spacing w:before="120" w:after="120"/>
      </w:pPr>
      <w:r>
        <w:rPr>
          <w:sz w:val="18"/>
        </w:rPr>
        <w:t>——————————————————————————————————————————————————————————————————————</w:t>
      </w:r>
    </w:p>
    <w:p>
      <w:pPr>
        <w:spacing w:before="160" w:after="40" w:line="240" w:lineRule="auto"/>
      </w:pPr>
      <w:r>
        <w:rPr>
          <w:b/>
        </w:rPr>
        <w:t xml:space="preserve">[153] </w:t>
      </w:r>
      <w:hyperlink r:id="rId425">
        <w:r>
          <w:rPr>
            <w:color w:val="1155CC"/>
            <w:u w:val="single"/>
          </w:rPr>
          <w:t>有丝分裂微同源介导的断裂诱导复制促进染色体合成</w:t>
        </w:r>
      </w:hyperlink>
    </w:p>
    <w:p>
      <w:pPr>
        <w:spacing w:before="0" w:after="80"/>
      </w:pPr>
      <w:r>
        <w:rPr>
          <w:i/>
          <w:sz w:val="20"/>
        </w:rPr>
        <w:t>EN: Mitotic microhomology-mediated break-induced replication promotes chromoanasynthesis</w:t>
      </w:r>
    </w:p>
    <w:p>
      <w:pPr>
        <w:spacing w:before="0" w:after="120"/>
      </w:pPr>
      <w:r>
        <w:rPr>
          <w:b/>
        </w:rPr>
        <w:t xml:space="preserve">Source: </w:t>
      </w:r>
      <w:r>
        <w:t>Nature Communications</w:t>
      </w:r>
      <w:r>
        <w:t xml:space="preserve">    </w:t>
      </w:r>
      <w:r>
        <w:rPr>
          <w:b/>
        </w:rPr>
        <w:t xml:space="preserve">Pub date: </w:t>
      </w:r>
      <w:r>
        <w:t>2026-03-03 00:00:00+00:00</w:t>
      </w:r>
      <w:r>
        <w:t xml:space="preserve">    </w:t>
      </w:r>
      <w:r>
        <w:rPr>
          <w:b/>
        </w:rPr>
        <w:t xml:space="preserve">DOI: </w:t>
      </w:r>
      <w:hyperlink r:id="rId426">
        <w:r>
          <w:rPr>
            <w:color w:val="1155CC"/>
            <w:u w:val="single"/>
          </w:rPr>
          <w:t>10.1038/s41467-026-70086-y</w:t>
        </w:r>
      </w:hyperlink>
    </w:p>
    <w:p>
      <w:pPr>
        <w:spacing w:before="0" w:after="120"/>
      </w:pPr>
      <w:r>
        <w:rPr>
          <w:b/>
        </w:rPr>
        <w:t xml:space="preserve">Notes: </w:t>
      </w:r>
      <w:r>
        <w:t>abstract_source=nature_html</w:t>
      </w:r>
    </w:p>
    <w:p>
      <w:pPr>
        <w:spacing w:before="0" w:after="80" w:lineRule="auto" w:line="276"/>
      </w:pPr>
      <w:r>
        <w:rPr>
          <w:b/>
        </w:rPr>
        <w:t xml:space="preserve">摘要（ZH）: </w:t>
      </w:r>
      <w:r>
        <w:t>染色体合成是一种复杂染色体重排（CCR）的形式，常见于癌症和先天性疾病中，但其生成机制仍不清楚。在此，我们开发了一种单分子长读长DNA测序方法，以表征在缩短的端粒和亚端粒DNA双链断裂处发生的超复杂突变事件，与染色体合成一致。我们的数据揭示了染色体合成是通过微同源介导的断裂诱导复制（MM-BIR）生成的，特异性发生在有丝分裂中。令人惊讶的是，这一有丝分裂途径涉及微同源介导的末端连接（MMEJ）和BIR的协作，其中MMEJ蛋白启动一个依赖于Polδ的BIR途径，该途径由PIF1、POLD3和PCNA调节</w:t>
      </w:r>
    </w:p>
    <w:p>
      <w:pPr>
        <w:spacing w:before="0" w:after="200" w:lineRule="auto" w:line="276"/>
      </w:pPr>
      <w:r>
        <w:rPr>
          <w:b/>
        </w:rPr>
        <w:t xml:space="preserve">Abstract (EN): </w:t>
      </w:r>
      <w:r>
        <w:t>Chromoanasynthesis is a form of complex chromosomal rearrangement (CCR) commonly detected in cancers and congenital disorders, but the mechanism underlying its generation remain elusive. Here we develop a single-molecule long-read DNA sequencing approach to characterise ultra-complex mutational events, consistent with chromoanasynthesis, occurring at shortened telomeres and sub-telomeric DNA double-strand breaks in human cells. Our data reveal that chromoanasynthesis is generated by microhomology-mediated break-induced replication (MM-BIR), occurring specifically in mitosis. Surprisingly, this mitotic pathway involves a collaboration between microhomology-mediated end-joining (MMEJ) and BIR, where MMEJ proteins initiate a Polδ-dependent BIR pathway that is regulated by PIF1, POLD3 and PCNA. This pathway is highly prone to template switching and can generate dramatic amplification of genomic loci in a single event. Our findings help explain the extreme mutagenic nature of chromoanasynthesis and establish mitotic MM-BIR as a key driver of CCRs, with important implications for the origin of cancers and congenital disorders.</w:t>
      </w:r>
    </w:p>
    <w:p>
      <w:pPr>
        <w:spacing w:before="120" w:after="120"/>
      </w:pPr>
      <w:r>
        <w:rPr>
          <w:sz w:val="18"/>
        </w:rPr>
        <w:t>——————————————————————————————————————————————————————————————————————</w:t>
      </w:r>
    </w:p>
    <w:p>
      <w:pPr>
        <w:spacing w:before="160" w:after="40" w:line="240" w:lineRule="auto"/>
      </w:pPr>
      <w:r>
        <w:rPr>
          <w:b/>
        </w:rPr>
        <w:t xml:space="preserve">[154] </w:t>
      </w:r>
      <w:hyperlink r:id="rId427">
        <w:r>
          <w:rPr>
            <w:color w:val="1155CC"/>
            <w:u w:val="single"/>
          </w:rPr>
          <w:t>通过等位基因读出平铺碱基编辑的调控元件的核苷酸分辨率映射</w:t>
        </w:r>
      </w:hyperlink>
    </w:p>
    <w:p>
      <w:pPr>
        <w:spacing w:before="0" w:after="80"/>
      </w:pPr>
      <w:r>
        <w:rPr>
          <w:i/>
          <w:sz w:val="20"/>
        </w:rPr>
        <w:t>EN: Nucleotide-resolution mapping of regulatory elements via allelic readout of tiled base editing</w:t>
      </w:r>
    </w:p>
    <w:p>
      <w:pPr>
        <w:spacing w:before="0" w:after="120"/>
      </w:pPr>
      <w:r>
        <w:rPr>
          <w:b/>
        </w:rPr>
        <w:t xml:space="preserve">Source: </w:t>
      </w:r>
      <w:r>
        <w:t>Nature Communications</w:t>
      </w:r>
      <w:r>
        <w:t xml:space="preserve">    </w:t>
      </w:r>
      <w:r>
        <w:rPr>
          <w:b/>
        </w:rPr>
        <w:t xml:space="preserve">Pub date: </w:t>
      </w:r>
      <w:r>
        <w:t>2026-03-03 00:00:00+00:00</w:t>
      </w:r>
      <w:r>
        <w:t xml:space="preserve">    </w:t>
      </w:r>
      <w:r>
        <w:rPr>
          <w:b/>
        </w:rPr>
        <w:t xml:space="preserve">DOI: </w:t>
      </w:r>
      <w:hyperlink r:id="rId428">
        <w:r>
          <w:rPr>
            <w:color w:val="1155CC"/>
            <w:u w:val="single"/>
          </w:rPr>
          <w:t>10.1038/s41467-026-69918-8</w:t>
        </w:r>
      </w:hyperlink>
    </w:p>
    <w:p>
      <w:pPr>
        <w:spacing w:before="0" w:after="120"/>
      </w:pPr>
      <w:r>
        <w:rPr>
          <w:b/>
        </w:rPr>
        <w:t xml:space="preserve">Notes: </w:t>
      </w:r>
      <w:r>
        <w:t>abstract_source=nature_html</w:t>
      </w:r>
    </w:p>
    <w:p>
      <w:pPr>
        <w:spacing w:before="0" w:after="80" w:lineRule="auto" w:line="276"/>
      </w:pPr>
      <w:r>
        <w:rPr>
          <w:b/>
        </w:rPr>
        <w:t xml:space="preserve">摘要（ZH）: </w:t>
      </w:r>
      <w:r>
        <w:t>CRISPR平铺筛选已使调控序列的特征化成为可能，但由于通过引导RNA测序和富集分析间接读取编辑而导致分辨率低。本研究介绍了一种端到端的实验测定和计算管道，利用在密集碱基编辑诱变后对CRISPR引入的等位基因在内源性目标位点进行靶向测序。作为概念验证，我们研究了一个假定的CD19增强子，这是白血病免疫治疗的目标，并识别了对CD19调控至关重要的等位基因和单个核苷酸。我们的可视化工具揭示了与排名靠前的核苷酸相对应的转录因子基序。验证实验证实，MYB、PAX5和EBF1结合位点的突变会减少</w:t>
      </w:r>
    </w:p>
    <w:p>
      <w:pPr>
        <w:spacing w:before="0" w:after="200" w:lineRule="auto" w:line="276"/>
      </w:pPr>
      <w:r>
        <w:rPr>
          <w:b/>
        </w:rPr>
        <w:t xml:space="preserve">Abstract (EN): </w:t>
      </w:r>
      <w:r>
        <w:t>CRISPR tiling screens have enabled the characterization of regulatory sequences but are limited by low resolution arising from the indirect readout of editing via guide RNA sequencing and enrichment analysis. This study introduces an end-to-end experimental assay and computational pipeline, which leverages targeted sequencing of CRISPR-introduced alleles at the endogenous target locus following dense base-editing mutagenesis. As a proof of concept, we studied a putative CD19 enhancer, an immunotherapy target in leukemia, and identified alleles and single nucleotides crucial for CD19 regulation. Our visualization tools revealed transcription factor motifs corresponding to the top-ranked nucleotides. Validation experiments confirmed that mutations in MYB, PAX5, and EBF1 binding sites reduce CD19 expression. Critically, editing MYB and PAX5 motifs conferred resistance to CD19 CAR-T cell therapy, revealing how non-coding variants can drive immunotherapy escape. Taken together, this approach achieves nucleotide-resolution genotype-phenotype mapping at regulatory elements beyond conventional gRNA-based screens.</w:t>
      </w:r>
    </w:p>
    <w:p>
      <w:pPr>
        <w:spacing w:before="120" w:after="120"/>
      </w:pPr>
      <w:r>
        <w:rPr>
          <w:sz w:val="18"/>
        </w:rPr>
        <w:t>——————————————————————————————————————————————————————————————————————</w:t>
      </w:r>
    </w:p>
    <w:p>
      <w:pPr>
        <w:spacing w:before="160" w:after="40" w:line="240" w:lineRule="auto"/>
      </w:pPr>
      <w:r>
        <w:rPr>
          <w:b/>
        </w:rPr>
        <w:t xml:space="preserve">[155] </w:t>
      </w:r>
      <w:hyperlink r:id="rId429">
        <w:r>
          <w:rPr>
            <w:color w:val="1155CC"/>
            <w:u w:val="single"/>
          </w:rPr>
          <w:t>用于高效和稳定钙钛矿-硅双结太阳能电池的自组装单层型空穴传输层的pH调节</w:t>
        </w:r>
      </w:hyperlink>
    </w:p>
    <w:p>
      <w:pPr>
        <w:spacing w:before="0" w:after="80"/>
      </w:pPr>
      <w:r>
        <w:rPr>
          <w:i/>
          <w:sz w:val="20"/>
        </w:rPr>
        <w:t>EN: pH modulation for self-assembly-monolayer-type hole transport layer for efficient and stable perovskite-silicon double-junction solar cells</w:t>
      </w:r>
    </w:p>
    <w:p>
      <w:pPr>
        <w:spacing w:before="0" w:after="120"/>
      </w:pPr>
      <w:r>
        <w:rPr>
          <w:b/>
        </w:rPr>
        <w:t xml:space="preserve">Source: </w:t>
      </w:r>
      <w:r>
        <w:t>Joule</w:t>
      </w:r>
      <w:r>
        <w:t xml:space="preserve">    </w:t>
      </w:r>
      <w:r>
        <w:rPr>
          <w:b/>
        </w:rPr>
        <w:t xml:space="preserve">Pub date: </w:t>
      </w:r>
      <w:r>
        <w:t>2026-03-03 00:00:00+00:00</w:t>
      </w:r>
      <w:r>
        <w:t xml:space="preserve">    </w:t>
      </w:r>
      <w:r>
        <w:rPr>
          <w:b/>
        </w:rPr>
        <w:t xml:space="preserve">DOI: </w:t>
      </w:r>
      <w:hyperlink r:id="rId430">
        <w:r>
          <w:rPr>
            <w:color w:val="1155CC"/>
            <w:u w:val="single"/>
          </w:rPr>
          <w:t>10.1016/j.joule.2025.102314</w:t>
        </w:r>
      </w:hyperlink>
    </w:p>
    <w:p>
      <w:pPr>
        <w:spacing w:before="0" w:after="120"/>
      </w:pPr>
      <w:r>
        <w:rPr>
          <w:b/>
        </w:rPr>
        <w:t xml:space="preserve">Notes: </w:t>
      </w:r>
      <w:r>
        <w:t>abstract_source=rss_cell</w:t>
      </w:r>
    </w:p>
    <w:p>
      <w:pPr>
        <w:spacing w:before="0" w:after="80" w:lineRule="auto" w:line="276"/>
      </w:pPr>
      <w:r>
        <w:rPr>
          <w:b/>
        </w:rPr>
        <w:t xml:space="preserve">摘要（ZH）: </w:t>
      </w:r>
      <w:r>
        <w:t>这项工作表明，通过调节自组装单分子层（SAM）前体溶液的pH值，可以成功抑制其分子聚集。我们利用这一知识设计了一种新的分子，用于1.67 eV钙钛矿太阳能电池和钙钛矿-硅串联电池的共SAM策略。冠军1 cm2串联电池的认证PCE为29.1%。封装的串联电池在1,010个热循环后保持了95%的效率。我们还报告了第一个通过IEC 61215湿度冻结测试的封装钙钛矿-硅串联器件。</w:t>
      </w:r>
    </w:p>
    <w:p>
      <w:pPr>
        <w:spacing w:before="0" w:after="200" w:lineRule="auto" w:line="276"/>
      </w:pPr>
      <w:r>
        <w:rPr>
          <w:b/>
        </w:rPr>
        <w:t xml:space="preserve">Abstract (EN): </w:t>
      </w:r>
      <w:r>
        <w:t>This work demonstrates that pH modulation of self-assembled monolayer (SAM) precursor solution successfully suppresses its molecular aggregation. We used this knowledge to design a new molecule for a co-SAM strategy for 1.67 eV perovskite solar cells and perovskite-Si tandems. The champion 1 cm2 tandem cell produced a certified PCE of 29.1%. An encapsulated tandem retains 95% of its efficiency after 1,010 thermal cycles. We also report the first encapsulated perovskite-Si tandem device that surpassed the IEC 61215 humidity freeze test.</w:t>
      </w:r>
    </w:p>
    <w:p>
      <w:pPr>
        <w:spacing w:before="120" w:after="120"/>
      </w:pPr>
      <w:r>
        <w:rPr>
          <w:sz w:val="18"/>
        </w:rPr>
        <w:t>——————————————————————————————————————————————————————————————————————</w:t>
      </w:r>
    </w:p>
    <w:p>
      <w:pPr>
        <w:spacing w:before="160" w:after="40" w:line="240" w:lineRule="auto"/>
      </w:pPr>
      <w:r>
        <w:rPr>
          <w:b/>
        </w:rPr>
        <w:t xml:space="preserve">[156] </w:t>
      </w:r>
      <w:hyperlink r:id="rId431">
        <w:r>
          <w:rPr>
            <w:color w:val="1155CC"/>
            <w:u w:val="single"/>
          </w:rPr>
          <w:t>HOD光解中直接和间接反应路径之间的量子干涉</w:t>
        </w:r>
      </w:hyperlink>
    </w:p>
    <w:p>
      <w:pPr>
        <w:spacing w:before="0" w:after="80"/>
      </w:pPr>
      <w:r>
        <w:rPr>
          <w:i/>
          <w:sz w:val="20"/>
        </w:rPr>
        <w:t>EN: Quantum interference between direct and indirect reaction paths in the photodissociation of HOD</w:t>
      </w:r>
    </w:p>
    <w:p>
      <w:pPr>
        <w:spacing w:before="0" w:after="120"/>
      </w:pPr>
      <w:r>
        <w:rPr>
          <w:b/>
        </w:rPr>
        <w:t xml:space="preserve">Source: </w:t>
      </w:r>
      <w:r>
        <w:t>Nature Chemistry</w:t>
      </w:r>
      <w:r>
        <w:t xml:space="preserve">    </w:t>
      </w:r>
      <w:r>
        <w:rPr>
          <w:b/>
        </w:rPr>
        <w:t xml:space="preserve">Pub date: </w:t>
      </w:r>
      <w:r>
        <w:t>2026-03-03 00:00:00+00:00</w:t>
      </w:r>
      <w:r>
        <w:t xml:space="preserve">    </w:t>
      </w:r>
      <w:r>
        <w:rPr>
          <w:b/>
        </w:rPr>
        <w:t xml:space="preserve">DOI: </w:t>
      </w:r>
      <w:hyperlink r:id="rId432">
        <w:r>
          <w:rPr>
            <w:color w:val="1155CC"/>
            <w:u w:val="single"/>
          </w:rPr>
          <w:t>10.1038/s41557-026-02078-w</w:t>
        </w:r>
      </w:hyperlink>
    </w:p>
    <w:p>
      <w:pPr>
        <w:spacing w:before="0" w:after="120"/>
      </w:pPr>
      <w:r>
        <w:rPr>
          <w:b/>
        </w:rPr>
        <w:t xml:space="preserve">Notes: </w:t>
      </w:r>
      <w:r>
        <w:t>abstract_source=nature_html</w:t>
      </w:r>
    </w:p>
    <w:p>
      <w:pPr>
        <w:spacing w:before="0" w:after="80" w:lineRule="auto" w:line="276"/>
      </w:pPr>
      <w:r>
        <w:rPr>
          <w:b/>
        </w:rPr>
        <w:t xml:space="preserve">摘要（ZH）: </w:t>
      </w:r>
      <w:r>
        <w:t>量子粒子的波动性使得干涉效应能够影响化学反应的结果；然而，大多数观察到的干涉效应是由两个空间上不同的反应路径产生的，类似于杨氏双缝实验。在此，我们报告了关于HOD光解的详细实验，揭示了OD(X)产物碎片的旋转态分布随激发波长的变化。全维量子计算半定量地再现了实验观察结果，我们的分析将这种行为归因于直接和间接解离路径之间的动态干涉，这两条路径都经过在共线H–OD几何结构下的同一个锥形交叉缝，这种干涉类似于‘单缝衍射’。</w:t>
      </w:r>
    </w:p>
    <w:p>
      <w:pPr>
        <w:spacing w:before="0" w:after="200" w:lineRule="auto" w:line="276"/>
      </w:pPr>
      <w:r>
        <w:rPr>
          <w:b/>
        </w:rPr>
        <w:t xml:space="preserve">Abstract (EN): </w:t>
      </w:r>
      <w:r>
        <w:t>The wave-like nature of quantum particles enables interference effects that can influence the outcomes of chemical reactions; however, most have been observed to occur from two spatially distinct reaction pathways, analogous to Young’s double-slit experiment. Here we report detailed experiments on HOD photodissociation that reveal excitation-wavelength-dependent variations in the rotational state distribution of OD(X) product fragments. Full-dimensional quantum calculations reproduce the experimental observations semi-quantitatively, and our analysis attributes this behaviour to dynamical interferences between direct and indirect dissociation paths that both traverse the same conical intersection seam at collinear H–OD geometries, an interference analogous to ‘single-slit diffraction’ in optics. These observed dynamical signatures demonstrate that interference can manifest even within a single reaction pathway, suggesting a quantum mechanical means to control conical intersection-mediated nonadiabatic dynamics.</w:t>
      </w:r>
    </w:p>
    <w:p>
      <w:pPr>
        <w:spacing w:before="120" w:after="120"/>
      </w:pPr>
      <w:r>
        <w:rPr>
          <w:sz w:val="18"/>
        </w:rPr>
        <w:t>——————————————————————————————————————————————————————————————————————</w:t>
      </w:r>
    </w:p>
    <w:p>
      <w:pPr>
        <w:spacing w:before="160" w:after="40" w:line="240" w:lineRule="auto"/>
      </w:pPr>
      <w:r>
        <w:rPr>
          <w:b/>
        </w:rPr>
        <w:t xml:space="preserve">[157] </w:t>
      </w:r>
      <w:hyperlink r:id="rId433">
        <w:r>
          <w:rPr>
            <w:color w:val="1155CC"/>
            <w:u w:val="single"/>
          </w:rPr>
          <w:t>通过原位或操作中表征对电化学储能设备的基础理解</w:t>
        </w:r>
      </w:hyperlink>
    </w:p>
    <w:p>
      <w:pPr>
        <w:spacing w:before="0" w:after="80"/>
      </w:pPr>
      <w:r>
        <w:rPr>
          <w:i/>
          <w:sz w:val="20"/>
        </w:rPr>
        <w:t>EN: Fundamental understanding of electrochemical energy storage devices via in situ or operando characterization</w:t>
      </w:r>
    </w:p>
    <w:p>
      <w:pPr>
        <w:spacing w:before="0" w:after="120"/>
      </w:pPr>
      <w:r>
        <w:rPr>
          <w:b/>
        </w:rPr>
        <w:t xml:space="preserve">Source: </w:t>
      </w:r>
      <w:r>
        <w:t>RSC - Chem. Soc. Rev. latest articles</w:t>
      </w:r>
      <w:r>
        <w:t xml:space="preserve">    </w:t>
      </w:r>
      <w:r>
        <w:rPr>
          <w:b/>
        </w:rPr>
        <w:t xml:space="preserve">Pub date: </w:t>
      </w:r>
      <w:r>
        <w:t>2026-03-03 00:00:00+00:00</w:t>
      </w:r>
    </w:p>
    <w:p>
      <w:pPr>
        <w:spacing w:before="0" w:after="120"/>
      </w:pPr>
      <w:r>
        <w:rPr>
          <w:b/>
        </w:rPr>
        <w:t xml:space="preserve">Notes: </w:t>
      </w:r>
      <w:r>
        <w:t>abstract_source=rsc_html</w:t>
      </w:r>
    </w:p>
    <w:p>
      <w:pPr>
        <w:spacing w:before="0" w:after="80" w:lineRule="auto" w:line="276"/>
      </w:pPr>
      <w:r>
        <w:rPr>
          <w:b/>
        </w:rPr>
        <w:t xml:space="preserve">摘要（ZH）: </w:t>
      </w:r>
      <w:r>
        <w:t>在能源存储领域，机械研究的重要性不可低估。单靠电化学表征无法全面了解影响电化学能量存储设备（ESDs）性能、寿命和安全性的过程。原位/操作中（I-S/O）表征技术对理解这些难以捉摸的过程做出了重大贡献。在此，我们通过分析十多年的I-S/O表征结果，深入理解关键ESD机制。我们提供了各种充电存储和降解机制的跨技术分析，考虑了关键ESD材料的结构、形态和化学方面。我们展示了如何通过多种I技术研究ESDs的这三个方面。</w:t>
      </w:r>
    </w:p>
    <w:p>
      <w:pPr>
        <w:spacing w:before="0" w:after="200" w:lineRule="auto" w:line="276"/>
      </w:pPr>
      <w:r>
        <w:rPr>
          <w:b/>
        </w:rPr>
        <w:t xml:space="preserve">Abstract (EN): </w:t>
      </w:r>
      <w:r>
        <w:t>The importance of mechanistic studies in the field of energy storage cannot be understated. Electrochemical characterization alone cannot provide a comprehensive picture of processes affecting the performance, longevity and safety of electrochemical energy storage devices (ESDs). In situ/operando (I-S/O) characterization techniques have contributed significantly to the understanding of such elusive processes. Here, we present an in-depth understanding of critical ESD mechanisms by analyzing over a decade of I-S/O characterization results. Wherever available we provide cross-technique analysis of various charge storage and degradation mechanisms in key ESD materials by considering structural, morphological and chemical aspects. We show how studying these three aspects of ESDs via multiple I-S/O characterization techniques can reveal the origin of high performance of certain materials and pinpoint the reasons for performance degradation. Such mechanisms vary across materials and may often be counterintuitive. Therefore, understanding these phenomena through I-S/O characterization can aid researchers in developing strategies for improving the performance while suppressing detrimental processes like phase segregation, cracking, volume expansion, etc., which is crucial for achieving higher voltage and charge–discharge rates. Finally, we discuss the challenges and opportunities for enhancing I-S/O characterization by combining multiple techniques in one platform, leveraging the recent growth in machine learning and employing planar ESD architectures. I-S/O characterization can accelerate the development of new-concept, high-performance and long-cycling materials for ESDs.</w:t>
      </w:r>
    </w:p>
    <w:p>
      <w:pPr>
        <w:spacing w:before="120" w:after="120"/>
      </w:pPr>
      <w:r>
        <w:rPr>
          <w:sz w:val="18"/>
        </w:rPr>
        <w:t>——————————————————————————————————————————————————————————————————————</w:t>
      </w:r>
    </w:p>
    <w:p>
      <w:pPr>
        <w:spacing w:before="160" w:after="40" w:line="240" w:lineRule="auto"/>
      </w:pPr>
      <w:r>
        <w:rPr>
          <w:b/>
        </w:rPr>
        <w:t xml:space="preserve">[158] </w:t>
      </w:r>
      <w:hyperlink r:id="rId434">
        <w:r>
          <w:rPr>
            <w:color w:val="1155CC"/>
            <w:u w:val="single"/>
          </w:rPr>
          <w:t>肝病荧光成像剂的合理设计：从分子机制到诊断精度</w:t>
        </w:r>
      </w:hyperlink>
    </w:p>
    <w:p>
      <w:pPr>
        <w:spacing w:before="0" w:after="80"/>
      </w:pPr>
      <w:r>
        <w:rPr>
          <w:i/>
          <w:sz w:val="20"/>
        </w:rPr>
        <w:t>EN: Rational design of fluorescent imaging agents for hepatic diseases: from molecular mechanisms to diagnostic precision</w:t>
      </w:r>
    </w:p>
    <w:p>
      <w:pPr>
        <w:spacing w:before="0" w:after="120"/>
      </w:pPr>
      <w:r>
        <w:rPr>
          <w:b/>
        </w:rPr>
        <w:t xml:space="preserve">Source: </w:t>
      </w:r>
      <w:r>
        <w:t>RSC - Chem. Soc. Rev. latest articles</w:t>
      </w:r>
      <w:r>
        <w:t xml:space="preserve">    </w:t>
      </w:r>
      <w:r>
        <w:rPr>
          <w:b/>
        </w:rPr>
        <w:t xml:space="preserve">Pub date: </w:t>
      </w:r>
      <w:r>
        <w:t>2026-03-03 00:00:00+00:00</w:t>
      </w:r>
    </w:p>
    <w:p>
      <w:pPr>
        <w:spacing w:before="0" w:after="120"/>
      </w:pPr>
      <w:r>
        <w:rPr>
          <w:b/>
        </w:rPr>
        <w:t xml:space="preserve">Notes: </w:t>
      </w:r>
      <w:r>
        <w:t>abstract_source=rsc_html</w:t>
      </w:r>
    </w:p>
    <w:p>
      <w:pPr>
        <w:spacing w:before="0" w:after="80" w:lineRule="auto" w:line="276"/>
      </w:pPr>
      <w:r>
        <w:rPr>
          <w:b/>
        </w:rPr>
        <w:t xml:space="preserve">摘要（ZH）: </w:t>
      </w:r>
      <w:r>
        <w:t>肝脏疾病是全球健康的重大威胁，其复杂的病理过程源于分子失调和微环境失衡。对肝脏疾病机制的深入理解和精确检测技术的发展是相辅相成且不可或缺的。荧光成像技术以高灵敏度和强特异性为特征，能够对肝脏疾病的关键生物标志物进行原位和动态监测，从而揭示分子和细胞水平的病理过程，为疾病机制研究和早期精确诊断提供了强大的可视化工具。近年来，该领域取得了显著进展。本综述系统总结了</w:t>
      </w:r>
    </w:p>
    <w:p>
      <w:pPr>
        <w:spacing w:before="0" w:after="200" w:lineRule="auto" w:line="276"/>
      </w:pPr>
      <w:r>
        <w:rPr>
          <w:b/>
        </w:rPr>
        <w:t xml:space="preserve">Abstract (EN): </w:t>
      </w:r>
      <w:r>
        <w:t>Hepatic diseases represent a significant global health threat, with their complex pathological processes originating from molecular dysregulation and microenvironmental imbalance. A profound understanding of the mechanisms of hepatic diseases and the development of precise detection technologies are mutually reinforcing and indispensable. Fluorescence imaging technology, characterized by high sensitivity and strong specificity, enables in situ and dynamic monitoring of key biomarkers for hepatic diseases. It thereby reveals pathological processes at the molecular and cellular levels, providing a powerful visualization tool for research on disease mechanisms and early precision diagnosis. In recent years, significant progress has been made in this field. This review systematically summarizes the latest advances in the development and application of fluorescent probes for various hepatic diseases since 2020. We outline the design principles and strategies targeting different biomarkers and expound on the core mechanisms regulating the optical signals of the probes. This review provides a detailed discussion on biological imaging using fluorescent probes in diseases including fatty liver disease, acute liver injury, and hepatocellular carcinoma, analysing their activation mechanisms and biological discoveries. Furthermore, the challenges and future directions in this field are discussed. This review aims to promote the development of more efficient and multifunctional fluorescent probes, which will expand the application of fluorescence imaging technology for the precision diagnosis and treatment of hepatic diseases.</w:t>
      </w:r>
    </w:p>
    <w:p>
      <w:pPr>
        <w:spacing w:before="120" w:after="120"/>
      </w:pPr>
      <w:r>
        <w:rPr>
          <w:sz w:val="18"/>
        </w:rPr>
        <w:t>——————————————————————————————————————————————————————————————————————</w:t>
      </w:r>
    </w:p>
    <w:p>
      <w:pPr>
        <w:spacing w:before="160" w:after="40" w:line="240" w:lineRule="auto"/>
      </w:pPr>
      <w:r>
        <w:rPr>
          <w:b/>
        </w:rPr>
        <w:t xml:space="preserve">[159] </w:t>
      </w:r>
      <w:hyperlink r:id="rId435">
        <w:r>
          <w:rPr>
            <w:color w:val="1155CC"/>
            <w:u w:val="single"/>
          </w:rPr>
          <w:t>DNA介导的力传递用于精确和高效的机械化学激活</w:t>
        </w:r>
      </w:hyperlink>
    </w:p>
    <w:p>
      <w:pPr>
        <w:spacing w:before="0" w:after="80"/>
      </w:pPr>
      <w:r>
        <w:rPr>
          <w:i/>
          <w:sz w:val="20"/>
        </w:rPr>
        <w:t>EN: DNA-mediated force transmission for precise and efficient mechanochemical activation</w:t>
      </w:r>
    </w:p>
    <w:p>
      <w:pPr>
        <w:spacing w:before="0" w:after="120"/>
      </w:pPr>
      <w:r>
        <w:rPr>
          <w:b/>
        </w:rPr>
        <w:t xml:space="preserve">Source: </w:t>
      </w:r>
      <w:r>
        <w:t>Chem</w:t>
      </w:r>
      <w:r>
        <w:t xml:space="preserve">    </w:t>
      </w:r>
      <w:r>
        <w:rPr>
          <w:b/>
        </w:rPr>
        <w:t xml:space="preserve">Pub date: </w:t>
      </w:r>
      <w:r>
        <w:t>2026-03-03 00:00:00+00:00</w:t>
      </w:r>
      <w:r>
        <w:t xml:space="preserve">    </w:t>
      </w:r>
      <w:r>
        <w:rPr>
          <w:b/>
        </w:rPr>
        <w:t xml:space="preserve">DOI: </w:t>
      </w:r>
      <w:hyperlink r:id="rId436">
        <w:r>
          <w:rPr>
            <w:color w:val="1155CC"/>
            <w:u w:val="single"/>
          </w:rPr>
          <w:t>10.1016/j.chempr.2025.102920</w:t>
        </w:r>
      </w:hyperlink>
    </w:p>
    <w:p>
      <w:pPr>
        <w:spacing w:before="0" w:after="120"/>
      </w:pPr>
      <w:r>
        <w:rPr>
          <w:b/>
        </w:rPr>
        <w:t xml:space="preserve">Notes: </w:t>
      </w:r>
      <w:r>
        <w:t>abstract_source=rss_cell</w:t>
      </w:r>
    </w:p>
    <w:p>
      <w:pPr>
        <w:spacing w:before="0" w:after="80" w:lineRule="auto" w:line="276"/>
      </w:pPr>
      <w:r>
        <w:rPr>
          <w:b/>
        </w:rPr>
        <w:t xml:space="preserve">摘要（ZH）: </w:t>
      </w:r>
      <w:r>
        <w:t>Kim等人将DNA作为机械化学支架，在超声波下实现高效的键断裂（15分钟内达到99.9%）。测序和质谱技术使得机械发色团的精确表征成为可能，推动了基础机械化学和潜在治疗应用的发展。</w:t>
      </w:r>
    </w:p>
    <w:p>
      <w:pPr>
        <w:spacing w:before="0" w:after="200" w:lineRule="auto" w:line="276"/>
      </w:pPr>
      <w:r>
        <w:rPr>
          <w:b/>
        </w:rPr>
        <w:t xml:space="preserve">Abstract (EN): </w:t>
      </w:r>
      <w:r>
        <w:t>Kim et al. establish DNA as a mechanochemical scaffold, achieving efficient bond scission (99.9% within 15 min) under ultrasound. Sequencing and mass spectrometry enable precise mechanophore characterization, advancing both fundamental mechanochemistry and potential therapeutic applications.</w:t>
      </w:r>
    </w:p>
    <w:p>
      <w:pPr>
        <w:spacing w:before="120" w:after="120"/>
      </w:pPr>
      <w:r>
        <w:rPr>
          <w:sz w:val="18"/>
        </w:rPr>
        <w:t>——————————————————————————————————————————————————————————————————————</w:t>
      </w:r>
    </w:p>
    <w:p>
      <w:pPr>
        <w:spacing w:before="160" w:after="40" w:line="240" w:lineRule="auto"/>
      </w:pPr>
      <w:r>
        <w:rPr>
          <w:b/>
        </w:rPr>
        <w:t xml:space="preserve">[160] </w:t>
      </w:r>
      <w:hyperlink r:id="rId437">
        <w:r>
          <w:rPr>
            <w:color w:val="1155CC"/>
            <w:u w:val="single"/>
          </w:rPr>
          <w:t>模块化遗传密码扩展方法实现赖氨酸位点特异性酰化</w:t>
        </w:r>
      </w:hyperlink>
    </w:p>
    <w:p>
      <w:pPr>
        <w:spacing w:before="0" w:after="80"/>
      </w:pPr>
      <w:r>
        <w:rPr>
          <w:i/>
          <w:sz w:val="20"/>
        </w:rPr>
        <w:t>EN: A modular genetic code expansion approach to site-specific lysine acylations</w:t>
      </w:r>
    </w:p>
    <w:p>
      <w:pPr>
        <w:spacing w:before="0" w:after="120"/>
      </w:pPr>
      <w:r>
        <w:rPr>
          <w:b/>
        </w:rPr>
        <w:t xml:space="preserve">Source: </w:t>
      </w:r>
      <w:r>
        <w:t>Chem</w:t>
      </w:r>
      <w:r>
        <w:t xml:space="preserve">    </w:t>
      </w:r>
      <w:r>
        <w:rPr>
          <w:b/>
        </w:rPr>
        <w:t xml:space="preserve">Pub date: </w:t>
      </w:r>
      <w:r>
        <w:t>2026-03-03 00:00:00+00:00</w:t>
      </w:r>
      <w:r>
        <w:t xml:space="preserve">    </w:t>
      </w:r>
      <w:r>
        <w:rPr>
          <w:b/>
        </w:rPr>
        <w:t xml:space="preserve">DOI: </w:t>
      </w:r>
      <w:hyperlink r:id="rId438">
        <w:r>
          <w:rPr>
            <w:color w:val="1155CC"/>
            <w:u w:val="single"/>
          </w:rPr>
          <w:t>10.1016/j.chempr.2025.102919</w:t>
        </w:r>
      </w:hyperlink>
    </w:p>
    <w:p>
      <w:pPr>
        <w:spacing w:before="0" w:after="120"/>
      </w:pPr>
      <w:r>
        <w:rPr>
          <w:b/>
        </w:rPr>
        <w:t xml:space="preserve">Notes: </w:t>
      </w:r>
      <w:r>
        <w:t>abstract_source=rss_cell</w:t>
      </w:r>
    </w:p>
    <w:p>
      <w:pPr>
        <w:spacing w:before="0" w:after="80" w:lineRule="auto" w:line="276"/>
      </w:pPr>
      <w:r>
        <w:rPr>
          <w:b/>
        </w:rPr>
        <w:t xml:space="preserve">摘要（ZH）: </w:t>
      </w:r>
      <w:r>
        <w:t>一种模块化策略结合了遗传密码扩展和选择性酰胺键形成反应，使赖氨酸酰化能够在折叠蛋白质上进行位点特异性安装。酰基硼酸盐与遗传编码的羟胺选择性反应，精确地获得位点特异性酰化的蛋白质，从而扩展了研究这些重要翻译后修饰的调控作用的工具包。</w:t>
      </w:r>
    </w:p>
    <w:p>
      <w:pPr>
        <w:spacing w:before="0" w:after="200" w:lineRule="auto" w:line="276"/>
      </w:pPr>
      <w:r>
        <w:rPr>
          <w:b/>
        </w:rPr>
        <w:t xml:space="preserve">Abstract (EN): </w:t>
      </w:r>
      <w:r>
        <w:t>A modular strategy combining genetic code expansion with a selective amide bond-forming reaction enables the site-specific installation of lysine acylations on folded proteins. Acylboronates react selectively with genetically encoded hydroxylamines and provide precise access to site-specifically acylated proteins, thereby expanding the toolkit for studying the regulatory roles of these important posttranslational modifications.</w:t>
      </w:r>
    </w:p>
    <w:p>
      <w:pPr>
        <w:spacing w:before="120" w:after="120"/>
      </w:pPr>
      <w:r>
        <w:rPr>
          <w:sz w:val="18"/>
        </w:rPr>
        <w:t>——————————————————————————————————————————————————————————————————————</w:t>
      </w:r>
    </w:p>
    <w:p>
      <w:pPr>
        <w:spacing w:before="160" w:after="40" w:line="240" w:lineRule="auto"/>
      </w:pPr>
      <w:r>
        <w:rPr>
          <w:b/>
        </w:rPr>
        <w:t xml:space="preserve">[161] </w:t>
      </w:r>
      <w:hyperlink r:id="rId439">
        <w:r>
          <w:rPr>
            <w:color w:val="1155CC"/>
            <w:u w:val="single"/>
          </w:rPr>
          <w:t>作者更正：健康森林保护亚马逊地区的传统野味食品系统</w:t>
        </w:r>
      </w:hyperlink>
    </w:p>
    <w:p>
      <w:pPr>
        <w:spacing w:before="0" w:after="80"/>
      </w:pPr>
      <w:r>
        <w:rPr>
          <w:i/>
          <w:sz w:val="20"/>
        </w:rPr>
        <w:t>EN: Author Correction: Healthy forests safeguard traditional wild meat food systems in Amazonia</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40">
        <w:r>
          <w:rPr>
            <w:color w:val="1155CC"/>
            <w:u w:val="single"/>
          </w:rPr>
          <w:t>10.1038/s41586-026-10332-x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441">
        <w:r>
          <w:rPr>
            <w:color w:val="1155CC"/>
            <w:u w:val="single"/>
          </w:rPr>
          <w:t>遗传编码组装记录器时间解析细胞历史</w:t>
        </w:r>
      </w:hyperlink>
    </w:p>
    <w:p>
      <w:pPr>
        <w:spacing w:before="0" w:after="80"/>
      </w:pPr>
      <w:r>
        <w:rPr>
          <w:i/>
          <w:sz w:val="20"/>
        </w:rPr>
        <w:t>EN: Genetically encoded assembly recorder temporally resolves cellular history</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42">
        <w:r>
          <w:rPr>
            <w:color w:val="1155CC"/>
            <w:u w:val="single"/>
          </w:rPr>
          <w:t>10.1038/s41586-026-10323-y</w:t>
        </w:r>
      </w:hyperlink>
    </w:p>
    <w:p>
      <w:pPr>
        <w:spacing w:before="0" w:after="120"/>
      </w:pPr>
      <w:r>
        <w:rPr>
          <w:b/>
        </w:rPr>
        <w:t xml:space="preserve">Notes: </w:t>
      </w:r>
      <w:r>
        <w:t>abstract_source=nature_html</w:t>
      </w:r>
    </w:p>
    <w:p>
      <w:pPr>
        <w:spacing w:before="0" w:after="80" w:lineRule="auto" w:line="276"/>
      </w:pPr>
      <w:r>
        <w:rPr>
          <w:b/>
        </w:rPr>
        <w:t xml:space="preserve">摘要（ZH）: </w:t>
      </w:r>
      <w:r>
        <w:t>细胞不断根据内部和外部信号改变其分子状态。以时空精度绘制组织中的细胞活动图谱对于理解器官生理学、病理学和再生过程至关重要。目前的细胞感知方式主要依赖于终点分析（拍摄静态快照）或实时感知（监测一小部分细胞）。在此，我们介绍了细胞内叙事整合的颗粒扩展记忆（GEMINI），这是一种细胞内记录平台，利用计算设计的蛋白质组装作为细胞内存储设备来记录单个细胞的历史。GEMINI在活细胞中可预测地生长，捕捉细胞事件为树环状荧光图案以进行成像。</w:t>
      </w:r>
    </w:p>
    <w:p>
      <w:pPr>
        <w:spacing w:before="0" w:after="200" w:lineRule="auto" w:line="276"/>
      </w:pPr>
      <w:r>
        <w:rPr>
          <w:b/>
        </w:rPr>
        <w:t xml:space="preserve">Abstract (EN): </w:t>
      </w:r>
      <w:r>
        <w:t>Cells constantly change their molecular state in response to internal and external cues1. Mapping cellular activity in tissues with spatiotemporal precision is essential for understanding organ physiology, pathology, and regenerative processes. Current cell-sensing modalities primarily rely on either endpoint analysis that takes static snapshots, or real-time sensing that monitors a small subset of cells3,4. Here, we introduce Granularly Expanding Memory for Intracellular Narrative Integration (GEMINI), an in cellulo recording platform that leverages a computationally designed protein assembly as an intracellular memory device to record the history of individual cells. GEMINI grows predictably within live cells, capturing cellular events as tree-ring-like fluorescent patterns for imaging-based retrospective readout. Absolute chronological information of activity histories is attainable with hour-level accuracy. GEMINI effectively maps differential NFκB-mediated transcriptional changes, resolving fast dynamics of 15 minutes and providing quantifiable signal amplitudes. In a xenograft model, GEMINI records inflammation-induced signaling dynamics across tissue, revealing spatial heterogeneity linked to vascular density. When expressed in the mouse brain, GEMINI minimally impacts neuronal functions and can resolve both transcriptional changes and activity patterns of neurons. Together, GEMINI provides a robust and generalizable means for spatiotemporal mapping of cell dynamics underlying physiological and pathological processes in both culture and intact tissues.</w:t>
      </w:r>
    </w:p>
    <w:p>
      <w:pPr>
        <w:spacing w:before="120" w:after="120"/>
      </w:pPr>
      <w:r>
        <w:rPr>
          <w:sz w:val="18"/>
        </w:rPr>
        <w:t>——————————————————————————————————————————————————————————————————————</w:t>
      </w:r>
    </w:p>
    <w:p>
      <w:pPr>
        <w:spacing w:before="160" w:after="40" w:line="240" w:lineRule="auto"/>
      </w:pPr>
      <w:r>
        <w:rPr>
          <w:b/>
        </w:rPr>
        <w:t xml:space="preserve">[163] </w:t>
      </w:r>
      <w:hyperlink r:id="rId443">
        <w:r>
          <w:rPr>
            <w:color w:val="1155CC"/>
            <w:u w:val="single"/>
          </w:rPr>
          <w:t>通过核碱基编辑酶实现高性能生物成像和生物传感</w:t>
        </w:r>
      </w:hyperlink>
    </w:p>
    <w:p>
      <w:pPr>
        <w:spacing w:before="0" w:after="80"/>
      </w:pPr>
      <w:r>
        <w:rPr>
          <w:i/>
          <w:sz w:val="20"/>
        </w:rPr>
        <w:t>EN: High-performance bioimaging and biosensing via nucleobase-editing enzymes</w:t>
      </w:r>
    </w:p>
    <w:p>
      <w:pPr>
        <w:spacing w:before="0" w:after="120"/>
      </w:pPr>
      <w:r>
        <w:rPr>
          <w:b/>
        </w:rPr>
        <w:t xml:space="preserve">Source: </w:t>
      </w:r>
      <w:r>
        <w:t>RSC - Chem. Soc. Rev. latest articles</w:t>
      </w:r>
      <w:r>
        <w:t xml:space="preserve">    </w:t>
      </w:r>
      <w:r>
        <w:rPr>
          <w:b/>
        </w:rPr>
        <w:t xml:space="preserve">Pub date: </w:t>
      </w:r>
      <w:r>
        <w:t>2026-03-03 00:00:00+00:00</w:t>
      </w:r>
    </w:p>
    <w:p>
      <w:pPr>
        <w:spacing w:before="0" w:after="120"/>
      </w:pPr>
      <w:r>
        <w:rPr>
          <w:b/>
        </w:rPr>
        <w:t xml:space="preserve">Notes: </w:t>
      </w:r>
      <w:r>
        <w:t>abstract_source=rsc_html</w:t>
      </w:r>
    </w:p>
    <w:p>
      <w:pPr>
        <w:spacing w:before="0" w:after="80" w:lineRule="auto" w:line="276"/>
      </w:pPr>
      <w:r>
        <w:rPr>
          <w:b/>
        </w:rPr>
        <w:t xml:space="preserve">摘要（ZH）: </w:t>
      </w:r>
      <w:r>
        <w:t>核碱基是DNA和RNA的基本单位，经历多种化学修饰和损伤，调节基因组稳定性、表观遗传状态和细胞功能。核碱基编辑酶，包括脱氨酶、甲基转移酶/去甲基化酶和DNA糖基化酶，催化精确的碱基转换、修饰/去修饰或切除反应，在不引起双链断裂的情况下实现高分辨率。最初在转录组多样化、表观遗传调控和DNA修复中研究，这些酶现在越来越多地被重新用于生物传感和生物成像应用中的可编程执行器。在本综述中，我们首先概述了代表性核碱基编辑酶的催化原理，强调底物识别、反应机制和</w:t>
      </w:r>
    </w:p>
    <w:p>
      <w:pPr>
        <w:spacing w:before="0" w:after="200" w:lineRule="auto" w:line="276"/>
      </w:pPr>
      <w:r>
        <w:rPr>
          <w:b/>
        </w:rPr>
        <w:t xml:space="preserve">Abstract (EN): </w:t>
      </w:r>
      <w:r>
        <w:t>Nucleobases, the fundamental units of DNA and RNA, undergo diverse chemical modifications and lesions that regulate genomic stability, epigenetic states, and cellular functions. Nucleobase-editing enzymes, including deaminases, methyltransferases/demethylases, and DNA glycosylases, catalyze precise base conversions, modification/demodification, or excision reactions at high resolution without inducing double-stranded breaks. Originally studied in transcriptomic diversification, epigenetic regulation, and DNA repair, these enzymes are now increasingly repurposed as programmable actuators in biosensing and bioimaging applications. In this review, we first outline the catalytic principles of representative nucleobase-editing enzymes, emphasizing substrate recognition, reaction mechanisms, and physiological functions. We then highlight how these enzymes are integrated into biosensing and bioimaging modules across three major modes: nucleobase conversion, where site-directed deamination enables facile fluorescent protein reporter translation or specific DNA probe hybridization signals; nucleobase modification/demodification, where methylation and demethylation events regulate downstream selective enzymatic biocatalysis or programmble functional nucleic acid activation; and nucleobase erasure, where glycosylase-mediated base excisions facilitate specific probe accommodation or effient enzyme-catalyzed amplification. Such nucleobase-editing enzyme-driven systems offer high specificity, efficient amplification, and high compatibility with physiological conditions, enabling sensitive and spatiotemporally resolved monitoring of nucleic acids, proteins, and cellular processes. Finally, we discuss the advantages, challenges, and future directions of this emerging field. Advances in enzyme engineering, delivery strategies, and multiple circuitry integration are expected to yield next-generation bioanalytical platforms with improved precision, scalability, and clinical applicability. Collectively, these developments establish nucleobase-editing enzymes as a versatile molecular toolbox that bridges fundamental enzymology with applied biotechnology for diagnostics, therapeutic monitoring, and synthetic biology.</w:t>
      </w:r>
    </w:p>
    <w:p>
      <w:pPr>
        <w:spacing w:before="120" w:after="120"/>
      </w:pPr>
      <w:r>
        <w:rPr>
          <w:sz w:val="18"/>
        </w:rPr>
        <w:t>——————————————————————————————————————————————————————————————————————</w:t>
      </w:r>
    </w:p>
    <w:p>
      <w:pPr>
        <w:spacing w:before="160" w:after="40" w:line="240" w:lineRule="auto"/>
      </w:pPr>
      <w:r>
        <w:rPr>
          <w:b/>
        </w:rPr>
        <w:t xml:space="preserve">[164] </w:t>
      </w:r>
      <w:hyperlink r:id="rId444">
        <w:r>
          <w:rPr>
            <w:color w:val="1155CC"/>
            <w:u w:val="single"/>
          </w:rPr>
          <w:t>亚细胞蛋白质组学揭示了锥虫类Angomonas deanei内共生体整合的蓝图</w:t>
        </w:r>
      </w:hyperlink>
    </w:p>
    <w:p>
      <w:pPr>
        <w:spacing w:before="0" w:after="80"/>
      </w:pPr>
      <w:r>
        <w:rPr>
          <w:i/>
          <w:sz w:val="20"/>
        </w:rPr>
        <w:t>EN: Subcellular proteomics reveals a blueprint for endosymbiont integration in trypanosomatid Angomonas deanei</w:t>
      </w:r>
    </w:p>
    <w:p>
      <w:pPr>
        <w:spacing w:before="0" w:after="120"/>
      </w:pPr>
      <w:r>
        <w:rPr>
          <w:b/>
        </w:rPr>
        <w:t xml:space="preserve">Source: </w:t>
      </w:r>
      <w:r>
        <w:t>Nature Communications</w:t>
      </w:r>
      <w:r>
        <w:t xml:space="preserve">    </w:t>
      </w:r>
      <w:r>
        <w:rPr>
          <w:b/>
        </w:rPr>
        <w:t xml:space="preserve">Pub date: </w:t>
      </w:r>
      <w:r>
        <w:t>2026-03-03 00:00:00+00:00</w:t>
      </w:r>
      <w:r>
        <w:t xml:space="preserve">    </w:t>
      </w:r>
      <w:r>
        <w:rPr>
          <w:b/>
        </w:rPr>
        <w:t xml:space="preserve">DOI: </w:t>
      </w:r>
      <w:hyperlink r:id="rId445">
        <w:r>
          <w:rPr>
            <w:color w:val="1155CC"/>
            <w:u w:val="single"/>
          </w:rPr>
          <w:t>10.1038/s41467-026-70084-0</w:t>
        </w:r>
      </w:hyperlink>
    </w:p>
    <w:p>
      <w:pPr>
        <w:spacing w:before="0" w:after="120"/>
      </w:pPr>
      <w:r>
        <w:rPr>
          <w:b/>
        </w:rPr>
        <w:t xml:space="preserve">Notes: </w:t>
      </w:r>
      <w:r>
        <w:t>abstract_source=nature_html</w:t>
      </w:r>
    </w:p>
    <w:p>
      <w:pPr>
        <w:spacing w:before="0" w:after="80" w:lineRule="auto" w:line="276"/>
      </w:pPr>
      <w:r>
        <w:rPr>
          <w:b/>
        </w:rPr>
        <w:t xml:space="preserve">摘要（ZH）: </w:t>
      </w:r>
      <w:r>
        <w:t>内共生体的获取是推动真核生物进化的一个基本过程。生命之树充满了内化的原核生物的案例，这些原核生物已整合到其宿主中，通常形成互利的关系。锥虫类Angomonas deanei就是这样一个案例，携带一个β-变形菌内共生体。这种共生关系高度发达，宿主编码的蛋白质被识别并靶向到细菌，控制其分裂。为了更深入地了解这种整合，我们进行了深入的亚细胞蛋白质组学分析，以确定宿主和内共生体蛋白质的区室定位。我们的分析解析了超过5000种宿主蛋白和超过400种内共生体蛋白。</w:t>
      </w:r>
    </w:p>
    <w:p>
      <w:pPr>
        <w:spacing w:before="0" w:after="200" w:lineRule="auto" w:line="276"/>
      </w:pPr>
      <w:r>
        <w:rPr>
          <w:b/>
        </w:rPr>
        <w:t xml:space="preserve">Abstract (EN): </w:t>
      </w:r>
      <w:r>
        <w:t>The acquisition of endosymbionts is a fundamental process that has driven the evolution of eukaryotes. The tree of life is filled with cases of internalised prokaryotes that have become integrated into their hosts, often forming mutually beneficial relationships. The trypanosomatid Angomonas deanei is one such case, harbouring a single β-proteobacterial endosymbiont. This symbiotic relationship is highly advanced, as evidenced by the identification of host-encoded proteins that are targeted to the bacterium and control its division. To deeper understand this integration, we performed an in-depth subcellular proteomic analysis to determine the compartmental localisation of both host and endosymbiont proteins. Our analysis resolved over 5,000 host proteins and over 400 endosymbiont proteins. We used this rich dataset to identify several novel host-encoded proteins targeted to the bacterium, and validated our predictions using genetic manipulations and microscopy. By mapping the localised enzymatic repertoire, we were able to shed light on metabolic interplay between the two organisms. We confirmed an energetic basis for the previously observed association between the host’s glycosomes and its endosymbiont, and discovered an interaction between the endosymbiont and the host’s acidocalcisomes. This subcellular proteomic dataset provides a comprehensive foundation for future research into the remarkable process of bacterial integration.</w:t>
      </w:r>
    </w:p>
    <w:p>
      <w:pPr>
        <w:spacing w:before="120" w:after="120"/>
      </w:pPr>
      <w:r>
        <w:rPr>
          <w:sz w:val="18"/>
        </w:rPr>
        <w:t>——————————————————————————————————————————————————————————————————————</w:t>
      </w:r>
    </w:p>
    <w:p>
      <w:pPr>
        <w:spacing w:before="160" w:after="40" w:line="240" w:lineRule="auto"/>
      </w:pPr>
      <w:r>
        <w:rPr>
          <w:b/>
        </w:rPr>
        <w:t xml:space="preserve">[165] </w:t>
      </w:r>
      <w:hyperlink r:id="rId446">
        <w:r>
          <w:rPr>
            <w:color w:val="1155CC"/>
            <w:u w:val="single"/>
          </w:rPr>
          <w:t>从双环丁烷集体合成1,2,4-三取代、间位和邻位取代芳烃生物等排体</w:t>
        </w:r>
      </w:hyperlink>
    </w:p>
    <w:p>
      <w:pPr>
        <w:spacing w:before="0" w:after="80"/>
      </w:pPr>
      <w:r>
        <w:rPr>
          <w:i/>
          <w:sz w:val="20"/>
        </w:rPr>
        <w:t>EN: Collective synthesis of 1,2,4-trisubstituted, meta- and ortho-substituted arene bioisosteres from bicyclobutanes</w:t>
      </w:r>
    </w:p>
    <w:p>
      <w:pPr>
        <w:spacing w:before="0" w:after="120"/>
      </w:pPr>
      <w:r>
        <w:rPr>
          <w:b/>
        </w:rPr>
        <w:t xml:space="preserve">Source: </w:t>
      </w:r>
      <w:r>
        <w:t>Nature Chemistry</w:t>
      </w:r>
      <w:r>
        <w:t xml:space="preserve">    </w:t>
      </w:r>
      <w:r>
        <w:rPr>
          <w:b/>
        </w:rPr>
        <w:t xml:space="preserve">Pub date: </w:t>
      </w:r>
      <w:r>
        <w:t>2026-03-03 00:00:00+00:00</w:t>
      </w:r>
      <w:r>
        <w:t xml:space="preserve">    </w:t>
      </w:r>
      <w:r>
        <w:rPr>
          <w:b/>
        </w:rPr>
        <w:t xml:space="preserve">DOI: </w:t>
      </w:r>
      <w:hyperlink r:id="rId447">
        <w:r>
          <w:rPr>
            <w:color w:val="1155CC"/>
            <w:u w:val="single"/>
          </w:rPr>
          <w:t>10.1038/s41557-026-02097-7</w:t>
        </w:r>
      </w:hyperlink>
    </w:p>
    <w:p>
      <w:pPr>
        <w:spacing w:before="0" w:after="120"/>
      </w:pPr>
      <w:r>
        <w:rPr>
          <w:b/>
        </w:rPr>
        <w:t xml:space="preserve">Notes: </w:t>
      </w:r>
      <w:r>
        <w:t>abstract_source=nature_html</w:t>
      </w:r>
    </w:p>
    <w:p>
      <w:pPr>
        <w:spacing w:before="0" w:after="80" w:lineRule="auto" w:line="276"/>
      </w:pPr>
      <w:r>
        <w:rPr>
          <w:b/>
        </w:rPr>
        <w:t xml:space="preserve">摘要（ZH）: </w:t>
      </w:r>
      <w:r>
        <w:t>用富含C(sp3)的生物等排体替代苯环以获得具有改进药物性质的化合物是药物化学中的一种有吸引力的策略。虽然许多笼状烃已被验证为邻位和间位二取代苯的生物等排体，但1,2,4-三取代苯的3D类似物——药物中第二常见的苯模式——仍然难以捉摸，因为矢量保真度和对映选择性获取仍然是巨大的挑战。在此，我们通过双环[1.1.0]丁烷与1,4-二硫杂环己烷-2,5-二醇的环加成反应，报道了一种实用的合成路线来制备（对映体纯的）2-硫杂双环[3.1.1]庚烷（thia-BCHeps）。该方法产生的环加成产物具有两个和三个出口矢量，可作为邻位取代和1,2,4-三取代苯的有前途的生物等排体。</w:t>
      </w:r>
    </w:p>
    <w:p>
      <w:pPr>
        <w:spacing w:before="0" w:after="200" w:lineRule="auto" w:line="276"/>
      </w:pPr>
      <w:r>
        <w:rPr>
          <w:b/>
        </w:rPr>
        <w:t xml:space="preserve">Abstract (EN): </w:t>
      </w:r>
      <w:r>
        <w:t>Replacing benzene rings with C(sp3)-rich bioisosteres to yield compounds with improved drug-like properties is an attractive strategy in medicinal chemistry. While many caged hydrocarbons have been validated as bioisosteres of ortho- and meta-disubstituted benzenes, 3D analogues of 1,2,4-trisubstituted benzenes—the second most prevalent benzenoid pattern in drugs—remain elusive because vector fidelity and enantioselective access are still formidable challenges. Here we report a practical route to (enantiomerically pure) 2-thiabicyclo[3.1.1]heptanes (thia-BCHeps) by cycloadditions of bicyclo[1.1.0]butanes with 1,4-dithiane-2,5-diol. This method produces cycloadducts with two and three exit vectors, which serve as promising bioisosteres for ortho-substituted and 1,2,4-trisubstituted benzenes, respectively. Moreover, the cycloadducts can be transformed into a diverse chemical space, including 1,5-disubstituted thiabicyclo[3.1.1]heptenes. Crystallographic analysis and a comparison of the pharmacokinetic properties, along with an evaluation of the biological activity of diflunisal, salicylanilide and the anticancer drug sonidegib, in relation to their 3D thia-BCHep analogues, demonstrate that the thia-BCHeps obtained can provide new surrogates for 1,2,4-trisubstituted, meta- and ortho-substituted benzene rings in drug discovery programmes.</w:t>
      </w:r>
    </w:p>
    <w:p>
      <w:pPr>
        <w:spacing w:before="120" w:after="120"/>
      </w:pPr>
      <w:r>
        <w:rPr>
          <w:sz w:val="18"/>
        </w:rPr>
        <w:t>——————————————————————————————————————————————————————————————————————</w:t>
      </w:r>
    </w:p>
    <w:p>
      <w:pPr>
        <w:spacing w:before="160" w:after="40" w:line="240" w:lineRule="auto"/>
      </w:pPr>
      <w:r>
        <w:rPr>
          <w:b/>
        </w:rPr>
        <w:t xml:space="preserve">[166] </w:t>
      </w:r>
      <w:hyperlink r:id="rId448">
        <w:r>
          <w:rPr>
            <w:color w:val="1155CC"/>
            <w:u w:val="single"/>
          </w:rPr>
          <w:t>超越GDP不应意味着将可持续发展目标（SDGs）边缘化</w:t>
        </w:r>
      </w:hyperlink>
    </w:p>
    <w:p>
      <w:pPr>
        <w:spacing w:before="0" w:after="80"/>
      </w:pPr>
      <w:r>
        <w:rPr>
          <w:i/>
          <w:sz w:val="20"/>
        </w:rPr>
        <w:t>EN: Going ‘beyond GDP’ should not mean sidelining the SDGs</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49">
        <w:r>
          <w:rPr>
            <w:color w:val="1155CC"/>
            <w:u w:val="single"/>
          </w:rPr>
          <w:t>10.1038/d41586-026-00657-y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450">
        <w:r>
          <w:rPr>
            <w:color w:val="1155CC"/>
            <w:u w:val="single"/>
          </w:rPr>
          <w:t>用于倒置钙钛矿太阳能电池埋入界面调控的多磷酸化分子在两步法中的应用</w:t>
        </w:r>
      </w:hyperlink>
    </w:p>
    <w:p>
      <w:pPr>
        <w:spacing w:before="0" w:after="80"/>
      </w:pPr>
      <w:r>
        <w:rPr>
          <w:i/>
          <w:sz w:val="20"/>
        </w:rPr>
        <w:t>EN: Multiphosphorylated molecules for buried interface regulation of inverted perovskite solar cells in a two-step process</w:t>
      </w:r>
    </w:p>
    <w:p>
      <w:pPr>
        <w:spacing w:before="0" w:after="120"/>
      </w:pPr>
      <w:r>
        <w:rPr>
          <w:b/>
        </w:rPr>
        <w:t xml:space="preserve">Source: </w:t>
      </w:r>
      <w:r>
        <w:t>RSC - Energy Environ. Sci. latest articles</w:t>
      </w:r>
      <w:r>
        <w:t xml:space="preserve">    </w:t>
      </w:r>
      <w:r>
        <w:rPr>
          <w:b/>
        </w:rPr>
        <w:t xml:space="preserve">Pub date: </w:t>
      </w:r>
      <w:r>
        <w:t>2026-03-03 00:00:00+00:00</w:t>
      </w:r>
    </w:p>
    <w:p>
      <w:pPr>
        <w:spacing w:before="0" w:after="120"/>
      </w:pPr>
      <w:r>
        <w:rPr>
          <w:b/>
        </w:rPr>
        <w:t xml:space="preserve">Notes: </w:t>
      </w:r>
      <w:r>
        <w:t>abstract_source=rsc_html</w:t>
      </w:r>
    </w:p>
    <w:p>
      <w:pPr>
        <w:spacing w:before="0" w:after="80" w:lineRule="auto" w:line="276"/>
      </w:pPr>
      <w:r>
        <w:rPr>
          <w:b/>
        </w:rPr>
        <w:t xml:space="preserve">摘要（ZH）: </w:t>
      </w:r>
      <w:r>
        <w:t>自组装单分子层（SAMs）的覆盖不足和钙钛矿埋界面的控制不当仍然限制了钙钛矿太阳能电池（PSCs）的性能。在此，报道了一种通过使用乙二胺四亚甲基膦酸（EAPA）来加强SAMs和管理钙钛矿埋界面的策略，以解决上述挑战。首先，EAPA溶液洗去NiOx上未结合或弱结合的Me-4PACz分子，并填补SAM间隙，以实现高覆盖率和均匀分布的SAM层。力场分子动力学模拟进一步证实了在波纹NiOx表面上的优越覆盖率。其次，EAPA通过与钙钛矿组分相互作用，延缓了两步过程的化学反应，促进了lea的转化。</w:t>
      </w:r>
    </w:p>
    <w:p>
      <w:pPr>
        <w:spacing w:before="0" w:after="200" w:lineRule="auto" w:line="276"/>
      </w:pPr>
      <w:r>
        <w:rPr>
          <w:b/>
        </w:rPr>
        <w:t xml:space="preserve">Abstract (EN): </w:t>
      </w:r>
      <w:r>
        <w:t>Insufficient coverage of self-assembled monolayers (SAMs) and inadequate control of the buried interface of perovskites still limit the performance of perovskite solar cells (PSCs). Herein, a strategy of reinforcing SAMs and managing perovskite buried interface is reported by using ethylenediamine tetramethylene phosphonic acid (EAPA) to address above challenges. First, the EAPA solution washes away the unbound or weakly bound Me-4PACz molecules from NiOx and fills the SAM gaps to achieve a high-coverage and uniformly distributed SAM layer. Force-field molecular dynamics simulations further confirm the superior coverage on the corrugated NiOx surface. Second, EAPA delays the chemical reaction of the two-step process by interacting with perovskite components, promoting the conversion of lead iodide (PbI2) into perovskite and flattening grain boundaries at the buried interface. This process homogenizes and relieves interfacial stress while passivating defects, thereby significantly suppressing non-radiative recombination. Consequently, we obtain PSCs with a power conversion efficiency of 26.27% and a high open-circuit photovoltage of 1.209 V using a two-step method. The inverted PSCs show excellent operational stability, retaining 90% of the initial efficiency after 800 h of continuous light soaking under MPPT at 65 °C. This work provides a promising strategy for simultaneously improving the stability and efficiency of inverted PSCs.</w:t>
      </w:r>
    </w:p>
    <w:p>
      <w:pPr>
        <w:spacing w:before="120" w:after="120"/>
      </w:pPr>
      <w:r>
        <w:rPr>
          <w:sz w:val="18"/>
        </w:rPr>
        <w:t>——————————————————————————————————————————————————————————————————————</w:t>
      </w:r>
    </w:p>
    <w:p>
      <w:pPr>
        <w:spacing w:before="160" w:after="40" w:line="240" w:lineRule="auto"/>
      </w:pPr>
      <w:r>
        <w:rPr>
          <w:b/>
        </w:rPr>
        <w:t xml:space="preserve">[168] </w:t>
      </w:r>
      <w:hyperlink r:id="rId451">
        <w:r>
          <w:rPr>
            <w:color w:val="1155CC"/>
            <w:u w:val="single"/>
          </w:rPr>
          <w:t>全球清洁能源市场的传染效应：来自多边和单边政策事件的证据</w:t>
        </w:r>
      </w:hyperlink>
    </w:p>
    <w:p>
      <w:pPr>
        <w:spacing w:before="0" w:after="80"/>
      </w:pPr>
      <w:r>
        <w:rPr>
          <w:i/>
          <w:sz w:val="20"/>
        </w:rPr>
        <w:t>EN: Contagion in global clean energy markets: Evidence from multilateral and unilateral policy episodes</w:t>
      </w:r>
    </w:p>
    <w:p>
      <w:pPr>
        <w:spacing w:before="0" w:after="120"/>
      </w:pPr>
      <w:r>
        <w:rPr>
          <w:b/>
        </w:rPr>
        <w:t xml:space="preserve">Source: </w:t>
      </w:r>
      <w:r>
        <w:t>ScienceDirect Publication: Energy Policy</w:t>
      </w:r>
      <w:r>
        <w:t xml:space="preserve">    </w:t>
      </w:r>
      <w:r>
        <w:rPr>
          <w:b/>
        </w:rPr>
        <w:t xml:space="preserve">Pub date: </w:t>
      </w:r>
      <w:r>
        <w:t>2026-03-03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452">
        <w:r>
          <w:rPr>
            <w:color w:val="1155CC"/>
            <w:u w:val="single"/>
          </w:rPr>
          <w:t>通过考虑决策依赖不确定性的分散式稳健规划提高数据中心集成电力-水系统的可靠性</w:t>
        </w:r>
      </w:hyperlink>
    </w:p>
    <w:p>
      <w:pPr>
        <w:spacing w:before="0" w:after="80"/>
      </w:pPr>
      <w:r>
        <w:rPr>
          <w:i/>
          <w:sz w:val="20"/>
        </w:rPr>
        <w:t>EN: Enhancing reliability of integrated electricity-water systems with data centers via decentralized robust planning considering decision-dependent uncertainties</w:t>
      </w:r>
    </w:p>
    <w:p>
      <w:pPr>
        <w:spacing w:before="0" w:after="120"/>
      </w:pPr>
      <w:r>
        <w:rPr>
          <w:b/>
        </w:rPr>
        <w:t xml:space="preserve">Source: </w:t>
      </w:r>
      <w:r>
        <w:t>ScienceDirect Publication: Applied Energy</w:t>
      </w:r>
      <w:r>
        <w:t xml:space="preserve">    </w:t>
      </w:r>
      <w:r>
        <w:rPr>
          <w:b/>
        </w:rPr>
        <w:t xml:space="preserve">Pub date: </w:t>
      </w:r>
      <w:r>
        <w:t>2026-03-03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453">
        <w:r>
          <w:rPr>
            <w:color w:val="1155CC"/>
            <w:u w:val="single"/>
          </w:rPr>
          <w:t>无定形电致变色三氧化物中极化子跳跃的演变</w:t>
        </w:r>
      </w:hyperlink>
    </w:p>
    <w:p>
      <w:pPr>
        <w:spacing w:before="0" w:after="80"/>
      </w:pPr>
      <w:r>
        <w:rPr>
          <w:i/>
          <w:sz w:val="20"/>
        </w:rPr>
        <w:t>EN: Evolution of polaron hopping in amorphous electrochromic trioxides</w:t>
      </w:r>
    </w:p>
    <w:p>
      <w:pPr>
        <w:spacing w:before="0" w:after="120"/>
      </w:pPr>
      <w:r>
        <w:rPr>
          <w:b/>
        </w:rPr>
        <w:t xml:space="preserve">Source: </w:t>
      </w:r>
      <w:r>
        <w:t>Matter</w:t>
      </w:r>
      <w:r>
        <w:t xml:space="preserve">    </w:t>
      </w:r>
      <w:r>
        <w:rPr>
          <w:b/>
        </w:rPr>
        <w:t xml:space="preserve">Pub date: </w:t>
      </w:r>
      <w:r>
        <w:t>2026-03-03 00:00:00+00:00</w:t>
      </w:r>
      <w:r>
        <w:t xml:space="preserve">    </w:t>
      </w:r>
      <w:r>
        <w:rPr>
          <w:b/>
        </w:rPr>
        <w:t xml:space="preserve">DOI: </w:t>
      </w:r>
      <w:hyperlink r:id="rId454">
        <w:r>
          <w:rPr>
            <w:color w:val="1155CC"/>
            <w:u w:val="single"/>
          </w:rPr>
          <w:t>10.1016/j.matt.2025.102636</w:t>
        </w:r>
      </w:hyperlink>
    </w:p>
    <w:p>
      <w:pPr>
        <w:spacing w:before="0" w:after="120"/>
      </w:pPr>
      <w:r>
        <w:rPr>
          <w:b/>
        </w:rPr>
        <w:t xml:space="preserve">Notes: </w:t>
      </w:r>
      <w:r>
        <w:t>abstract_source=rss_cell</w:t>
      </w:r>
    </w:p>
    <w:p>
      <w:pPr>
        <w:spacing w:before="0" w:after="80" w:lineRule="auto" w:line="276"/>
      </w:pPr>
      <w:r>
        <w:rPr>
          <w:b/>
        </w:rPr>
        <w:t xml:space="preserve">摘要（ZH）: </w:t>
      </w:r>
      <w:r>
        <w:t>MOx在电荷插入下的原位光吸收演变可分为三个阶段：阶段I，吸收主要发生在低能区；阶段II，吸收逐渐转移到高能区；阶段III，吸收在高能区稳定。</w:t>
      </w:r>
    </w:p>
    <w:p>
      <w:pPr>
        <w:spacing w:before="0" w:after="200" w:lineRule="auto" w:line="276"/>
      </w:pPr>
      <w:r>
        <w:rPr>
          <w:b/>
        </w:rPr>
        <w:t xml:space="preserve">Abstract (EN): </w:t>
      </w:r>
      <w:r>
        <w:t>In situ optical absorption evolution of MOx under charge insertion can be categorized into three stages: stage-I, absorption predominantly occurs in the lower energy region; stage-II, the absorption progressively shifts to higher energy regions; and stage-III, absorption stabilizes in the higher energy region.</w:t>
      </w:r>
    </w:p>
    <w:p>
      <w:pPr>
        <w:spacing w:before="120" w:after="120"/>
      </w:pPr>
      <w:r>
        <w:rPr>
          <w:sz w:val="18"/>
        </w:rPr>
        <w:t>——————————————————————————————————————————————————————————————————————</w:t>
      </w:r>
    </w:p>
    <w:p>
      <w:pPr>
        <w:spacing w:before="160" w:after="40" w:line="240" w:lineRule="auto"/>
      </w:pPr>
      <w:r>
        <w:rPr>
          <w:b/>
        </w:rPr>
        <w:t xml:space="preserve">[171] </w:t>
      </w:r>
      <w:hyperlink r:id="rId455">
        <w:r>
          <w:rPr>
            <w:color w:val="1155CC"/>
            <w:u w:val="single"/>
          </w:rPr>
          <w:t>通过纳米尺度域的随机成核实现铁磁薄膜中的纹理依赖全光开关</w:t>
        </w:r>
      </w:hyperlink>
    </w:p>
    <w:p>
      <w:pPr>
        <w:spacing w:before="0" w:after="80"/>
      </w:pPr>
      <w:r>
        <w:rPr>
          <w:i/>
          <w:sz w:val="20"/>
        </w:rPr>
        <w:t>EN: Texture-dependent all-optical switching in ferromagnetic films via stochastic nucleation of nanoscale domains</w:t>
      </w:r>
    </w:p>
    <w:p>
      <w:pPr>
        <w:spacing w:before="0" w:after="120"/>
      </w:pPr>
      <w:r>
        <w:rPr>
          <w:b/>
        </w:rPr>
        <w:t xml:space="preserve">Source: </w:t>
      </w:r>
      <w:r>
        <w:t>Nature Materials</w:t>
      </w:r>
      <w:r>
        <w:t xml:space="preserve">    </w:t>
      </w:r>
      <w:r>
        <w:rPr>
          <w:b/>
        </w:rPr>
        <w:t xml:space="preserve">Pub date: </w:t>
      </w:r>
      <w:r>
        <w:t>2026-03-03 00:00:00+00:00</w:t>
      </w:r>
      <w:r>
        <w:t xml:space="preserve">    </w:t>
      </w:r>
      <w:r>
        <w:rPr>
          <w:b/>
        </w:rPr>
        <w:t xml:space="preserve">DOI: </w:t>
      </w:r>
      <w:hyperlink r:id="rId456">
        <w:r>
          <w:rPr>
            <w:color w:val="1155CC"/>
            <w:u w:val="single"/>
          </w:rPr>
          <w:t>10.1038/s41563-026-02515-8</w:t>
        </w:r>
      </w:hyperlink>
    </w:p>
    <w:p>
      <w:pPr>
        <w:spacing w:before="0" w:after="120"/>
      </w:pPr>
      <w:r>
        <w:rPr>
          <w:b/>
        </w:rPr>
        <w:t xml:space="preserve">Notes: </w:t>
      </w:r>
      <w:r>
        <w:t>abstract_source=nature_html</w:t>
      </w:r>
    </w:p>
    <w:p>
      <w:pPr>
        <w:spacing w:before="0" w:after="80" w:lineRule="auto" w:line="276"/>
      </w:pPr>
      <w:r>
        <w:rPr>
          <w:b/>
        </w:rPr>
        <w:t xml:space="preserve">摘要（ZH）: </w:t>
      </w:r>
      <w:r>
        <w:t>在越来越小的长度尺度和时间尺度上控制磁性纹理具有基础和技术上的意义。能够在纳米尺度上起作用的外部刺激构成了挑战，促使人们探索利用磁性纹理的内在不均匀性的替代方法。在此，我们使用Pt/Co/Pt铁磁性薄膜研究用圆偏振皮秒激光脉冲进行磁化反转。磁力显微镜揭示了从初始单畴状态随机成核的复杂纳米纹理域。这些域随后在激光脉冲照射下引发确定性和均匀的磁化切换。我们发现域的生长取决于纹理的复杂性，揭示了一种依赖于螺旋性和纹理的机制。</w:t>
      </w:r>
    </w:p>
    <w:p>
      <w:pPr>
        <w:spacing w:before="0" w:after="200" w:lineRule="auto" w:line="276"/>
      </w:pPr>
      <w:r>
        <w:rPr>
          <w:b/>
        </w:rPr>
        <w:t xml:space="preserve">Abstract (EN): </w:t>
      </w:r>
      <w:r>
        <w:t>Controlling magnetic textures at ever smaller length scales and timescales is of fundamental and technological interest. External stimuli capable of acting at the nanoscale pose a challenge, motivating alternative approaches that exploit the intrinsic inhomogeneity of magnetic textures. Here we use a Pt/Co/Pt ferromagnetic thin film to investigate magnetization reversal with circularly polarized picosecond laser pulses. Magnetic force microscopy reveals stochastic nucleation of complex nanotextured domains from an initial monodomain state. Subsequent illumination of these domains with laser pulses induces deterministic and homogeneous magnetization switching. We find that the domain growth depends on the complexity of the texture, revealing a helicity- and texture-dependent mechanism that contrasts with temperature-gradient-driven domain expansion. We complement our observations with a stochastic model in which domain nucleation is governed by light helicity and the local magnetic environment. These results provide an insight into the mechanism of multipulse helicity-dependent all-optical switching.</w:t>
      </w:r>
    </w:p>
    <w:p>
      <w:pPr>
        <w:spacing w:before="120" w:after="120"/>
      </w:pPr>
      <w:r>
        <w:rPr>
          <w:sz w:val="18"/>
        </w:rPr>
        <w:t>——————————————————————————————————————————————————————————————————————</w:t>
      </w:r>
    </w:p>
    <w:p>
      <w:pPr>
        <w:spacing w:before="160" w:after="40" w:line="240" w:lineRule="auto"/>
      </w:pPr>
      <w:r>
        <w:rPr>
          <w:b/>
        </w:rPr>
        <w:t xml:space="preserve">[172] </w:t>
      </w:r>
      <w:hyperlink r:id="rId457">
        <w:r>
          <w:rPr>
            <w:color w:val="1155CC"/>
            <w:u w:val="single"/>
          </w:rPr>
          <w:t>原位生成的类疫苗焦亡小体用于个性化癌症免疫治疗</w:t>
        </w:r>
      </w:hyperlink>
    </w:p>
    <w:p>
      <w:pPr>
        <w:spacing w:before="0" w:after="80"/>
      </w:pPr>
      <w:r>
        <w:rPr>
          <w:i/>
          <w:sz w:val="20"/>
        </w:rPr>
        <w:t>EN: In situ-generated vaccine-like pyroptosome for personalized cancer immunotherapy</w:t>
      </w:r>
    </w:p>
    <w:p>
      <w:pPr>
        <w:spacing w:before="0" w:after="120"/>
      </w:pPr>
      <w:r>
        <w:rPr>
          <w:b/>
        </w:rPr>
        <w:t xml:space="preserve">Source: </w:t>
      </w:r>
      <w:r>
        <w:t>Nature Materials</w:t>
      </w:r>
      <w:r>
        <w:t xml:space="preserve">    </w:t>
      </w:r>
      <w:r>
        <w:rPr>
          <w:b/>
        </w:rPr>
        <w:t xml:space="preserve">Pub date: </w:t>
      </w:r>
      <w:r>
        <w:t>2026-03-03 00:00:00+00:00</w:t>
      </w:r>
      <w:r>
        <w:t xml:space="preserve">    </w:t>
      </w:r>
      <w:r>
        <w:rPr>
          <w:b/>
        </w:rPr>
        <w:t xml:space="preserve">DOI: </w:t>
      </w:r>
      <w:hyperlink r:id="rId458">
        <w:r>
          <w:rPr>
            <w:color w:val="1155CC"/>
            <w:u w:val="single"/>
          </w:rPr>
          <w:t>10.1038/s41563-026-02506-9</w:t>
        </w:r>
      </w:hyperlink>
    </w:p>
    <w:p>
      <w:pPr>
        <w:spacing w:before="0" w:after="120"/>
      </w:pPr>
      <w:r>
        <w:rPr>
          <w:b/>
        </w:rPr>
        <w:t xml:space="preserve">Notes: </w:t>
      </w:r>
      <w:r>
        <w:t>abstract_source=nature_html</w:t>
      </w:r>
    </w:p>
    <w:p>
      <w:pPr>
        <w:spacing w:before="0" w:after="80" w:lineRule="auto" w:line="276"/>
      </w:pPr>
      <w:r>
        <w:rPr>
          <w:b/>
        </w:rPr>
        <w:t xml:space="preserve">摘要（ZH）: </w:t>
      </w:r>
      <w:r>
        <w:t>原位癌疫苗接种的疗效受到大多数肿瘤中癌症免疫循环多个关键步骤的时空协调不佳和与治疗策略相关的全身毒性的阻碍。在此，我们报告了一种全身可注射和焦亡激活的纳米佐剂，它在肿瘤区域诱发类似疫苗的焦亡体分泌，以增强抗肿瘤免疫。这种全身可注射和焦亡激活的纳米佐剂诱导强烈的免疫原性焦亡，触发肿瘤抗原丰富的焦亡体、损伤相关分子模式和促炎细胞因子的高效释放。TLR7/8激动剂在焦亡体中的光激活释放生成了一种原位癌症疫苗平台，协同激活癌症免疫。</w:t>
      </w:r>
    </w:p>
    <w:p>
      <w:pPr>
        <w:spacing w:before="0" w:after="200" w:lineRule="auto" w:line="276"/>
      </w:pPr>
      <w:r>
        <w:rPr>
          <w:b/>
        </w:rPr>
        <w:t xml:space="preserve">Abstract (EN): </w:t>
      </w:r>
      <w:r>
        <w:t>The efficacy of in situ cancer vaccination has been hampered by a poor spatiotemporal orchestration of multiple key steps of the cancer-immunity cycle in most tumours and systemic toxicity related to therapeutic strategies. Here we report a systemic injectable and pyroptosis-enabled nanoadjuvant that evokes the secretion of a vaccine-like pyroptosome in the tumour area for robust antitumour immunity. This systemic injectable and pyroptosis-enabled nanoadjuvant induces vigorous immunogenic pyroptosis, triggering the efficient release of tumour antigen-rich pyroptosomes, damage-associated molecular patterns and proinflammatory cytokines. Photoactivatable release of a TLR7/8 agonist into the pyroptosome generates an in situ cancer vaccine platform that cooperatively activates the cancer-immunity cycle and avoids systemic toxicity. The vaccine boosts both innate and adaptive immune responses, facilitating the eradication of primary tumours and metastatic nodules, thereby providing long-lasting cancer prevention. Overall, the rational design of pyroptosis-inducing nanomedicines for boosting the cancer-immunity cycle reported here might aid in the development of more efficient personalized cancer immunotherapy approaches.</w:t>
      </w:r>
    </w:p>
    <w:p>
      <w:pPr>
        <w:spacing w:before="120" w:after="120"/>
      </w:pPr>
      <w:r>
        <w:rPr>
          <w:sz w:val="18"/>
        </w:rPr>
        <w:t>——————————————————————————————————————————————————————————————————————</w:t>
      </w:r>
    </w:p>
    <w:p>
      <w:pPr>
        <w:spacing w:before="160" w:after="40" w:line="240" w:lineRule="auto"/>
      </w:pPr>
      <w:r>
        <w:rPr>
          <w:b/>
        </w:rPr>
        <w:t xml:space="preserve">[173] </w:t>
      </w:r>
      <w:hyperlink r:id="rId459">
        <w:r>
          <w:rPr>
            <w:color w:val="1155CC"/>
            <w:u w:val="single"/>
          </w:rPr>
          <w:t>纳米结构过渡金属二硫属化物：能源应用中的最新进展和前景</w:t>
        </w:r>
      </w:hyperlink>
    </w:p>
    <w:p>
      <w:pPr>
        <w:spacing w:before="0" w:after="80"/>
      </w:pPr>
      <w:r>
        <w:rPr>
          <w:i/>
          <w:sz w:val="20"/>
        </w:rPr>
        <w:t>EN: Nanostructured transition metal Dichalcogenides: Recent advances and prospects in energy applications</w:t>
      </w:r>
    </w:p>
    <w:p>
      <w:pPr>
        <w:spacing w:before="0" w:after="120"/>
      </w:pPr>
      <w:r>
        <w:rPr>
          <w:b/>
        </w:rPr>
        <w:t xml:space="preserve">Source: </w:t>
      </w:r>
      <w:r>
        <w:t>ScienceDirect Publication: Applied Energy</w:t>
      </w:r>
      <w:r>
        <w:t xml:space="preserve">    </w:t>
      </w:r>
      <w:r>
        <w:rPr>
          <w:b/>
        </w:rPr>
        <w:t xml:space="preserve">Pub date: </w:t>
      </w:r>
      <w:r>
        <w:t>2026-03-03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460">
        <w:r>
          <w:rPr>
            <w:color w:val="1155CC"/>
            <w:u w:val="single"/>
          </w:rPr>
          <w:t>通过非免疫原性植物基生物墨水构建免疫指导骨类器官以增强骨修复</w:t>
        </w:r>
      </w:hyperlink>
    </w:p>
    <w:p>
      <w:pPr>
        <w:spacing w:before="0" w:after="80"/>
      </w:pPr>
      <w:r>
        <w:rPr>
          <w:i/>
          <w:sz w:val="20"/>
        </w:rPr>
        <w:t>EN: Immune-instructive bone organoids via non-immunogenic plant-based bioinks for enhanced bone repair</w:t>
      </w:r>
    </w:p>
    <w:p>
      <w:pPr>
        <w:spacing w:before="0" w:after="120"/>
      </w:pPr>
      <w:r>
        <w:rPr>
          <w:b/>
        </w:rPr>
        <w:t xml:space="preserve">Source: </w:t>
      </w:r>
      <w:r>
        <w:t>Matter</w:t>
      </w:r>
      <w:r>
        <w:t xml:space="preserve">    </w:t>
      </w:r>
      <w:r>
        <w:rPr>
          <w:b/>
        </w:rPr>
        <w:t xml:space="preserve">Pub date: </w:t>
      </w:r>
      <w:r>
        <w:t>2026-03-03 00:00:00+00:00</w:t>
      </w:r>
      <w:r>
        <w:t xml:space="preserve">    </w:t>
      </w:r>
      <w:r>
        <w:rPr>
          <w:b/>
        </w:rPr>
        <w:t xml:space="preserve">DOI: </w:t>
      </w:r>
      <w:hyperlink r:id="rId461">
        <w:r>
          <w:rPr>
            <w:color w:val="1155CC"/>
            <w:u w:val="single"/>
          </w:rPr>
          <w:t>10.1016/j.matt.2026.102651</w:t>
        </w:r>
      </w:hyperlink>
    </w:p>
    <w:p>
      <w:pPr>
        <w:spacing w:before="0" w:after="120"/>
      </w:pPr>
      <w:r>
        <w:rPr>
          <w:b/>
        </w:rPr>
        <w:t xml:space="preserve">Notes: </w:t>
      </w:r>
      <w:r>
        <w:t>abstract_source=rss_cell</w:t>
      </w:r>
    </w:p>
    <w:p>
      <w:pPr>
        <w:spacing w:before="0" w:after="80" w:lineRule="auto" w:line="276"/>
      </w:pPr>
      <w:r>
        <w:rPr>
          <w:b/>
        </w:rPr>
        <w:t xml:space="preserve">摘要（ZH）: </w:t>
      </w:r>
      <w:r>
        <w:t>植物来源的无细胞因子生物墨水能够生成免疫指令性骨类器官，内在地招募并稳定重编程巨噬细胞为持久的M2表型。芦荟-纳米粘土-GelMA系统将免疫调节与增强的成骨作用、ECM成熟和结构可打印性相结合，导致强大的颅骨缺损修复。这项工作建立了一个可扩展和可转化的平台，用于免疫响应性骨类器官工程。</w:t>
      </w:r>
    </w:p>
    <w:p>
      <w:pPr>
        <w:spacing w:before="0" w:after="200" w:lineRule="auto" w:line="276"/>
      </w:pPr>
      <w:r>
        <w:rPr>
          <w:b/>
        </w:rPr>
        <w:t xml:space="preserve">Abstract (EN): </w:t>
      </w:r>
      <w:r>
        <w:t>Plant-derived, cytokine-free bioinks enable the generation of immune-instructive bone organoids that intrinsically recruit and stably reprogram macrophages toward a long-lasting M2 phenotype. The aloe-nanoclay-GelMA system integrates immunomodulation with enhanced osteogenesis, ECM maturation, and structural printability, leading to robust cranial-defect repair. This work establishes a scalable and translational platform for immune-responsive bone organoid engineering.</w:t>
      </w:r>
    </w:p>
    <w:p>
      <w:pPr>
        <w:spacing w:before="120" w:after="120"/>
      </w:pPr>
      <w:r>
        <w:rPr>
          <w:sz w:val="18"/>
        </w:rPr>
        <w:t>——————————————————————————————————————————————————————————————————————</w:t>
      </w:r>
    </w:p>
    <w:p>
      <w:pPr>
        <w:spacing w:before="160" w:after="40" w:line="240" w:lineRule="auto"/>
      </w:pPr>
      <w:r>
        <w:rPr>
          <w:b/>
        </w:rPr>
        <w:t xml:space="preserve">[175] </w:t>
      </w:r>
      <w:hyperlink r:id="rId462">
        <w:r>
          <w:rPr>
            <w:color w:val="1155CC"/>
            <w:u w:val="single"/>
          </w:rPr>
          <w:t>具有异质结构的超薄种子翅膀用于非洲火焰树的高效传播</w:t>
        </w:r>
      </w:hyperlink>
    </w:p>
    <w:p>
      <w:pPr>
        <w:spacing w:before="0" w:after="80"/>
      </w:pPr>
      <w:r>
        <w:rPr>
          <w:i/>
          <w:sz w:val="20"/>
        </w:rPr>
        <w:t>EN: Ultrathin seed wing with heterogeneous structures for highly efficient dispersal of African tulip tree</w:t>
      </w:r>
    </w:p>
    <w:p>
      <w:pPr>
        <w:spacing w:before="0" w:after="120"/>
      </w:pPr>
      <w:r>
        <w:rPr>
          <w:b/>
        </w:rPr>
        <w:t xml:space="preserve">Source: </w:t>
      </w:r>
      <w:r>
        <w:t>National Science Review Advance Access</w:t>
      </w:r>
      <w:r>
        <w:t xml:space="preserve">    </w:t>
      </w:r>
      <w:r>
        <w:rPr>
          <w:b/>
        </w:rPr>
        <w:t xml:space="preserve">Pub date: </w:t>
      </w:r>
      <w:r>
        <w:t>2026-03-03 00:00:00+00:00</w:t>
      </w:r>
      <w:r>
        <w:t xml:space="preserve">    </w:t>
      </w:r>
      <w:r>
        <w:rPr>
          <w:b/>
        </w:rPr>
        <w:t xml:space="preserve">DOI: </w:t>
      </w:r>
      <w:hyperlink r:id="rId463">
        <w:r>
          <w:rPr>
            <w:color w:val="1155CC"/>
            <w:u w:val="single"/>
          </w:rPr>
          <w:t>10.1093/nsr/nwag132</w:t>
        </w:r>
      </w:hyperlink>
    </w:p>
    <w:p>
      <w:pPr>
        <w:spacing w:before="0" w:after="120"/>
      </w:pPr>
      <w:r>
        <w:rPr>
          <w:b/>
        </w:rPr>
        <w:t xml:space="preserve">Notes: </w:t>
      </w:r>
      <w:r>
        <w:t>abstract_source=rss_oup</w:t>
      </w:r>
    </w:p>
    <w:p>
      <w:pPr>
        <w:spacing w:before="0" w:after="80" w:lineRule="auto" w:line="276"/>
      </w:pPr>
      <w:r>
        <w:rPr>
          <w:b/>
        </w:rPr>
        <w:t xml:space="preserve">摘要（ZH）: </w:t>
      </w:r>
      <w:r>
        <w:t>为了殖民新栖息地，植物种子进化出多种用于风力传播的专门结构。非洲郁金香树被认为是世界上100种最具侵略性的外来入侵物种之一，其种子具有薄膜状的翅膀，主要通过风传播。在此，我们发现大部分翅膀区域是单细胞层厚，最薄的部分仅为0.4 μm，使得翅膀覆盖种子90%的大小，而仅占总质量的25%。我们揭示了这种超薄翅膀由一系列异质的脉络状结构加固，即使在湍流气流中也能保持翅膀的延展性，并能抵抗环向断裂，以最大限度地减少对空气动力性能的不利影响。薄膜状翅膀还能够贴合附着于</w:t>
      </w:r>
    </w:p>
    <w:p>
      <w:pPr>
        <w:spacing w:before="0" w:after="200" w:lineRule="auto" w:line="276"/>
      </w:pPr>
      <w:r>
        <w:rPr>
          <w:b/>
        </w:rPr>
        <w:t xml:space="preserve">Abstract (EN): </w:t>
      </w:r>
      <w:r>
        <w:t>To colonize new habitats, plant seeds have evolved a variety of specialized structures for wind dispersal. The African tulip tree, identified as one of the 100 world’s worst invasive alien species, features filmy winged seeds predominantly dispersed by wind. Herein, we found that most of the wing region is single-cell-layer thick with the thinnest part measuring only 0.4 μm, enabling the wing to cover 90% of the seed’s size while constituting only 25% of the total mass. We revealed that such ultrathin wing is reinforced by a series of heterogeneous vein-like structures that maintain the wing extension even in the turbulent airflow and can resist circumferential fracture to minimize the detrimental impact on the aerodynamic performance. The filmy wing is also able to conformably attach to the uneven wet substrates, enhancing the chance of locating on water-rich soils for seed germination. The unique geometry and material composition in the seed wing present an elegant natural solution in balancing lightweight, proper stiffness, and directional toughness suited for varied environments. Inspired by the natural seed, we designed a passive micro-flier with a customizable wing that can realize multifunction, illuminating new possibilities in large-scale aerial delivery for wide-range sampling and environmental monitoring.</w:t>
      </w:r>
    </w:p>
    <w:p>
      <w:pPr>
        <w:spacing w:before="120" w:after="120"/>
      </w:pPr>
      <w:r>
        <w:rPr>
          <w:sz w:val="18"/>
        </w:rPr>
        <w:t>——————————————————————————————————————————————————————————————————————</w:t>
      </w:r>
    </w:p>
    <w:p>
      <w:pPr>
        <w:spacing w:before="160" w:after="40" w:line="240" w:lineRule="auto"/>
      </w:pPr>
      <w:r>
        <w:rPr>
          <w:b/>
        </w:rPr>
        <w:t xml:space="preserve">[176] </w:t>
      </w:r>
      <w:hyperlink r:id="rId464">
        <w:r>
          <w:rPr>
            <w:color w:val="1155CC"/>
            <w:u w:val="single"/>
          </w:rPr>
          <w:t>嵌入领域知识的约束强化学习用于可再生能源电力系统的调度</w:t>
        </w:r>
      </w:hyperlink>
    </w:p>
    <w:p>
      <w:pPr>
        <w:spacing w:before="0" w:after="80"/>
      </w:pPr>
      <w:r>
        <w:rPr>
          <w:i/>
          <w:sz w:val="20"/>
        </w:rPr>
        <w:t>EN: Domain knowledge embedded constrained reinforcement learning for scheduling of renewable energy power system</w:t>
      </w:r>
    </w:p>
    <w:p>
      <w:pPr>
        <w:spacing w:before="0" w:after="120"/>
      </w:pPr>
      <w:r>
        <w:rPr>
          <w:b/>
        </w:rPr>
        <w:t xml:space="preserve">Source: </w:t>
      </w:r>
      <w:r>
        <w:t>ScienceDirect Publication: Applied Energy</w:t>
      </w:r>
      <w:r>
        <w:t xml:space="preserve">    </w:t>
      </w:r>
      <w:r>
        <w:rPr>
          <w:b/>
        </w:rPr>
        <w:t xml:space="preserve">Pub date: </w:t>
      </w:r>
      <w:r>
        <w:t>2026-03-03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465">
        <w:r>
          <w:rPr>
            <w:color w:val="1155CC"/>
            <w:u w:val="single"/>
          </w:rPr>
          <w:t>在3D打印支架内原位生成树突状细胞疫苗</w:t>
        </w:r>
      </w:hyperlink>
    </w:p>
    <w:p>
      <w:pPr>
        <w:spacing w:before="0" w:after="80"/>
      </w:pPr>
      <w:r>
        <w:rPr>
          <w:i/>
          <w:sz w:val="20"/>
        </w:rPr>
        <w:t>EN: In situ generation of dendritic cell vaccines within 3D printed scaffolds</w:t>
      </w:r>
    </w:p>
    <w:p>
      <w:pPr>
        <w:spacing w:before="0" w:after="120"/>
      </w:pPr>
      <w:r>
        <w:rPr>
          <w:b/>
        </w:rPr>
        <w:t xml:space="preserve">Source: </w:t>
      </w:r>
      <w:r>
        <w:t>National Science Review Advance Access</w:t>
      </w:r>
      <w:r>
        <w:t xml:space="preserve">    </w:t>
      </w:r>
      <w:r>
        <w:rPr>
          <w:b/>
        </w:rPr>
        <w:t xml:space="preserve">Pub date: </w:t>
      </w:r>
      <w:r>
        <w:t>2026-03-03 00:00:00+00:00</w:t>
      </w:r>
      <w:r>
        <w:t xml:space="preserve">    </w:t>
      </w:r>
      <w:r>
        <w:rPr>
          <w:b/>
        </w:rPr>
        <w:t xml:space="preserve">DOI: </w:t>
      </w:r>
      <w:hyperlink r:id="rId466">
        <w:r>
          <w:rPr>
            <w:color w:val="1155CC"/>
            <w:u w:val="single"/>
          </w:rPr>
          <w:t>10.1093/nsr/nwag127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467">
        <w:r>
          <w:rPr>
            <w:color w:val="1155CC"/>
            <w:u w:val="single"/>
          </w:rPr>
          <w:t>气候研究是全球性的——风险和责任也应分配</w:t>
        </w:r>
      </w:hyperlink>
    </w:p>
    <w:p>
      <w:pPr>
        <w:spacing w:before="0" w:after="80"/>
      </w:pPr>
      <w:r>
        <w:rPr>
          <w:i/>
          <w:sz w:val="20"/>
        </w:rPr>
        <w:t>EN: Climate research is global — risks and responsibilities should also be distributed</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68">
        <w:r>
          <w:rPr>
            <w:color w:val="1155CC"/>
            <w:u w:val="single"/>
          </w:rPr>
          <w:t>10.1038/d41586-026-00680-z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469">
        <w:r>
          <w:rPr>
            <w:color w:val="1155CC"/>
            <w:u w:val="single"/>
          </w:rPr>
          <w:t>快速进化的DNA如何在细胞分裂中保持基本功能？</w:t>
        </w:r>
      </w:hyperlink>
    </w:p>
    <w:p>
      <w:pPr>
        <w:spacing w:before="0" w:after="80"/>
      </w:pPr>
      <w:r>
        <w:rPr>
          <w:i/>
          <w:sz w:val="20"/>
        </w:rPr>
        <w:t>EN: How can fast-evolving DNA retain a fundamental function in cell division?</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70">
        <w:r>
          <w:rPr>
            <w:color w:val="1155CC"/>
            <w:u w:val="single"/>
          </w:rPr>
          <w:t>10.1038/d41586-026-00629-2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471">
        <w:r>
          <w:rPr>
            <w:color w:val="1155CC"/>
            <w:u w:val="single"/>
          </w:rPr>
          <w:t>不仅是变暖，气候冲击也威胁着非洲的疟疾控制工作</w:t>
        </w:r>
      </w:hyperlink>
    </w:p>
    <w:p>
      <w:pPr>
        <w:spacing w:before="0" w:after="80"/>
      </w:pPr>
      <w:r>
        <w:rPr>
          <w:i/>
          <w:sz w:val="20"/>
        </w:rPr>
        <w:t>EN: Climate shocks, not just warming, threaten malaria control efforts in Africa</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72">
        <w:r>
          <w:rPr>
            <w:color w:val="1155CC"/>
            <w:u w:val="single"/>
          </w:rPr>
          <w:t>10.1038/d41586-026-00491-2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[181] </w:t>
      </w:r>
      <w:hyperlink r:id="rId473">
        <w:r>
          <w:rPr>
            <w:color w:val="1155CC"/>
            <w:u w:val="single"/>
          </w:rPr>
          <w:t>嘿ChatGPT，给我写一篇虚构的论文：这些LLM愿意进行学术欺诈</w:t>
        </w:r>
      </w:hyperlink>
    </w:p>
    <w:p>
      <w:pPr>
        <w:spacing w:before="0" w:after="80"/>
      </w:pPr>
      <w:r>
        <w:rPr>
          <w:i/>
          <w:sz w:val="20"/>
        </w:rPr>
        <w:t>EN: Hey ChatGPT, write me a fictional paper: these LLMs are willing to commit academic fraud</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74">
        <w:r>
          <w:rPr>
            <w:color w:val="1155CC"/>
            <w:u w:val="single"/>
          </w:rPr>
          <w:t>10.1038/d41586-026-00595-9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475">
        <w:r>
          <w:rPr>
            <w:color w:val="1155CC"/>
            <w:u w:val="single"/>
          </w:rPr>
          <w:t>从内到外看雨中的鬣蜥和珊瑚——二月最佳科学图像</w:t>
        </w:r>
      </w:hyperlink>
    </w:p>
    <w:p>
      <w:pPr>
        <w:spacing w:before="0" w:after="80"/>
      </w:pPr>
      <w:r>
        <w:rPr>
          <w:i/>
          <w:sz w:val="20"/>
        </w:rPr>
        <w:t>EN: See raining iguanas and coral from the inside out — February’s best science images</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76">
        <w:r>
          <w:rPr>
            <w:color w:val="1155CC"/>
            <w:u w:val="single"/>
          </w:rPr>
          <w:t>10.1038/d41586-026-00597-7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[183] </w:t>
      </w:r>
      <w:hyperlink r:id="rId477">
        <w:r>
          <w:rPr>
            <w:color w:val="1155CC"/>
            <w:u w:val="single"/>
          </w:rPr>
          <w:t>内讧如何导致玛雅文明的灾难性崩溃</w:t>
        </w:r>
      </w:hyperlink>
    </w:p>
    <w:p>
      <w:pPr>
        <w:spacing w:before="0" w:after="80"/>
      </w:pPr>
      <w:r>
        <w:rPr>
          <w:i/>
          <w:sz w:val="20"/>
        </w:rPr>
        <w:t>EN: How infighting led the Maya civilization to catastrophic collapse</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78">
        <w:r>
          <w:rPr>
            <w:color w:val="1155CC"/>
            <w:u w:val="single"/>
          </w:rPr>
          <w:t>10.1038/d41586-026-00663-0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479">
        <w:r>
          <w:rPr>
            <w:color w:val="1155CC"/>
            <w:u w:val="single"/>
          </w:rPr>
          <w:t>我与博士生导师的关系变得有毒——我该怎么办？</w:t>
        </w:r>
      </w:hyperlink>
    </w:p>
    <w:p>
      <w:pPr>
        <w:spacing w:before="0" w:after="80"/>
      </w:pPr>
      <w:r>
        <w:rPr>
          <w:i/>
          <w:sz w:val="20"/>
        </w:rPr>
        <w:t>EN: My relationship with my PhD supervisor has become toxic — what do I do?</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80">
        <w:r>
          <w:rPr>
            <w:color w:val="1155CC"/>
            <w:u w:val="single"/>
          </w:rPr>
          <w:t>10.1038/d41586-025-04126-w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[185] </w:t>
      </w:r>
      <w:hyperlink r:id="rId481">
        <w:r>
          <w:rPr>
            <w:color w:val="1155CC"/>
            <w:u w:val="single"/>
          </w:rPr>
          <w:t>尽管遇到挫折，美国的气候行动必须继续</w:t>
        </w:r>
      </w:hyperlink>
    </w:p>
    <w:p>
      <w:pPr>
        <w:spacing w:before="0" w:after="80"/>
      </w:pPr>
      <w:r>
        <w:rPr>
          <w:i/>
          <w:sz w:val="20"/>
        </w:rPr>
        <w:t>EN: US climate actions must continue, despite setbacks</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82">
        <w:r>
          <w:rPr>
            <w:color w:val="1155CC"/>
            <w:u w:val="single"/>
          </w:rPr>
          <w:t>10.1038/d41586-026-00660-3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[186] </w:t>
      </w:r>
      <w:hyperlink r:id="rId483">
        <w:r>
          <w:rPr>
            <w:color w:val="1155CC"/>
            <w:u w:val="single"/>
          </w:rPr>
          <w:t>为什么“量子蛋白质”可能成为生物学的下一个大事件</w:t>
        </w:r>
      </w:hyperlink>
    </w:p>
    <w:p>
      <w:pPr>
        <w:spacing w:before="0" w:after="80"/>
      </w:pPr>
      <w:r>
        <w:rPr>
          <w:i/>
          <w:sz w:val="20"/>
        </w:rPr>
        <w:t>EN: Why ‘quantum proteins’ could be the next big thing in biology</w:t>
      </w:r>
    </w:p>
    <w:p>
      <w:pPr>
        <w:spacing w:before="0" w:after="120"/>
      </w:pPr>
      <w:r>
        <w:rPr>
          <w:b/>
        </w:rPr>
        <w:t xml:space="preserve">Source: </w:t>
      </w:r>
      <w:r>
        <w:t>Nature</w:t>
      </w:r>
      <w:r>
        <w:t xml:space="preserve">    </w:t>
      </w:r>
      <w:r>
        <w:rPr>
          <w:b/>
        </w:rPr>
        <w:t xml:space="preserve">Pub date: </w:t>
      </w:r>
      <w:r>
        <w:t>2026-03-03 00:00:00+00:00</w:t>
      </w:r>
      <w:r>
        <w:t xml:space="preserve">    </w:t>
      </w:r>
      <w:r>
        <w:rPr>
          <w:b/>
        </w:rPr>
        <w:t xml:space="preserve">DOI: </w:t>
      </w:r>
      <w:hyperlink r:id="rId484">
        <w:r>
          <w:rPr>
            <w:color w:val="1155CC"/>
            <w:u w:val="single"/>
          </w:rPr>
          <w:t>10.1038/d41586-026-00662-1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[187] </w:t>
      </w:r>
      <w:hyperlink r:id="rId485">
        <w:r>
          <w:rPr>
            <w:color w:val="1155CC"/>
            <w:u w:val="single"/>
          </w:rPr>
          <w:t>细菌鞭毛马达对其直接细胞内输入信号的动态响应</w:t>
        </w:r>
      </w:hyperlink>
    </w:p>
    <w:p>
      <w:pPr>
        <w:spacing w:before="0" w:after="80"/>
      </w:pPr>
      <w:r>
        <w:rPr>
          <w:i/>
          <w:sz w:val="20"/>
        </w:rPr>
        <w:t>EN: The dynamic response of the bacterial flagellar motor to its direct intracellular input signal</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486">
        <w:r>
          <w:rPr>
            <w:color w:val="1155CC"/>
            <w:u w:val="single"/>
          </w:rPr>
          <w:t>10.1073/pnas.2516278123</w:t>
        </w:r>
      </w:hyperlink>
    </w:p>
    <w:p>
      <w:pPr>
        <w:spacing w:before="0" w:after="120"/>
      </w:pPr>
      <w:r>
        <w:rPr>
          <w:b/>
        </w:rPr>
        <w:t xml:space="preserve">Notes: </w:t>
      </w:r>
      <w:r>
        <w:t>abstract_source=crossref</w:t>
      </w:r>
    </w:p>
    <w:p>
      <w:pPr>
        <w:spacing w:before="0" w:after="80" w:lineRule="auto" w:line="276"/>
      </w:pPr>
      <w:r>
        <w:rPr>
          <w:b/>
        </w:rPr>
        <w:t xml:space="preserve">摘要（ZH）: </w:t>
      </w:r>
      <w:r>
        <w:t>细菌鞭毛马达通过旋转螺旋鞭毛丝驱动细菌游动和趋化。当大肠杆菌（Escherichia coli）在化学梯度中导航时，马达从顺时针（CCW）在前进游动期间切换到顺时针（CW）在改变方向的翻滚期间。马达通过一个中介的细胞内信号通路间接响应膜结合趋化受体的细胞外化学感应输入。马达如何响应其直接输入信号——可扩散信使磷酸化CheY（CheY-P）仍然知之甚少。稳态马达测量已被建模为依赖于平均CheY-P水平的CCW/CW状态之间的变构开关。变构模型表明多达20个CheY。</w:t>
      </w:r>
    </w:p>
    <w:p>
      <w:pPr>
        <w:spacing w:before="0" w:after="200" w:lineRule="auto" w:line="276"/>
      </w:pPr>
      <w:r>
        <w:rPr>
          <w:b/>
        </w:rPr>
        <w:t xml:space="preserve">Abstract (EN): </w:t>
      </w:r>
      <w:r>
        <w:t>The bacterial flagellar motor drives bacterial swimming and chemotaxis by rotating helical flagellar filaments. When</w:t>
      </w:r>
      <w:r>
        <w:t xml:space="preserve"> </w:t>
      </w:r>
      <w:r>
        <w:t>Escherichia coli</w:t>
      </w:r>
      <w:r>
        <w:t xml:space="preserve"> </w:t>
      </w:r>
      <w:r>
        <w:t>navigates chemical gradients, the motor switches from counterclockwise (CCW) during forward swimming to clockwise (CW) during direction-changing tumbles. The motor responds indirectly to extracellular chemosensory input to membrane-bound chemoreceptors using an intervening intracellular signaling pathway. How the motor responds to its direct input signal—the diffusible messenger phosphorylated CheY (CheY-P)—remains poorly understood. Steady-state motor measurements have been modeled as an allosteric switch between CCW/CW states that depends on mean CheY-P levels. Allosteric models have suggested that as many as 20 CheY-P molecules can be bound to the motor when it switches rotational direction. But steady-state models cannot predict the sensitivity of the motor to dynamic changes in CheY-P that essentially modulate chemotactic behavior. We present an optogenetic reagent that precisely controls the direct dynamical input signal to the motor. We designed a “caged” molecule, Opto-CheY, that is transiently activated by photon absorption. We find that activation and binding of one to three additional CheY-P molecules is sufficient to switch the motor from the CCW to CW state. The sensitivity of the motor to small changes in CheY-P occupancy helps resolve a long-standing paradox about the high sensitivity of the chemotactic response to external sensory input. Optogenetic biochemistry by light-activated uncaging of signal molecules is a new strategy to dissect information-processing in the living cell.</w:t>
      </w:r>
    </w:p>
    <w:p>
      <w:pPr>
        <w:spacing w:before="120" w:after="120"/>
      </w:pPr>
      <w:r>
        <w:rPr>
          <w:sz w:val="18"/>
        </w:rPr>
        <w:t>——————————————————————————————————————————————————————————————————————</w:t>
      </w:r>
    </w:p>
    <w:p>
      <w:pPr>
        <w:spacing w:before="160" w:after="40" w:line="240" w:lineRule="auto"/>
      </w:pPr>
      <w:r>
        <w:rPr>
          <w:b/>
        </w:rPr>
        <w:t xml:space="preserve">[188] </w:t>
      </w:r>
      <w:hyperlink r:id="rId487">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488">
        <w:r>
          <w:rPr>
            <w:color w:val="1155CC"/>
            <w:u w:val="single"/>
          </w:rPr>
          <w:t>10.1073/iti0926123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[189] </w:t>
      </w:r>
      <w:hyperlink r:id="rId489">
        <w:r>
          <w:rPr>
            <w:color w:val="1155CC"/>
            <w:u w:val="single"/>
          </w:rPr>
          <w:t>一个数据驱动的框架，将连接组与受化学亲和理论启发的空间基因表达梯度联系起来</w:t>
        </w:r>
      </w:hyperlink>
    </w:p>
    <w:p>
      <w:pPr>
        <w:spacing w:before="0" w:after="80"/>
      </w:pPr>
      <w:r>
        <w:rPr>
          <w:i/>
          <w:sz w:val="20"/>
        </w:rPr>
        <w:t>EN: A data-driven framework linking the connectome to spatial gene expression gradients inspired by chemoaffinity theory</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490">
        <w:r>
          <w:rPr>
            <w:color w:val="1155CC"/>
            <w:u w:val="single"/>
          </w:rPr>
          <w:t>10.1073/pnas.2516572123</w:t>
        </w:r>
      </w:hyperlink>
    </w:p>
    <w:p>
      <w:pPr>
        <w:spacing w:before="0" w:after="120"/>
      </w:pPr>
      <w:r>
        <w:rPr>
          <w:b/>
        </w:rPr>
        <w:t xml:space="preserve">Notes: </w:t>
      </w:r>
      <w:r>
        <w:t>abstract_source=crossref</w:t>
      </w:r>
    </w:p>
    <w:p>
      <w:pPr>
        <w:spacing w:before="0" w:after="80" w:lineRule="auto" w:line="276"/>
      </w:pPr>
      <w:r>
        <w:rPr>
          <w:b/>
        </w:rPr>
        <w:t xml:space="preserve">摘要（ZH）: </w:t>
      </w:r>
      <w:r>
        <w:t>理解脑全局神经回路如何通过基因连接仍然是神经科学中的一个基本问题。虽然Sperry的化学亲和理论[Sperry, Proc. Natl. Acad. Sci. U.S.A. 50, 703–710 (1963)]认为分子梯度为轴突投射提供了位置线索，但其应用主要局限于局部的感觉系统。在此，我们提出SPERRFY（用于重建轴突纤维连接规则的空间位置编码），这是一个数据驱动的框架，在全脑尺度上实现Sperry的理论。通过将连接组数据与来自Allen小鼠大脑图谱的空间转录组学数据相结合，SPERRFY推断出潜在的位置梯度，这些梯度是轴突连接的基础。使用</w:t>
      </w:r>
    </w:p>
    <w:p>
      <w:pPr>
        <w:spacing w:before="0" w:after="200" w:lineRule="auto" w:line="276"/>
      </w:pPr>
      <w:r>
        <w:rPr>
          <w:b/>
        </w:rPr>
        <w:t xml:space="preserve">Abstract (EN): </w:t>
      </w:r>
      <w:r>
        <w:t>Understanding how brain-wide neural circuits are genetically wired remains a fundamental question in neuroscience. While Sperry’s chemoaffinity theory [Sperry,</w:t>
      </w:r>
      <w:r>
        <w:t xml:space="preserve"> </w:t>
      </w:r>
      <w:r>
        <w:t>Proc. Natl. Acad. Sci. U.S.A.</w:t>
      </w:r>
      <w:r>
        <w:rPr>
          <w:vertAlign w:val="subscript"/>
        </w:rPr>
        <w:t>50</w:t>
      </w:r>
      <w:r>
        <w:t>, 703–710 (1963)] posits that molecular gradients provide positional cues for axonal projections, its application has been largely limited to localized sensory systems. Here, we present SPERRFY (Spatial Positional Encoding for Reconstructing Rules of axonal Fiber connectivitY), a data-driven framework that operationalizes Sperry’s theory at the whole-brain scale. By integrating connectomic data with spatial transcriptomic profiles from the Allen Mouse Brain Atlas, SPERRFY infers latent positional gradients that underlie axonal wiring. Using canonical correlation analysis (CCA), we extract top gradient pairs that align with observed neural connectivity patterns, capturing both global (interregional) and local (intraregional) organizational principles. Connectivity reconstruction based on these gradients shows strong predictive performance, and permutation-based null models confirm the biological relevance of the inferred structures. Furthermore, SPERRFY can screen for candidate genes that may contribute to positional wiring information, providing molecular insight into the developmental logic of brain-wide circuitry. Our results extend Sperry’s foundational theory beyond the sensory domain, offering a unified, data-driven framework for understanding genetically encoded connectivity across the entire brain.</w:t>
      </w:r>
    </w:p>
    <w:p>
      <w:pPr>
        <w:spacing w:before="120" w:after="120"/>
      </w:pPr>
      <w:r>
        <w:rPr>
          <w:sz w:val="18"/>
        </w:rPr>
        <w:t>——————————————————————————————————————————————————————————————————————</w:t>
      </w:r>
    </w:p>
    <w:p>
      <w:pPr>
        <w:spacing w:before="160" w:after="40" w:line="240" w:lineRule="auto"/>
      </w:pPr>
      <w:r>
        <w:rPr>
          <w:b/>
        </w:rPr>
        <w:t xml:space="preserve">[190] </w:t>
      </w:r>
      <w:hyperlink r:id="rId491">
        <w:r>
          <w:rPr>
            <w:color w:val="1155CC"/>
            <w:u w:val="single"/>
          </w:rPr>
          <w:t>哺乳动物细胞生长速率的随机性独立于细胞大小和分裂，驱动细胞间的变异性</w:t>
        </w:r>
      </w:hyperlink>
    </w:p>
    <w:p>
      <w:pPr>
        <w:spacing w:before="0" w:after="80"/>
      </w:pPr>
      <w:r>
        <w:rPr>
          <w:i/>
          <w:sz w:val="20"/>
        </w:rPr>
        <w:t>EN: Stochasticity in mammalian cell growth rates drives cell-to-cell variability independently of cell size and divisions</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492">
        <w:r>
          <w:rPr>
            <w:color w:val="1155CC"/>
            <w:u w:val="single"/>
          </w:rPr>
          <w:t>10.1073/pnas.2516372123</w:t>
        </w:r>
      </w:hyperlink>
    </w:p>
    <w:p>
      <w:pPr>
        <w:spacing w:before="0" w:after="120"/>
      </w:pPr>
      <w:r>
        <w:rPr>
          <w:b/>
        </w:rPr>
        <w:t xml:space="preserve">Notes: </w:t>
      </w:r>
      <w:r>
        <w:t>abstract_source=crossref</w:t>
      </w:r>
    </w:p>
    <w:p>
      <w:pPr>
        <w:spacing w:before="0" w:after="80" w:lineRule="auto" w:line="276"/>
      </w:pPr>
      <w:r>
        <w:rPr>
          <w:b/>
        </w:rPr>
        <w:t xml:space="preserve">摘要（ZH）: </w:t>
      </w:r>
      <w:r>
        <w:t>细胞生长速率表现出细胞内在的细胞间变异性，这影响了从细菌到癌症的细胞适应性和大小稳态。目前尚不清楚这种变异性是由细胞生长或分裂过程中的随机性引起的，还是由细胞大小依赖的生长调节引起的。为了区分这些潜在的生长变异来源，需要在不同时间尺度上检查单细胞生长速率。在此，我们通过高精度和分钟级时间分辨率沿长祖系追踪淋巴细胞性白血病细胞质量积累来研究细胞大小和生长调节。我们首先表明，生长速率与细胞大小之间的相关性或不对称分裂并不能解释细胞间的生长变异。然后，我们通过平滑隔离生长波动</w:t>
      </w:r>
    </w:p>
    <w:p>
      <w:pPr>
        <w:spacing w:before="0" w:after="200" w:lineRule="auto" w:line="276"/>
      </w:pPr>
      <w:r>
        <w:rPr>
          <w:b/>
        </w:rPr>
        <w:t xml:space="preserve">Abstract (EN): </w:t>
      </w:r>
      <w:r>
        <w:t>Cell growth rates exhibit cell-intrinsic cell-to-cell variability, which influences cell fitness and size homeostasis from bacteria to cancer. It remains unclear whether this variability arises from stochasticity in cell growth or division processes, or from cell-size-dependent growth regulation. To separate these potential sources of growth variability, single-cell growth rates need to be examined across different timescales. Here, we study cell size and growth regulation by tracking lymphocytic leukemia cell mass accumulation with high precision and minute-scale temporal resolution along long ancestral lineages. We first show that correlations between growth rates and cell-size nor asymmetric divisions explain cell-to-cell growth variability. We then isolate growth fluctuations by smoothing and detrending the growth rate dynamics using a Gaussian process regression. We find that these growth fluctuations drive cell-to-cell growth variability within ancestral lineages despite being independent of cell divisions, cell cycle, and cell size. Overall, our results provide a quantitative framework for understanding single-cell growth rates, and indicate that cell-intrinsic long-term patterns in growth are a byproduct of short-term growth fluctuations.</w:t>
      </w:r>
    </w:p>
    <w:p>
      <w:pPr>
        <w:spacing w:before="120" w:after="120"/>
      </w:pPr>
      <w:r>
        <w:rPr>
          <w:sz w:val="18"/>
        </w:rPr>
        <w:t>——————————————————————————————————————————————————————————————————————</w:t>
      </w:r>
    </w:p>
    <w:p>
      <w:pPr>
        <w:spacing w:before="160" w:after="40" w:line="240" w:lineRule="auto"/>
      </w:pPr>
      <w:r>
        <w:rPr>
          <w:b/>
        </w:rPr>
        <w:t xml:space="preserve">[191] </w:t>
      </w:r>
      <w:hyperlink r:id="rId493">
        <w:r>
          <w:rPr>
            <w:color w:val="1155CC"/>
            <w:u w:val="single"/>
          </w:rPr>
          <w:t>增强KCC2功能可减少间歇性活动并预防颞叶癫痫发作</w:t>
        </w:r>
      </w:hyperlink>
    </w:p>
    <w:p>
      <w:pPr>
        <w:spacing w:before="0" w:after="80"/>
      </w:pPr>
      <w:r>
        <w:rPr>
          <w:i/>
          <w:sz w:val="20"/>
        </w:rPr>
        <w:t>EN: Enhancing KCC2 function reduces interictal activity and prevents seizures in temporal lobe epilepsy</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494">
        <w:r>
          <w:rPr>
            <w:color w:val="1155CC"/>
            <w:u w:val="single"/>
          </w:rPr>
          <w:t>10.1073/pnas.2522722123</w:t>
        </w:r>
      </w:hyperlink>
    </w:p>
    <w:p>
      <w:pPr>
        <w:spacing w:before="0" w:after="120"/>
      </w:pPr>
      <w:r>
        <w:rPr>
          <w:b/>
        </w:rPr>
        <w:t xml:space="preserve">Notes: </w:t>
      </w:r>
      <w:r>
        <w:t>abstract_source=crossref</w:t>
      </w:r>
    </w:p>
    <w:p>
      <w:pPr>
        <w:spacing w:before="0" w:after="80" w:lineRule="auto" w:line="276"/>
      </w:pPr>
      <w:r>
        <w:rPr>
          <w:b/>
        </w:rPr>
        <w:t xml:space="preserve">摘要（ZH）: </w:t>
      </w:r>
      <w:r>
        <w:t>神经元K/Cl共转运体KCC2调节跨膜氯离子梯度，这控制了GABA能信号的效力。在内侧颞叶癫痫（mTLE）和其他神经疾病中，KCC2表达或功能的减少可能导致去极化的GABA信号，这被认为会导致病理活动和癫痫发作。因此，恢复氯离子稳态代表了一种有前景的治疗策略。我们研究了两种小分子——丙氯拉嗪（PCPZ）和CLP-257——的机制和抗癫痫效果，这两种分子已被确定为潜在的KCC2增强剂。我们发现这两种化合物在不改变经典调节磷酸化的情况下，增强了KCC2在皮层神经元中的功能和聚集，同时减少了其膜扩散。CLP</w:t>
      </w:r>
    </w:p>
    <w:p>
      <w:pPr>
        <w:spacing w:before="0" w:after="200" w:lineRule="auto" w:line="276"/>
      </w:pPr>
      <w:r>
        <w:rPr>
          <w:b/>
        </w:rPr>
        <w:t xml:space="preserve">Abstract (EN): </w:t>
      </w:r>
      <w:r>
        <w:t>The neuronal K/Cl cotransporter KCC2 regulates the transmembrane chloride gradient, which controls the efficacy of GABAergic signaling. In mesial temporal lobe epilepsy (mTLE) and other neurological disorders, reduced KCC2 expression or function can result in depolarizing GABA signaling, which is thought to contribute to pathological activity and seizures. Therefore, restoring chloride homeostasis represents a promising therapeutic strategy. We investigated the mechanisms and antiseizure effects of two small molecules, prochlorperazine (PCPZ) and CLP-257, that have been identified as potential KCC2 enhancers. We found that both compounds enhance KCC2 function and clustering in cortical neurons while reducing its membrane diffusion, without altering canonical regulatory phosphorylation. CLP-257 also selectively increased extrasynaptic, but not synaptic, GABA</w:t>
      </w:r>
      <w:r>
        <w:t xml:space="preserve"> </w:t>
      </w:r>
      <w:r>
        <w:t>A</w:t>
      </w:r>
      <w:r>
        <w:t xml:space="preserve"> </w:t>
      </w:r>
      <w:r>
        <w:t>receptor-mediated currents. Using in vitro recordings from resected brain tissue of patients with drug-resistant mTLE and in vivo recordings from a mouse model, we show that PCPZ and CLP-257 (or its prodrug CLP-290) effectively suppressed spontaneous epileptiform activity in both models. These findings reveal that PCPZ and CLP-257 act as genuine KCC2 enhancers and provide experimental evidence of the therapeutic potential of such compounds for treating drug-resistant mTLE.</w:t>
      </w:r>
    </w:p>
    <w:p>
      <w:pPr>
        <w:spacing w:before="120" w:after="120"/>
      </w:pPr>
      <w:r>
        <w:rPr>
          <w:sz w:val="18"/>
        </w:rPr>
        <w:t>——————————————————————————————————————————————————————————————————————</w:t>
      </w:r>
    </w:p>
    <w:p>
      <w:pPr>
        <w:spacing w:before="160" w:after="40" w:line="240" w:lineRule="auto"/>
      </w:pPr>
      <w:r>
        <w:rPr>
          <w:b/>
        </w:rPr>
        <w:t xml:space="preserve">[192] </w:t>
      </w:r>
      <w:hyperlink r:id="rId495">
        <w:r>
          <w:rPr>
            <w:color w:val="1155CC"/>
            <w:u w:val="single"/>
          </w:rPr>
          <w:t>蛋白质降解的全球分析揭示了大肠杆菌中多种调节因子的稳定性</w:t>
        </w:r>
      </w:hyperlink>
    </w:p>
    <w:p>
      <w:pPr>
        <w:spacing w:before="0" w:after="80"/>
      </w:pPr>
      <w:r>
        <w:rPr>
          <w:i/>
          <w:sz w:val="20"/>
        </w:rPr>
        <w:t>EN: Global analysis of protein degradation reveals instability of diverse regulators in Escherichia coli</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496">
        <w:r>
          <w:rPr>
            <w:color w:val="1155CC"/>
            <w:u w:val="single"/>
          </w:rPr>
          <w:t>10.1073/pnas.2515265123</w:t>
        </w:r>
      </w:hyperlink>
    </w:p>
    <w:p>
      <w:pPr>
        <w:spacing w:before="0" w:after="120"/>
      </w:pPr>
      <w:r>
        <w:rPr>
          <w:b/>
        </w:rPr>
        <w:t xml:space="preserve">Notes: </w:t>
      </w:r>
      <w:r>
        <w:t>abstract_source=crossref</w:t>
      </w:r>
    </w:p>
    <w:p>
      <w:pPr>
        <w:spacing w:before="0" w:after="80" w:lineRule="auto" w:line="276"/>
      </w:pPr>
      <w:r>
        <w:rPr>
          <w:b/>
        </w:rPr>
        <w:t xml:space="preserve">摘要（ZH）: </w:t>
      </w:r>
      <w:r>
        <w:t>在细菌中，受控的蛋白质降解是及时执行必要基因表达程序的基础。在此，我们部署了时间分辨化学蛋白质组学、PubMed和EcoCyc知识库的文本挖掘以及机器学习分类，以识别指数和静止期的蛋白水解调控</w:t>
      </w:r>
      <w:r>
        <w:t xml:space="preserve"> </w:t>
      </w:r>
      <w:r>
        <w:t>Escherichia coli</w:t>
      </w:r>
      <w:r>
        <w:t xml:space="preserve"> </w:t>
      </w:r>
      <w:r>
        <w:t>培养物。我们通过实验验证了多种稳态和应激反应调节因子的不稳定性，包括主要的环二鸟苷酸磷酸二酯酶PdeH、N端规则底物伴侣ClpS以及所有四种A型结构域铁硫簇载体IscA、ErpA、NfuA和SufA。PdeH N端延伸的诱变消除了ClpXP识别，从而</w:t>
      </w:r>
    </w:p>
    <w:p>
      <w:pPr>
        <w:spacing w:before="0" w:after="200" w:lineRule="auto" w:line="276"/>
      </w:pPr>
      <w:r>
        <w:rPr>
          <w:b/>
        </w:rPr>
        <w:t xml:space="preserve">Abstract (EN): </w:t>
      </w:r>
      <w:r>
        <w:t>Regulated protein degradation underlies the timely execution of essential gene expression programs in bacteria. Here, we deployed time-resolved chemoproteomics, text mining of the PubMed and EcoCyc knowledge bases, and machine learning classification to identify proteolytic regulation in exponential and stationary phase</w:t>
      </w:r>
      <w:r>
        <w:t xml:space="preserve"> </w:t>
      </w:r>
      <w:r>
        <w:t>Escherichia coli</w:t>
      </w:r>
      <w:r>
        <w:t xml:space="preserve"> </w:t>
      </w:r>
      <w:r>
        <w:t>cultures. We experimentally validated the instability of diverse homeostatic and stress response regulators, including the principal cyclic-di-GMP phosphodiesterase PdeH, the N-end rule substrate chaperone ClpS, and all four A-type domain iron–sulfur cluster carriers, IscA, ErpA, NfuA, and SufA. Mutagenesis of the PdeH N-terminal extension abolished ClpXP recognition, thereby impairing stationary phase depletion of PdeH and altering macrocolony biofilm surface morphology. Unstable proteins synthesized in stationary phase such as the morphology regulator BolA, RNA polymerase ω subunit, and the biofilm regulator BssR were implicated in quiescence. Finally, machine learning–assisted substrate identification revealed Lon-mediated degradation of two opposing key regulators of surface adhesion, the RpoS antagonist FliZ and the major biofilm regulator CsgD, suggesting proteolysis may hasten transitions between motility and sessility. Together, these results highlight the role of regulated proteolysis in driving physiological adaptation for this model organism.</w:t>
      </w:r>
    </w:p>
    <w:p>
      <w:pPr>
        <w:spacing w:before="120" w:after="120"/>
      </w:pPr>
      <w:r>
        <w:rPr>
          <w:sz w:val="18"/>
        </w:rPr>
        <w:t>——————————————————————————————————————————————————————————————————————</w:t>
      </w:r>
    </w:p>
    <w:p>
      <w:pPr>
        <w:spacing w:before="160" w:after="40" w:line="240" w:lineRule="auto"/>
      </w:pPr>
      <w:r>
        <w:rPr>
          <w:b/>
        </w:rPr>
        <w:t xml:space="preserve">[193] </w:t>
      </w:r>
      <w:hyperlink r:id="rId497">
        <w:r>
          <w:rPr>
            <w:color w:val="1155CC"/>
            <w:u w:val="single"/>
          </w:rPr>
          <w:t>液晶中的手性放大和手性分离</w:t>
        </w:r>
      </w:hyperlink>
    </w:p>
    <w:p>
      <w:pPr>
        <w:spacing w:before="0" w:after="80"/>
      </w:pPr>
      <w:r>
        <w:rPr>
          <w:i/>
          <w:sz w:val="20"/>
        </w:rPr>
        <w:t>EN: Chirality amplification and chiral segregation in liquid crystals</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498">
        <w:r>
          <w:rPr>
            <w:color w:val="1155CC"/>
            <w:u w:val="single"/>
          </w:rPr>
          <w:t>10.1073/pnas.2514297123</w:t>
        </w:r>
      </w:hyperlink>
    </w:p>
    <w:p>
      <w:pPr>
        <w:spacing w:before="0" w:after="120"/>
      </w:pPr>
      <w:r>
        <w:rPr>
          <w:b/>
        </w:rPr>
        <w:t xml:space="preserve">Notes: </w:t>
      </w:r>
      <w:r>
        <w:t>abstract_source=crossref</w:t>
      </w:r>
    </w:p>
    <w:p>
      <w:pPr>
        <w:spacing w:before="0" w:after="80" w:lineRule="auto" w:line="276"/>
      </w:pPr>
      <w:r>
        <w:rPr>
          <w:b/>
        </w:rPr>
        <w:t xml:space="preserve">摘要（ZH）: </w:t>
      </w:r>
      <w:r>
        <w:t>非手性分子的液晶介相通常是非手性的，但在少数材料中，它们会自发分离并形成右手和左手手性域。驱动手性分离的一种机制是分子形状在轴向手性构象之间的波动，其中分子相互作用有利于匹配的手性并促进螺旋扭曲。协同手性排序也可能在手性放大中发挥作用，例如当少量手性掺杂剂驱动向列相变为胆甾相时。我们使用Maier-Saupe理论提出了液晶中协同手性排序的模型，并预测了一个相图，其中包含一个分离的胆甾相，具有交替的左手和右手手性扭曲域，具有相反的对映体过量，此外</w:t>
      </w:r>
    </w:p>
    <w:p>
      <w:pPr>
        <w:spacing w:before="0" w:after="200" w:lineRule="auto" w:line="276"/>
      </w:pPr>
      <w:r>
        <w:rPr>
          <w:b/>
        </w:rPr>
        <w:t xml:space="preserve">Abstract (EN): </w:t>
      </w:r>
      <w:r>
        <w:t>Liquid crystal mesophases of achiral molecules are normally achiral, yet in a few materials they spontaneously segregate and form right- and left-handed chiral domains. One mechanism that drives chiral segregation is molecular shape fluctuations between axial chiral conformations, where molecular interactions favor matching chirality and promote helical twist. Cooperative chiral ordering may also play a role in chirality amplification, as when a tiny fraction of chiral dopant drives a nematic phase to become cholesteric. We present a model of cooperative chiral ordering in liquid crystals using Maier-Saupe theory, and predict a phase diagram with a segregated cholesteric phase with alternating domains of left- and right-handed chiral twist, with opposite enantiomeric excess, in addition to racemic nematic and isotropic phases. Our model also demonstrates how chiral molecular fluctuations influence the helical twisting power of dopants in the nematic phase, which may be observed even in materials where the segregated cholesteric phase is preempted by a transition to another phase. We compare these results with Monte Carlo simulation studies of the switchable chiral Lebwohl-Lasher model, where each spin switches between right- and left-handed chiral states. Simulation results validate the predicted phase diagram, demonstrate chiral amplification in the racemic nematic phase, and reveal complex coarsening dynamics in the segregated cholesteric phase. These results suggest that molecular fluctuations between degenerate chiral configurations may be a common mechanism to produce cooperative chiral order in achiral liquid crystals.</w:t>
      </w:r>
    </w:p>
    <w:p>
      <w:pPr>
        <w:spacing w:before="120" w:after="120"/>
      </w:pPr>
      <w:r>
        <w:rPr>
          <w:sz w:val="18"/>
        </w:rPr>
        <w:t>——————————————————————————————————————————————————————————————————————</w:t>
      </w:r>
    </w:p>
    <w:p>
      <w:pPr>
        <w:spacing w:before="160" w:after="40" w:line="240" w:lineRule="auto"/>
      </w:pPr>
      <w:r>
        <w:rPr>
          <w:b/>
        </w:rPr>
        <w:t xml:space="preserve">[194] </w:t>
      </w:r>
      <w:hyperlink r:id="rId499">
        <w:r>
          <w:rPr>
            <w:color w:val="1155CC"/>
            <w:u w:val="single"/>
          </w:rPr>
          <w:t>SV2A PET揭示实验性自身免疫性脑脊髓炎和多发性硬化症试验研究中的突触密度损失</w:t>
        </w:r>
      </w:hyperlink>
    </w:p>
    <w:p>
      <w:pPr>
        <w:spacing w:before="0" w:after="80"/>
      </w:pPr>
      <w:r>
        <w:rPr>
          <w:i/>
          <w:sz w:val="20"/>
        </w:rPr>
        <w:t>EN: SV2A PET reveals synaptic density loss in experimental autoimmune encephalomyelitis and in a pilot multiple sclerosis study</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00">
        <w:r>
          <w:rPr>
            <w:color w:val="1155CC"/>
            <w:u w:val="single"/>
          </w:rPr>
          <w:t>10.1073/pnas.2517709123</w:t>
        </w:r>
      </w:hyperlink>
    </w:p>
    <w:p>
      <w:pPr>
        <w:spacing w:before="0" w:after="120"/>
      </w:pPr>
      <w:r>
        <w:rPr>
          <w:b/>
        </w:rPr>
        <w:t xml:space="preserve">Notes: </w:t>
      </w:r>
      <w:r>
        <w:t>abstract_source=crossref</w:t>
      </w:r>
    </w:p>
    <w:p>
      <w:pPr>
        <w:spacing w:before="0" w:after="80" w:lineRule="auto" w:line="276"/>
      </w:pPr>
      <w:r>
        <w:rPr>
          <w:b/>
        </w:rPr>
        <w:t xml:space="preserve">摘要（ZH）: </w:t>
      </w:r>
      <w:r>
        <w:t>突触丧失越来越被认为是多发性硬化症（MS）中的一个关键病理特征，导致疾病进展和认知功能障碍。突触囊泡糖蛋白2A（SV2A）正电子发射断层扫描（PET）成像已成为体内量化突触密度的有前途的工具。在此，我们使用临床可转化的示踪剂[</w:t>
      </w:r>
      <w:r>
        <w:rPr>
          <w:vertAlign w:val="subscript"/>
        </w:rPr>
        <w:t>18</w:t>
      </w:r>
      <w:r>
        <w:t>F]SynVesT-1全面表征了实验性自身免疫性脑脊髓炎（EAE）小鼠模型中大脑和脊髓的突触密度。同时，我们在MS患者中使用第一个临床实施的SV2A放射性示踪剂[</w:t>
      </w:r>
      <w:r>
        <w:rPr>
          <w:vertAlign w:val="subscript"/>
        </w:rPr>
        <w:t>11</w:t>
      </w:r>
      <w:r>
        <w:t>C]UCB-J进行SV2A PET，提供了SV2A PET成像的跨物种验证</w:t>
      </w:r>
    </w:p>
    <w:p>
      <w:pPr>
        <w:spacing w:before="0" w:after="200" w:lineRule="auto" w:line="276"/>
      </w:pPr>
      <w:r>
        <w:rPr>
          <w:b/>
        </w:rPr>
        <w:t xml:space="preserve">Abstract (EN): </w:t>
      </w:r>
      <w:r>
        <w:t>Synaptic loss is increasingly recognized as a key pathological feature in multiple sclerosis (MS), contributing to disease progression and cognitive dysfunction. Synaptic vesicle glycoprotein 2A (SV2A) positron emission tomography (PET) imaging has emerged as a promising tool for quantifying synaptic density in vivo. Here, we used the clinically translatable tracer [</w:t>
      </w:r>
      <w:r>
        <w:rPr>
          <w:vertAlign w:val="subscript"/>
        </w:rPr>
        <w:t>18</w:t>
      </w:r>
      <w:r>
        <w:t>F]SynVesT-1 to comprehensively characterize synaptic density across the brain and spinal cord in the experimental autoimmune encephalomyelitis (EAE) mouse model of MS. In parallel, we performed SV2A PET in patients with MS using the first clinically implemented SV2A radiotracer, [</w:t>
      </w:r>
      <w:r>
        <w:rPr>
          <w:vertAlign w:val="subscript"/>
        </w:rPr>
        <w:t>11</w:t>
      </w:r>
      <w:r>
        <w:t>C]UCB-J, providing cross-species validation of SV2A PET imaging as a biomarker of synaptic pathology. In EAE mice, dynamic [</w:t>
      </w:r>
      <w:r>
        <w:rPr>
          <w:vertAlign w:val="subscript"/>
        </w:rPr>
        <w:t>18</w:t>
      </w:r>
      <w:r>
        <w:t>F]SynVesT-1 PET imaging revealed a significant global reduction in tracer uptake, with nearly 30% decrease in regional distribution volume (</w:t>
      </w:r>
      <w:r>
        <w:t xml:space="preserve"> </w:t>
      </w:r>
      <w:r>
        <w:t>V</w:t>
      </w:r>
      <w:r>
        <w:t xml:space="preserve"> </w:t>
      </w:r>
      <w:r>
        <w:t>T</w:t>
      </w:r>
      <w:r>
        <w:t xml:space="preserve"> </w:t>
      </w:r>
      <w:r>
        <w:t>) across all analyzed brain regions (</w:t>
      </w:r>
      <w:r>
        <w:t xml:space="preserve"> </w:t>
      </w:r>
      <w:r>
        <w:t>P</w:t>
      </w:r>
      <w:r>
        <w:t xml:space="preserve"> </w:t>
      </w:r>
      <w:r>
        <w:t>&amp;lt; 0.0001). Correspondingly, autoradiography (ARG) corroborated the PET findings, and additional analyses demonstrated reduced SV2A levels in the cervical and lumbar spinal cord. In a clinical PET research study, [</w:t>
      </w:r>
      <w:r>
        <w:rPr>
          <w:vertAlign w:val="subscript"/>
        </w:rPr>
        <w:t>11</w:t>
      </w:r>
      <w:r>
        <w:t>C]UCB-J imaging in MS patients (n = 6) versus age-matched healthy controls (n = 6) showed a 16.4% reduction in global cortical SV2A binding (</w:t>
      </w:r>
      <w:r>
        <w:t xml:space="preserve"> </w:t>
      </w:r>
      <w:r>
        <w:t>P</w:t>
      </w:r>
      <w:r>
        <w:t xml:space="preserve"> </w:t>
      </w:r>
      <w:r>
        <w:t>= 0.026), with significant regional reductions of 16 to 26% in several cortical and subcortical subregions. Together, these findings demonstrate that SV2A PET imaging provides a sensitive and quantitative biomarker of synaptic pathology in MS. The consistent reductions in SV2A binding observed in both preclinical and clinical research highlight the role of synaptic degeneration in MS and underscore the utility of SV2A PET imaging in MS research.</w:t>
      </w:r>
    </w:p>
    <w:p>
      <w:pPr>
        <w:spacing w:before="120" w:after="120"/>
      </w:pPr>
      <w:r>
        <w:rPr>
          <w:sz w:val="18"/>
        </w:rPr>
        <w:t>——————————————————————————————————————————————————————————————————————</w:t>
      </w:r>
    </w:p>
    <w:p>
      <w:pPr>
        <w:spacing w:before="160" w:after="40" w:line="240" w:lineRule="auto"/>
      </w:pPr>
      <w:r>
        <w:rPr>
          <w:b/>
        </w:rPr>
        <w:t xml:space="preserve">[195] </w:t>
      </w:r>
      <w:hyperlink r:id="rId501">
        <w:r>
          <w:rPr>
            <w:color w:val="1155CC"/>
            <w:u w:val="single"/>
          </w:rPr>
          <w:t>ATP合酶活性增强膜质子接受和侧向扩散</w:t>
        </w:r>
      </w:hyperlink>
    </w:p>
    <w:p>
      <w:pPr>
        <w:spacing w:before="0" w:after="80"/>
      </w:pPr>
      <w:r>
        <w:rPr>
          <w:i/>
          <w:sz w:val="20"/>
        </w:rPr>
        <w:t>EN: ATP synthase activity boosts membrane proton acceptance and lateral diffusion</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02">
        <w:r>
          <w:rPr>
            <w:color w:val="1155CC"/>
            <w:u w:val="single"/>
          </w:rPr>
          <w:t>10.1073/pnas.2510444123</w:t>
        </w:r>
      </w:hyperlink>
    </w:p>
    <w:p>
      <w:pPr>
        <w:spacing w:before="0" w:after="120"/>
      </w:pPr>
      <w:r>
        <w:rPr>
          <w:b/>
        </w:rPr>
        <w:t xml:space="preserve">Notes: </w:t>
      </w:r>
      <w:r>
        <w:t>abstract_source=crossref</w:t>
      </w:r>
    </w:p>
    <w:p>
      <w:pPr>
        <w:spacing w:before="0" w:after="80" w:lineRule="auto" w:line="276"/>
      </w:pPr>
      <w:r>
        <w:rPr>
          <w:b/>
        </w:rPr>
        <w:t xml:space="preserve">摘要（ZH）: </w:t>
      </w:r>
      <w:r>
        <w:t>在大多数生物中，ATP合成由质子动力势（pmf）驱动，并由ATP合酶催化。虽然化学渗透理论最初提出了质子泵和消费者之间的“非局部耦合”，但越来越多的证据表明膜在介导局部质子转移（PT）中起作用。为了直接追踪膜表面超快PT作为ATP合酶活性的函数，我们开发了一个体外系统。我们将光激活的激发态光酸锚定在单层囊泡的双层上，以将PT限制在膜界面，并共同重组了一个嗜热性</w:t>
      </w:r>
      <w:r>
        <w:t xml:space="preserve"> </w:t>
      </w:r>
      <w:r>
        <w:t>Bacillus</w:t>
      </w:r>
      <w:r>
        <w:t xml:space="preserve"> </w:t>
      </w:r>
      <w:r>
        <w:t>TFOF1 ATP合酶。</w:t>
      </w:r>
    </w:p>
    <w:p>
      <w:pPr>
        <w:spacing w:before="0" w:after="200" w:lineRule="auto" w:line="276"/>
      </w:pPr>
      <w:r>
        <w:rPr>
          <w:b/>
        </w:rPr>
        <w:t xml:space="preserve">Abstract (EN): </w:t>
      </w:r>
      <w:r>
        <w:t>In most organisms, ATP synthesis is powered by the proton motive force (pmf) and catalyzed by ATP synthase. While the chemiosmotic theory originally proposed a “delocalized coupling” between proton pumps and consumers, growing evidence implicates the membrane in mediating localized proton transfer (PT). To directly track ultrafast PT at the membrane surface as a function of ATP synthase activity, we developed an in vitro system. We tethered a light-activated excited-state photoacid to the bilayer of unilamellar vesicles to confine PT to the membrane interface and co-reconstituted a thermophilic</w:t>
      </w:r>
      <w:r>
        <w:t xml:space="preserve"> </w:t>
      </w:r>
      <w:r>
        <w:t>Bacillus</w:t>
      </w:r>
      <w:r>
        <w:t xml:space="preserve"> </w:t>
      </w:r>
      <w:r>
        <w:t>TF</w:t>
      </w:r>
      <w:r>
        <w:t xml:space="preserve"> </w:t>
      </w:r>
      <w:r>
        <w:t>O</w:t>
      </w:r>
      <w:r>
        <w:t xml:space="preserve"> </w:t>
      </w:r>
      <w:r>
        <w:t>F</w:t>
      </w:r>
      <w:r>
        <w:rPr>
          <w:vertAlign w:val="subscript"/>
        </w:rPr>
        <w:t>1</w:t>
      </w:r>
      <w:r>
        <w:t>ATP synthase. Using steady-state and time-resolved fluorescence spectroscopy, we quantified PT and lateral proton diffusion from the anchored photoacid under conditions with non-ATP- and ATP-producing enzymes. Our results show that the membrane accepts protons at its interface and that PT is enhanced only when ATP synthase is active. A comparison with soluble photoacid positioned near the membrane shows that protons consumed by ATP synthase do not equilibrate with the bulk aqueous phase. Instead, they are transferred directly along the two-dimensional membrane interface to the enzyme. This localized coupling can explain how ATP synthesis can proceed even when the apparent bulk pmf seems insufficient. Our results refine the proton translocation during ATP synthesis by revealing that the membrane itself is an active participant in PT, thereby strengthening the case for localized proton coupling in bioenergetics.</w:t>
      </w:r>
    </w:p>
    <w:p>
      <w:pPr>
        <w:spacing w:before="120" w:after="120"/>
      </w:pPr>
      <w:r>
        <w:rPr>
          <w:sz w:val="18"/>
        </w:rPr>
        <w:t>——————————————————————————————————————————————————————————————————————</w:t>
      </w:r>
    </w:p>
    <w:p>
      <w:pPr>
        <w:spacing w:before="160" w:after="40" w:line="240" w:lineRule="auto"/>
      </w:pPr>
      <w:r>
        <w:rPr>
          <w:b/>
        </w:rPr>
        <w:t xml:space="preserve">[196] </w:t>
      </w:r>
      <w:hyperlink r:id="rId503">
        <w:r>
          <w:rPr>
            <w:color w:val="1155CC"/>
            <w:u w:val="single"/>
          </w:rPr>
          <w:t>鱼类机械感受侧线系统形态变异的功能意义及其仿生潜力</w:t>
        </w:r>
      </w:hyperlink>
    </w:p>
    <w:p>
      <w:pPr>
        <w:spacing w:before="0" w:after="80"/>
      </w:pPr>
      <w:r>
        <w:rPr>
          <w:i/>
          <w:sz w:val="20"/>
        </w:rPr>
        <w:t>EN: Functional significance of morphological variation in the mechanosensory lateral line system of fishes and its biomimetic potential</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04">
        <w:r>
          <w:rPr>
            <w:color w:val="1155CC"/>
            <w:u w:val="single"/>
          </w:rPr>
          <w:t>10.1073/pnas.2508669123</w:t>
        </w:r>
      </w:hyperlink>
    </w:p>
    <w:p>
      <w:pPr>
        <w:spacing w:before="0" w:after="120"/>
      </w:pPr>
      <w:r>
        <w:rPr>
          <w:b/>
        </w:rPr>
        <w:t xml:space="preserve">Notes: </w:t>
      </w:r>
      <w:r>
        <w:t>abstract_source=crossref</w:t>
      </w:r>
    </w:p>
    <w:p>
      <w:pPr>
        <w:spacing w:before="0" w:after="80" w:lineRule="auto" w:line="276"/>
      </w:pPr>
      <w:r>
        <w:rPr>
          <w:b/>
        </w:rPr>
        <w:t xml:space="preserve">摘要（ZH）: </w:t>
      </w:r>
      <w:r>
        <w:t>机械感受侧线系统存在于所有鱼类中，能够检测水流动和压力场，并在水生环境中介导关键行为。神经丘感受器官是该系统的功能单元，在不同物种中表现出形状和大小的多样性，但尚未探索能够解释这种令人印象深刻的多样性的结构-功能关系。在此，我们采用基于流体-结构相互作用的计算模型，将杯状体（覆盖神经丘的胶状帽）的基部形状和大小作为神经丘形状和大小的代理。模拟显示，杯状体的敏感性（对特定水流的弯曲反应）随其形状和大小、水流相对于杯状体主轴的方向以及杯状体的</w:t>
      </w:r>
    </w:p>
    <w:p>
      <w:pPr>
        <w:spacing w:before="0" w:after="200" w:lineRule="auto" w:line="276"/>
      </w:pPr>
      <w:r>
        <w:rPr>
          <w:b/>
        </w:rPr>
        <w:t xml:space="preserve">Abstract (EN): </w:t>
      </w:r>
      <w:r>
        <w:t>The mechanosensory lateral line system, found in all fishes, detects water movement and pressure fields and mediates crucial behaviors in aquatic environments. Neuromast sensory organs, the functional units of the system, exhibit diversity in shape and size among species, but structure–function relationships that could explain this impressive diversity have not been explored. Here, we employ a fluid–structure interaction–based computational model that uses the shape and size of the base of the cupula (the gelatinous cap covering the neuromast) as a proxy for neuromast shape and size. Simulations showed that sensitivity of the cupula (bending response to defined water flows) varies with its shape and size, direction of water flow relative to the major axis of the cupula, as well as with cupula height and material properties (elastic modulus). Sensitivity varied among cupulae with shapes known among superficial neuromasts and canal neuromasts within narrow and widened canals. In addition, predictions made by the model for the sorts of changes in neuromast morphology known to occur during ontogeny predict complex changes in neuromast sensitivity through developmental time. In using variation in cupula responses to flow as a proxy for neuromast responses, this work has revealed an unexplored aspect of adaptive functional evolution in the lateral line system with the potential to inspire the development of biomimetic sensors and robots with applications in industry, medicine, and environmental monitoring and exploration.</w:t>
      </w:r>
    </w:p>
    <w:p>
      <w:pPr>
        <w:spacing w:before="120" w:after="120"/>
      </w:pPr>
      <w:r>
        <w:rPr>
          <w:sz w:val="18"/>
        </w:rPr>
        <w:t>——————————————————————————————————————————————————————————————————————</w:t>
      </w:r>
    </w:p>
    <w:p>
      <w:pPr>
        <w:spacing w:before="160" w:after="40" w:line="240" w:lineRule="auto"/>
      </w:pPr>
      <w:r>
        <w:rPr>
          <w:b/>
        </w:rPr>
        <w:t xml:space="preserve">[197] </w:t>
      </w:r>
      <w:hyperlink r:id="rId505">
        <w:r>
          <w:rPr>
            <w:color w:val="1155CC"/>
            <w:u w:val="single"/>
          </w:rPr>
          <w:t>FUT1和GAL3ST2介导的细胞糖基重塑广泛限制了依赖唾液酸的病毒感染</w:t>
        </w:r>
      </w:hyperlink>
    </w:p>
    <w:p>
      <w:pPr>
        <w:spacing w:before="0" w:after="80"/>
      </w:pPr>
      <w:r>
        <w:rPr>
          <w:i/>
          <w:sz w:val="20"/>
        </w:rPr>
        <w:t>EN: FUT1- and GAL3ST2-mediated cellular glycan remodeling broadly restricts sialic acid–dependent viral infections</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06">
        <w:r>
          <w:rPr>
            <w:color w:val="1155CC"/>
            <w:u w:val="single"/>
          </w:rPr>
          <w:t>10.1073/pnas.2503728123</w:t>
        </w:r>
      </w:hyperlink>
    </w:p>
    <w:p>
      <w:pPr>
        <w:spacing w:before="0" w:after="120"/>
      </w:pPr>
      <w:r>
        <w:rPr>
          <w:b/>
        </w:rPr>
        <w:t xml:space="preserve">Notes: </w:t>
      </w:r>
      <w:r>
        <w:t>abstract_source=crossref</w:t>
      </w:r>
    </w:p>
    <w:p>
      <w:pPr>
        <w:spacing w:before="0" w:after="80" w:lineRule="auto" w:line="276"/>
      </w:pPr>
      <w:r>
        <w:rPr>
          <w:b/>
        </w:rPr>
        <w:t xml:space="preserve">摘要（ZH）: </w:t>
      </w:r>
      <w:r>
        <w:t>唾液酸是一种丰富的末端糖基，几乎存在于所有哺乳动物细胞表面，并被许多病毒用作附着因子和/或真正的受体。改变典型的细胞糖基化可以影响病毒启动感染的能力；然而，之前没有系统分析过改变糖基“封顶”酶表达对病毒感染率的影响。因此，我们设计了一个排列的CRISPR激活筛选，靶向54种已知执行末端糖基修饰的糖基转移酶，然后检查依赖唾液酸受体的12种不同病毒在结果细胞系上的易感性。我们鉴定了两种糖基转移酶，岩藻糖基转移酶1（FUT1）和半乳糖-3-O-硫酸转移酶</w:t>
      </w:r>
    </w:p>
    <w:p>
      <w:pPr>
        <w:spacing w:before="0" w:after="200" w:lineRule="auto" w:line="276"/>
      </w:pPr>
      <w:r>
        <w:rPr>
          <w:b/>
        </w:rPr>
        <w:t xml:space="preserve">Abstract (EN): </w:t>
      </w:r>
      <w:r>
        <w:t>Sialic acid is an abundant terminal glycan found on the surface of almost all mammalian cells and is utilized by many viruses as an attachment factor and/or bona fide receptor. Altering canonical cellular glycosylation can affect the ability of viruses to initiate infections; however, no systematic analysis of the effects of altering expression of glycan “capping” enzymes on viral infection rates has been previously performed. We therefore designed an arrayed CRISPR activation screen that targeted 54 glycosyltransferases known to perform terminal glycan modifications and then examined the susceptibility of 12 different viruses that rely on sialic acid receptors on the resultant cell lines. We identified two glycosyltransferases, fucosyltransferase 1 (FUT1) and galactose-3-O-sulfotransferase 2 (GAL3ST2), as capable of inhibiting a broad range of viruses when upregulated, including influenza viruses, respiroviruses, paramyxoviruses, enteroviruses, and coronaviruses. Lectin and viral particle binding assays revealed that the fucosylation and sulfation mediated by FUT1 and GAL3ST2 reduced availability of cell surface expressed α2-3 and α2-6 sialylation and impaired viral attachment during the initial entry process. Furthermore, through adeno-associated virus delivery, we confirmed the inhibitory effects of FUT1 and GAL3ST2 on influenza viruses in various cell models, including primary differentiated human airway cells. Together, our findings identify FUT1 and GAL3ST2 as host restriction factors and suggest that their therapeutic dysregulation may represent a broad-spectrum antiviral strategy.</w:t>
      </w:r>
    </w:p>
    <w:p>
      <w:pPr>
        <w:spacing w:before="120" w:after="120"/>
      </w:pPr>
      <w:r>
        <w:rPr>
          <w:sz w:val="18"/>
        </w:rPr>
        <w:t>——————————————————————————————————————————————————————————————————————</w:t>
      </w:r>
    </w:p>
    <w:p>
      <w:pPr>
        <w:spacing w:before="160" w:after="40" w:line="240" w:lineRule="auto"/>
      </w:pPr>
      <w:r>
        <w:rPr>
          <w:b/>
        </w:rPr>
        <w:t xml:space="preserve">[198] </w:t>
      </w:r>
      <w:hyperlink r:id="rId507">
        <w:r>
          <w:rPr>
            <w:color w:val="1155CC"/>
            <w:u w:val="single"/>
          </w:rPr>
          <w:t>SO2、H2S和N2O在石墨烯/硅(111)上的吸附和反应：无金属催化剂的成功探索——理论与实验</w:t>
        </w:r>
      </w:hyperlink>
    </w:p>
    <w:p>
      <w:pPr>
        <w:spacing w:before="0" w:after="80"/>
      </w:pPr>
      <w:r>
        <w:rPr>
          <w:i/>
          <w:sz w:val="20"/>
        </w:rPr>
        <w:t>EN: Adsorption and reaction of SO2, H2S, and N2O on graphene/silicon(111): Successful quest for a metal-free catalyst—Theory and experiment</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08">
        <w:r>
          <w:rPr>
            <w:color w:val="1155CC"/>
            <w:u w:val="single"/>
          </w:rPr>
          <w:t>10.1073/pnas.2524790123</w:t>
        </w:r>
      </w:hyperlink>
    </w:p>
    <w:p>
      <w:pPr>
        <w:spacing w:before="0" w:after="120"/>
      </w:pPr>
      <w:r>
        <w:rPr>
          <w:b/>
        </w:rPr>
        <w:t xml:space="preserve">Notes: </w:t>
      </w:r>
      <w:r>
        <w:t>abstract_source=crossref</w:t>
      </w:r>
    </w:p>
    <w:p>
      <w:pPr>
        <w:spacing w:before="0" w:after="80" w:lineRule="auto" w:line="276"/>
      </w:pPr>
      <w:r>
        <w:rPr>
          <w:b/>
        </w:rPr>
        <w:t xml:space="preserve">摘要（ZH）: </w:t>
      </w:r>
      <w:r>
        <w:t>石墨烯支持在Si(111)上（简称Gr/Si）是极少数无金属碳催化剂的例子之一，能够催化气体-表面反应。动力学测量表明SO</w:t>
      </w:r>
      <w:r>
        <w:rPr>
          <w:vertAlign w:val="subscript"/>
        </w:rPr>
        <w:t>2</w:t>
      </w:r>
      <w:r>
        <w:t>和H</w:t>
      </w:r>
      <w:r>
        <w:rPr>
          <w:vertAlign w:val="subscript"/>
        </w:rPr>
        <w:t>2</w:t>
      </w:r>
      <w:r>
        <w:t>S的解离，但N</w:t>
      </w:r>
      <w:r>
        <w:rPr>
          <w:vertAlign w:val="subscript"/>
        </w:rPr>
        <w:t>2</w:t>
      </w:r>
      <w:r>
        <w:t>O的分子吸附。此外，光谱显示在SO</w:t>
      </w:r>
      <w:r>
        <w:rPr>
          <w:vertAlign w:val="subscript"/>
        </w:rPr>
        <w:t>2</w:t>
      </w:r>
      <w:r>
        <w:t>和H</w:t>
      </w:r>
      <w:r>
        <w:rPr>
          <w:vertAlign w:val="subscript"/>
        </w:rPr>
        <w:t>2</w:t>
      </w:r>
      <w:r>
        <w:t>S吸附后吸附了硫。实验在超高真空条件下进行，使用动力学技术（即热脱附光谱法TDS）、光谱技术（俄歇电子光谱AES、拉曼光谱、X射线光电子光谱XPS）和成像技术（扫描隧道显微镜）</w:t>
      </w:r>
    </w:p>
    <w:p>
      <w:pPr>
        <w:spacing w:before="0" w:after="200" w:lineRule="auto" w:line="276"/>
      </w:pPr>
      <w:r>
        <w:rPr>
          <w:b/>
        </w:rPr>
        <w:t xml:space="preserve">Abstract (EN): </w:t>
      </w:r>
      <w:r>
        <w:t>Graphene supported on Si(111) (short Gr/Si) is one of the very few examples of a metal-free carbon catalyst that catalyzes gas–surface reactions. Kinetics measurements indicate dissociation of SO</w:t>
      </w:r>
      <w:r>
        <w:rPr>
          <w:vertAlign w:val="subscript"/>
        </w:rPr>
        <w:t>2</w:t>
      </w:r>
      <w:r>
        <w:t>and H</w:t>
      </w:r>
      <w:r>
        <w:rPr>
          <w:vertAlign w:val="subscript"/>
        </w:rPr>
        <w:t>2</w:t>
      </w:r>
      <w:r>
        <w:t>S but molecular adsorption of N</w:t>
      </w:r>
      <w:r>
        <w:rPr>
          <w:vertAlign w:val="subscript"/>
        </w:rPr>
        <w:t>2</w:t>
      </w:r>
      <w:r>
        <w:t>O. In addition, spectroscopy revealed adsorbed sulfur after SO</w:t>
      </w:r>
      <w:r>
        <w:rPr>
          <w:vertAlign w:val="subscript"/>
        </w:rPr>
        <w:t>2</w:t>
      </w:r>
      <w:r>
        <w:t>and H</w:t>
      </w:r>
      <w:r>
        <w:rPr>
          <w:vertAlign w:val="subscript"/>
        </w:rPr>
        <w:t>2</w:t>
      </w:r>
      <w:r>
        <w:t>S adsorption. Experiments were conducted at ultrahigh vacuum conditions, using kinetics techniques [i.e., thermal desorption spectroscopy (TDS)], spectroscopy [Auger electron spectroscopy (AES), Raman, X-ray photoelectron spectroscopy (XPS)], and imaging techniques [scanning tunneling microscopy (STM), low-energy electron diffraction]. Deviations of the gas-phase fragmentation pattern and multimass TDS pattern were observed. AES revealed adsorbed sulfur after SO</w:t>
      </w:r>
      <w:r>
        <w:rPr>
          <w:vertAlign w:val="subscript"/>
        </w:rPr>
        <w:t>2</w:t>
      </w:r>
      <w:r>
        <w:t>and H</w:t>
      </w:r>
      <w:r>
        <w:rPr>
          <w:vertAlign w:val="subscript"/>
        </w:rPr>
        <w:t>2</w:t>
      </w:r>
      <w:r>
        <w:t>S adsorption. Thus, SO</w:t>
      </w:r>
      <w:r>
        <w:rPr>
          <w:vertAlign w:val="subscript"/>
        </w:rPr>
        <w:t>2</w:t>
      </w:r>
      <w:r>
        <w:t>and H</w:t>
      </w:r>
      <w:r>
        <w:rPr>
          <w:vertAlign w:val="subscript"/>
        </w:rPr>
        <w:t>2</w:t>
      </w:r>
      <w:r>
        <w:t>S decompose, which contrasts with N</w:t>
      </w:r>
      <w:r>
        <w:rPr>
          <w:vertAlign w:val="subscript"/>
        </w:rPr>
        <w:t>2</w:t>
      </w:r>
      <w:r>
        <w:t>O, where only the molecular pathway was present. Density functional theory (DFT) confirms experimental observations. Whereas pristine Gr/Si is nonreactive, DFT modeled grain boundary defects (GBD) (as seen by STM) are the active sites for the decomposition. GBD consist of interfacial defects and surface defects (as seen by XPS). Because carbon and silicon are inexhaustible, Gr-based metal-free catalysts would be a paradigm change. Moreover, breaking H</w:t>
      </w:r>
      <w:r>
        <w:rPr>
          <w:vertAlign w:val="subscript"/>
        </w:rPr>
        <w:t>2</w:t>
      </w:r>
      <w:r>
        <w:t>S down into H</w:t>
      </w:r>
      <w:r>
        <w:rPr>
          <w:vertAlign w:val="subscript"/>
        </w:rPr>
        <w:t>2</w:t>
      </w:r>
      <w:r>
        <w:t>would allow for recycling that waste gas and synthesizing green hydrogen.</w:t>
      </w:r>
    </w:p>
    <w:p>
      <w:pPr>
        <w:spacing w:before="120" w:after="120"/>
      </w:pPr>
      <w:r>
        <w:rPr>
          <w:sz w:val="18"/>
        </w:rPr>
        <w:t>——————————————————————————————————————————————————————————————————————</w:t>
      </w:r>
    </w:p>
    <w:p>
      <w:pPr>
        <w:spacing w:before="160" w:after="40" w:line="240" w:lineRule="auto"/>
      </w:pPr>
      <w:r>
        <w:rPr>
          <w:b/>
        </w:rPr>
        <w:t xml:space="preserve">[199] </w:t>
      </w:r>
      <w:hyperlink r:id="rId509">
        <w:r>
          <w:rPr>
            <w:color w:val="1155CC"/>
            <w:u w:val="single"/>
          </w:rPr>
          <w:t>BRI1–CNGC12磷酸化模块将激素信号传导与植物锰稳态联系起来</w:t>
        </w:r>
      </w:hyperlink>
    </w:p>
    <w:p>
      <w:pPr>
        <w:spacing w:before="0" w:after="80"/>
      </w:pPr>
      <w:r>
        <w:rPr>
          <w:i/>
          <w:sz w:val="20"/>
        </w:rPr>
        <w:t>EN: A BRI1–CNGC12 phosphorylation module links hormone signaling to manganese homeostasis in plants</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10">
        <w:r>
          <w:rPr>
            <w:color w:val="1155CC"/>
            <w:u w:val="single"/>
          </w:rPr>
          <w:t>10.1073/pnas.2514483123</w:t>
        </w:r>
      </w:hyperlink>
    </w:p>
    <w:p>
      <w:pPr>
        <w:spacing w:before="0" w:after="120"/>
      </w:pPr>
      <w:r>
        <w:rPr>
          <w:b/>
        </w:rPr>
        <w:t xml:space="preserve">Notes: </w:t>
      </w:r>
      <w:r>
        <w:t>abstract_source=crossref</w:t>
      </w:r>
    </w:p>
    <w:p>
      <w:pPr>
        <w:spacing w:before="0" w:after="80" w:lineRule="auto" w:line="276"/>
      </w:pPr>
      <w:r>
        <w:rPr>
          <w:b/>
        </w:rPr>
        <w:t xml:space="preserve">摘要（ZH）: </w:t>
      </w:r>
      <w:r>
        <w:t>锰（Mn）毒性在酸性或积水土壤中严重影响作物生产力。尽管高锰应激触发Ca</w:t>
      </w:r>
      <w:r>
        <w:t xml:space="preserve"> </w:t>
      </w:r>
      <w:r>
        <w:t>2+</w:t>
      </w:r>
      <w:r>
        <w:t xml:space="preserve"> </w:t>
      </w:r>
      <w:r>
        <w:t>信号以调节锰的稳态，但产生这些信号的机制仍不清楚。在此，我们展示了环核苷酸门控通道CNGC11/12对锰耐受性至关重要，因为</w:t>
      </w:r>
      <w:r>
        <w:t xml:space="preserve"> </w:t>
      </w:r>
      <w:r>
        <w:t>cngc11</w:t>
      </w:r>
      <w:r>
        <w:t xml:space="preserve"> </w:t>
      </w:r>
      <w:r>
        <w:t>/</w:t>
      </w:r>
      <w:r>
        <w:rPr>
          <w:vertAlign w:val="subscript"/>
        </w:rPr>
        <w:t>12</w:t>
      </w:r>
      <w:r>
        <w:t>突变体表现出对锰的超敏感性，而</w:t>
      </w:r>
      <w:r>
        <w:t xml:space="preserve"> </w:t>
      </w:r>
      <w:r>
        <w:t>cngc12</w:t>
      </w:r>
      <w:r>
        <w:t xml:space="preserve"> </w:t>
      </w:r>
      <w:r>
        <w:t>突变体显示出减少的Ca</w:t>
      </w:r>
      <w:r>
        <w:t xml:space="preserve"> </w:t>
      </w:r>
      <w:r>
        <w:t>2+</w:t>
      </w:r>
      <w:r>
        <w:t xml:space="preserve"> </w:t>
      </w:r>
      <w:r>
        <w:t>升高。油菜素内酯（BR）受体BRI1与CNGC12物理相互作用并磷酸化Ser22残基，这一修饰对通道激活至关重要。因此，</w:t>
      </w:r>
    </w:p>
    <w:p>
      <w:pPr>
        <w:spacing w:before="0" w:after="200" w:lineRule="auto" w:line="276"/>
      </w:pPr>
      <w:r>
        <w:rPr>
          <w:b/>
        </w:rPr>
        <w:t xml:space="preserve">Abstract (EN): </w:t>
      </w:r>
      <w:r>
        <w:t>Manganese (Mn) toxicity in acidic or waterlogged soils severely impacts crop productivity. Although high-Mn stress triggers Ca</w:t>
      </w:r>
      <w:r>
        <w:t xml:space="preserve"> </w:t>
      </w:r>
      <w:r>
        <w:t>2+</w:t>
      </w:r>
      <w:r>
        <w:t xml:space="preserve"> </w:t>
      </w:r>
      <w:r>
        <w:t>signals that regulate Mn homeostasis, the mechanism generating these signals remains unclear. Here, we show that the cyclic nucleotide-gated channel CNGC11/12 are essential for Mn tolerance, as</w:t>
      </w:r>
      <w:r>
        <w:t xml:space="preserve"> </w:t>
      </w:r>
      <w:r>
        <w:t>cngc11</w:t>
      </w:r>
      <w:r>
        <w:t xml:space="preserve"> </w:t>
      </w:r>
      <w:r>
        <w:t>/</w:t>
      </w:r>
      <w:r>
        <w:rPr>
          <w:vertAlign w:val="subscript"/>
        </w:rPr>
        <w:t>12</w:t>
      </w:r>
      <w:r>
        <w:t>mutants exhibited hypersensitivity to Mn and</w:t>
      </w:r>
      <w:r>
        <w:t xml:space="preserve"> </w:t>
      </w:r>
      <w:r>
        <w:t>cngc12</w:t>
      </w:r>
      <w:r>
        <w:t xml:space="preserve"> </w:t>
      </w:r>
      <w:r>
        <w:t>mutant showed reduced Ca</w:t>
      </w:r>
      <w:r>
        <w:t xml:space="preserve"> </w:t>
      </w:r>
      <w:r>
        <w:t>2+</w:t>
      </w:r>
      <w:r>
        <w:t xml:space="preserve"> </w:t>
      </w:r>
      <w:r>
        <w:t>elevations. The brassinosteroid (BR) receptor BRI1 physically interacted with CNGC12 and phosphorylated Ser22 residue, a modification critical for channel activation. Accordingly,</w:t>
      </w:r>
      <w:r>
        <w:t xml:space="preserve"> </w:t>
      </w:r>
      <w:r>
        <w:t>bri1</w:t>
      </w:r>
      <w:r>
        <w:t xml:space="preserve"> </w:t>
      </w:r>
      <w:r>
        <w:t>mutants displayed impaired Mn-induced Ca</w:t>
      </w:r>
      <w:r>
        <w:t xml:space="preserve"> </w:t>
      </w:r>
      <w:r>
        <w:t>2+</w:t>
      </w:r>
      <w:r>
        <w:t xml:space="preserve"> </w:t>
      </w:r>
      <w:r>
        <w:t>signaling and heightened Mn sensitivity. Mn stress rapidly activated BRI1 kinase, peaking within minutes, and electrophysiological assays confirmed that BRI1-mediated phosphorylation gates CNGC12-dependent Ca</w:t>
      </w:r>
      <w:r>
        <w:t xml:space="preserve"> </w:t>
      </w:r>
      <w:r>
        <w:t>2+</w:t>
      </w:r>
      <w:r>
        <w:t xml:space="preserve"> </w:t>
      </w:r>
      <w:r>
        <w:t>currents. Exogenous brassinolide treatment augmented high-Mn-induced Ca</w:t>
      </w:r>
      <w:r>
        <w:t xml:space="preserve"> </w:t>
      </w:r>
      <w:r>
        <w:t>2+</w:t>
      </w:r>
      <w:r>
        <w:t xml:space="preserve"> </w:t>
      </w:r>
      <w:r>
        <w:t>signaling, BRI1-mediated CNGC12 phosphorylation, and high-Mn tolerance. Mutations in either BRI1 or CNGC12 abolished CPK5-dependent phosphorylation of MTP8 and impaired NRAMP1 endocytosis. Our study identifies the BRI1–CNGC12 module as a key node linking BR signaling to Ca</w:t>
      </w:r>
      <w:r>
        <w:t xml:space="preserve"> </w:t>
      </w:r>
      <w:r>
        <w:t>2+</w:t>
      </w:r>
      <w:r>
        <w:t xml:space="preserve"> </w:t>
      </w:r>
      <w:r>
        <w:t>-dependent Mn detoxification, revealing how phytohormone pathways regulate ion stress adaptation.</w:t>
      </w:r>
    </w:p>
    <w:p>
      <w:pPr>
        <w:spacing w:before="120" w:after="120"/>
      </w:pPr>
      <w:r>
        <w:rPr>
          <w:sz w:val="18"/>
        </w:rPr>
        <w:t>——————————————————————————————————————————————————————————————————————</w:t>
      </w:r>
    </w:p>
    <w:p>
      <w:pPr>
        <w:spacing w:before="160" w:after="40" w:line="240" w:lineRule="auto"/>
      </w:pPr>
      <w:r>
        <w:rPr>
          <w:b/>
        </w:rPr>
        <w:t xml:space="preserve">[200] </w:t>
      </w:r>
      <w:hyperlink r:id="rId511">
        <w:r>
          <w:rPr>
            <w:color w:val="1155CC"/>
            <w:u w:val="single"/>
          </w:rPr>
          <w:t>用于结合位点预测的统一蛋白-小分子图神经网络</w:t>
        </w:r>
      </w:hyperlink>
    </w:p>
    <w:p>
      <w:pPr>
        <w:spacing w:before="0" w:after="80"/>
      </w:pPr>
      <w:r>
        <w:rPr>
          <w:i/>
          <w:sz w:val="20"/>
        </w:rPr>
        <w:t>EN: Unified protein–small molecule graph neural networks for binding site prediction</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12">
        <w:r>
          <w:rPr>
            <w:color w:val="1155CC"/>
            <w:u w:val="single"/>
          </w:rPr>
          <w:t>10.1073/pnas.2524913123</w:t>
        </w:r>
      </w:hyperlink>
    </w:p>
    <w:p>
      <w:pPr>
        <w:spacing w:before="0" w:after="120"/>
      </w:pPr>
      <w:r>
        <w:rPr>
          <w:b/>
        </w:rPr>
        <w:t xml:space="preserve">Notes: </w:t>
      </w:r>
      <w:r>
        <w:t>abstract_source=crossref</w:t>
      </w:r>
    </w:p>
    <w:p>
      <w:pPr>
        <w:spacing w:before="0" w:after="80" w:lineRule="auto" w:line="276"/>
      </w:pPr>
      <w:r>
        <w:rPr>
          <w:b/>
        </w:rPr>
        <w:t xml:space="preserve">摘要（ZH）: </w:t>
      </w:r>
      <w:r>
        <w:t>预测蛋白质上的小分子结合位点仍然是结构基础药物发现中的一个关键挑战。虽然AlphaFold3已经改变了蛋白质结构预测，但准确识别功能位点如配体结合口袋仍然是一个独特且未解决的问题。图神经网络已成为完成此任务的有前途的工具，但大多数当前方法专注于局部结构特征，并在相对较小的数据集上训练，限制了它们对长程蛋白质-配体相互作用建模的能力。在此，我们开发了YuelPocket，一种解决这些限制的图神经网络。YuelPocket以两种互补模式运行：残基级预测用于识别接触残基，坐标级预测用于精确定位口袋中心。</w:t>
      </w:r>
    </w:p>
    <w:p>
      <w:pPr>
        <w:spacing w:before="0" w:after="200" w:lineRule="auto" w:line="276"/>
      </w:pPr>
      <w:r>
        <w:rPr>
          <w:b/>
        </w:rPr>
        <w:t xml:space="preserve">Abstract (EN): </w:t>
      </w:r>
      <w:r>
        <w:t>Predicting small molecule binding sites on proteins remains a key challenge in structure-based drug discovery. While AlphaFold3 has transformed protein structure prediction, accurate identification of functional sites such as ligand binding pockets remains a distinct and unresolved problem. Graph neural networks have emerged as promising tools for this task, but most current approaches focus on local structural features and are trained on relatively small datasets, limiting their ability to model long-range protein–ligand interactions. Here, we develop YuelPocket, a graph neural network that addresses these limitations. YuelPocket operates in two complementary modes: residue-level prediction for identifying contact residues and coordinate-level prediction for pinpointing pocket centers. Trained on the large-scale PLINDER dataset, YuelPocket achieves higher success rates in both Distance to Closest Atom and Center-to-Center metrics compared to the state-of-the-art methods. Crucially, YuelPocket demonstrates high robustness on AlphaFold-predicted structures, maintaining high accuracy for targets with deviations from experimental structures. We hope that YuelPocket will serve as a robust framework for accurate binding site identification, enabling reliable functional annotation and structure-guided drug discovery.</w:t>
      </w:r>
    </w:p>
    <w:p>
      <w:pPr>
        <w:spacing w:before="120" w:after="120"/>
      </w:pPr>
      <w:r>
        <w:rPr>
          <w:sz w:val="18"/>
        </w:rPr>
        <w:t>——————————————————————————————————————————————————————————————————————</w:t>
      </w:r>
    </w:p>
    <w:p>
      <w:pPr>
        <w:spacing w:before="160" w:after="40" w:line="240" w:lineRule="auto"/>
      </w:pPr>
      <w:r>
        <w:rPr>
          <w:b/>
        </w:rPr>
        <w:t xml:space="preserve">[201] </w:t>
      </w:r>
      <w:hyperlink r:id="rId513">
        <w:r>
          <w:rPr>
            <w:color w:val="1155CC"/>
            <w:u w:val="single"/>
          </w:rPr>
          <w:t>Collectin-11通过补体依赖机制调节破骨细胞生成和骨骼维持</w:t>
        </w:r>
      </w:hyperlink>
    </w:p>
    <w:p>
      <w:pPr>
        <w:spacing w:before="0" w:after="80"/>
      </w:pPr>
      <w:r>
        <w:rPr>
          <w:i/>
          <w:sz w:val="20"/>
        </w:rPr>
        <w:t>EN: Collectin-11 regulates osteoclastogenesis and bone maintenance via a complement-dependent mechanism</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14">
        <w:r>
          <w:rPr>
            <w:color w:val="1155CC"/>
            <w:u w:val="single"/>
          </w:rPr>
          <w:t>10.1073/pnas.2511950123</w:t>
        </w:r>
      </w:hyperlink>
    </w:p>
    <w:p>
      <w:pPr>
        <w:spacing w:before="0" w:after="120"/>
      </w:pPr>
      <w:r>
        <w:rPr>
          <w:b/>
        </w:rPr>
        <w:t xml:space="preserve">Notes: </w:t>
      </w:r>
      <w:r>
        <w:t>abstract_source=crossref</w:t>
      </w:r>
    </w:p>
    <w:p>
      <w:pPr>
        <w:spacing w:before="0" w:after="80" w:lineRule="auto" w:line="276"/>
      </w:pPr>
      <w:r>
        <w:rPr>
          <w:b/>
        </w:rPr>
        <w:t xml:space="preserve">摘要（ZH）: </w:t>
      </w:r>
      <w:r>
        <w:t>人类发育障碍3MC综合征（Malpuech、Michels、Mingarelli和Carnevale）特征为与模式识别分子collectin-11（CL-11）缺乏相关的骨骼畸形，但其潜在的分子和细胞机制仍不确定。在此，我们证明仅CL-11缺失不会在小鼠中产生骨骼异常；然而，CL-11与补体成分MASP-2（凝集素途径）、补体因子B或C3（替代途径放大）的联合缺陷导致12周龄时显著的椎骨骨质流失和脊柱弯曲。这些双敲除小鼠的骨髓来源细胞的体外破骨细胞（OCL）分化受到严重损害，但通过CL-11补充可以显著恢复。</w:t>
      </w:r>
    </w:p>
    <w:p>
      <w:pPr>
        <w:spacing w:before="0" w:after="200" w:lineRule="auto" w:line="276"/>
      </w:pPr>
      <w:r>
        <w:rPr>
          <w:b/>
        </w:rPr>
        <w:t xml:space="preserve">Abstract (EN): </w:t>
      </w:r>
      <w:r>
        <w:t>The human developmental disorder 3MC syndrome (Malpuech, Michels, Mingarelli, and Carnevale) features skeletal deformities associated with a deficiency of the pattern recognition molecule collectin-11 (CL-11), yet the underlying molecular and cellular mechanisms remain uncertain. Here, we demonstrate that CL-11 deletion alone does not produce skeletal abnormalities in mice; however, combined deficiencies of CL-11 with complement components MASP-2 (lectin pathway), complement factors B, or C3 (alternative pathway amplification) result in marked vertebral bone loss and spinal curvature by 12 wk of age. Ex vivo osteoclast (OCL) differentiation from bone marrow–derived cells of these double-knockout mice was profoundly impaired but was substantially restored by CL-11 supplementation. This dependence on CL-11 and complement was recapitulated in human OCLs derived from induced pluripotent stem cell lines. CL-11 and the membrane attack complex (C5b-9) colocalized to OCLs and their precursors in normal bone from embryonic development through to adulthood. Together, these findings identify CL-11 as a key regulator of osteoclastogenesis and bone homeostasis acting in concert with complement-mediated signaling, and they nominate CL-11 as a potential therapeutic target in conditions involving dysregulated osteoclast function and bone remodeling.</w:t>
      </w:r>
    </w:p>
    <w:p>
      <w:pPr>
        <w:spacing w:before="120" w:after="120"/>
      </w:pPr>
      <w:r>
        <w:rPr>
          <w:sz w:val="18"/>
        </w:rPr>
        <w:t>——————————————————————————————————————————————————————————————————————</w:t>
      </w:r>
    </w:p>
    <w:p>
      <w:pPr>
        <w:spacing w:before="160" w:after="40" w:line="240" w:lineRule="auto"/>
      </w:pPr>
      <w:r>
        <w:rPr>
          <w:b/>
        </w:rPr>
        <w:t xml:space="preserve">[202] </w:t>
      </w:r>
      <w:hyperlink r:id="rId515">
        <w:r>
          <w:rPr>
            <w:color w:val="1155CC"/>
            <w:u w:val="single"/>
          </w:rPr>
          <w:t>色氨酸丰富的变构网络和钠外排在GPCR激活中的作用</w:t>
        </w:r>
      </w:hyperlink>
    </w:p>
    <w:p>
      <w:pPr>
        <w:spacing w:before="0" w:after="80"/>
      </w:pPr>
      <w:r>
        <w:rPr>
          <w:i/>
          <w:sz w:val="20"/>
        </w:rPr>
        <w:t>EN: The role of the tryptophan-rich allosteric network and sodium egress in GPCR activation</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16">
        <w:r>
          <w:rPr>
            <w:color w:val="1155CC"/>
            <w:u w:val="single"/>
          </w:rPr>
          <w:t>10.1073/pnas.2525502123</w:t>
        </w:r>
      </w:hyperlink>
    </w:p>
    <w:p>
      <w:pPr>
        <w:spacing w:before="0" w:after="120"/>
      </w:pPr>
      <w:r>
        <w:rPr>
          <w:b/>
        </w:rPr>
        <w:t xml:space="preserve">Notes: </w:t>
      </w:r>
      <w:r>
        <w:t>abstract_source=crossref</w:t>
      </w:r>
    </w:p>
    <w:p>
      <w:pPr>
        <w:spacing w:before="0" w:after="80" w:lineRule="auto" w:line="276"/>
      </w:pPr>
      <w:r>
        <w:rPr>
          <w:b/>
        </w:rPr>
        <w:t xml:space="preserve">摘要（ZH）: </w:t>
      </w:r>
      <w:r>
        <w:t>人类腺苷A</w:t>
      </w:r>
      <w:r>
        <w:t xml:space="preserve"> </w:t>
      </w:r>
      <w:r>
        <w:t>2A</w:t>
      </w:r>
      <w:r>
        <w:t xml:space="preserve"> </w:t>
      </w:r>
      <w:r>
        <w:t>受体（A</w:t>
      </w:r>
      <w:r>
        <w:t xml:space="preserve"> </w:t>
      </w:r>
      <w:r>
        <w:t>2A</w:t>
      </w:r>
      <w:r>
        <w:t xml:space="preserve"> </w:t>
      </w:r>
      <w:r>
        <w:t>R）是G蛋白偶联受体（GPCRs）A类家族的典型成员，超过三分之一的FDA批准药物与其结合。在此，我们使用</w:t>
      </w:r>
      <w:r>
        <w:rPr>
          <w:vertAlign w:val="subscript"/>
        </w:rPr>
        <w:t>19</w:t>
      </w:r>
      <w:r>
        <w:t>F NMR同时从跨膜螺旋-6（TM6）上的CF</w:t>
      </w:r>
      <w:r>
        <w:rPr>
          <w:vertAlign w:val="subscript"/>
        </w:rPr>
        <w:t>3</w:t>
      </w:r>
      <w:r>
        <w:t>标签和所有5-氟色氨酸报告分子的角度评估功能状态。TM6标签的光谱揭示了动态构象集合，而色氨酸光谱则显示出更离散的配体依赖状态。这些配体依赖的特征提供了对微开关的见解，包括一个与钠接口的通用切换开关。</w:t>
      </w:r>
    </w:p>
    <w:p>
      <w:pPr>
        <w:spacing w:before="0" w:after="200" w:lineRule="auto" w:line="276"/>
      </w:pPr>
      <w:r>
        <w:rPr>
          <w:b/>
        </w:rPr>
        <w:t xml:space="preserve">Abstract (EN): </w:t>
      </w:r>
      <w:r>
        <w:t>The human adenosine A</w:t>
      </w:r>
      <w:r>
        <w:t xml:space="preserve"> </w:t>
      </w:r>
      <w:r>
        <w:t>2A</w:t>
      </w:r>
      <w:r>
        <w:t xml:space="preserve"> </w:t>
      </w:r>
      <w:r>
        <w:t>receptor (A</w:t>
      </w:r>
      <w:r>
        <w:t xml:space="preserve"> </w:t>
      </w:r>
      <w:r>
        <w:t>2A</w:t>
      </w:r>
      <w:r>
        <w:t xml:space="preserve"> </w:t>
      </w:r>
      <w:r>
        <w:t>R) is a prototypical member of the class A family of G Protein–Coupled Receptors (GPCRs), which are engaged by over one-third of FDA-approved drugs. Here, we used</w:t>
      </w:r>
      <w:r>
        <w:rPr>
          <w:vertAlign w:val="subscript"/>
        </w:rPr>
        <w:t>19</w:t>
      </w:r>
      <w:r>
        <w:t>F NMR to simultaneously evaluate functional states from the perspective of a CF</w:t>
      </w:r>
      <w:r>
        <w:rPr>
          <w:vertAlign w:val="subscript"/>
        </w:rPr>
        <w:t>3</w:t>
      </w:r>
      <w:r>
        <w:t>-tag on transmembrane helix-6 (TM6) and all 5-fluorotryptophan reporters. Whereas spectra from the TM6 tag reveal a dynamic conformational ensemble, the tryptophan spectra exhibit more discrete ligand-dependent states. These ligand-dependent signatures provide insights into microswitches including a universal toggle switch which interfaces with a sodium binding pocket. Over 560 GPCRs share this toggle switch — sodium pocket cluster, implying a fundamental role in activation. Computational rigidity-theory reveals tryptophan reporters reside along prominent allosteric activation pathways, underscoring their roles in mechanical signal propagation and corroborating NMR observations. Among them, W246</w:t>
      </w:r>
      <w:r>
        <w:t xml:space="preserve"> </w:t>
      </w:r>
      <w:r>
        <w:t>6.48</w:t>
      </w:r>
      <w:r>
        <w:t xml:space="preserve"> </w:t>
      </w:r>
      <w:r>
        <w:t>, associated with the toggle switch, plays a critical role in regulation of allosteric networks spanning the orthosteric pocket and extending via tryptophan-rich pathways through the receptor to the A</w:t>
      </w:r>
      <w:r>
        <w:t xml:space="preserve"> </w:t>
      </w:r>
      <w:r>
        <w:t>2A</w:t>
      </w:r>
      <w:r>
        <w:t xml:space="preserve"> </w:t>
      </w:r>
      <w:r>
        <w:t>R-Gβ interface and the nucleotide pocket in G</w:t>
      </w:r>
      <w:r>
        <w:t xml:space="preserve"> </w:t>
      </w:r>
      <w:r>
        <w:t>s</w:t>
      </w:r>
      <w:r>
        <w:t xml:space="preserve"> </w:t>
      </w:r>
      <w:r>
        <w:t>α. While higher sodium concentrations (~100 mM) predictably stabilize the inactive conformation of the receptor, lower concentrations (below 40 mM) greatly enhanced the presence of the activation ensemble and in particular, the precoupled state, suggesting that the release of sodium from the conserved pocket—either through basal conditions for the apo receptor, or upon binding of the agonist—enables sampling of a precoupled state, ultimately needed to initiate activation and coupling.</w:t>
      </w:r>
    </w:p>
    <w:p>
      <w:pPr>
        <w:spacing w:before="120" w:after="120"/>
      </w:pPr>
      <w:r>
        <w:rPr>
          <w:sz w:val="18"/>
        </w:rPr>
        <w:t>——————————————————————————————————————————————————————————————————————</w:t>
      </w:r>
    </w:p>
    <w:p>
      <w:pPr>
        <w:spacing w:before="160" w:after="40" w:line="240" w:lineRule="auto"/>
      </w:pPr>
      <w:r>
        <w:rPr>
          <w:b/>
        </w:rPr>
        <w:t xml:space="preserve">[203] </w:t>
      </w:r>
      <w:hyperlink r:id="rId517">
        <w:r>
          <w:rPr>
            <w:color w:val="1155CC"/>
            <w:u w:val="single"/>
          </w:rPr>
          <w:t>刺突不稳定性减弱了水貂Cluster 5 SARS-CoV-2</w:t>
        </w:r>
      </w:hyperlink>
    </w:p>
    <w:p>
      <w:pPr>
        <w:spacing w:before="0" w:after="80"/>
      </w:pPr>
      <w:r>
        <w:rPr>
          <w:i/>
          <w:sz w:val="20"/>
        </w:rPr>
        <w:t>EN: Spike destabilization attenuates Mink Cluster 5 SARS-CoV-2</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18">
        <w:r>
          <w:rPr>
            <w:color w:val="1155CC"/>
            <w:u w:val="single"/>
          </w:rPr>
          <w:t>10.1073/pnas.2528367123</w:t>
        </w:r>
      </w:hyperlink>
    </w:p>
    <w:p>
      <w:pPr>
        <w:spacing w:before="0" w:after="120"/>
      </w:pPr>
      <w:r>
        <w:rPr>
          <w:b/>
        </w:rPr>
        <w:t xml:space="preserve">Notes: </w:t>
      </w:r>
      <w:r>
        <w:t>abstract_source=crossref</w:t>
      </w:r>
    </w:p>
    <w:p>
      <w:pPr>
        <w:spacing w:before="0" w:after="80" w:lineRule="auto" w:line="276"/>
      </w:pPr>
      <w:r>
        <w:rPr>
          <w:b/>
        </w:rPr>
        <w:t xml:space="preserve">摘要（ZH）: </w:t>
      </w:r>
      <w:r>
        <w:t>在COVID-19大流行期间，严重急性呼吸综合征冠状病毒2（SARS-CoV-2）表现出感染多种非人类宿主的能力，包括养殖水貂。2020年初，一种与水貂相关的变体，称为水貂簇5（MC5V），在丹麦出现并传播到水貂养殖者及其家庭接触者，但未能引发持续的爆发并最终消失。在此，我们证明MC5V的刺突蛋白（S）本质上不稳定且处理受损，导致感染性和融合性显著减弱。值得注意的是，这些缺陷主要由位于S的S2亚基中的单一突变I692V驱动，受体结合域中的Y453F替代也有额外贡献。结构分析表明</w:t>
      </w:r>
    </w:p>
    <w:p>
      <w:pPr>
        <w:spacing w:before="0" w:after="200" w:lineRule="auto" w:line="276"/>
      </w:pPr>
      <w:r>
        <w:rPr>
          <w:b/>
        </w:rPr>
        <w:t xml:space="preserve">Abstract (EN): </w:t>
      </w:r>
      <w:r>
        <w:t>Throughout the COVID-19 pandemic, severe acute respiratory syndrome coronavirus 2 (SARS-CoV-2) has shown the capacity to infect a wide range of nonhuman hosts, including farmed mink. In early 2020, a mink-associated variant, termed mink cluster 5 (MC5V), emerged in Denmark and spread to mink farmers and their household contacts but failed to cause a sustained outbreak and eventually disappeared. Here, we demonstrate that the spike protein (S) of MC5V is intrinsically unstable and impaired in processing, leading to markedly attenuated infectivity and fusogenicity. Remarkably, these defects are primarily driven by a single mutation, I692V, located in the S2 subunit of S, with additional contribution from the Y453F substitution in the receptor-binding domain. Structural analyses indicate that I692V induces conformational instability in S, promoting spontaneous S1 shedding and impairing spike incorporation into virions. These findings reveal that spike instability constrains viral fitness and emphasize the importance of monitoring zoonotic SARS-CoV-2 variants and other emerging viral pathogens.</w:t>
      </w:r>
    </w:p>
    <w:p>
      <w:pPr>
        <w:spacing w:before="120" w:after="120"/>
      </w:pPr>
      <w:r>
        <w:rPr>
          <w:sz w:val="18"/>
        </w:rPr>
        <w:t>——————————————————————————————————————————————————————————————————————</w:t>
      </w:r>
    </w:p>
    <w:p>
      <w:pPr>
        <w:spacing w:before="160" w:after="40" w:line="240" w:lineRule="auto"/>
      </w:pPr>
      <w:r>
        <w:rPr>
          <w:b/>
        </w:rPr>
        <w:t xml:space="preserve">[204] </w:t>
      </w:r>
      <w:hyperlink r:id="rId519">
        <w:r>
          <w:rPr>
            <w:color w:val="1155CC"/>
            <w:u w:val="single"/>
          </w:rPr>
          <w:t>METTL3介导的Dnajb1 N6-甲基腺苷修饰在心肌梗死期间调节心肌细胞铁死亡</w:t>
        </w:r>
      </w:hyperlink>
    </w:p>
    <w:p>
      <w:pPr>
        <w:spacing w:before="0" w:after="80"/>
      </w:pPr>
      <w:r>
        <w:rPr>
          <w:i/>
          <w:sz w:val="20"/>
        </w:rPr>
        <w:t>EN: METTL3-mediated N6-methyladenosine modification of Dnajb1 modulates cardiomyocyte ferroptosis during myocardial infarction</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20">
        <w:r>
          <w:rPr>
            <w:color w:val="1155CC"/>
            <w:u w:val="single"/>
          </w:rPr>
          <w:t>10.1073/pnas.2529187123</w:t>
        </w:r>
      </w:hyperlink>
    </w:p>
    <w:p>
      <w:pPr>
        <w:spacing w:before="0" w:after="120"/>
      </w:pPr>
      <w:r>
        <w:rPr>
          <w:b/>
        </w:rPr>
        <w:t xml:space="preserve">Notes: </w:t>
      </w:r>
      <w:r>
        <w:t>abstract_source=crossref</w:t>
      </w:r>
    </w:p>
    <w:p>
      <w:pPr>
        <w:spacing w:before="0" w:after="80" w:lineRule="auto" w:line="276"/>
      </w:pPr>
      <w:r>
        <w:rPr>
          <w:b/>
        </w:rPr>
        <w:t xml:space="preserve">摘要（ZH）: </w:t>
      </w:r>
      <w:r>
        <w:t>心肌梗死（MI）影响全球数百万个体，铁死亡在这一背景下被认为是一个关键的受调控细胞死亡途径。N6-甲基腺苷（m6A）是最常见的mRNA修饰，在MI进展过程中调节RNA剪接、输出、稳定性和翻译方面至关重要。然而，m6A修饰在心肌细胞铁死亡中的作用尚未阐明。本研究旨在通过对从MI小鼠心肌组织中获得的甲基化RNA免疫共沉淀测序和RNA测序数据进行综合分析，阐明m6A修饰在心肌细胞铁死亡中的调控机制，以识别MI的有前景的治疗策略。我们证明了差异性m6A修饰的DnaJ热</w:t>
      </w:r>
    </w:p>
    <w:p>
      <w:pPr>
        <w:spacing w:before="0" w:after="200" w:lineRule="auto" w:line="276"/>
      </w:pPr>
      <w:r>
        <w:rPr>
          <w:b/>
        </w:rPr>
        <w:t xml:space="preserve">Abstract (EN): </w:t>
      </w:r>
      <w:r>
        <w:t>Myocardial infarction (MI) affects millions of individuals worldwide, with ferroptosis recognized as a pivotal regulated cell death pathway in this context. N6-methyladenosine (m6A), the most prevalent mRNA modification, is essential in modulating RNA splicing, export, stability, and translation during MI progression. Nonetheless, the involvement of m6A modification in cardiomyocyte ferroptosis has yet to be elucidated. This study aimed to elucidate the regulatory mechanisms of m6A modification in cardiomyocyte ferroptosis by conducting an integrated analysis of methylated RNA immunoprecipitation-sequencing and RNA-sequencing data obtained from myocardial tissues of MI mice, to identify promising therapeutic strategies for MI. We demonstrated that the differentially m6A-modified DnaJ heat shock protein family member B1 (</w:t>
      </w:r>
      <w:r>
        <w:t xml:space="preserve"> </w:t>
      </w:r>
      <w:r>
        <w:t>Dnajb1</w:t>
      </w:r>
      <w:r>
        <w:t xml:space="preserve"> </w:t>
      </w:r>
      <w:r>
        <w:t>) gene suppressed ferroptosis during the pathological process of MI. DNAJB1 overexpression protected against hypoxia-induced cardiomyocyte ferroptosis by suppressing pro-ferroptotic effectors. Mechanistically, methyltransferase-like 3 (METTL3) bound to</w:t>
      </w:r>
      <w:r>
        <w:t xml:space="preserve"> </w:t>
      </w:r>
      <w:r>
        <w:t>Dnajb1</w:t>
      </w:r>
      <w:r>
        <w:t xml:space="preserve"> </w:t>
      </w:r>
      <w:r>
        <w:t>, enhancing its m6A modification and diminishing mRNA stability, while insulin-like growth factor 2 mRNA-binding protein 3 competes for binding and increases mRNA stability. DNAJB1 prevented hypoxia-induced glutathione depletion and lipid peroxidation by inhibiting glutathione peroxidase 4 degradation via the autophagic-lysosomal pathway. In vivo, DNAJB1 overexpression improved heart function, reduced infarct size and fibrosis, and lowered plasma malondialdehyde levels in MI mice, whereas METTL3 co-overexpression counteracted these cardioprotective effects. Overall, this study uncovers a METTL3/</w:t>
      </w:r>
      <w:r>
        <w:t>Dnajb1</w:t>
      </w:r>
      <w:r>
        <w:t xml:space="preserve"> </w:t>
      </w:r>
      <w:r>
        <w:t>pathway in cardiomyocyte ferroptosis during MI. METTL3 modifies</w:t>
      </w:r>
      <w:r>
        <w:t xml:space="preserve"> </w:t>
      </w:r>
      <w:r>
        <w:t>Dnajb1</w:t>
      </w:r>
      <w:r>
        <w:t xml:space="preserve"> </w:t>
      </w:r>
      <w:r>
        <w:t>through m6A, destabilizing its mRNA and weakening glutathione peroxidase 4-dependent antioxidant defense, thus promoting ferroptosis. These insights into epitranscriptomic regulation of cell death highlight potential therapeutic targets to prevent ferroptosis-related cardiac damage.</w:t>
      </w:r>
    </w:p>
    <w:p>
      <w:pPr>
        <w:spacing w:before="120" w:after="120"/>
      </w:pPr>
      <w:r>
        <w:rPr>
          <w:sz w:val="18"/>
        </w:rPr>
        <w:t>——————————————————————————————————————————————————————————————————————</w:t>
      </w:r>
    </w:p>
    <w:p>
      <w:pPr>
        <w:spacing w:before="160" w:after="40" w:line="240" w:lineRule="auto"/>
      </w:pPr>
      <w:r>
        <w:rPr>
          <w:b/>
        </w:rPr>
        <w:t xml:space="preserve">[205] </w:t>
      </w:r>
      <w:hyperlink r:id="rId521">
        <w:r>
          <w:rPr>
            <w:color w:val="1155CC"/>
            <w:u w:val="single"/>
          </w:rPr>
          <w:t>地形影响巨型沙丘的分布和形态</w:t>
        </w:r>
      </w:hyperlink>
    </w:p>
    <w:p>
      <w:pPr>
        <w:spacing w:before="0" w:after="80"/>
      </w:pPr>
      <w:r>
        <w:rPr>
          <w:i/>
          <w:sz w:val="20"/>
        </w:rPr>
        <w:t>EN: Topography influences megadune distribution and morphology</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22">
        <w:r>
          <w:rPr>
            <w:color w:val="1155CC"/>
            <w:u w:val="single"/>
          </w:rPr>
          <w:t>10.1073/pnas.2531162123</w:t>
        </w:r>
      </w:hyperlink>
    </w:p>
    <w:p>
      <w:pPr>
        <w:spacing w:before="0" w:after="120"/>
      </w:pPr>
      <w:r>
        <w:rPr>
          <w:b/>
        </w:rPr>
        <w:t xml:space="preserve">Notes: </w:t>
      </w:r>
      <w:r>
        <w:t>abstract_source=crossref</w:t>
      </w:r>
    </w:p>
    <w:p>
      <w:pPr>
        <w:spacing w:before="0" w:after="80" w:lineRule="auto" w:line="276"/>
      </w:pPr>
      <w:r>
        <w:rPr>
          <w:b/>
        </w:rPr>
        <w:t xml:space="preserve">摘要（ZH）: </w:t>
      </w:r>
      <w:r>
        <w:t>沙丘广泛分布于地球及其他外星体上，但对其最大尺寸的控制因素知之甚少。地球的巨型沙丘（&gt;100米高）传统上被认为受到大气边界层深度、基岩类型和沉积物供应等限制。然而，这里展示的全球制图结果表明，巨型沙丘更倾向于出现在山脉附近和沙丘场洼地内。巨型沙丘的高度-间距从幂律关系过渡到近正态分布，其纵横比（R</w:t>
      </w:r>
      <w:r>
        <w:t xml:space="preserve"> </w:t>
      </w:r>
      <w:r>
        <w:t>a</w:t>
      </w:r>
      <w:r>
        <w:t xml:space="preserve"> </w:t>
      </w:r>
      <w:r>
        <w:t>）与高度的关系从反比例转为正比例。为了研究其潜在的形成机制，我们重点研究地形如何影响巨型沙丘的发展</w:t>
      </w:r>
    </w:p>
    <w:p>
      <w:pPr>
        <w:spacing w:before="0" w:after="200" w:lineRule="auto" w:line="276"/>
      </w:pPr>
      <w:r>
        <w:rPr>
          <w:b/>
        </w:rPr>
        <w:t xml:space="preserve">Abstract (EN): </w:t>
      </w:r>
      <w:r>
        <w:t>Dunes are widely distributed on Earth and other extraterrestrial bodies, yet relatively little is known about what controls their maximum size. Earth’s megadunes (&amp;gt;100 m tall) have traditionally been attributed to constraints including atmospheric boundary layer depth, substrate bedrock type, and sediment supply. However, global mapping results presented here reveal that megadunes preferentially occur near mountains and within dunefield depressions. Megadune height-spacing transition from a power-law relationship to a near-normal distribution, and their aspect ratio (R</w:t>
      </w:r>
      <w:r>
        <w:t xml:space="preserve"> </w:t>
      </w:r>
      <w:r>
        <w:t>a</w:t>
      </w:r>
      <w:r>
        <w:t xml:space="preserve"> </w:t>
      </w:r>
      <w:r>
        <w:t>) with height shifts from inverse to direct proportionality. To investigate their underlying formation mechanisms, we focus on how topography influences megadune development under conditions of sufficient sand supply and constant wind regime, using a dune simulation model. Simulation results indicate that both positive (mountain-like) and negative (basin-shaped) topographies generate abrupt shear stress gradients, triggering rapid localized sand accumulation. Compared to gradual evolution on flat terrains, mountain-depression settings accelerate the dune coarsening process and megadune growth through enhanced sand flux convergence and increased collision rates between migrating dunes. Critically, surrounding topography modifies wind regimes, elevating dune aspect ratios (R</w:t>
      </w:r>
      <w:r>
        <w:t xml:space="preserve"> </w:t>
      </w:r>
      <w:r>
        <w:t>a</w:t>
      </w:r>
      <w:r>
        <w:t xml:space="preserve"> </w:t>
      </w:r>
      <w:r>
        <w:t>) as shear stress intensifies. Our proposed topography–aerodynamics–sediment redistribution mechanism for megadune formation on Earth and other extraterrestrial bodies demonstrates that terrain-induced wind regime heterogeneity is the fundamental control governing the formation and evolution of massive aeolian landforms.</w:t>
      </w:r>
    </w:p>
    <w:p>
      <w:pPr>
        <w:spacing w:before="120" w:after="120"/>
      </w:pPr>
      <w:r>
        <w:rPr>
          <w:sz w:val="18"/>
        </w:rPr>
        <w:t>——————————————————————————————————————————————————————————————————————</w:t>
      </w:r>
    </w:p>
    <w:p>
      <w:pPr>
        <w:spacing w:before="160" w:after="40" w:line="240" w:lineRule="auto"/>
      </w:pPr>
      <w:r>
        <w:rPr>
          <w:b/>
        </w:rPr>
        <w:t xml:space="preserve">[206] </w:t>
      </w:r>
      <w:hyperlink r:id="rId523">
        <w:r>
          <w:rPr>
            <w:color w:val="1155CC"/>
            <w:u w:val="single"/>
          </w:rPr>
          <w:t>合作与细菌生态位广度的进化</w:t>
        </w:r>
      </w:hyperlink>
    </w:p>
    <w:p>
      <w:pPr>
        <w:spacing w:before="0" w:after="80"/>
      </w:pPr>
      <w:r>
        <w:rPr>
          <w:i/>
          <w:sz w:val="20"/>
        </w:rPr>
        <w:t>EN: Cooperation and the evolution of bacterial niche breadth</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24">
        <w:r>
          <w:rPr>
            <w:color w:val="1155CC"/>
            <w:u w:val="single"/>
          </w:rPr>
          <w:t>10.1073/pnas.2520645123</w:t>
        </w:r>
      </w:hyperlink>
    </w:p>
    <w:p>
      <w:pPr>
        <w:spacing w:before="0" w:after="120"/>
      </w:pPr>
      <w:r>
        <w:rPr>
          <w:b/>
        </w:rPr>
        <w:t xml:space="preserve">Notes: </w:t>
      </w:r>
      <w:r>
        <w:t>abstract_source=crossref</w:t>
      </w:r>
    </w:p>
    <w:p>
      <w:pPr>
        <w:spacing w:before="0" w:after="80" w:lineRule="auto" w:line="276"/>
      </w:pPr>
      <w:r>
        <w:rPr>
          <w:b/>
        </w:rPr>
        <w:t xml:space="preserve">摘要（ZH）: </w:t>
      </w:r>
      <w:r>
        <w:t>细菌表现出不同的生态位广度，广泛分布的细菌在多样化的环境中茁壮成长，而专门化的细菌则局限于特定的栖息地。尽管合作性状基因被认为会影响生态位广度的进化，但其确切作用仍不清楚。我们结合了基于系统发育的比较方法，测试了关于合作基因与细菌生态位广度进化之间关系方向的因果假设，涵盖了25,785个物种。我们的结果揭示了1）合作基因比例与生态位广度之间的正相关关系；2）合作基因影响生态位广度的进化，随着这种基因比例的减少，生态位收缩成为主要的进化方向；以及3）合作基因对</w:t>
      </w:r>
    </w:p>
    <w:p>
      <w:pPr>
        <w:spacing w:before="0" w:after="200" w:lineRule="auto" w:line="276"/>
      </w:pPr>
      <w:r>
        <w:rPr>
          <w:b/>
        </w:rPr>
        <w:t xml:space="preserve">Abstract (EN): </w:t>
      </w:r>
      <w:r>
        <w:t>Bacteria exhibit varying niche breadths, with generalists thriving in diverse environments and specialists confined to specific habitats. Although genes for cooperative traits have been suggested to influence niche breadth evolution, their precise role remains unclear. We used a combination of phylogeny-based comparative methods to test causal hypotheses about the directionality of the relationship between genes for cooperation and bacterial niche breadth evolution across 25,785 species. Our results revealed 1) a positive correlation between the proportion of genes for cooperation and niche breadth; 2) genes for cooperation influenced niche breadth evolution, with a decreased proportion of such genes promoting niche contraction as the predominant evolutionary direction; and 3) genes for cooperation experience more frequent gain and loss within species rather than across species. These findings suggest a role of bacterial cooperation in influencing niche breadth evolution and maintaining the ecological versatility of bacteria. While our results are consistent with a simple relationship under the hypotheses tested, more complex causal scenarios are possible, including the role of factors that influence both cooperation and niche breadth.</w:t>
      </w:r>
    </w:p>
    <w:p>
      <w:pPr>
        <w:spacing w:before="120" w:after="120"/>
      </w:pPr>
      <w:r>
        <w:rPr>
          <w:sz w:val="18"/>
        </w:rPr>
        <w:t>——————————————————————————————————————————————————————————————————————</w:t>
      </w:r>
    </w:p>
    <w:p>
      <w:pPr>
        <w:spacing w:before="160" w:after="40" w:line="240" w:lineRule="auto"/>
      </w:pPr>
      <w:r>
        <w:rPr>
          <w:b/>
        </w:rPr>
        <w:t xml:space="preserve">[207] </w:t>
      </w:r>
      <w:hyperlink r:id="rId525">
        <w:r>
          <w:rPr>
            <w:color w:val="1155CC"/>
            <w:u w:val="single"/>
          </w:rPr>
          <w:t>有限差分Parquet方法：增强的电子-自旋涨落散射开启伪能隙</w:t>
        </w:r>
      </w:hyperlink>
    </w:p>
    <w:p>
      <w:pPr>
        <w:spacing w:before="0" w:after="80"/>
      </w:pPr>
      <w:r>
        <w:rPr>
          <w:i/>
          <w:sz w:val="20"/>
        </w:rPr>
        <w:t>EN: The finite-difference parquet method: Enhanced electron–paramagnon scattering opens a pseudogap</w:t>
      </w:r>
    </w:p>
    <w:p>
      <w:pPr>
        <w:spacing w:before="0" w:after="120"/>
      </w:pPr>
      <w:r>
        <w:rPr>
          <w:b/>
        </w:rPr>
        <w:t xml:space="preserve">Source: </w:t>
      </w:r>
      <w:r>
        <w:t>Proceedings of the National Academy of Sciences: Keyword search for query</w:t>
      </w:r>
      <w:r>
        <w:t xml:space="preserve">    </w:t>
      </w:r>
      <w:r>
        <w:rPr>
          <w:b/>
        </w:rPr>
        <w:t xml:space="preserve">Pub date: </w:t>
      </w:r>
      <w:r>
        <w:t>2026-03-03 08:00:00+00:00</w:t>
      </w:r>
      <w:r>
        <w:t xml:space="preserve">    </w:t>
      </w:r>
      <w:r>
        <w:rPr>
          <w:b/>
        </w:rPr>
        <w:t xml:space="preserve">DOI: </w:t>
      </w:r>
      <w:hyperlink r:id="rId526">
        <w:r>
          <w:rPr>
            <w:color w:val="1155CC"/>
            <w:u w:val="single"/>
          </w:rPr>
          <w:t>10.1073/pnas.2525308123</w:t>
        </w:r>
      </w:hyperlink>
    </w:p>
    <w:p>
      <w:pPr>
        <w:spacing w:before="0" w:after="120"/>
      </w:pPr>
      <w:r>
        <w:rPr>
          <w:b/>
        </w:rPr>
        <w:t xml:space="preserve">Notes: </w:t>
      </w:r>
      <w:r>
        <w:t>abstract_source=crossref</w:t>
      </w:r>
    </w:p>
    <w:p>
      <w:pPr>
        <w:spacing w:before="0" w:after="80" w:lineRule="auto" w:line="276"/>
      </w:pPr>
      <w:r>
        <w:rPr>
          <w:b/>
        </w:rPr>
        <w:t xml:space="preserve">摘要（ZH）: </w:t>
      </w:r>
      <w:r>
        <w:t>我们提出了有限差分Parquet方法，大大提高了双粒子关联方法在相互作用电子系统中的适用性和准确性。该方法结合了参考解的非微扰局部物理，并构建了所有Parquet图，同时规避了可能发散的不可约顶点。其对不同涨落的无偏处理对于再现欠掺杂Hubbard模型中的强耦合赝能隙至关重要，这与图示蒙特卡罗计算一致。我们揭示了赝能隙的强耦合自旋涨落机制，具有决定性的顶点修正，编码了电子与反铁磁自旋涨落之间增强的、能量依赖的散射幅度。</w:t>
      </w:r>
    </w:p>
    <w:p>
      <w:pPr>
        <w:spacing w:before="0" w:after="200" w:lineRule="auto" w:line="276"/>
      </w:pPr>
      <w:r>
        <w:rPr>
          <w:b/>
        </w:rPr>
        <w:t xml:space="preserve">Abstract (EN): </w:t>
      </w:r>
      <w:r>
        <w:t>We present the finite-difference parquet method that greatly improves the applicability and accuracy of two-particle correlation approaches to interacting electron systems. This method incorporates the nonperturbative local physics from a reference solution and builds all parquet diagrams while circumventing potentially divergent irreducible vertices. Its unbiased treatment of different fluctuations is crucial for reproducing the strong-coupling pseudogap in the underdoped Hubbard model, consistent with diagrammatic Monte Carlo calculations. We reveal a strong-coupling spin-fluctuation mechanism of the pseudogap with decisive vertex corrections that encode the enhanced, energy-dependent scattering amplitude between electrons and antiferromagnetic spin fluctuations.</w:t>
      </w:r>
    </w:p>
    <w:p>
      <w:pPr>
        <w:spacing w:before="120" w:after="120"/>
      </w:pPr>
      <w:r>
        <w:rPr>
          <w:sz w:val="18"/>
        </w:rPr>
        <w:t>——————————————————————————————————————————————————————————————————————</w:t>
      </w:r>
    </w:p>
    <w:p>
      <w:pPr>
        <w:spacing w:before="160" w:after="40" w:line="240" w:lineRule="auto"/>
      </w:pPr>
      <w:r>
        <w:rPr>
          <w:b/>
        </w:rPr>
        <w:t xml:space="preserve">[208] </w:t>
      </w:r>
      <w:hyperlink r:id="rId527">
        <w:r>
          <w:rPr>
            <w:color w:val="1155CC"/>
            <w:u w:val="single"/>
          </w:rPr>
          <w:t>[ASAP] 由融合三蒽纳米颗粒实现的长效分级声动力疗法，具有超亮的超声诱导余辉发光</w:t>
        </w:r>
      </w:hyperlink>
    </w:p>
    <w:p>
      <w:pPr>
        <w:spacing w:before="0" w:after="80"/>
      </w:pPr>
      <w:r>
        <w:rPr>
          <w:i/>
          <w:sz w:val="20"/>
        </w:rPr>
        <w:t>EN: [ASAP] Long-Acting Fractionated Sonodynamic Therapy Enabled by Fused-Trianthracene Nanoparticles with Ultra-Bright Ultrasound-Induced Afterglow Luminescence</w:t>
      </w:r>
    </w:p>
    <w:p>
      <w:pPr>
        <w:spacing w:before="0" w:after="120"/>
      </w:pPr>
      <w:r>
        <w:rPr>
          <w:b/>
        </w:rPr>
        <w:t xml:space="preserve">Source: </w:t>
      </w:r>
      <w:r>
        <w:t>Journal of the American Chemical Society: Latest Articles (ACS Publications)</w:t>
      </w:r>
      <w:r>
        <w:t xml:space="preserve">    </w:t>
      </w:r>
      <w:r>
        <w:rPr>
          <w:b/>
        </w:rPr>
        <w:t xml:space="preserve">Pub date: </w:t>
      </w:r>
      <w:r>
        <w:t>2026-03-03 09:15:17+00:00</w:t>
      </w:r>
      <w:r>
        <w:t xml:space="preserve">    </w:t>
      </w:r>
      <w:r>
        <w:rPr>
          <w:b/>
        </w:rPr>
        <w:t xml:space="preserve">DOI: </w:t>
      </w:r>
      <w:hyperlink r:id="rId528">
        <w:r>
          <w:rPr>
            <w:color w:val="1155CC"/>
            <w:u w:val="single"/>
          </w:rPr>
          <w:t>10.1021/jacs.5c21282</w:t>
        </w:r>
      </w:hyperlink>
    </w:p>
    <w:p>
      <w:pPr>
        <w:spacing w:before="0" w:after="120"/>
      </w:pPr>
      <w:r>
        <w:rPr>
          <w:b/>
        </w:rPr>
        <w:t xml:space="preserve">Notes: </w:t>
      </w:r>
      <w:r>
        <w:t>abstract_source=pubmed</w:t>
      </w:r>
    </w:p>
    <w:p>
      <w:pPr>
        <w:spacing w:before="0" w:after="80" w:lineRule="auto" w:line="276"/>
      </w:pPr>
      <w:r>
        <w:rPr>
          <w:b/>
        </w:rPr>
        <w:t xml:space="preserve">摘要（ZH）: </w:t>
      </w:r>
      <w:r>
        <w:t>声动力疗法（SDT）能够非侵入性地治疗深部肿瘤，但其临床转化受到反应性氧物种（ROS）生成效率低和瞬时性以及缺乏实时治疗反馈的阻碍。在此，我们报告了一种长效分段声动力平台，该平台将长效ROS释放与深层组织成像引导相结合。该平台由基于工程化融合三蒽纳米颗粒（FTA NPs）的超声充电有机能量存储系统提供支持。作为一类新型有机声敏剂，FTA NPs可以以内过氧化物的形式储存机械能，并随后以长效ROS的形式释放，使得在无超声激发的情况下实现持续的“关闭状态”ROS生成。该系统利用了</w:t>
      </w:r>
    </w:p>
    <w:p>
      <w:pPr>
        <w:spacing w:before="0" w:after="200" w:lineRule="auto" w:line="276"/>
      </w:pPr>
      <w:r>
        <w:rPr>
          <w:b/>
        </w:rPr>
        <w:t xml:space="preserve">Abstract (EN): </w:t>
      </w:r>
      <w:r>
        <w:t>Sonodynamic therapy (SDT) enables noninvasive treatment of deep-seated tumors, yet its clinical translation is hindered by inefficient and transient reactive oxygen species (ROS) generation and the absence of real-time treatment feedback. Here, we report a long-acting, fractionated sonodynamic platform that integrates long-persistent ROS release with deep-tissue imaging guidance. The platform is enabled by an ultrasound-charged organic energy storage system based on engineered fused-trianthracene nanoparticles (FTA NPs). As a novel class of organic sonosensitizers, FTA NPs can store mechanical energy in the form of endoperoxides and subsequently release it as long-persistent ROS, enabling sustained "OFF-state" ROS production in the absence of ultrasound excitation. This system leverages an ultrasound-triggered electron transfer pathway to boost ROS output 3.0 times more ROS than typical afterglow nanoparticles poly[2-methoxy-5-(2-ethylhexyloxy)-1,4-phenylenevinylene] (MEHPPV). Ultrasound activation forms unstable endoperoxide intermediates that slowly sustain ROS production and ultrabright ultrasound-induced afterglow luminescence for over 15 min postsonication, achieving afterglow intensity 1971.6 times higher than MEHPPV NPs. This persistent activity enables a fractionated ultrasound regimen─five low-power pulses over a fixed total dose─that enhances cumulative ROS generation by 3.1× and cytotoxicity by 2.2× compared to continuous irradiation. Even when separated by 5 cm of chicken tissue, ultrasound could still induce afterglow luminescence from FTA NPs; this afterglow exhibited a quantitative correlation with ROS levels, allowing real-time optimization of irradiation intervals and pulse frequency in vivo. Applied to subcutaneous and orthotopic pancreatic tumors, this strategy delivers potent antitumor efficacy. Our results establish an ultrasound-driven energy storage, delayed ROS release, ultrasound-induced luminescence imaging guidance and long-acting SDT modality as a versatile and clinically promising approach for precision treatment of deep-seated malignancies.</w:t>
      </w:r>
    </w:p>
    <w:p>
      <w:pPr>
        <w:spacing w:before="120" w:after="120"/>
      </w:pPr>
      <w:r>
        <w:rPr>
          <w:sz w:val="18"/>
        </w:rPr>
        <w:t>——————————————————————————————————————————————————————————————————————</w:t>
      </w:r>
    </w:p>
    <w:p>
      <w:pPr>
        <w:spacing w:before="160" w:after="40" w:line="240" w:lineRule="auto"/>
      </w:pPr>
      <w:r>
        <w:rPr>
          <w:b/>
        </w:rPr>
        <w:t xml:space="preserve">[209] </w:t>
      </w:r>
      <w:hyperlink r:id="rId529">
        <w:r>
          <w:rPr>
            <w:color w:val="1155CC"/>
            <w:u w:val="single"/>
          </w:rPr>
          <w:t>[ASAP] 可编程立体规整全芳基取代聚亚甲基</w:t>
        </w:r>
      </w:hyperlink>
    </w:p>
    <w:p>
      <w:pPr>
        <w:spacing w:before="0" w:after="80"/>
      </w:pPr>
      <w:r>
        <w:rPr>
          <w:i/>
          <w:sz w:val="20"/>
        </w:rPr>
        <w:t>EN: [ASAP] Programmable Stereoregular Fully Aromatic-Substituted Polymethylenes</w:t>
      </w:r>
    </w:p>
    <w:p>
      <w:pPr>
        <w:spacing w:before="0" w:after="120"/>
      </w:pPr>
      <w:r>
        <w:rPr>
          <w:b/>
        </w:rPr>
        <w:t xml:space="preserve">Source: </w:t>
      </w:r>
      <w:r>
        <w:t>Journal of the American Chemical Society: Latest Articles (ACS Publications)</w:t>
      </w:r>
      <w:r>
        <w:t xml:space="preserve">    </w:t>
      </w:r>
      <w:r>
        <w:rPr>
          <w:b/>
        </w:rPr>
        <w:t xml:space="preserve">Pub date: </w:t>
      </w:r>
      <w:r>
        <w:t>2026-03-03 10:29:10+00:00</w:t>
      </w:r>
      <w:r>
        <w:t xml:space="preserve">    </w:t>
      </w:r>
      <w:r>
        <w:rPr>
          <w:b/>
        </w:rPr>
        <w:t xml:space="preserve">DOI: </w:t>
      </w:r>
      <w:hyperlink r:id="rId530">
        <w:r>
          <w:rPr>
            <w:color w:val="1155CC"/>
            <w:u w:val="single"/>
          </w:rPr>
          <w:t>10.1021/jacs.5c20802</w:t>
        </w:r>
      </w:hyperlink>
    </w:p>
    <w:p>
      <w:pPr>
        <w:spacing w:before="0" w:after="120"/>
      </w:pPr>
      <w:r>
        <w:rPr>
          <w:b/>
        </w:rPr>
        <w:t xml:space="preserve">Notes: </w:t>
      </w:r>
      <w:r>
        <w:t>abstract_source=pubmed</w:t>
      </w:r>
    </w:p>
    <w:p>
      <w:pPr>
        <w:spacing w:before="0" w:after="80" w:lineRule="auto" w:line="276"/>
      </w:pPr>
      <w:r>
        <w:rPr>
          <w:b/>
        </w:rPr>
        <w:t xml:space="preserve">摘要（ZH）: </w:t>
      </w:r>
      <w:r>
        <w:t>新型聚合物类别的发现不断重新定义大分子化学的范围。然而，有一个类别仍然基本未被探索：在每个主链碳上带有官能团的全芳基取代聚亚甲基。这些聚合物代表了碳-碳链主链中可实现的最密集的官能化，但由于严重的空间拥挤，长期以来被认为在合成上难以实现。此外，在C1聚合中实现立体规则性仍然具有挑战性，因为该机制涉及额外的消除步骤，并且对空间和电子效应高度敏感。在此，我们报告了一种受控的C1聚合，使得立体规则和官能化的聚（苯基亚甲基）的合成成为可能，这是一种全新的类别。</w:t>
      </w:r>
    </w:p>
    <w:p>
      <w:pPr>
        <w:spacing w:before="0" w:after="200" w:lineRule="auto" w:line="276"/>
      </w:pPr>
      <w:r>
        <w:rPr>
          <w:b/>
        </w:rPr>
        <w:t xml:space="preserve">Abstract (EN): </w:t>
      </w:r>
      <w:r>
        <w:t>The discovery of new classes of polymers continues to redefine the scope of macromolecular chemistry. However, one category has remained largely unexplored: fully aromatic-substituted polymethylenes bearing functional groups on every backbone carbon. These polymers represent the densest functionalization achievable in carbon-carbon chain backbones but have long been regarded as synthetically inaccessible because of severe steric congestion. Furthermore, achieving stereoregularity in C1 polymerization remains challenging, as the mechanism involves an additional elimination step and is highly sensitive to steric and electronic effects. Here, we report a controlled C1 polymerization that enables the synthesis of stereoregular and functionalized poly(phenylmethylene)s, a fundamentally new class of carbon-chain polymers that combine fully aromatic backbone substitution with programmable tacticity. Two distinct catalytic pathways were developed: (1) a carbenium-initiated cationic polymerization affording isotactic polymers, and (2) a Ni(acac)2-induced carbene polymerization affording syndiotactic polymers. Both methods produce polymers with controlled molecular weights, diverse aryl substituents, and distinct thermal, photochemical, and supramolecular characteristics. This work establishes a new structural structural framework for carbon-chain polymers that integrates functionality and stereoregularity, thus opening new avenues for designing functional materials beyond the limits of conventional polyolefin chemistry.</w:t>
      </w:r>
    </w:p>
    <w:p>
      <w:pPr>
        <w:spacing w:before="120" w:after="120"/>
      </w:pPr>
      <w:r>
        <w:rPr>
          <w:sz w:val="18"/>
        </w:rPr>
        <w:t>——————————————————————————————————————————————————————————————————————</w:t>
      </w:r>
    </w:p>
    <w:p>
      <w:pPr>
        <w:spacing w:before="160" w:after="40" w:line="240" w:lineRule="auto"/>
      </w:pPr>
      <w:r>
        <w:rPr>
          <w:b/>
        </w:rPr>
        <w:t xml:space="preserve">[210] </w:t>
      </w:r>
      <w:hyperlink r:id="rId531">
        <w:r>
          <w:rPr>
            <w:color w:val="1155CC"/>
            <w:u w:val="single"/>
          </w:rPr>
          <w:t>[ASAP] 木酮素的生物合成：通过两种奥色林酸分支代谢物的异二聚化形成呋喃色烯骨架</w:t>
        </w:r>
      </w:hyperlink>
    </w:p>
    <w:p>
      <w:pPr>
        <w:spacing w:before="0" w:after="80"/>
      </w:pPr>
      <w:r>
        <w:rPr>
          <w:i/>
          <w:sz w:val="20"/>
        </w:rPr>
        <w:t>EN: [ASAP] Biosynthesis of Xyloketals: Furanochromene Skeleton Formed via Heterodimerization of Two Orsellinic Acid-Branched Metabolites</w:t>
      </w:r>
    </w:p>
    <w:p>
      <w:pPr>
        <w:spacing w:before="0" w:after="120"/>
      </w:pPr>
      <w:r>
        <w:rPr>
          <w:b/>
        </w:rPr>
        <w:t xml:space="preserve">Source: </w:t>
      </w:r>
      <w:r>
        <w:t>Journal of the American Chemical Society: Latest Articles (ACS Publications)</w:t>
      </w:r>
      <w:r>
        <w:t xml:space="preserve">    </w:t>
      </w:r>
      <w:r>
        <w:rPr>
          <w:b/>
        </w:rPr>
        <w:t xml:space="preserve">Pub date: </w:t>
      </w:r>
      <w:r>
        <w:t>2026-03-03 12:56:08+00:00</w:t>
      </w:r>
      <w:r>
        <w:t xml:space="preserve">    </w:t>
      </w:r>
      <w:r>
        <w:rPr>
          <w:b/>
        </w:rPr>
        <w:t xml:space="preserve">DOI: </w:t>
      </w:r>
      <w:hyperlink r:id="rId532">
        <w:r>
          <w:rPr>
            <w:color w:val="1155CC"/>
            <w:u w:val="single"/>
          </w:rPr>
          <w:t>10.1021/jacs.5c22242</w:t>
        </w:r>
      </w:hyperlink>
    </w:p>
    <w:p>
      <w:pPr>
        <w:spacing w:before="0" w:after="120"/>
      </w:pPr>
      <w:r>
        <w:rPr>
          <w:b/>
        </w:rPr>
        <w:t xml:space="preserve">Notes: </w:t>
      </w:r>
      <w:r>
        <w:t>abstract_source=pubmed</w:t>
      </w:r>
    </w:p>
    <w:p>
      <w:pPr>
        <w:spacing w:before="0" w:after="80" w:lineRule="auto" w:line="276"/>
      </w:pPr>
      <w:r>
        <w:rPr>
          <w:b/>
        </w:rPr>
        <w:t xml:space="preserve">摘要（ZH）: </w:t>
      </w:r>
      <w:r>
        <w:t>呋喃色烯骨架是一种特权结构基序，广泛分布于具有生物活性的天然产物中，其中真菌衍生的木酮因其独特的2,3,3a,9a-四氢-4H-呋喃[2,3-b]色烯骨架和强大的心血管保护活性而脱颖而出。此前，木酮的呋喃色烯骨架长期以来被认为是由杂合聚酮-萜类途径衍生的，但这一假设尚未得到实验验证。在此，我们通过阐明从Simplicillium sp. AHK071-01中分离出的四种木酮同系物simpliketals A-D的生物合成途径，填补了这一知识空白。我们的关键发现确立了木酮的呋喃色烯骨架是通过从奥色林酸分支的两种代谢物的异二聚化形成的，揭示了</w:t>
      </w:r>
    </w:p>
    <w:p>
      <w:pPr>
        <w:spacing w:before="0" w:after="200" w:lineRule="auto" w:line="276"/>
      </w:pPr>
      <w:r>
        <w:rPr>
          <w:b/>
        </w:rPr>
        <w:t xml:space="preserve">Abstract (EN): </w:t>
      </w:r>
      <w:r>
        <w:t>The furanochromene scaffold is a privileged structural motif widely distributed in bioactive natural products, with fungi-derived xyloketals standing out for their unique 2,3,3a,9a-tetrahydro-4H-furo[2,3-b]chromene skeleton and potent cardiovascular protective activity. Previously, the furanochromene skeleton of xyloketals has long been accepted to be derived from a hybrid polyketide-terpenoid pathway, yet this hypothesis has not been experimentally validated. Here, we addressed this knowledge gap by elucidating the biosynthetic pathway of simpliketals A-D, four xyloketal congeners isolated from Simplicillium sp. AHK071-01. Our key findings establish that the furanochromene skeleton of xyloketals is formed via heterodimerization of two metabolites branched from orsellinic acid, revealing their complete polyketide origin, which contradicts the previous proposal. Notably, we identified a critical O-methyltransferase SipD that plays an essential role in both metabolic branches. Specifically, its selective methylation of orsellinaldehyde blocks the formation of reactive ortho-quinone methide and ensures that the biosynthetic cascade proceeds toward flavoprotein monooxygenase SipE-mediated Baeyer-Villiger oxidation to generate an unusual oxepinone intermediate, which is essential for producing the reactive enone intermediate for final dimerization to form the xyloketal furanochromene skeleton.</w:t>
      </w:r>
    </w:p>
    <w:p>
      <w:pPr>
        <w:spacing w:before="120" w:after="120"/>
      </w:pPr>
      <w:r>
        <w:rPr>
          <w:sz w:val="18"/>
        </w:rPr>
        <w:t>——————————————————————————————————————————————————————————————————————</w:t>
      </w:r>
    </w:p>
    <w:p>
      <w:pPr>
        <w:spacing w:before="160" w:after="40" w:line="240" w:lineRule="auto"/>
      </w:pPr>
      <w:r>
        <w:rPr>
          <w:b/>
        </w:rPr>
        <w:t xml:space="preserve">[211] </w:t>
      </w:r>
      <w:hyperlink r:id="rId533">
        <w:r>
          <w:rPr>
            <w:color w:val="1155CC"/>
            <w:u w:val="single"/>
          </w:rPr>
          <w:t>[ASAP] 氧转移和苯环开环过程的协同接力用于高效脱氯反应</w:t>
        </w:r>
      </w:hyperlink>
    </w:p>
    <w:p>
      <w:pPr>
        <w:spacing w:before="0" w:after="80"/>
      </w:pPr>
      <w:r>
        <w:rPr>
          <w:i/>
          <w:sz w:val="20"/>
        </w:rPr>
        <w:t>EN: [ASAP] Synergetic Relay of Oxygen Transfer and Benzene-Ring-Opening Processes for Efficient Dechlorination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2026-03-03 12:57:08+00:00</w:t>
      </w:r>
      <w:r>
        <w:t xml:space="preserve">    </w:t>
      </w:r>
      <w:r>
        <w:rPr>
          <w:b/>
        </w:rPr>
        <w:t xml:space="preserve">DOI: </w:t>
      </w:r>
      <w:hyperlink r:id="rId534">
        <w:r>
          <w:rPr>
            <w:color w:val="1155CC"/>
            <w:u w:val="single"/>
          </w:rPr>
          <w:t>10.1021/jacs.5c23215</w:t>
        </w:r>
      </w:hyperlink>
    </w:p>
    <w:p>
      <w:pPr>
        <w:spacing w:before="0" w:after="120"/>
      </w:pPr>
      <w:r>
        <w:rPr>
          <w:b/>
        </w:rPr>
        <w:t xml:space="preserve">Notes: </w:t>
      </w:r>
      <w:r>
        <w:t>abstract_source=pubmed</w:t>
      </w:r>
    </w:p>
    <w:p>
      <w:pPr>
        <w:spacing w:before="0" w:after="80" w:lineRule="auto" w:line="276"/>
      </w:pPr>
      <w:r>
        <w:rPr>
          <w:b/>
        </w:rPr>
        <w:t xml:space="preserve">摘要（ZH）: </w:t>
      </w:r>
      <w:r>
        <w:t>持久性氯化芳香污染物的高效脱氯仍然是一个重大挑战，因为传统的单一过程高级还原过程（ARPs）通常效率低下，无法实现开环降解。在此，我们报告了一种协同非自由基中继系统，涉及高价钴氧物种（HVCO）和单线态氧（1O2），用于有效降解顽固的氯化芳香污染物。该系统由一种新型TiO2@Co3O4核壳Z型异质结光催化剂（TCZ）实现。在太阳光照射下，TCZ通过Z型机制实现光生载流子的高效分离，同时保持强氧化还原电位。光诱导电子被转移到过氧单硫酸盐（PMS）</w:t>
      </w:r>
    </w:p>
    <w:p>
      <w:pPr>
        <w:spacing w:before="0" w:after="200" w:lineRule="auto" w:line="276"/>
      </w:pPr>
      <w:r>
        <w:rPr>
          <w:b/>
        </w:rPr>
        <w:t xml:space="preserve">Abstract (EN): </w:t>
      </w:r>
      <w:r>
        <w:t>The efficient dechlorination of persistent chlorinated aromatic pollutants remains a significant challenge as conventional single-process advanced reduction processes (ARPs) often suffer from low efficiency and fail to achieve ring-opening degradation. Herein, we report a synergistic nonradical relay system involving high-valent cobalt-oxo species (HVCO) and singlet oxygen (1O2) for the effective degradation of recalcitrant chlorinated aromatic contaminants. This system is enabled by a novel TiO2@Co3O4 core-shell Z-scheme heterojunction photocatalyst (TCZ). Under solar-light irradiation, TCZ achieves efficient separation of photogenerated charge carriers via a Z-scheme mechanism while preserving strong redox potentials. The photoinduced electrons are transferred to peroxymonosulfate (PMS) at the Co3O4 shell, which acts as an effective activator to generate HVCO through oxygen-transfer-driven dechlorination. Simultaneously, the holes oxidize PMS to produce 1O2, leading to benzene-ring-opening. The TCZ/PMS/solar system demonstrated outstanding performance in the dechlorination and oxidation of 4-chlorophenol (4-CP) and ring-opening degradation of Rhodamine B (RhB) as model pollutants. The system achieved &gt;98% dechlorination efficiency and complete removal (100%) with rate constants of 0.024 and 0.53 min-1, respectively─significantly surpassing the performance of its individual components. Moreover, the system exhibited excellent stability and long-term activity in a self-designed photofilter reactor, underscoring its practical potential. This work introduces a novel paradigm of "oxygen-transfer-dechlorination/ring-opening-oxidation relay" for complete defunctionalization of refractory organochlorines and opens new avenues for designing cascade systems to treat complex wastewater.</w:t>
      </w:r>
    </w:p>
    <w:p>
      <w:pPr>
        <w:spacing w:before="120" w:after="120"/>
      </w:pPr>
      <w:r>
        <w:rPr>
          <w:sz w:val="18"/>
        </w:rPr>
        <w:t>——————————————————————————————————————————————————————————————————————</w:t>
      </w:r>
    </w:p>
    <w:p>
      <w:pPr>
        <w:spacing w:before="160" w:after="40" w:line="240" w:lineRule="auto"/>
      </w:pPr>
      <w:r>
        <w:rPr>
          <w:b/>
        </w:rPr>
        <w:t xml:space="preserve">[212] </w:t>
      </w:r>
      <w:hyperlink r:id="rId535">
        <w:r>
          <w:rPr>
            <w:color w:val="1155CC"/>
            <w:u w:val="single"/>
          </w:rPr>
          <w:t>卷首插图：利用魔法甲基效应：操控固态水杨醛苯甲酰腙的光致发光和光致变色</w:t>
        </w:r>
      </w:hyperlink>
    </w:p>
    <w:p>
      <w:pPr>
        <w:spacing w:before="0" w:after="80"/>
      </w:pPr>
      <w:r>
        <w:rPr>
          <w:i/>
          <w:sz w:val="20"/>
        </w:rPr>
        <w:t>EN: Frontispiece: Harnessing the Magic Methyl Effect: Manipulating Photoluminescence and Photochromism of Salicylaldehyde Benzoylhydrazones in the Solid State</w:t>
      </w:r>
    </w:p>
    <w:p>
      <w:pPr>
        <w:spacing w:before="0" w:after="120"/>
      </w:pPr>
      <w:r>
        <w:rPr>
          <w:b/>
        </w:rPr>
        <w:t xml:space="preserve">Source: </w:t>
      </w:r>
      <w:r>
        <w:t>Wiley: Angewandte Chemie International Edition: Table of Contents</w:t>
      </w:r>
      <w:r>
        <w:t xml:space="preserve">    </w:t>
      </w:r>
      <w:r>
        <w:rPr>
          <w:b/>
        </w:rPr>
        <w:t xml:space="preserve">Pub date: </w:t>
      </w:r>
      <w:r>
        <w:t>2026-03-03 13:08:26+00:00</w:t>
      </w:r>
      <w:r>
        <w:t xml:space="preserve">    </w:t>
      </w:r>
      <w:r>
        <w:rPr>
          <w:b/>
        </w:rPr>
        <w:t xml:space="preserve">DOI: </w:t>
      </w:r>
      <w:hyperlink r:id="rId536">
        <w:r>
          <w:rPr>
            <w:color w:val="1155CC"/>
            <w:u w:val="single"/>
          </w:rPr>
          <w:t>10.1002/anie.2026-m0402124300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[213] </w:t>
      </w:r>
      <w:hyperlink r:id="rId537">
        <w:r>
          <w:rPr>
            <w:color w:val="1155CC"/>
            <w:u w:val="single"/>
          </w:rPr>
          <w:t>卷首插图：在单/双（供体）卟啉-单/双（供体）三元和五元中实现的卓越的二至五光子吸收</w:t>
        </w:r>
      </w:hyperlink>
    </w:p>
    <w:p>
      <w:pPr>
        <w:spacing w:before="0" w:after="80"/>
      </w:pPr>
      <w:r>
        <w:rPr>
          <w:i/>
          <w:sz w:val="20"/>
        </w:rPr>
        <w:t>EN: Frontispiece: Exceptional Two‐ to Five‐Photon Absorption at Mono/Bis(Donor)‐Porphyrin‐Mono/Bis(Donor) Triads and Pentads</w:t>
      </w:r>
    </w:p>
    <w:p>
      <w:pPr>
        <w:spacing w:before="0" w:after="120"/>
      </w:pPr>
      <w:r>
        <w:rPr>
          <w:b/>
        </w:rPr>
        <w:t xml:space="preserve">Source: </w:t>
      </w:r>
      <w:r>
        <w:t>Wiley: Angewandte Chemie International Edition: Table of Contents</w:t>
      </w:r>
      <w:r>
        <w:t xml:space="preserve">    </w:t>
      </w:r>
      <w:r>
        <w:rPr>
          <w:b/>
        </w:rPr>
        <w:t xml:space="preserve">Pub date: </w:t>
      </w:r>
      <w:r>
        <w:t>2026-03-03 13:08:26+00:00</w:t>
      </w:r>
      <w:r>
        <w:t xml:space="preserve">    </w:t>
      </w:r>
      <w:r>
        <w:rPr>
          <w:b/>
        </w:rPr>
        <w:t xml:space="preserve">DOI: </w:t>
      </w:r>
      <w:hyperlink r:id="rId538">
        <w:r>
          <w:rPr>
            <w:color w:val="1155CC"/>
            <w:u w:val="single"/>
          </w:rPr>
          <w:t>10.1002/anie.2026-m0802011600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539">
        <w:r>
          <w:rPr>
            <w:color w:val="1155CC"/>
            <w:u w:val="single"/>
          </w:rPr>
          <w:t>[ASAP] 锰催化的不饱和烯烃的不对称氢化</w:t>
        </w:r>
      </w:hyperlink>
    </w:p>
    <w:p>
      <w:pPr>
        <w:spacing w:before="0" w:after="80"/>
      </w:pPr>
      <w:r>
        <w:rPr>
          <w:i/>
          <w:sz w:val="20"/>
        </w:rPr>
        <w:t>EN: [ASAP] Manganese-Catalyzed Asymmetric Hydrogenation of Electron-Deficient Olefins</w:t>
      </w:r>
    </w:p>
    <w:p>
      <w:pPr>
        <w:spacing w:before="0" w:after="120"/>
      </w:pPr>
      <w:r>
        <w:rPr>
          <w:b/>
        </w:rPr>
        <w:t xml:space="preserve">Source: </w:t>
      </w:r>
      <w:r>
        <w:t>Journal of the American Chemical Society: Latest Articles (ACS Publications)</w:t>
      </w:r>
      <w:r>
        <w:t xml:space="preserve">    </w:t>
      </w:r>
      <w:r>
        <w:rPr>
          <w:b/>
        </w:rPr>
        <w:t xml:space="preserve">Pub date: </w:t>
      </w:r>
      <w:r>
        <w:t>2026-03-03 13:31:55+00:00</w:t>
      </w:r>
      <w:r>
        <w:t xml:space="preserve">    </w:t>
      </w:r>
      <w:r>
        <w:rPr>
          <w:b/>
        </w:rPr>
        <w:t xml:space="preserve">DOI: </w:t>
      </w:r>
      <w:hyperlink r:id="rId540">
        <w:r>
          <w:rPr>
            <w:color w:val="1155CC"/>
            <w:u w:val="single"/>
          </w:rPr>
          <w:t>10.1021/jacs.6c00643</w:t>
        </w:r>
      </w:hyperlink>
    </w:p>
    <w:p>
      <w:pPr>
        <w:spacing w:before="0" w:after="120"/>
      </w:pPr>
      <w:r>
        <w:rPr>
          <w:b/>
        </w:rPr>
        <w:t xml:space="preserve">Notes: </w:t>
      </w:r>
      <w:r>
        <w:t>abstract_source=pubmed</w:t>
      </w:r>
    </w:p>
    <w:p>
      <w:pPr>
        <w:spacing w:before="0" w:after="80" w:lineRule="auto" w:line="276"/>
      </w:pPr>
      <w:r>
        <w:rPr>
          <w:b/>
        </w:rPr>
        <w:t xml:space="preserve">摘要（ZH）: </w:t>
      </w:r>
      <w:r>
        <w:t>地球丰富的锰催化的不对称氢化已成为贵金属系统的可持续替代方案，在极性C═O、C═N和杂芳香基底的还原中取得了显著成功。然而，由于极性和亲核的Mn-H物种与非极性C═C键本质上不匹配，使用锰催化剂的不对称氢化C═C键仍然是一个具有挑战性且未被探索的领域。在此，我们披露了通过利用2-羟基吡啶-恶唑啉配体的高效金属-配体协同过程实现的首个锰催化的不对称氢化电子缺乏极化烯烃。这一策略提供了广泛的底物，产率高达99%，对映体过量为98%。此外，这一催化系统使得</w:t>
      </w:r>
    </w:p>
    <w:p>
      <w:pPr>
        <w:spacing w:before="0" w:after="200" w:lineRule="auto" w:line="276"/>
      </w:pPr>
      <w:r>
        <w:rPr>
          <w:b/>
        </w:rPr>
        <w:t xml:space="preserve">Abstract (EN): </w:t>
      </w:r>
      <w:r>
        <w:t>Earth-abundant manganese-catalyzed asymmetric hydrogenation has emerged as a sustainable alternative to noble metal systems, achieving remarkable success in the reduction of polar C═O, C═N, and heteroaromatic substrates. However, because the polar and nucleophilic Mn-H species are inherently mismatched with nonpolar C═C bonds, asymmetric hydrogenation of C═C bonds with manganese catalysts remains a challenging and unexplored area. Herein, we disclose the first manganese-catalyzed asymmetric hydrogenation of electron-deficient polarized olefins enabled by an efficient metal-ligand cooperation process utilizing 2-hydroxypyridine-oxazoline ligands. This strategy delivers a broad range of substrates with up to 99% yield with 98% enantiomeric excess. Moreover, this catalytic system enables the hydrogenation kinetic resolution of racemic 4-aryl-quinolin-2-ones, affording axial-chiral recovered substrates with selectivity factor up to 178. These results pave up a new platform for manganese-catalyzed asymmetric hydrogenation, expanding the scope of earth-abundant metal catalysis in enantioselective synthesis.</w:t>
      </w:r>
    </w:p>
    <w:p>
      <w:pPr>
        <w:spacing w:before="120" w:after="120"/>
      </w:pPr>
      <w:r>
        <w:rPr>
          <w:sz w:val="18"/>
        </w:rPr>
        <w:t>——————————————————————————————————————————————————————————————————————</w:t>
      </w:r>
    </w:p>
    <w:p>
      <w:pPr>
        <w:spacing w:before="160" w:after="40" w:line="240" w:lineRule="auto"/>
      </w:pPr>
      <w:r>
        <w:rPr>
          <w:b/>
        </w:rPr>
        <w:t xml:space="preserve">[215] </w:t>
      </w:r>
      <w:hyperlink r:id="rId541">
        <w:r>
          <w:rPr>
            <w:color w:val="1155CC"/>
            <w:u w:val="single"/>
          </w:rPr>
          <w:t>[ASAP] 低价锗和锡氧化还原平台上的催化C(sp3)–F键活化</w:t>
        </w:r>
      </w:hyperlink>
    </w:p>
    <w:p>
      <w:pPr>
        <w:spacing w:before="0" w:after="80"/>
      </w:pPr>
      <w:r>
        <w:rPr>
          <w:i/>
          <w:sz w:val="20"/>
        </w:rPr>
        <w:t>EN: [ASAP] Catalytic C(sp3)–F Bond Activation at Low-Valent Germanium and Tin Redox Platforms</w:t>
      </w:r>
    </w:p>
    <w:p>
      <w:pPr>
        <w:spacing w:before="0" w:after="120"/>
      </w:pPr>
      <w:r>
        <w:rPr>
          <w:b/>
        </w:rPr>
        <w:t xml:space="preserve">Source: </w:t>
      </w:r>
      <w:r>
        <w:t>Journal of the American Chemical Society: Latest Articles (ACS Publications)</w:t>
      </w:r>
      <w:r>
        <w:t xml:space="preserve">    </w:t>
      </w:r>
      <w:r>
        <w:rPr>
          <w:b/>
        </w:rPr>
        <w:t xml:space="preserve">Pub date: </w:t>
      </w:r>
      <w:r>
        <w:t>2026-03-03 15:24:10+00:00</w:t>
      </w:r>
      <w:r>
        <w:t xml:space="preserve">    </w:t>
      </w:r>
      <w:r>
        <w:rPr>
          <w:b/>
        </w:rPr>
        <w:t xml:space="preserve">DOI: </w:t>
      </w:r>
      <w:hyperlink r:id="rId542">
        <w:r>
          <w:rPr>
            <w:color w:val="1155CC"/>
            <w:u w:val="single"/>
          </w:rPr>
          <w:t>10.1021/jacs.5c22945</w:t>
        </w:r>
      </w:hyperlink>
    </w:p>
    <w:p>
      <w:pPr>
        <w:spacing w:before="0" w:after="120"/>
      </w:pPr>
      <w:r>
        <w:rPr>
          <w:b/>
        </w:rPr>
        <w:t xml:space="preserve">Notes: </w:t>
      </w:r>
      <w:r>
        <w:t>abstract_source=pubmed</w:t>
      </w:r>
    </w:p>
    <w:p>
      <w:pPr>
        <w:spacing w:before="0" w:after="80" w:lineRule="auto" w:line="276"/>
      </w:pPr>
      <w:r>
        <w:rPr>
          <w:b/>
        </w:rPr>
        <w:t xml:space="preserve">摘要（ZH）: </w:t>
      </w:r>
      <w:r>
        <w:t>三氟甲基基团的活化和功能化在主族催化中仍然是一个艰巨的挑战，主要是由于C-F键的惰性。在此，我们报告了一种通过E(II)/E(IV)（E = Ge, Sn）氧化还原循环激活和转化三氟甲基烯烃中C(sp3)-F键的有效策略。二价有机锗和锡物种可以断裂C(sp3)-F键，伴随着有趣的重排，生成已通过核磁共振波谱和单晶X射线衍射表征的明确加合物。机制研究表明，反应通过SN2'型途径进行，涉及分子内氟抽提，由Ge(II)和Sn(II)中心的亲核性驱动。处理</w:t>
      </w:r>
    </w:p>
    <w:p>
      <w:pPr>
        <w:spacing w:before="0" w:after="200" w:lineRule="auto" w:line="276"/>
      </w:pPr>
      <w:r>
        <w:rPr>
          <w:b/>
        </w:rPr>
        <w:t xml:space="preserve">Abstract (EN): </w:t>
      </w:r>
      <w:r>
        <w:t>The activation and functionalization of the trifluoromethyl group remain formidable challenges in main group catalysis, primarily due to the inert nature of the C-F bond. Herein, we report an effective strategy for the activation and transformation of C(sp3)-F bonds in trifluoromethyl alkenes through E(II)/E(IV) (E = Ge, Sn) redox cycling. Organogermanium(II) and tin(II) species can cleave C(sp3)-F bonds, accompanied by an intriguing rearrangement, to afford well-defined adducts, which have been characterized by nuclear magnetic resonance spectroscopy and single-crystal X-ray diffraction. Mechanistic studies indicate that the reactions proceed via an SN2'-type pathway involving intramolecular fluorine abstraction, driven by the nucleophilicity of Ge(II) and Sn(II) centers. Treatment of the resulting adducts with phenylsilane leads to stoichiometric hydrodefluorination via ligand metathesis and reductive elimination, yielding α-fluorinated methylalkenes and regenerating the divalent tin species. Under catalytic conditions, notably, trifluoromethyl alkenes are selectively converted to either mono- or gem-difluoroalkenes. Further mechanistic investigations reveal that the catalytic cycle follows an intermolecular fluoride abstraction pathway in the oxidative addition step, thereby steering the reaction toward divergent product outcomes. This work establishes a tunable main group redox platform for C(sp3)-F bond activation and opens new avenues for utilizing main group redox systems in the functionalization of inert chemical bonds.</w:t>
      </w:r>
    </w:p>
    <w:p>
      <w:pPr>
        <w:spacing w:before="120" w:after="120"/>
      </w:pPr>
      <w:r>
        <w:rPr>
          <w:sz w:val="18"/>
        </w:rPr>
        <w:t>——————————————————————————————————————————————————————————————————————</w:t>
      </w:r>
    </w:p>
    <w:p>
      <w:pPr>
        <w:spacing w:before="160" w:after="40" w:line="240" w:lineRule="auto"/>
      </w:pPr>
      <w:r>
        <w:rPr>
          <w:b/>
        </w:rPr>
        <w:t xml:space="preserve">[216] </w:t>
      </w:r>
      <w:hyperlink r:id="rId543">
        <w:r>
          <w:rPr>
            <w:color w:val="1155CC"/>
            <w:u w:val="single"/>
          </w:rPr>
          <w:t>[ASAP] 生物质衍生的可持续双原子催化剂实现了5-羟甲基糠醛到2,5-己二醇的高效电化学还原开环</w:t>
        </w:r>
      </w:hyperlink>
    </w:p>
    <w:p>
      <w:pPr>
        <w:spacing w:before="0" w:after="80"/>
      </w:pPr>
      <w:r>
        <w:rPr>
          <w:i/>
          <w:sz w:val="20"/>
        </w:rPr>
        <w:t>EN: [ASAP] Biomass-Derived Sustainable Dual-Atom Catalysts Enabled Highly Efficient Electrochemical Reductive Ring-Opening of 5-Hydroxymethylfurfural to 2,5-Hexanediol</w:t>
      </w:r>
    </w:p>
    <w:p>
      <w:pPr>
        <w:spacing w:before="0" w:after="120"/>
      </w:pPr>
      <w:r>
        <w:rPr>
          <w:b/>
        </w:rPr>
        <w:t xml:space="preserve">Source: </w:t>
      </w:r>
      <w:r>
        <w:t>Journal of the American Chemical Society: Latest Articles (ACS Publications)</w:t>
      </w:r>
      <w:r>
        <w:t xml:space="preserve">    </w:t>
      </w:r>
      <w:r>
        <w:rPr>
          <w:b/>
        </w:rPr>
        <w:t xml:space="preserve">Pub date: </w:t>
      </w:r>
      <w:r>
        <w:t>2026-03-03 15:43:35+00:00</w:t>
      </w:r>
      <w:r>
        <w:t xml:space="preserve">    </w:t>
      </w:r>
      <w:r>
        <w:rPr>
          <w:b/>
        </w:rPr>
        <w:t xml:space="preserve">DOI: </w:t>
      </w:r>
      <w:hyperlink r:id="rId544">
        <w:r>
          <w:rPr>
            <w:color w:val="1155CC"/>
            <w:u w:val="single"/>
          </w:rPr>
          <w:t>10.1021/jacs.5c20836</w:t>
        </w:r>
      </w:hyperlink>
    </w:p>
    <w:p>
      <w:pPr>
        <w:spacing w:before="0" w:after="120"/>
      </w:pPr>
      <w:r>
        <w:rPr>
          <w:b/>
        </w:rPr>
        <w:t xml:space="preserve">Notes: </w:t>
      </w:r>
      <w:r>
        <w:t>abstract_source=openalex</w:t>
      </w:r>
    </w:p>
    <w:p>
      <w:pPr>
        <w:spacing w:before="0" w:after="80" w:lineRule="auto" w:line="276"/>
      </w:pPr>
      <w:r>
        <w:rPr>
          <w:b/>
        </w:rPr>
        <w:t xml:space="preserve">摘要（ZH）: </w:t>
      </w:r>
      <w:r>
        <w:t>在温和条件下的生物质衍生5-羟甲基糠醛（HMF）的电化学还原开环（ERR）代表了一种高效且可持续的生产增值化学品的途径。然而，该过程的有效性通常受到催化剂在高酸性环境中低催化活性和稳定性差的限制。在此，我们系统地筛选并识别出生物质衍生的碳支持的Cu-Zn双原子活性位点作为HMF到2,5-己二醇（HD）EER的高效催化剂，实现了91.6%的高选择性和190.7 μmol mg&lt;sub&gt;cat&lt;/sub&gt;&lt;sup&gt;-1&lt;/sup&gt; h&lt;sup&gt;-1&lt;/sup&gt;的生产率，同时法拉第效率达到90.2%。这一性能比先前报道的系统高出一个数量级，</w:t>
      </w:r>
    </w:p>
    <w:p>
      <w:pPr>
        <w:spacing w:before="0" w:after="200" w:lineRule="auto" w:line="276"/>
      </w:pPr>
      <w:r>
        <w:rPr>
          <w:b/>
        </w:rPr>
        <w:t xml:space="preserve">Abstract (EN): </w:t>
      </w:r>
      <w:r>
        <w:t>Electrochemical reductive ring-opening (ERR) of biomass-derived 5-hydroxymethylfurfural (HMF) under mild conditions represents an efficient and sustainable route for the production of value-added chemicals. However, the effectiveness of this process is often limited by the low catalytic activity and poor stability of catalysts in highly acidic environments. Herein, we systematically screen and identify biomass-derived carbon-supported Cu-Zn dual-atom active sites as highly efficient catalysts for the EER of HMF to 2,5-hexanediol (HD), achieving a high selectivity of 91.6% and a productivity of 190.7 μmol mg&lt;sub&gt;cat&lt;/sub&gt;&lt;sup&gt;-1&lt;/sup&gt; h&lt;sup&gt;-1&lt;/sup&gt;, alongside an impressive Faradaic efficiency of 90.2%. This performance surpasses that of previously reported systems by an order of magnitude, highlighting its significant economic potential, as evidenced by comprehensive technoeconomic analysis. In situ electrochemical characterizations, combined with theoretical studies, suggest that the ERR of HMF is induced by surface-adsorbed hydrogen through a concerted proton-electron transfer mechanism. The outstanding catalytic performance is attributed to the synergistic interaction between Cu and Zn active sites in the dual-atom catalyst. This study provides a promising electrochemical reductive approach for the efficient conversion of biomass derivatives into high-value chemicals and achieves comprehensive utilization of biomass resources.</w:t>
      </w:r>
    </w:p>
    <w:p>
      <w:pPr>
        <w:spacing w:before="120" w:after="120"/>
      </w:pPr>
      <w:r>
        <w:rPr>
          <w:sz w:val="18"/>
        </w:rPr>
        <w:t>——————————————————————————————————————————————————————————————————————</w:t>
      </w:r>
    </w:p>
    <w:p>
      <w:pPr>
        <w:spacing w:before="160" w:after="40" w:line="240" w:lineRule="auto"/>
      </w:pPr>
      <w:r>
        <w:rPr>
          <w:b/>
        </w:rPr>
        <w:t xml:space="preserve">[217] </w:t>
      </w:r>
      <w:hyperlink r:id="rId545">
        <w:r>
          <w:rPr>
            <w:color w:val="1155CC"/>
            <w:u w:val="single"/>
          </w:rPr>
          <w:t>[ASAP] 补充“将甲酸盐输送重定向至烯烃：通过钴/光氧化还原/布朗斯特酸催化的Markovnikov α-羧化”</w:t>
        </w:r>
      </w:hyperlink>
    </w:p>
    <w:p>
      <w:pPr>
        <w:spacing w:before="0" w:after="80"/>
      </w:pPr>
      <w:r>
        <w:rPr>
          <w:i/>
          <w:sz w:val="20"/>
        </w:rPr>
        <w:t>EN: [ASAP] Addition to “Redirecting Formate Delivery toward Alkenes: Markovnikov α-Carboxylation via Cobalt/Photoredox/Brønsted Acid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2026-03-03 16:07:00+00:00</w:t>
      </w:r>
      <w:r>
        <w:t xml:space="preserve">    </w:t>
      </w:r>
      <w:r>
        <w:rPr>
          <w:b/>
        </w:rPr>
        <w:t xml:space="preserve">DOI: </w:t>
      </w:r>
      <w:hyperlink r:id="rId546">
        <w:r>
          <w:rPr>
            <w:color w:val="1155CC"/>
            <w:u w:val="single"/>
          </w:rPr>
          <w:t>10.1021/jacs.6c03055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[218] </w:t>
      </w:r>
      <w:hyperlink r:id="rId547">
        <w:r>
          <w:rPr>
            <w:color w:val="1155CC"/>
            <w:u w:val="single"/>
          </w:rPr>
          <w:t>[ASAP] 2-酰基苯甲醛与α,β-不饱和羰基化合物的光引发对映选择性环异构化/加成级联反应</w:t>
        </w:r>
      </w:hyperlink>
    </w:p>
    <w:p>
      <w:pPr>
        <w:spacing w:before="0" w:after="80"/>
      </w:pPr>
      <w:r>
        <w:rPr>
          <w:i/>
          <w:sz w:val="20"/>
        </w:rPr>
        <w:t>EN: [ASAP] Photoinitiated Enantioselective Cycloisomerization/Addition Cascades of 2-Acyl Benzaldehydes with α,β-Unsaturated Carbonyl Compounds</w:t>
      </w:r>
    </w:p>
    <w:p>
      <w:pPr>
        <w:spacing w:before="0" w:after="120"/>
      </w:pPr>
      <w:r>
        <w:rPr>
          <w:b/>
        </w:rPr>
        <w:t xml:space="preserve">Source: </w:t>
      </w:r>
      <w:r>
        <w:t>Journal of the American Chemical Society: Latest Articles (ACS Publications)</w:t>
      </w:r>
      <w:r>
        <w:t xml:space="preserve">    </w:t>
      </w:r>
      <w:r>
        <w:rPr>
          <w:b/>
        </w:rPr>
        <w:t xml:space="preserve">Pub date: </w:t>
      </w:r>
      <w:r>
        <w:t>2026-03-03 16:10:35+00:00</w:t>
      </w:r>
      <w:r>
        <w:t xml:space="preserve">    </w:t>
      </w:r>
      <w:r>
        <w:rPr>
          <w:b/>
        </w:rPr>
        <w:t xml:space="preserve">DOI: </w:t>
      </w:r>
      <w:hyperlink r:id="rId548">
        <w:r>
          <w:rPr>
            <w:color w:val="1155CC"/>
            <w:u w:val="single"/>
          </w:rPr>
          <w:t>10.1021/jacs.6c00267</w:t>
        </w:r>
      </w:hyperlink>
    </w:p>
    <w:p>
      <w:pPr>
        <w:spacing w:before="0" w:after="120"/>
      </w:pPr>
      <w:r>
        <w:rPr>
          <w:b/>
        </w:rPr>
        <w:t xml:space="preserve">Notes: </w:t>
      </w:r>
      <w:r>
        <w:t>abstract_source=pubmed</w:t>
      </w:r>
    </w:p>
    <w:p>
      <w:pPr>
        <w:spacing w:before="0" w:after="80" w:lineRule="auto" w:line="276"/>
      </w:pPr>
      <w:r>
        <w:rPr>
          <w:b/>
        </w:rPr>
        <w:t xml:space="preserve">摘要（ZH）: </w:t>
      </w:r>
      <w:r>
        <w:t>光引发酮化是一种有效的策略，用于生成活性中间体以实现有机光化学合成中的各种官能化。然而，参与这一过程的合成子主要限于邻氨基或邻烷基苯甲醛/酮，不对称变体仍未被充分探索。邻苯二甲醛（OPA）作为合成前体展示了独特的化学性质，形成了复杂的有机小分子结构。OPA的光引发酮化驱动的不对称级联反应对于手性内酯结构的立体选择性构建至关重要。在此，我们报告了首次直接不对称光环化异构化的OPA和邻苯甲酰苯甲醛（OBBA），随后与α,β-不饱和羧酸进行1,4-共轭加成反应。</w:t>
      </w:r>
    </w:p>
    <w:p>
      <w:pPr>
        <w:spacing w:before="0" w:after="200" w:lineRule="auto" w:line="276"/>
      </w:pPr>
      <w:r>
        <w:rPr>
          <w:b/>
        </w:rPr>
        <w:t xml:space="preserve">Abstract (EN): </w:t>
      </w:r>
      <w:r>
        <w:t>Photoenolization is an efficient strategy for generating reactive intermediates to achieve various functionalizations in organic photochemical synthesis. However, the synthons participating in this process are predominantly limited to o-amino or o-alkyl benzaldehydes/ketones, with asymmetric variants remaining underexplored. o-Phthalaldehyde (OPA) as a synthetic precursor demonstrates unique chemical properties, forming a complex architecture of organic small molecules. Photoenolization-driven asymmetric cascade reactions of OPA are crucial for stereoselective construction of chiral lactone architectures. Herein, we report the first direct asymmetric photocycloisomerization of OPA and o-benzoylbenzaldehyde (OBBA), which subsequently undergoes 1,4-conjugate addition with α,β-unsaturated carbonyl compounds, providing various chiral lactones with excellent yields and diastereo-/enantioselectivities (up to 99% yield, &gt;19:1 dr, 99% ee). Notably, trace amounts of carboxylic acids significantly accelerate the reaction by acting as a hydrogen atom shuttle, enabling low catalyst loading (0.5 mol %). Mechanistic studies (spectroscopy, deuterium labeling, EPR, and control experiments) support a catalytic cycle diverged from traditional photoenolization.</w:t>
      </w:r>
    </w:p>
    <w:p>
      <w:pPr>
        <w:spacing w:before="120" w:after="120"/>
      </w:pPr>
      <w:r>
        <w:rPr>
          <w:sz w:val="18"/>
        </w:rPr>
        <w:t>——————————————————————————————————————————————————————————————————————</w:t>
      </w:r>
    </w:p>
    <w:p>
      <w:pPr>
        <w:spacing w:before="160" w:after="40" w:line="240" w:lineRule="auto"/>
      </w:pPr>
      <w:r>
        <w:rPr>
          <w:b/>
        </w:rPr>
        <w:t xml:space="preserve">[219] </w:t>
      </w:r>
      <w:hyperlink r:id="rId549">
        <w:r>
          <w:rPr>
            <w:color w:val="1155CC"/>
            <w:u w:val="single"/>
          </w:rPr>
          <w:t>[ASAP] 精确创建酶模拟金属有机框架用于非天然肽合成</w:t>
        </w:r>
      </w:hyperlink>
    </w:p>
    <w:p>
      <w:pPr>
        <w:spacing w:before="0" w:after="80"/>
      </w:pPr>
      <w:r>
        <w:rPr>
          <w:i/>
          <w:sz w:val="20"/>
        </w:rPr>
        <w:t>EN: [ASAP] Precisely Creating Enzyme-Mimetic Metal–Organic Framework for Unnatural Peptide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2026-03-03 16:38:55+00:00</w:t>
      </w:r>
      <w:r>
        <w:t xml:space="preserve">    </w:t>
      </w:r>
      <w:r>
        <w:rPr>
          <w:b/>
        </w:rPr>
        <w:t xml:space="preserve">DOI: </w:t>
      </w:r>
      <w:hyperlink r:id="rId550">
        <w:r>
          <w:rPr>
            <w:color w:val="1155CC"/>
            <w:u w:val="single"/>
          </w:rPr>
          <w:t>10.1021/jacs.5c22991</w:t>
        </w:r>
      </w:hyperlink>
    </w:p>
    <w:p>
      <w:pPr>
        <w:spacing w:before="0" w:after="120"/>
      </w:pPr>
      <w:r>
        <w:rPr>
          <w:b/>
        </w:rPr>
        <w:t xml:space="preserve">Notes: </w:t>
      </w:r>
      <w:r>
        <w:t>abstract_source=pubmed</w:t>
      </w:r>
    </w:p>
    <w:p>
      <w:pPr>
        <w:spacing w:before="0" w:after="80" w:lineRule="auto" w:line="276"/>
      </w:pPr>
      <w:r>
        <w:rPr>
          <w:b/>
        </w:rPr>
        <w:t xml:space="preserve">摘要（ZH）: </w:t>
      </w:r>
      <w:r>
        <w:t>非天然γ-氨基酸和肽由于其相对灵活的结构能够与特定生物靶点进行独特的相互作用，已成为药物分子和生物材料中重要的药效团和多功能构件。尽管它们具有良好的潜力，自然界缺乏系统的生物合成方法来构建结构复杂的γ-氨基酸和肽，留下了自然生物合成能力的空白。受酶催化的启发，并利用金属有机框架（MOFs）的优势，我们设计了一种基于MOF的催化系统，将氢键供体和有机光敏剂结合在其孔隙中，模拟生物系统中的催化口袋。首次，这种MOF系统解锁了高效的氨基酸同源合成。</w:t>
      </w:r>
    </w:p>
    <w:p>
      <w:pPr>
        <w:spacing w:before="0" w:after="200" w:lineRule="auto" w:line="276"/>
      </w:pPr>
      <w:r>
        <w:rPr>
          <w:b/>
        </w:rPr>
        <w:t xml:space="preserve">Abstract (EN): </w:t>
      </w:r>
      <w:r>
        <w:t>Unnatural γ-amino acids and peptides have emerged as essential pharmacophores and versatile building blocks in drug molecules and biomaterials owing to their relatively flexible structures that enable unique interactions with specific biological targets. Despite their promising potential, nature lacks systematic biosynthetic approaches to structurally complex γ-amino acids and peptides, leaving a gap in the natural biosynthetic capabilities. Inspired by enzymatic catalysis and leveraging the advantages of metal-organic frameworks (MOFs), we designed a MOF-based catalytic system that incorporates both hydrogen-bond donors and organic photosensitizers within its pores, mirroring the catalytic pockets in biological systems. For the first time, this MOF system unlocks efficient amino acid homologation via hydrogen-bond/photoredox synergistic catalysis, permitting the modular synthesis of γ-amino acid derivatives. Practice of this homologation enables a programmable and divergent synthesis of γ-peptides. Mechanistic studies and density functional theory (DFT) calculations reveal key features, including multisite activation, induced fit, and synergistic catalysis, in this MOF system that closely resemble those found in natural enzymatic systems. Moreover, MOF catalysts exhibit superior catalytic performance with turnover numbers of up to 7800. Their high robustness is attributed to MOF's rigid framework, which maintains structural integrity under reaction conditions. This proof-of-concept research pushes the boundaries of both MOF catalysis and peptide synthesis, potentially inspiring the design of other synergistic catalysis.</w:t>
      </w:r>
    </w:p>
    <w:p>
      <w:pPr>
        <w:spacing w:before="120" w:after="120"/>
      </w:pPr>
      <w:r>
        <w:rPr>
          <w:sz w:val="18"/>
        </w:rPr>
        <w:t>——————————————————————————————————————————————————————————————————————</w:t>
      </w:r>
    </w:p>
    <w:p>
      <w:pPr>
        <w:spacing w:before="160" w:after="40" w:line="240" w:lineRule="auto"/>
      </w:pPr>
      <w:r>
        <w:rPr>
          <w:b/>
        </w:rPr>
        <w:t xml:space="preserve">[220] </w:t>
      </w:r>
      <w:hyperlink r:id="rId551">
        <w:r>
          <w:rPr>
            <w:color w:val="1155CC"/>
            <w:u w:val="single"/>
          </w:rPr>
          <w:t>[ASAP] 工程化d–d耦合诱导的铁磁催化剂以提升自旋极化水氧化</w:t>
        </w:r>
      </w:hyperlink>
    </w:p>
    <w:p>
      <w:pPr>
        <w:spacing w:before="0" w:after="80"/>
      </w:pPr>
      <w:r>
        <w:rPr>
          <w:i/>
          <w:sz w:val="20"/>
        </w:rPr>
        <w:t>EN: [ASAP] Engineering d–d Coupling-Induced Ferromagnetic Catalysts for Boosting the Spin-Polarized Water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2026-03-03 18:54:58+00:00</w:t>
      </w:r>
      <w:r>
        <w:t xml:space="preserve">    </w:t>
      </w:r>
      <w:r>
        <w:rPr>
          <w:b/>
        </w:rPr>
        <w:t xml:space="preserve">DOI: </w:t>
      </w:r>
      <w:hyperlink r:id="rId552">
        <w:r>
          <w:rPr>
            <w:color w:val="1155CC"/>
            <w:u w:val="single"/>
          </w:rPr>
          <w:t>10.1021/jacs.5c18826</w:t>
        </w:r>
      </w:hyperlink>
    </w:p>
    <w:p>
      <w:pPr>
        <w:spacing w:before="0" w:after="120"/>
      </w:pPr>
      <w:r>
        <w:rPr>
          <w:b/>
        </w:rPr>
        <w:t xml:space="preserve">Notes: </w:t>
      </w:r>
      <w:r>
        <w:t>abstract_source=pubmed</w:t>
      </w:r>
    </w:p>
    <w:p>
      <w:pPr>
        <w:spacing w:before="0" w:after="80" w:lineRule="auto" w:line="276"/>
      </w:pPr>
      <w:r>
        <w:rPr>
          <w:b/>
        </w:rPr>
        <w:t xml:space="preserve">摘要（ZH）: </w:t>
      </w:r>
      <w:r>
        <w:t>自旋催化剂因其独特的自旋选择性磁电特性而引起了越来越多的研究兴趣。然而，合理设计同时具有铁磁有序和高导电性的高性能自旋催化剂，仍然是克服自旋选择性水电解效率瓶颈的一个艰巨挑战。在此，我们通过在氧位置引入B取代，提出了一种阴离子介导的d-d耦合策略。这一改进产生了高自旋的Co2+Oh，显著增强了费米能级附近的态密度。相邻的Co-O/B-Co单元之间的轨道共轭经历了剧烈的磁性转变，从反铁磁耦合（TN = 25 K）转变为铁磁耦合（TC &gt; 850 K）。这种CoOh</w:t>
      </w:r>
    </w:p>
    <w:p>
      <w:pPr>
        <w:spacing w:before="0" w:after="200" w:lineRule="auto" w:line="276"/>
      </w:pPr>
      <w:r>
        <w:rPr>
          <w:b/>
        </w:rPr>
        <w:t xml:space="preserve">Abstract (EN): </w:t>
      </w:r>
      <w:r>
        <w:t>Spin catalysts have attracted growing research interest, due to their unique spin-selective magneto-electric properties. However, the rational design of high-performance spin catalysts featuring both ferromagnetic ordering and high conductivity remains a formidable challenge in overcoming the efficiency bottleneck of spin-selective water electrolysis. Herein, we raise an anion-mediated d-d coupling strategy by introducing B substitution at the oxygen positions. This modification generates high-spin Co2+Oh, resulting in a substantial enhancement of the density of states near the Fermi level. The orbital conjugation between adjacent Co-O/B-Co units undergoes a dramatic magnetic transition, switching from antiferromagnetic coupling (TN = 25 K) to ferromagnetic coupling (TC &gt; 850 K). This CoOh-d orbital engineering enhances carrier concentration and decreases electron transfer resistance. Electrochemical analysis reveals that the Co3O3.65B0.35 exhibits exceptional catalytic performance, achieving an overpotential of 295 mV at 30 mA cm-2 compared to 441 mV for pristine Co3O4. Moreover, an applied magnetic field of 500 mT further reduce overpotential by 25.3%. In-situ ATR-SEIRAS, together with theoretical calculations, reveals a substantial enhancement in orbital overlap between Co 3d and O 2p states upon spin alignment, which strengthens σ-bonding interactions and promotes the adsorption of *OOH intermediates. This study offers a viable strategy for the rational design of ferromagnetic OER catalysts through engineering d-d exchange interactions, with broader implications for the development of magnetic field-responsive electrocatalysts.</w:t>
      </w:r>
    </w:p>
    <w:p>
      <w:pPr>
        <w:spacing w:before="120" w:after="120"/>
      </w:pPr>
      <w:r>
        <w:rPr>
          <w:sz w:val="18"/>
        </w:rPr>
        <w:t>——————————————————————————————————————————————————————————————————————</w:t>
      </w:r>
    </w:p>
    <w:p>
      <w:pPr>
        <w:spacing w:before="160" w:after="40" w:line="240" w:lineRule="auto"/>
      </w:pPr>
      <w:r>
        <w:rPr>
          <w:b/>
        </w:rPr>
        <w:t xml:space="preserve">[221] </w:t>
      </w:r>
      <w:hyperlink r:id="rId553">
        <w:r>
          <w:rPr>
            <w:color w:val="1155CC"/>
            <w:u w:val="single"/>
          </w:rPr>
          <w:t>一位数学家如何破解墨西哥强大的贩毒集团</w:t>
        </w:r>
      </w:hyperlink>
    </w:p>
    <w:p>
      <w:pPr>
        <w:spacing w:before="0" w:after="80"/>
      </w:pPr>
      <w:r>
        <w:rPr>
          <w:i/>
          <w:sz w:val="20"/>
        </w:rPr>
        <w:t>EN: How a mathematician is cracking open Mexico’s powerful drug cartels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54">
        <w:r>
          <w:rPr>
            <w:color w:val="1155CC"/>
            <w:u w:val="single"/>
          </w:rPr>
          <w:t>10.1038/d41586-026-00299-0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[222] </w:t>
      </w:r>
      <w:hyperlink r:id="rId555">
        <w:r>
          <w:rPr>
            <w:color w:val="1155CC"/>
            <w:u w:val="single"/>
          </w:rPr>
          <w:t>压力之下：墨西哥研究系统的现实</w:t>
        </w:r>
      </w:hyperlink>
    </w:p>
    <w:p>
      <w:pPr>
        <w:spacing w:before="0" w:after="80"/>
      </w:pPr>
      <w:r>
        <w:rPr>
          <w:i/>
          <w:sz w:val="20"/>
        </w:rPr>
        <w:t>EN: Under pressure: the reality of Mexico’s research system</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56">
        <w:r>
          <w:rPr>
            <w:color w:val="1155CC"/>
            <w:u w:val="single"/>
          </w:rPr>
          <w:t>10.1038/d41586-026-00442-x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[223] </w:t>
      </w:r>
      <w:hyperlink r:id="rId557">
        <w:r>
          <w:rPr>
            <w:color w:val="1155CC"/>
            <w:u w:val="single"/>
          </w:rPr>
          <w:t>放射学AI使用来自不同健康中心的3D图像进行一致诊断</w:t>
        </w:r>
      </w:hyperlink>
    </w:p>
    <w:p>
      <w:pPr>
        <w:spacing w:before="0" w:after="80"/>
      </w:pPr>
      <w:r>
        <w:rPr>
          <w:i/>
          <w:sz w:val="20"/>
        </w:rPr>
        <w:t>EN: Radiology AI makes consistent diagnoses using 3D images from different health centres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58">
        <w:r>
          <w:rPr>
            <w:color w:val="1155CC"/>
            <w:u w:val="single"/>
          </w:rPr>
          <w:t>10.1038/d41586-026-00645-2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[224] </w:t>
      </w:r>
      <w:hyperlink r:id="rId559">
        <w:r>
          <w:rPr>
            <w:color w:val="1155CC"/>
            <w:u w:val="single"/>
          </w:rPr>
          <w:t>全世界都是舞台</w:t>
        </w:r>
      </w:hyperlink>
    </w:p>
    <w:p>
      <w:pPr>
        <w:spacing w:before="0" w:after="80"/>
      </w:pPr>
      <w:r>
        <w:rPr>
          <w:i/>
          <w:sz w:val="20"/>
        </w:rPr>
        <w:t>EN: All the world is staged</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60">
        <w:r>
          <w:rPr>
            <w:color w:val="1155CC"/>
            <w:u w:val="single"/>
          </w:rPr>
          <w:t>10.1038/d41586-026-00131-9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561">
        <w:r>
          <w:rPr>
            <w:color w:val="1155CC"/>
            <w:u w:val="single"/>
          </w:rPr>
          <w:t>一个遗传开关关闭了父母行为并驱动条纹鼠雄性杀婴</w:t>
        </w:r>
      </w:hyperlink>
    </w:p>
    <w:p>
      <w:pPr>
        <w:spacing w:before="0" w:after="80"/>
      </w:pPr>
      <w:r>
        <w:rPr>
          <w:i/>
          <w:sz w:val="20"/>
        </w:rPr>
        <w:t>EN: A genetic switch turns off parental behaviour and drives infanticide in male striped mice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62">
        <w:r>
          <w:rPr>
            <w:color w:val="1155CC"/>
            <w:u w:val="single"/>
          </w:rPr>
          <w:t>10.1038/d41586-026-00656-z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[226] </w:t>
      </w:r>
      <w:hyperlink r:id="rId563">
        <w:r>
          <w:rPr>
            <w:color w:val="1155CC"/>
            <w:u w:val="single"/>
          </w:rPr>
          <w:t>来自个人捐赠者的资助：爱泼斯坦案件的教训</w:t>
        </w:r>
      </w:hyperlink>
    </w:p>
    <w:p>
      <w:pPr>
        <w:spacing w:before="0" w:after="80"/>
      </w:pPr>
      <w:r>
        <w:rPr>
          <w:i/>
          <w:sz w:val="20"/>
        </w:rPr>
        <w:t>EN: Funding from individual donors: lessons from the Epstein case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64">
        <w:r>
          <w:rPr>
            <w:color w:val="1155CC"/>
            <w:u w:val="single"/>
          </w:rPr>
          <w:t>10.1038/d41586-026-00658-x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565">
        <w:r>
          <w:rPr>
            <w:color w:val="1155CC"/>
            <w:u w:val="single"/>
          </w:rPr>
          <w:t>皮肤细胞增强远程抗体反应</w:t>
        </w:r>
      </w:hyperlink>
    </w:p>
    <w:p>
      <w:pPr>
        <w:spacing w:before="0" w:after="80"/>
      </w:pPr>
      <w:r>
        <w:rPr>
          <w:i/>
          <w:sz w:val="20"/>
        </w:rPr>
        <w:t>EN: Skin cells boost distant antibody responses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66">
        <w:r>
          <w:rPr>
            <w:color w:val="1155CC"/>
            <w:u w:val="single"/>
          </w:rPr>
          <w:t>10.1038/d41586-026-00379-1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[228] </w:t>
      </w:r>
      <w:hyperlink r:id="rId567">
        <w:r>
          <w:rPr>
            <w:color w:val="1155CC"/>
            <w:u w:val="single"/>
          </w:rPr>
          <w:t>外适应的CRISPR–Cas12f同源物驱动RNA引导的转录</w:t>
        </w:r>
      </w:hyperlink>
    </w:p>
    <w:p>
      <w:pPr>
        <w:spacing w:before="0" w:after="80"/>
      </w:pPr>
      <w:r>
        <w:rPr>
          <w:i/>
          <w:sz w:val="20"/>
        </w:rPr>
        <w:t>EN: Exapted CRISPR–Cas12f homologues drive RNA-guided transcription</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68">
        <w:r>
          <w:rPr>
            <w:color w:val="1155CC"/>
            <w:u w:val="single"/>
          </w:rPr>
          <w:t>10.1038/s41586-026-10166-7</w:t>
        </w:r>
      </w:hyperlink>
    </w:p>
    <w:p>
      <w:pPr>
        <w:spacing w:before="0" w:after="120"/>
      </w:pPr>
      <w:r>
        <w:rPr>
          <w:b/>
        </w:rPr>
        <w:t xml:space="preserve">Notes: </w:t>
      </w:r>
      <w:r>
        <w:t>abstract_source=nature_html</w:t>
      </w:r>
    </w:p>
    <w:p>
      <w:pPr>
        <w:spacing w:before="0" w:after="80" w:lineRule="auto" w:line="276"/>
      </w:pPr>
      <w:r>
        <w:rPr>
          <w:b/>
        </w:rPr>
        <w:t xml:space="preserve">摘要（ZH）: </w:t>
      </w:r>
      <w:r>
        <w:t>细菌转录起始是一个严格调控的过程，通常依赖于专用的σ因子通过序列特异性启动子识别，导致RNA聚合酶（RNAP）1与功能性DNA结合。尽管大肠杆菌中的七个σ因子已被广泛研究2，但拟杆菌属编码数十个专门的、胞外功能σ因子（σE），其精确作用尚不清楚，表明存在额外的调控潜力3。在此，我们揭示了一种RNA引导的基因激活机制，涉及σE因子与核酸酶失活的Cas12f（dCas12f）的协调作用。我们在大肠杆菌中使用RNA和染色质免疫沉淀实验筛选了一大组遗传连接的dCas12f和σE同源物，揭示了s</w:t>
      </w:r>
    </w:p>
    <w:p>
      <w:pPr>
        <w:spacing w:before="0" w:after="200" w:lineRule="auto" w:line="276"/>
      </w:pPr>
      <w:r>
        <w:rPr>
          <w:b/>
        </w:rPr>
        <w:t xml:space="preserve">Abstract (EN): </w:t>
      </w:r>
      <w:r>
        <w:t>Bacterial transcription initiation is a tightly regulated process that canonically relies on sequence-specific promoter recognition by dedicated sigma (σ) factors, leading to functional DNA engagement by RNA polymerase (RNAP)1. Although the seven σ factors in Escherichia coli have been extensively characterized2, Bacteroidetes species encode dozens of specialized, extracytoplasmic function σ factors (σE) whose precise roles are unknown, pointing to additional layers of regulatory potential3. Here we uncover a mechanism of RNA-guided gene activation involving the coordinated action of σE factor in complex with nuclease-dead Cas12f (dCas12f). We screened a large set of genetically linked dCas12f and σE homologues in E. coli using RNA and chromatin immunoprecipitation experiments, revealing systems that exhibit robust guide RNA enrichment and DNA target binding with a minimal 5′-G target-adjacent motif. Recruitment of σE was dependent on dCas12f and guide RNA, suggesting direct protein–protein interactions, and co-expression experiments demonstrated that the dCas12f–gRNA–σE ternary complex was competent for programmable recruitment of the RNAP holoenzyme. Remarkably, dCas12f–RNA–σE complexes drove potent gene expression in the absence of any requisite promoter motifs, with de novo transcription start sites defined exclusively by the relative distance from the dCas12f-mediated R-loop. Our findings highlight a new paradigm of RNA-guided transcription that embodies natural features reminiscent of CRISPR activation (CRISPRa) technology4,5.</w:t>
      </w:r>
    </w:p>
    <w:p>
      <w:pPr>
        <w:spacing w:before="120" w:after="120"/>
      </w:pPr>
      <w:r>
        <w:rPr>
          <w:sz w:val="18"/>
        </w:rPr>
        <w:t>——————————————————————————————————————————————————————————————————————</w:t>
      </w:r>
    </w:p>
    <w:p>
      <w:pPr>
        <w:spacing w:before="160" w:after="40" w:line="240" w:lineRule="auto"/>
      </w:pPr>
      <w:r>
        <w:rPr>
          <w:b/>
        </w:rPr>
        <w:t xml:space="preserve">[229] </w:t>
      </w:r>
      <w:hyperlink r:id="rId569">
        <w:r>
          <w:rPr>
            <w:color w:val="1155CC"/>
            <w:u w:val="single"/>
          </w:rPr>
          <w:t>气温上升对热带昆虫构成威胁</w:t>
        </w:r>
      </w:hyperlink>
    </w:p>
    <w:p>
      <w:pPr>
        <w:spacing w:before="0" w:after="80"/>
      </w:pPr>
      <w:r>
        <w:rPr>
          <w:i/>
          <w:sz w:val="20"/>
        </w:rPr>
        <w:t>EN: Rising temperatures pose a threat to tropical insects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70">
        <w:r>
          <w:rPr>
            <w:color w:val="1155CC"/>
            <w:u w:val="single"/>
          </w:rPr>
          <w:t>10.1038/d41586-026-00377-3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[230] </w:t>
      </w:r>
      <w:hyperlink r:id="rId571">
        <w:r>
          <w:rPr>
            <w:color w:val="1155CC"/>
            <w:u w:val="single"/>
          </w:rPr>
          <w:t>AI可以编写基因组——创造合成生命还需要多久？</w:t>
        </w:r>
      </w:hyperlink>
    </w:p>
    <w:p>
      <w:pPr>
        <w:spacing w:before="0" w:after="80"/>
      </w:pPr>
      <w:r>
        <w:rPr>
          <w:i/>
          <w:sz w:val="20"/>
        </w:rPr>
        <w:t>EN: AI can write genomes — how long until it creates synthetic life?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72">
        <w:r>
          <w:rPr>
            <w:color w:val="1155CC"/>
            <w:u w:val="single"/>
          </w:rPr>
          <w:t>10.1038/d41586-026-00681-y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573">
        <w:r>
          <w:rPr>
            <w:color w:val="1155CC"/>
            <w:u w:val="single"/>
          </w:rPr>
          <w:t>压力激素信号保护扩散的癌细胞免受免疫系统攻击</w:t>
        </w:r>
      </w:hyperlink>
    </w:p>
    <w:p>
      <w:pPr>
        <w:spacing w:before="0" w:after="80"/>
      </w:pPr>
      <w:r>
        <w:rPr>
          <w:i/>
          <w:sz w:val="20"/>
        </w:rPr>
        <w:t>EN: Stress-hormone signalling protects spreading cancer cells from immune system</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74">
        <w:r>
          <w:rPr>
            <w:color w:val="1155CC"/>
            <w:u w:val="single"/>
          </w:rPr>
          <w:t>10.1038/d41586-026-00650-5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575">
        <w:r>
          <w:rPr>
            <w:color w:val="1155CC"/>
            <w:u w:val="single"/>
          </w:rPr>
          <w:t>关于制造难以捉摸的‘六方’钻石的新声明是迄今为止最有力的</w:t>
        </w:r>
      </w:hyperlink>
    </w:p>
    <w:p>
      <w:pPr>
        <w:spacing w:before="0" w:after="80"/>
      </w:pPr>
      <w:r>
        <w:rPr>
          <w:i/>
          <w:sz w:val="20"/>
        </w:rPr>
        <w:t>EN: Fresh claim of making elusive ‘hexagonal’ diamond is the strongest yet</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76">
        <w:r>
          <w:rPr>
            <w:color w:val="1155CC"/>
            <w:u w:val="single"/>
          </w:rPr>
          <w:t>10.1038/d41586-026-00711-9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[233] </w:t>
      </w:r>
      <w:hyperlink r:id="rId577">
        <w:r>
          <w:rPr>
            <w:color w:val="1155CC"/>
            <w:u w:val="single"/>
          </w:rPr>
          <w:t>利用机器学习推进全球气溶胶预报的操作</w:t>
        </w:r>
      </w:hyperlink>
    </w:p>
    <w:p>
      <w:pPr>
        <w:spacing w:before="0" w:after="80"/>
      </w:pPr>
      <w:r>
        <w:rPr>
          <w:i/>
          <w:sz w:val="20"/>
        </w:rPr>
        <w:t>EN: Advancing operational global aerosol forecasting with machine learning</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78">
        <w:r>
          <w:rPr>
            <w:color w:val="1155CC"/>
            <w:u w:val="single"/>
          </w:rPr>
          <w:t>10.1038/s41586-026-10234-y</w:t>
        </w:r>
      </w:hyperlink>
    </w:p>
    <w:p>
      <w:pPr>
        <w:spacing w:before="0" w:after="120"/>
      </w:pPr>
      <w:r>
        <w:rPr>
          <w:b/>
        </w:rPr>
        <w:t xml:space="preserve">Notes: </w:t>
      </w:r>
      <w:r>
        <w:t>abstract_source=nature_html</w:t>
      </w:r>
    </w:p>
    <w:p>
      <w:pPr>
        <w:spacing w:before="0" w:after="80" w:lineRule="auto" w:line="276"/>
      </w:pPr>
      <w:r>
        <w:rPr>
          <w:b/>
        </w:rPr>
        <w:t xml:space="preserve">摘要（ZH）: </w:t>
      </w:r>
      <w:r>
        <w:t>气溶胶预报对于空气质量管理、健康风险评估和气候变化缓解非常重要1,2。然而，由于气溶胶物理化学过程与大气动力学之间的相互作用，使得气溶胶预报比天气预报更为复杂，导致高不确定性和计算成本3,4。在此，我们开发了一种机器学习驱动的全球气溶胶-气象预报系统（AI-GAMFS），提供可靠的5天、每3小时的气溶胶光学成分和地表浓度预报。AI-GAMFS在骨干网络中结合了视觉变换器和U-Net，通过全球注意力和时空编码稳健地捕捉复杂的气溶胶-气象相互作用。该系统在42年的气溶胶再分析数据上进行训练，并以全球地球O</w:t>
      </w:r>
    </w:p>
    <w:p>
      <w:pPr>
        <w:spacing w:before="0" w:after="200" w:lineRule="auto" w:line="276"/>
      </w:pPr>
      <w:r>
        <w:rPr>
          <w:b/>
        </w:rPr>
        <w:t xml:space="preserve">Abstract (EN): </w:t>
      </w:r>
      <w:r>
        <w:t>Aerosol forecasting is important for air-quality management, health risk assessment and climate change mitigation1,2. However, it is more complex than weather forecasting, owing to the interactions between aerosol physicochemical processes and atmospheric dynamics, resulting in high uncertainty and computational costs3,4. Here we develop a machine-learning-driven Global Aerosol–Meteorology Forecasting System (AI-GAMFS), which provides reliable 5-day, 3-hourly forecasts of aerosol optical components and surface concentrations. AI-GAMFS combines a vision transformer and U-Net in a backbone network, robustly capturing the complex aerosol–meteorology interactions via global attention and spatiotemporal encoding. Trained on 42 years of aerosol reanalysis data and initialized with Global Earth Observing System Forward Processing (GEOS-FP) analyses, AI-GAMFS delivers operational 5-day forecasts in 1 minute. Evaluation with independent ground-based observations suggests improved performance compared with the Copernicus Atmosphere Monitoring Service5 and regional dust models6,7,8,9 in forecasting aerosol optical depth and dust components. Compared with GEOS-FP10, it has a lower root-mean-square error for global aerosol optical depth, with comparable dust forecasting skill and improved surface aerosol component forecasts over the USA and China. Our results provide a step forward in leveraging machine learning to refine aerosol forecasting and may help warn against aerosol pollution events such as dust storms and wildfires.</w:t>
      </w:r>
    </w:p>
    <w:p>
      <w:pPr>
        <w:spacing w:before="120" w:after="120"/>
      </w:pPr>
      <w:r>
        <w:rPr>
          <w:sz w:val="18"/>
        </w:rPr>
        <w:t>——————————————————————————————————————————————————————————————————————</w:t>
      </w:r>
    </w:p>
    <w:p>
      <w:pPr>
        <w:spacing w:before="160" w:after="40" w:line="240" w:lineRule="auto"/>
      </w:pPr>
      <w:r>
        <w:rPr>
          <w:b/>
        </w:rPr>
        <w:t xml:space="preserve">[234] </w:t>
      </w:r>
      <w:hyperlink r:id="rId579">
        <w:r>
          <w:rPr>
            <w:color w:val="1155CC"/>
            <w:u w:val="single"/>
          </w:rPr>
          <w:t>光催化合成有机砷化物直接来自矿物</w:t>
        </w:r>
      </w:hyperlink>
    </w:p>
    <w:p>
      <w:pPr>
        <w:spacing w:before="0" w:after="80"/>
      </w:pPr>
      <w:r>
        <w:rPr>
          <w:i/>
          <w:sz w:val="20"/>
        </w:rPr>
        <w:t>EN: Photocatalytic synthesis of organoarsenicals directly from minerals</w:t>
      </w:r>
    </w:p>
    <w:p>
      <w:pPr>
        <w:spacing w:before="0" w:after="120"/>
      </w:pPr>
      <w:r>
        <w:rPr>
          <w:b/>
        </w:rPr>
        <w:t xml:space="preserve">Source: </w:t>
      </w:r>
      <w:r>
        <w:t>Nature Chemistry</w:t>
      </w:r>
      <w:r>
        <w:t xml:space="preserve">    </w:t>
      </w:r>
      <w:r>
        <w:rPr>
          <w:b/>
        </w:rPr>
        <w:t xml:space="preserve">Pub date: </w:t>
      </w:r>
      <w:r>
        <w:t>2026-03-04 00:00:00+00:00</w:t>
      </w:r>
      <w:r>
        <w:t xml:space="preserve">    </w:t>
      </w:r>
      <w:r>
        <w:rPr>
          <w:b/>
        </w:rPr>
        <w:t xml:space="preserve">DOI: </w:t>
      </w:r>
      <w:hyperlink r:id="rId580">
        <w:r>
          <w:rPr>
            <w:color w:val="1155CC"/>
            <w:u w:val="single"/>
          </w:rPr>
          <w:t>10.1038/s41557-026-02065-1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[235] </w:t>
      </w:r>
      <w:hyperlink r:id="rId581">
        <w:r>
          <w:rPr>
            <w:color w:val="1155CC"/>
            <w:u w:val="single"/>
          </w:rPr>
          <w:t>癌症血液测试无处不在。它们真的有效吗？</w:t>
        </w:r>
      </w:hyperlink>
    </w:p>
    <w:p>
      <w:pPr>
        <w:spacing w:before="0" w:after="80"/>
      </w:pPr>
      <w:r>
        <w:rPr>
          <w:i/>
          <w:sz w:val="20"/>
        </w:rPr>
        <w:t>EN: Cancer blood tests are everywhere. Do they really work?</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82">
        <w:r>
          <w:rPr>
            <w:color w:val="1155CC"/>
            <w:u w:val="single"/>
          </w:rPr>
          <w:t>10.1038/d41586-026-00661-2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[236] </w:t>
      </w:r>
      <w:hyperlink r:id="rId583">
        <w:r>
          <w:rPr>
            <w:color w:val="1155CC"/>
            <w:u w:val="single"/>
          </w:rPr>
          <w:t>湿土还是干土引发雷暴？这取决于风的吹向</w:t>
        </w:r>
      </w:hyperlink>
    </w:p>
    <w:p>
      <w:pPr>
        <w:spacing w:before="0" w:after="80"/>
      </w:pPr>
      <w:r>
        <w:rPr>
          <w:i/>
          <w:sz w:val="20"/>
        </w:rPr>
        <w:t>EN: Do wet or dry soils trigger thunderstorms? It depends on how the wind blows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84">
        <w:r>
          <w:rPr>
            <w:color w:val="1155CC"/>
            <w:u w:val="single"/>
          </w:rPr>
          <w:t>10.1038/d41586-026-00376-4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585">
        <w:r>
          <w:rPr>
            <w:color w:val="1155CC"/>
            <w:u w:val="single"/>
          </w:rPr>
          <w:t>癌前微环境重塑决定新生肿瘤的持久性</w:t>
        </w:r>
      </w:hyperlink>
    </w:p>
    <w:p>
      <w:pPr>
        <w:spacing w:before="0" w:after="80"/>
      </w:pPr>
      <w:r>
        <w:rPr>
          <w:i/>
          <w:sz w:val="20"/>
        </w:rPr>
        <w:t>EN: Precancerous niche remodelling dictates nascent tumour persistence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86">
        <w:r>
          <w:rPr>
            <w:color w:val="1155CC"/>
            <w:u w:val="single"/>
          </w:rPr>
          <w:t>10.1038/s41586-026-10157-8</w:t>
        </w:r>
      </w:hyperlink>
    </w:p>
    <w:p>
      <w:pPr>
        <w:spacing w:before="0" w:after="120"/>
      </w:pPr>
      <w:r>
        <w:rPr>
          <w:b/>
        </w:rPr>
        <w:t xml:space="preserve">Notes: </w:t>
      </w:r>
      <w:r>
        <w:t>abstract_source=nature_html</w:t>
      </w:r>
    </w:p>
    <w:p>
      <w:pPr>
        <w:spacing w:before="0" w:after="80" w:lineRule="auto" w:line="276"/>
      </w:pPr>
      <w:r>
        <w:rPr>
          <w:b/>
        </w:rPr>
        <w:t xml:space="preserve">摘要（ZH）: </w:t>
      </w:r>
      <w:r>
        <w:t>突变细胞与其环境之间的相互作用在决定癌症易感性方面起着关键作用1,2,3。然而，对癌前微环境如何促进早期肿瘤发生的理解仍然有限。在此，我们展示了新出现的肿瘤在其最初阶段塑造其微环境的关键过程，这决定了它们的生存。对小鼠上消化道新生鳞状肿瘤的分析表明，早期肿瘤细胞的应激反应指导下层间质形成支持性“癌前生态位”，这决定了上皮病变的长期结果。新生肿瘤下方的刺激成纤维细胞激活伤口愈合反应，触发下层的显著重塑</w:t>
      </w:r>
    </w:p>
    <w:p>
      <w:pPr>
        <w:spacing w:before="0" w:after="200" w:lineRule="auto" w:line="276"/>
      </w:pPr>
      <w:r>
        <w:rPr>
          <w:b/>
        </w:rPr>
        <w:t xml:space="preserve">Abstract (EN): </w:t>
      </w:r>
      <w:r>
        <w:t>Interactions between mutant cells and their environment have a key role in determining cancer susceptibility1,2,3. However, understanding of how the precancerous microenvironment contributes to early tumorigenesis remains limited. Here we show that newly emerging tumours at their most incipient stages shape their microenvironment in a critical process that determines their survival. Analysis of nascent squamous tumours in the upper gastrointestinal tract of the mouse reveals that the stress response of early tumour cells instructs the underlying mesenchyme to form a supportive ‘precancerous niche’, which dictates the long-term outcome of epithelial lesions. Stimulated fibroblasts beneath emerging tumours activate a wound-healing response that triggers a marked remodelling of the underlying extracellular matrix, resulting in the formation of a fibronectin-rich stromal scaffold that promotes tumour growth. Functional heterotypic 3D culture assays and in vivo grafting experiments, combining carcinogen-free healthy epithelium and tumour-derived stroma, demonstrate that the precancerous niche alone is sufficient to confer tumour properties to normal epithelial cells. We propose a model in which both mutations and the stromal response to genetic stress together define the likelihood of early tumours to persist and progress towards more advanced disease stages.</w:t>
      </w:r>
    </w:p>
    <w:p>
      <w:pPr>
        <w:spacing w:before="120" w:after="120"/>
      </w:pPr>
      <w:r>
        <w:rPr>
          <w:sz w:val="18"/>
        </w:rPr>
        <w:t>——————————————————————————————————————————————————————————————————————</w:t>
      </w:r>
    </w:p>
    <w:p>
      <w:pPr>
        <w:spacing w:before="160" w:after="40" w:line="240" w:lineRule="auto"/>
      </w:pPr>
      <w:r>
        <w:rPr>
          <w:b/>
        </w:rPr>
        <w:t xml:space="preserve">[238] </w:t>
      </w:r>
      <w:hyperlink r:id="rId587">
        <w:r>
          <w:rPr>
            <w:color w:val="1155CC"/>
            <w:u w:val="single"/>
          </w:rPr>
          <w:t>PIEZO2的力选择性的分子基础</w:t>
        </w:r>
      </w:hyperlink>
    </w:p>
    <w:p>
      <w:pPr>
        <w:spacing w:before="0" w:after="80"/>
      </w:pPr>
      <w:r>
        <w:rPr>
          <w:i/>
          <w:sz w:val="20"/>
        </w:rPr>
        <w:t>EN: The molecular basis of force selectivity by PIEZO2</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88">
        <w:r>
          <w:rPr>
            <w:color w:val="1155CC"/>
            <w:u w:val="single"/>
          </w:rPr>
          <w:t>10.1038/s41586-026-10182-7</w:t>
        </w:r>
      </w:hyperlink>
    </w:p>
    <w:p>
      <w:pPr>
        <w:spacing w:before="0" w:after="120"/>
      </w:pPr>
      <w:r>
        <w:rPr>
          <w:b/>
        </w:rPr>
        <w:t xml:space="preserve">Notes: </w:t>
      </w:r>
      <w:r>
        <w:t>abstract_source=nature_html</w:t>
      </w:r>
    </w:p>
    <w:p>
      <w:pPr>
        <w:spacing w:before="0" w:after="80" w:lineRule="auto" w:line="276"/>
      </w:pPr>
      <w:r>
        <w:rPr>
          <w:b/>
        </w:rPr>
        <w:t xml:space="preserve">摘要（ZH）: </w:t>
      </w:r>
      <w:r>
        <w:t>PIEZO是机械门控离子通道，将力转化为电化学信号1。PIEZO1对多种刺激有反应，包括膜拉伸2和剪切应力3，而PIEZO2通常调节以检测细胞压痕4,5。PIEZO2的功能特化被认为是其独特生理作用的基础，包括介导触觉6,7。尽管PIEZO2与PIEZO1在结构上非常相似，但其如何实现这种选择性尚不清楚。在此，我们结合单分子MINFLUX荧光纳米显微镜与电生理学，将PIEZO2的构象状态与完整细胞中的通道门控联系起来。我们发现PIEZO2本质上比PIEZO1更刚性，并且不同的机械刺激悖论地引发相反的构象和门控变化。</w:t>
      </w:r>
    </w:p>
    <w:p>
      <w:pPr>
        <w:spacing w:before="0" w:after="200" w:lineRule="auto" w:line="276"/>
      </w:pPr>
      <w:r>
        <w:rPr>
          <w:b/>
        </w:rPr>
        <w:t xml:space="preserve">Abstract (EN): </w:t>
      </w:r>
      <w:r>
        <w:t>PIEZOs are mechanically gated ion channels that transduce force into electrochemical signals1. PIEZO1 responds to diverse stimuli including membrane stretch2 and shear stress3, whereas PIEZO2 is generally tuned to detect cellular indentation4,5. The functional specialization of PIEZO2 is proposed to underlie its distinct physiological roles, including mediating the sense of touch6,7. How PIEZO2 achieves this selectivity despite its close structural similarity to PIEZO1 is unclear. Here we combine single-molecule MINFLUX fluorescence nanoscopy with electrophysiology to link the conformational states of PIEZO2 to channel gating in intact cells. We find that PIEZO2 is intrinsically more rigid than PIEZO1, and that disparate mechanical stimuli paradoxically evoke opposite conformational and gating responses in each channel. These unique gating properties arise in part from a connection to the actin cytoskeleton, and we identify filamin-B (FLNB) as a molecular tether that is required for this interaction. This complex alters how force is transmitted to PIEZO2 and confers heightened sensitivity to and selectivity for cellular indentation. PIEZO2 and FLNB are co-expressed in somatosensory neurons and colocalize within tens of nanometres at the end organs of cutaneous mechanosensory afferents. These findings help to explain why PIEZO2 is a specialized mechanosensor and provide a molecular blueprint for understanding how cells decode diverse mechanical stimuli across tissues and organ systems.</w:t>
      </w:r>
    </w:p>
    <w:p>
      <w:pPr>
        <w:spacing w:before="120" w:after="120"/>
      </w:pPr>
      <w:r>
        <w:rPr>
          <w:sz w:val="18"/>
        </w:rPr>
        <w:t>——————————————————————————————————————————————————————————————————————</w:t>
      </w:r>
    </w:p>
    <w:p>
      <w:pPr>
        <w:spacing w:before="160" w:after="40" w:line="240" w:lineRule="auto"/>
      </w:pPr>
      <w:r>
        <w:rPr>
          <w:b/>
        </w:rPr>
        <w:t xml:space="preserve">[239] </w:t>
      </w:r>
      <w:hyperlink r:id="rId589">
        <w:r>
          <w:rPr>
            <w:color w:val="1155CC"/>
            <w:u w:val="single"/>
          </w:rPr>
          <w:t>糖皮质激素–FAS轴在转移播种期间控制免疫逃逸</w:t>
        </w:r>
      </w:hyperlink>
    </w:p>
    <w:p>
      <w:pPr>
        <w:spacing w:before="0" w:after="80"/>
      </w:pPr>
      <w:r>
        <w:rPr>
          <w:i/>
          <w:sz w:val="20"/>
        </w:rPr>
        <w:t>EN: A glucocorticoid–FAS axis controls immune evasion during metastatic seeding</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90">
        <w:r>
          <w:rPr>
            <w:color w:val="1155CC"/>
            <w:u w:val="single"/>
          </w:rPr>
          <w:t>10.1038/s41586-026-10222-2</w:t>
        </w:r>
      </w:hyperlink>
    </w:p>
    <w:p>
      <w:pPr>
        <w:spacing w:before="0" w:after="120"/>
      </w:pPr>
      <w:r>
        <w:rPr>
          <w:b/>
        </w:rPr>
        <w:t xml:space="preserve">Notes: </w:t>
      </w:r>
      <w:r>
        <w:t>abstract_source=nature_html</w:t>
      </w:r>
    </w:p>
    <w:p>
      <w:pPr>
        <w:spacing w:before="0" w:after="80" w:lineRule="auto" w:line="276"/>
      </w:pPr>
      <w:r>
        <w:rPr>
          <w:b/>
        </w:rPr>
        <w:t xml:space="preserve">摘要（ZH）: </w:t>
      </w:r>
      <w:r>
        <w:t>转移是三阴性乳腺癌和其他实体恶性肿瘤患者死亡的主要原因。转移来自于从原发肿瘤扩散的癌细胞，这些细胞在全身免疫监视中存活并在新器官中定殖1。关于初始扩散的肿瘤细胞（DTCs）在播种新器官后如何克服抗肿瘤免疫知之甚少。在此，我们在三阴性乳腺癌模型中使用可见抗原与相应的CD8+ T细胞研究早期转移播种中的免疫逃逸机制。对存活的DTCs的分析显示，糖皮质激素受体（GR）激活是对CD8+ T细胞和自然杀伤细胞抵抗的关键驱动因素。使用优化的标记工具进行的生态位分析确定了FAS–FASL作为关键的全细胞毒性途径。</w:t>
      </w:r>
    </w:p>
    <w:p>
      <w:pPr>
        <w:spacing w:before="0" w:after="200" w:lineRule="auto" w:line="276"/>
      </w:pPr>
      <w:r>
        <w:rPr>
          <w:b/>
        </w:rPr>
        <w:t xml:space="preserve">Abstract (EN): </w:t>
      </w:r>
      <w:r>
        <w:t>Metastasis is the major cause of death for patients with triple-negative breast cancer and other solid malignancies. Metastases arise from cancer cells that disseminate from the original tumour, survive systemic immune surveillance and colonize new organs1. Little is known about how initial disseminated tumour cells (DTCs) overcome anti-tumour immunity after seeding a new organ. Here we use a visible antigen in a model of triple-negative breast cancer with cognate CD8+ T cells to study the mechanisms of immune evasion in early metastatic seeding. Analysis of surviving DTCs revealed glucocorticoid receptor (GR) activation as a key driver of resistance to both CD8+ T cells and natural killer cells. Niche profiling using an optimized labelling tool identified FAS–FASL as a key pan-cytotoxic pathway against DTCs, which is repressed by GR activation. Pharmacological inhibition of GR in combination with immunotherapy reduced metastatic burden and expanded lifespan in mice. Thus, we identified a mechanism of immune evasion that operates specifically in DTCs, illustrating the unique immune–cancer interactions at this stage in the metastatic cascade. Our findings suggest that there are therapeutic opportunities to eliminate DTCs, separately from treatments aimed at primary tumours, and GR inhibition is one promising target.</w:t>
      </w:r>
    </w:p>
    <w:p>
      <w:pPr>
        <w:spacing w:before="120" w:after="120"/>
      </w:pPr>
      <w:r>
        <w:rPr>
          <w:sz w:val="18"/>
        </w:rPr>
        <w:t>——————————————————————————————————————————————————————————————————————</w:t>
      </w:r>
    </w:p>
    <w:p>
      <w:pPr>
        <w:spacing w:before="160" w:after="40" w:line="240" w:lineRule="auto"/>
      </w:pPr>
      <w:r>
        <w:rPr>
          <w:b/>
        </w:rPr>
        <w:t xml:space="preserve">[240] </w:t>
      </w:r>
      <w:hyperlink r:id="rId591">
        <w:r>
          <w:rPr>
            <w:color w:val="1155CC"/>
            <w:u w:val="single"/>
          </w:rPr>
          <w:t>海平面比大多数沿海灾害评估中假设的要高得多</w:t>
        </w:r>
      </w:hyperlink>
    </w:p>
    <w:p>
      <w:pPr>
        <w:spacing w:before="0" w:after="80"/>
      </w:pPr>
      <w:r>
        <w:rPr>
          <w:i/>
          <w:sz w:val="20"/>
        </w:rPr>
        <w:t>EN: Sea level much higher than assumed in most coastal hazard assessments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92">
        <w:r>
          <w:rPr>
            <w:color w:val="1155CC"/>
            <w:u w:val="single"/>
          </w:rPr>
          <w:t>10.1038/s41586-026-10196-1</w:t>
        </w:r>
      </w:hyperlink>
    </w:p>
    <w:p>
      <w:pPr>
        <w:spacing w:before="0" w:after="120"/>
      </w:pPr>
      <w:r>
        <w:rPr>
          <w:b/>
        </w:rPr>
        <w:t xml:space="preserve">Notes: </w:t>
      </w:r>
      <w:r>
        <w:t>abstract_source=nature_html</w:t>
      </w:r>
    </w:p>
    <w:p>
      <w:pPr>
        <w:spacing w:before="0" w:after="80" w:lineRule="auto" w:line="276"/>
      </w:pPr>
      <w:r>
        <w:rPr>
          <w:b/>
        </w:rPr>
        <w:t xml:space="preserve">摘要（ZH）: </w:t>
      </w:r>
      <w:r>
        <w:t>海平面上升和其他危害对世界海岸的影响由沿海海平面高度和地面高程决定1。正确整合这两个方面对于可靠的海平面上升和沿海危害影响评估至关重要2,3，但通常未被仔细考虑或正确执行。在此，我们展示了超过99%的评估影响评估不当处理了海平面和地面高程数据，从而错误判断了相对于沿海高程的海平面。根据我们的文献评估，90%的危害评估基于大地水准面模型假设沿海海平面，而不是使用实际的海平面测量。我们的全球范围元分析显示，在大多数危害评估中，测量的沿海海平面高于假设的水平（平均偏差）。</w:t>
      </w:r>
    </w:p>
    <w:p>
      <w:pPr>
        <w:spacing w:before="0" w:after="200" w:lineRule="auto" w:line="276"/>
      </w:pPr>
      <w:r>
        <w:rPr>
          <w:b/>
        </w:rPr>
        <w:t xml:space="preserve">Abstract (EN): </w:t>
      </w:r>
      <w:r>
        <w:t>The impacts of sea-level rise and other hazards on the coasts of the world are determined by coastal sea-level height and land elevation1. Correct integration of both aspects is fundamental for reliable sea-level rise and coastal hazard impact assessments2,3, but is often not carefully considered or properly performed. Here we show that more than 99% of the evaluated impact assessments handled sea-level and land elevation data inadequately, thereby misjudging sea level relative to coastal elevation. Based on our literature evaluation, 90% of the hazard assessments assume coastal sea levels based on geoid models, rather than using actual sea-level measurements. Our meta-analyses on global scale show that measured coastal sea level is higher than assumed in most hazard assessments (mean offsets [standard deviation] of 0.27 m [0.76 m] and 0.24 m [0.52 m] for two commonly-used geoids). Regionally, predominantly in the Global South, measured mean sea level can be more than 1 m above global geoids, with the largest differences in the Indo-Pacific. Compared with geoid-based assumptions of coastal sea level, the measured values suggest that with a hypothetical 1 m of relative sea-level rise, 31–37% more land and 48–68% more people (increasing estimates to 77–132 million) would fall below sea level. Our results highlight the need for re-evaluation of existing coastal impact assessments and improvement of research community standards, with possible implications for policymakers, climate finance and coastal adaptation.</w:t>
      </w:r>
    </w:p>
    <w:p>
      <w:pPr>
        <w:spacing w:before="120" w:after="120"/>
      </w:pPr>
      <w:r>
        <w:rPr>
          <w:sz w:val="18"/>
        </w:rPr>
        <w:t>——————————————————————————————————————————————————————————————————————</w:t>
      </w:r>
    </w:p>
    <w:p>
      <w:pPr>
        <w:spacing w:before="160" w:after="40" w:line="240" w:lineRule="auto"/>
      </w:pPr>
      <w:r>
        <w:rPr>
          <w:b/>
        </w:rPr>
        <w:t xml:space="preserve">[241] </w:t>
      </w:r>
      <w:hyperlink r:id="rId593">
        <w:r>
          <w:rPr>
            <w:color w:val="1155CC"/>
            <w:u w:val="single"/>
          </w:rPr>
          <w:t>块状六方金刚石</w:t>
        </w:r>
      </w:hyperlink>
    </w:p>
    <w:p>
      <w:pPr>
        <w:spacing w:before="0" w:after="80"/>
      </w:pPr>
      <w:r>
        <w:rPr>
          <w:i/>
          <w:sz w:val="20"/>
        </w:rPr>
        <w:t>EN: Bulk hexagonal diamond</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94">
        <w:r>
          <w:rPr>
            <w:color w:val="1155CC"/>
            <w:u w:val="single"/>
          </w:rPr>
          <w:t>10.1038/s41586-026-10212-4</w:t>
        </w:r>
      </w:hyperlink>
    </w:p>
    <w:p>
      <w:pPr>
        <w:spacing w:before="0" w:after="120"/>
      </w:pPr>
      <w:r>
        <w:rPr>
          <w:b/>
        </w:rPr>
        <w:t xml:space="preserve">Notes: </w:t>
      </w:r>
      <w:r>
        <w:t>abstract_source=nature_html</w:t>
      </w:r>
    </w:p>
    <w:p>
      <w:pPr>
        <w:spacing w:before="0" w:after="80" w:lineRule="auto" w:line="276"/>
      </w:pPr>
      <w:r>
        <w:rPr>
          <w:b/>
        </w:rPr>
        <w:t xml:space="preserve">摘要（ZH）: </w:t>
      </w:r>
      <w:r>
        <w:t>被称为“终极半导体”的立方金刚石（CD）在科学和工业上都引起了极大的兴趣。其多晶型体六方金刚石（HD）更具吸引力，因为其与陨石撞击相关的迷人特性1,2,3,4,5,6,7,8。由于没有提供实验证据来证明其存在，HD的物理特性仍然大多未被探索。在此，我们报告了从高度定向的热解石墨（HOPG）沿c轴在高温下压缩合成毫米级、相纯的HD。结合先进的结构表征和理论模拟，我们确认了HD的身份并阐明了从石墨转变的路径。块状HD表现出比CD略高的硬度和高</w:t>
      </w:r>
    </w:p>
    <w:p>
      <w:pPr>
        <w:spacing w:before="0" w:after="200" w:lineRule="auto" w:line="276"/>
      </w:pPr>
      <w:r>
        <w:rPr>
          <w:b/>
        </w:rPr>
        <w:t xml:space="preserve">Abstract (EN): </w:t>
      </w:r>
      <w:r>
        <w:t>Known as the ‘ultimate semiconductor’, cubic diamond (CD) has gained substantial interest both scientifically and industrially. Its polymorph, hexagonal diamond (HD), is even more intriguing because of its fascinating properties associated with the meteorite impacts1,2,3,4,5,6,7,8. As no solid experimental evidence has been provided to prove its existence, the physical properties of HD remain largely unexplored. Here we report the synthesis of millimetre-sized, phase-pure HD from highly oriented pyrolytic graphite (HOPG) compressed along the c-axis at elevated temperatures. Combining advanced structural characterizations and theoretical simulations, we confirm the identity of HD and clarify the transformation pathway from graphite. Bulk HD exhibits a slightly higher hardness than CD and high thermal stability. These findings resolve the long-standing controversy on the existence of HD as a discrete carbon phase and provide new insight into the graphite-to-diamond phase transition, paving the way for future research and practical use of HD in advanced technological applications.</w:t>
      </w:r>
    </w:p>
    <w:p>
      <w:pPr>
        <w:spacing w:before="120" w:after="120"/>
      </w:pPr>
      <w:r>
        <w:rPr>
          <w:sz w:val="18"/>
        </w:rPr>
        <w:t>——————————————————————————————————————————————————————————————————————</w:t>
      </w:r>
    </w:p>
    <w:p>
      <w:pPr>
        <w:spacing w:before="160" w:after="40" w:line="240" w:lineRule="auto"/>
      </w:pPr>
      <w:r>
        <w:rPr>
          <w:b/>
        </w:rPr>
        <w:t xml:space="preserve">[242] </w:t>
      </w:r>
      <w:hyperlink r:id="rId595">
        <w:r>
          <w:rPr>
            <w:color w:val="1155CC"/>
            <w:u w:val="single"/>
          </w:rPr>
          <w:t>dCas12f–σE–RNAP复合物指导的RNA转录的结构基础</w:t>
        </w:r>
      </w:hyperlink>
    </w:p>
    <w:p>
      <w:pPr>
        <w:spacing w:before="0" w:after="80"/>
      </w:pPr>
      <w:r>
        <w:rPr>
          <w:i/>
          <w:sz w:val="20"/>
        </w:rPr>
        <w:t>EN: Structural basis of RNA-guided transcription by a dCas12f–σE–RNAP complex</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96">
        <w:r>
          <w:rPr>
            <w:color w:val="1155CC"/>
            <w:u w:val="single"/>
          </w:rPr>
          <w:t>10.1038/s41586-026-10178-3</w:t>
        </w:r>
      </w:hyperlink>
    </w:p>
    <w:p>
      <w:pPr>
        <w:spacing w:before="0" w:after="120"/>
      </w:pPr>
      <w:r>
        <w:rPr>
          <w:b/>
        </w:rPr>
        <w:t xml:space="preserve">Notes: </w:t>
      </w:r>
      <w:r>
        <w:t>abstract_source=nature_html</w:t>
      </w:r>
    </w:p>
    <w:p>
      <w:pPr>
        <w:spacing w:before="0" w:after="80" w:lineRule="auto" w:line="276"/>
      </w:pPr>
      <w:r>
        <w:rPr>
          <w:b/>
        </w:rPr>
        <w:t xml:space="preserve">摘要（ZH）: </w:t>
      </w:r>
      <w:r>
        <w:t>在自然和工程生物系统中，RNA引导的蛋白质通过调节RNA聚合酶（RNAP）及其相关因子1,2,3，已成为关键的转录调节因子。在细菌中，各种重新利用的TnpB和CRISPR相关蛋白通过阻止转录起始或延长来抑制基因表达，从而实现非典型的调控模式和适应性免疫1,4,5。一类独特的核酸酶失活的Cas12f同源物（dCas12f）则通过与独特的胞外功能σ因子（σE）6结合来激活基因表达，尽管其分子基础仍然难以捉摸。在此，我们通过确定dCas12f–σE系统的冷冻电子显微镜结构揭示了一种新的RNA引导的转录起始模式</w:t>
      </w:r>
    </w:p>
    <w:p>
      <w:pPr>
        <w:spacing w:before="0" w:after="200" w:lineRule="auto" w:line="276"/>
      </w:pPr>
      <w:r>
        <w:rPr>
          <w:b/>
        </w:rPr>
        <w:t xml:space="preserve">Abstract (EN): </w:t>
      </w:r>
      <w:r>
        <w:t>In both natural and engineered biological systems, RNA-guided proteins have emerged as critical transcriptional regulators by modulating RNA polymerase (RNAP) and its associated factors1,2,3. In bacteria, diverse clades of repurposed TnpB and CRISPR-associated proteins repress gene expression by blocking transcription initiation or elongation, enabling non-canonical modes of regulatory control and adaptive immunity1,4,5. A distinct class of nuclease-dead Cas12f homologues (dCas12f) instead activates gene expression through its association with unique extracytoplasmic function sigma factors (σE)6, although the molecular basis has remained elusive. Here we reveal a new mode of RNA-guided transcription initiation by determining the cryo-electron microscopy structures of the dCas12f–σE system from Flagellimonas taeanensis. We captured multiple conformational and compositional states, including the DNA-bound dCas12f–σE–RNAP holoenzyme complex, revealing how RNA-guided DNA binding leads to σE–RNAP recruitment and nascent mRNA synthesis at a precisely defined distance downstream of the R-loop. Rather than following the classical paradigm of σE-dependent promoter recognition, these studies show that recognition of the −35 element is largely supplanted by CRISPR–Cas targeting, whereas the melted −10 element is stabilized through unusual stacking interactions rather than insertion into the typical recognition pocket. Collectively, this work provides high-resolution insights into an unexpected mechanism of RNA-guided transcription, expanding our understanding of bacterial gene regulation and opening new avenues for programmable transcriptional control.</w:t>
      </w:r>
    </w:p>
    <w:p>
      <w:pPr>
        <w:spacing w:before="120" w:after="120"/>
      </w:pPr>
      <w:r>
        <w:rPr>
          <w:sz w:val="18"/>
        </w:rPr>
        <w:t>——————————————————————————————————————————————————————————————————————</w:t>
      </w:r>
    </w:p>
    <w:p>
      <w:pPr>
        <w:spacing w:before="160" w:after="40" w:line="240" w:lineRule="auto"/>
      </w:pPr>
      <w:r>
        <w:rPr>
          <w:b/>
        </w:rPr>
        <w:t xml:space="preserve">[243] </w:t>
      </w:r>
      <w:hyperlink r:id="rId597">
        <w:r>
          <w:rPr>
            <w:color w:val="1155CC"/>
            <w:u w:val="single"/>
          </w:rPr>
          <w:t>区块链集成软件定义的去中心化点对点能源交易网络用于可持续智能电网</w:t>
        </w:r>
      </w:hyperlink>
    </w:p>
    <w:p>
      <w:pPr>
        <w:spacing w:before="0" w:after="80"/>
      </w:pPr>
      <w:r>
        <w:rPr>
          <w:i/>
          <w:sz w:val="20"/>
        </w:rPr>
        <w:t>EN: Blockchain-integrated software defined decentralized peer-to-peer energy trading network for sustainable smart power grid</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598">
        <w:r>
          <w:rPr>
            <w:color w:val="1155CC"/>
            <w:u w:val="single"/>
          </w:rPr>
          <w:t>磁性流体在心脏封堵医疗程序中提供更好的密封</w:t>
        </w:r>
      </w:hyperlink>
    </w:p>
    <w:p>
      <w:pPr>
        <w:spacing w:before="0" w:after="80"/>
      </w:pPr>
      <w:r>
        <w:rPr>
          <w:i/>
          <w:sz w:val="20"/>
        </w:rPr>
        <w:t>EN: Magnetic fluid offers better seal in heart-plugging medical procedure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599">
        <w:r>
          <w:rPr>
            <w:color w:val="1155CC"/>
            <w:u w:val="single"/>
          </w:rPr>
          <w:t>10.1038/d41586-026-00375-5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600">
        <w:r>
          <w:rPr>
            <w:color w:val="1155CC"/>
            <w:u w:val="single"/>
          </w:rPr>
          <w:t>水-能源纽带的混合太阳能驱动界面蒸发系统：淡水和能源可持续性的最新进展</w:t>
        </w:r>
      </w:hyperlink>
    </w:p>
    <w:p>
      <w:pPr>
        <w:spacing w:before="0" w:after="80"/>
      </w:pPr>
      <w:r>
        <w:rPr>
          <w:i/>
          <w:sz w:val="20"/>
        </w:rPr>
        <w:t>EN: Hybrid solar-driven interfacial evaporation systems for water-energy nexus: recent advances in freshwater and energy sustainability</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601">
        <w:r>
          <w:rPr>
            <w:color w:val="1155CC"/>
            <w:u w:val="single"/>
          </w:rPr>
          <w:t>融合因果推断和可解释AI：碳市场中的动态机制和极端事件模拟</w:t>
        </w:r>
      </w:hyperlink>
    </w:p>
    <w:p>
      <w:pPr>
        <w:spacing w:before="0" w:after="80"/>
      </w:pPr>
      <w:r>
        <w:rPr>
          <w:i/>
          <w:sz w:val="20"/>
        </w:rPr>
        <w:t>EN: Fusing causal inference and explainable AI: dynamic mechanisms and extreme event simulation in carbon markets</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602">
        <w:r>
          <w:rPr>
            <w:color w:val="1155CC"/>
            <w:u w:val="single"/>
          </w:rPr>
          <w:t>改进风-太阳能混合农场选址：整合多准则决策、机器学习驱动的特征选择和空间聚类的新框架</w:t>
        </w:r>
      </w:hyperlink>
    </w:p>
    <w:p>
      <w:pPr>
        <w:spacing w:before="0" w:after="80"/>
      </w:pPr>
      <w:r>
        <w:rPr>
          <w:i/>
          <w:sz w:val="20"/>
        </w:rPr>
        <w:t>EN: Toward improved siting of wind–solar hybrid farms: A novel framework integrating multi-criteria decision making, machine learning–driven feature selection, and spatial clustering</w:t>
      </w:r>
    </w:p>
    <w:p>
      <w:pPr>
        <w:spacing w:before="0" w:after="120"/>
      </w:pPr>
      <w:r>
        <w:rPr>
          <w:b/>
        </w:rPr>
        <w:t xml:space="preserve">Source: </w:t>
      </w:r>
      <w:r>
        <w:t>ScienceDirect Publication: Applied Energy</w:t>
      </w:r>
      <w:r>
        <w:t xml:space="preserve">    </w:t>
      </w:r>
      <w:r>
        <w:rPr>
          <w:b/>
        </w:rPr>
        <w:t xml:space="preserve">Pub date: </w:t>
      </w:r>
      <w:r>
        <w:t>2026-03-04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603">
        <w:r>
          <w:rPr>
            <w:color w:val="1155CC"/>
            <w:u w:val="single"/>
          </w:rPr>
          <w:t>风切变增强了土壤湿度对快速雷暴增长的影响</w:t>
        </w:r>
      </w:hyperlink>
    </w:p>
    <w:p>
      <w:pPr>
        <w:spacing w:before="0" w:after="80"/>
      </w:pPr>
      <w:r>
        <w:rPr>
          <w:i/>
          <w:sz w:val="20"/>
        </w:rPr>
        <w:t>EN: Wind shear enhances soil moisture influence on rapid thunderstorm growth</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04">
        <w:r>
          <w:rPr>
            <w:color w:val="1155CC"/>
            <w:u w:val="single"/>
          </w:rPr>
          <w:t>10.1038/s41586-025-10045-7</w:t>
        </w:r>
      </w:hyperlink>
    </w:p>
    <w:p>
      <w:pPr>
        <w:spacing w:before="0" w:after="120"/>
      </w:pPr>
      <w:r>
        <w:rPr>
          <w:b/>
        </w:rPr>
        <w:t xml:space="preserve">Notes: </w:t>
      </w:r>
      <w:r>
        <w:t>abstract_source=nature_html</w:t>
      </w:r>
    </w:p>
    <w:p>
      <w:pPr>
        <w:spacing w:before="0" w:after="80" w:lineRule="auto" w:line="276"/>
      </w:pPr>
      <w:r>
        <w:rPr>
          <w:b/>
        </w:rPr>
        <w:t xml:space="preserve">摘要（ZH）: </w:t>
      </w:r>
      <w:r>
        <w:t>对流风暴可以迅速发展，通过强降水、强风和闪电对当地人口构成威胁1。雷暴发展的宏观环境通常在预报系统中得到良好捕捉，但预测单个风暴将在哪里开始仍然是一个基本挑战。已知由土壤湿度（SM）模式驱动的差异加热会产生有利于在较干燥土壤上对流起始的大气环流2,3，而低层和中层之间的风切变可以增强风暴增长4,5。在此，我们展示了通过与风切变的相互作用，最极端的起始尤其有利于SM对比。分析了撒哈拉以南非洲的220万个下午事件，我们发现68%的起始被归类为</w:t>
      </w:r>
    </w:p>
    <w:p>
      <w:pPr>
        <w:spacing w:before="0" w:after="200" w:lineRule="auto" w:line="276"/>
      </w:pPr>
      <w:r>
        <w:rPr>
          <w:b/>
        </w:rPr>
        <w:t xml:space="preserve">Abstract (EN): </w:t>
      </w:r>
      <w:r>
        <w:t>Convective storms can develop rapidly, creating hazards to local populations through intense precipitation, strong winds and lightning1. The large-scale environment in which thunderstorms develop is often well captured in forecast systems, yet predicting where individual storms will initiate remains a fundamental challenge. It is known that differential heating driven by soil moisture (SM) patterns creates atmospheric circulations that favour convective initiation over drier soils2,3, whereas wind shear between low and mid levels can enhance storm growth4,5. Here we show that the most extreme initiations are especially favoured over SM contrasts by means of an interaction with wind shear. Analysing 2.2 million afternoon events across sub-Saharan Africa, we find 68% more initiations classed as extreme given favourable (versus unfavourable) soil conditions, with greatest vertical storm growth occurring where SM-driven circulations oppose the direction of shear-induced cloud displacement. Developing clouds follow the mid-level wind direction and, where this opposes the low-level flow, rainfall is strongly correlated with locally drier soils. Although such shear conditions are particularly common over tropical north Africa, the effect favours negative SM–precipitation feedbacks globally. The combination of SM heterogeneity and wind shear provides a potentially important source of predictability for where deep convection develops, particularly for the most rapidly developing thunderstorms.</w:t>
      </w:r>
    </w:p>
    <w:p>
      <w:pPr>
        <w:spacing w:before="120" w:after="120"/>
      </w:pPr>
      <w:r>
        <w:rPr>
          <w:sz w:val="18"/>
        </w:rPr>
        <w:t>——————————————————————————————————————————————————————————————————————</w:t>
      </w:r>
    </w:p>
    <w:p>
      <w:pPr>
        <w:spacing w:before="160" w:after="40" w:line="240" w:lineRule="auto"/>
      </w:pPr>
      <w:r>
        <w:rPr>
          <w:b/>
        </w:rPr>
        <w:t xml:space="preserve">[249] </w:t>
      </w:r>
      <w:hyperlink r:id="rId605">
        <w:r>
          <w:rPr>
            <w:color w:val="1155CC"/>
            <w:u w:val="single"/>
          </w:rPr>
          <w:t>同源重组缺陷和单倍性驱动乳腺癌的耐药性</w:t>
        </w:r>
      </w:hyperlink>
    </w:p>
    <w:p>
      <w:pPr>
        <w:spacing w:before="0" w:after="80"/>
      </w:pPr>
      <w:r>
        <w:rPr>
          <w:i/>
          <w:sz w:val="20"/>
        </w:rPr>
        <w:t>EN: Homologous recombination deficiency and hemizygosity drive resistance in breast cancer</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06">
        <w:r>
          <w:rPr>
            <w:color w:val="1155CC"/>
            <w:u w:val="single"/>
          </w:rPr>
          <w:t>10.1038/s41586-026-10197-0</w:t>
        </w:r>
      </w:hyperlink>
    </w:p>
    <w:p>
      <w:pPr>
        <w:spacing w:before="0" w:after="120"/>
      </w:pPr>
      <w:r>
        <w:rPr>
          <w:b/>
        </w:rPr>
        <w:t xml:space="preserve">Notes: </w:t>
      </w:r>
      <w:r>
        <w:t>abstract_source=nature_html</w:t>
      </w:r>
    </w:p>
    <w:p>
      <w:pPr>
        <w:spacing w:before="0" w:after="80" w:lineRule="auto" w:line="276"/>
      </w:pPr>
      <w:r>
        <w:rPr>
          <w:b/>
        </w:rPr>
        <w:t xml:space="preserve">摘要（ZH）: </w:t>
      </w:r>
      <w:r>
        <w:t>生殖系和体细胞致癌改变的共现常见于乳腺癌，但它们对肿瘤演化和治疗抵抗的综合影响仍未明确。通过对超过5800名患者的综合临床基因组分析，我们表明生殖系（g）致病变体决定了获得性抗性的发展轨迹。我们特别发现，gBRCA2相关的肿瘤特别容易发展出获得性RB1功能丧失改变，导致在标准护理前线CDK4/6抑制剂（CDK4/6i）组合治疗中效果不佳。这种脆弱性由双重机制驱动：基线RB1半合子性（杂合性丧失导致单一功能性RB1等位基因），降低了双等位基因的进化障碍。</w:t>
      </w:r>
    </w:p>
    <w:p>
      <w:pPr>
        <w:spacing w:before="0" w:after="200" w:lineRule="auto" w:line="276"/>
      </w:pPr>
      <w:r>
        <w:rPr>
          <w:b/>
        </w:rPr>
        <w:t xml:space="preserve">Abstract (EN): </w:t>
      </w:r>
      <w:r>
        <w:t>The co-occurrence of germline and somatic oncogenic alterations is frequently observed in breast cancer, yet their combined influence on tumour evolution and therapy resistance remains poorly defined. Through an integrated clinicogenomic analysis of more than 5,800 patients, we show that germline (g) pathogenic variants dictate the evolutionary trajectory of acquired resistance. We specifically find that gBRCA2-associated tumours are uniquely predisposed to develop acquired RB1 loss-of-function alterations, resulting in poor outcomes on standard-of-care frontline CDK4/6 inhibitor (CDK4/6i) combinations. This vulnerability is driven by a dual mechanism: baseline RB1 hemizygosity (heterozygous loss resulting in a single functional RB1 allele), which lowers the evolutionary barrier to biallelic inactivation, and ongoing homologous recombination deficiency, which promotes acquisition of RB1 loss-of-function alterations under the selective pressure of CDK4/6i. Preclinical models from gBRCA2 carriers showed near-uniform resistance to CDK4/6i, with consistent post-treatment Rb loss. Across multiple independent models and in our clinical data, PARP inhibition consistently outperformed CDK4/6i. Our findings suggest that prioritizing PARP inhibition in gBRCA2 carriers may intercept RB1-loss trajectories and delay resistance. More broadly, we establish a predictive framework for forecasting drug-resistant trajectories based on pre-treatment allelic configuration and mutational signatures.</w:t>
      </w:r>
    </w:p>
    <w:p>
      <w:pPr>
        <w:spacing w:before="120" w:after="120"/>
      </w:pPr>
      <w:r>
        <w:rPr>
          <w:sz w:val="18"/>
        </w:rPr>
        <w:t>——————————————————————————————————————————————————————————————————————</w:t>
      </w:r>
    </w:p>
    <w:p>
      <w:pPr>
        <w:spacing w:before="160" w:after="40" w:line="240" w:lineRule="auto"/>
      </w:pPr>
      <w:r>
        <w:rPr>
          <w:b/>
        </w:rPr>
        <w:t xml:space="preserve">[250] </w:t>
      </w:r>
      <w:hyperlink r:id="rId607">
        <w:r>
          <w:rPr>
            <w:color w:val="1155CC"/>
            <w:u w:val="single"/>
          </w:rPr>
          <w:t>最大的志留纪鱼类揭示了硬骨鱼类特征的起源</w:t>
        </w:r>
      </w:hyperlink>
    </w:p>
    <w:p>
      <w:pPr>
        <w:spacing w:before="0" w:after="80"/>
      </w:pPr>
      <w:r>
        <w:rPr>
          <w:i/>
          <w:sz w:val="20"/>
        </w:rPr>
        <w:t>EN: Largest Silurian fish illuminates the origin of osteichthyan characters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08">
        <w:r>
          <w:rPr>
            <w:color w:val="1155CC"/>
            <w:u w:val="single"/>
          </w:rPr>
          <w:t>10.1038/s41586-025-10008-y</w:t>
        </w:r>
      </w:hyperlink>
    </w:p>
    <w:p>
      <w:pPr>
        <w:spacing w:before="0" w:after="120"/>
      </w:pPr>
      <w:r>
        <w:rPr>
          <w:b/>
        </w:rPr>
        <w:t xml:space="preserve">Notes: </w:t>
      </w:r>
      <w:r>
        <w:t>abstract_source=nature_html</w:t>
      </w:r>
    </w:p>
    <w:p>
      <w:pPr>
        <w:spacing w:before="0" w:after="80" w:lineRule="auto" w:line="276"/>
      </w:pPr>
      <w:r>
        <w:rPr>
          <w:b/>
        </w:rPr>
        <w:t xml:space="preserve">摘要（ZH）: </w:t>
      </w:r>
      <w:r>
        <w:t>硬骨鱼类（包括硬骨鱼和四足动物）占现代脊椎动物物种的98%。然而，由于已知的硬骨鱼类化石的零碎性，我们对硬骨鱼类起源的特征演化顺序的理解受到极大限制。在此，我们研究了新发现的Megamastax amblyodus的头部和躯干材料，这揭示了志留纪硬骨鱼类的前所未见的形态细节。Megamastax——先前被解释为一类鳍鱼——在皮肤颅骨中表现出明显的硬骨鱼类特征，如吸收性换牙和额外肩胛骨的存在。然而，其背主动脉的排列让人联想到冠群软骨鱼类。具有广泛腭板的前颌骨和</w:t>
      </w:r>
    </w:p>
    <w:p>
      <w:pPr>
        <w:spacing w:before="0" w:after="200" w:lineRule="auto" w:line="276"/>
      </w:pPr>
      <w:r>
        <w:rPr>
          <w:b/>
        </w:rPr>
        <w:t xml:space="preserve">Abstract (EN): </w:t>
      </w:r>
      <w:r>
        <w:t>Osteichthyans (bony fishes and tetrapods) encompass 98% of modern vertebrate species. However, our understanding of the sequence of character evolution among stem osteichthyans has been substantially limited by the fragmentary nature of known stem osteichthyan fossils1,2,3,4. Here we investigate newly discovered articulated head and trunk material of Megamastax amblyodus5, which yields previously unseen morphological details of a Silurian stem osteichthyan. Megamastax—previously interpreted as a lobe-finned fish5—exhibits distinct osteichthyan traits in the dermatocranium, such as resorptive tooth shedding and the presence of extrascapular bones. However, the arrangement of its dorsal aortae is reminiscent of crown-group chondrichthyans. The premaxilla with extensive palatal lamina and the elongated post-hypophyseal region of the braincase recall the condition in maxillate placoderms6,7,8. Crucially, the discovery of an inner dental arcade of discrete tooth cushions on individual attachment bases aligns Megamastax with the fragmentary genera Lophosteus and Andreolepis2,3,4, corroborating the previous interpretation of isolated tooth cushions as part of the jaw dentition3,9 and verifying their identity as stem osteichthyans. Phylogenetic analysis places Megamastax within the osteichthyan stem, near the osteichthyan crown-group node, and provides a framework for exploring the sequence of character acquisition along the osteichthyan stem. Together, these new findings help to bridge the morphological gap between stem gnathostomes and modern osteichthyans, offering insights into the sequence of early evolutionary steps that shaped the osteichthyan lineage.</w:t>
      </w:r>
    </w:p>
    <w:p>
      <w:pPr>
        <w:spacing w:before="120" w:after="120"/>
      </w:pPr>
      <w:r>
        <w:rPr>
          <w:sz w:val="18"/>
        </w:rPr>
        <w:t>——————————————————————————————————————————————————————————————————————</w:t>
      </w:r>
    </w:p>
    <w:p>
      <w:pPr>
        <w:spacing w:before="160" w:after="40" w:line="240" w:lineRule="auto"/>
      </w:pPr>
      <w:r>
        <w:rPr>
          <w:b/>
        </w:rPr>
        <w:t xml:space="preserve">[251] </w:t>
      </w:r>
      <w:hyperlink r:id="rId609">
        <w:r>
          <w:rPr>
            <w:color w:val="1155CC"/>
            <w:u w:val="single"/>
          </w:rPr>
          <w:t>气候变化和地缘政治威胁水供应——但灾难并非不可避免</w:t>
        </w:r>
      </w:hyperlink>
    </w:p>
    <w:p>
      <w:pPr>
        <w:spacing w:before="0" w:after="80"/>
      </w:pPr>
      <w:r>
        <w:rPr>
          <w:i/>
          <w:sz w:val="20"/>
        </w:rPr>
        <w:t>EN: Climate change and geopolitics threaten water supplies — but disaster is not inevitable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10">
        <w:r>
          <w:rPr>
            <w:color w:val="1155CC"/>
            <w:u w:val="single"/>
          </w:rPr>
          <w:t>10.1038/d41586-026-00659-w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[252] </w:t>
      </w:r>
      <w:hyperlink r:id="rId611">
        <w:r>
          <w:rPr>
            <w:color w:val="1155CC"/>
            <w:u w:val="single"/>
          </w:rPr>
          <w:t>来自早志留纪的最古老的关节硬骨鱼</w:t>
        </w:r>
      </w:hyperlink>
    </w:p>
    <w:p>
      <w:pPr>
        <w:spacing w:before="0" w:after="80"/>
      </w:pPr>
      <w:r>
        <w:rPr>
          <w:i/>
          <w:sz w:val="20"/>
        </w:rPr>
        <w:t>EN: The oldest articulated bony fish from the early Silurian period</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12">
        <w:r>
          <w:rPr>
            <w:color w:val="1155CC"/>
            <w:u w:val="single"/>
          </w:rPr>
          <w:t>10.1038/s41586-026-10125-2</w:t>
        </w:r>
      </w:hyperlink>
    </w:p>
    <w:p>
      <w:pPr>
        <w:spacing w:before="0" w:after="120"/>
      </w:pPr>
      <w:r>
        <w:rPr>
          <w:b/>
        </w:rPr>
        <w:t xml:space="preserve">Notes: </w:t>
      </w:r>
      <w:r>
        <w:t>abstract_source=nature_html</w:t>
      </w:r>
    </w:p>
    <w:p>
      <w:pPr>
        <w:spacing w:before="0" w:after="80" w:lineRule="auto" w:line="276"/>
      </w:pPr>
      <w:r>
        <w:rPr>
          <w:b/>
        </w:rPr>
        <w:t xml:space="preserve">摘要（ZH）: </w:t>
      </w:r>
      <w:r>
        <w:t>硬骨鱼类，包括肉鳍鱼类和辐鳍鱼类，主导了现代脊椎动物的生物多样性1,2,3，但其泥盆纪前的化石记录仍然稀少且零碎4,5。最古老的完整肉鳍鱼类6和基干硬骨鱼类7可追溯到晚志留纪，而无可争议的辐鳍鱼类化石在中泥盆纪才出现8。我们在此报告了一个来自早志留纪重庆化石层（约4.36亿年前）的完整、近乎完整的硬骨鱼类9,10,11，代表了包括微化石在内的最古老的硬骨鱼类出现。这种小鱼表现出纺锤形、通用的硬骨鱼类体型轮廓，具有原始硬骨鱼类特征，包括缺乏鳞状鳍条和存在连续的中背板、胸鳍。</w:t>
      </w:r>
    </w:p>
    <w:p>
      <w:pPr>
        <w:spacing w:before="0" w:after="200" w:lineRule="auto" w:line="276"/>
      </w:pPr>
      <w:r>
        <w:rPr>
          <w:b/>
        </w:rPr>
        <w:t xml:space="preserve">Abstract (EN): </w:t>
      </w:r>
      <w:r>
        <w:t>Osteichthyans, comprising sarcopterygians and actinopterygians, dominate modern vertebrate biodiversity1,2,3, yet their pre-Devonian fossil record remains scarce and fragmentary4,5. The oldest articulated sarcopterygian6 and stem osteichthyan7 date to the late Silurian, whereas undisputed actinopterygian fossils in articulation appear only in the Middle Devonian8. Here we report an articulated, near-complete osteichthyan from the early Silurian Chongqing Lagerstätte (approximately 436 million years ago)9,10,11, representing the oldest osteichthyan occurrence including microfossils. This tiny fish exhibits a fusiform, generalized osteichthyan body outline, with plesiomorphic osteichthyan characters, including the lack of lepidotrichia and the presence of serial median dorsal plates, pectoral and dorsal fin spines and an anal fin spine reported previously exclusively in stem chondrichthyans12 and one placoderm13. It also displays features, such as a single dorsal fin and caudal fulcra, seen commonly in actinopterygians. Bayesian inference and the 50% majority rule consensus of the maximum-parsimony analysis place the new fish on the osteichthyan stem, whereas the strict consensus leaves its position unresolved within osteichthyans. This discovery increases Silurian osteichthyan diversity and further populates the osteichthyan stem group. The morphological disparity among early osteichthyans implies a more extensive Silurian to Early Devonian radiation of bony fishes than previous lines of evidence suggested.</w:t>
      </w:r>
    </w:p>
    <w:p>
      <w:pPr>
        <w:spacing w:before="120" w:after="120"/>
      </w:pPr>
      <w:r>
        <w:rPr>
          <w:sz w:val="18"/>
        </w:rPr>
        <w:t>——————————————————————————————————————————————————————————————————————</w:t>
      </w:r>
    </w:p>
    <w:p>
      <w:pPr>
        <w:spacing w:before="160" w:after="40" w:line="240" w:lineRule="auto"/>
      </w:pPr>
      <w:r>
        <w:rPr>
          <w:b/>
        </w:rPr>
        <w:t xml:space="preserve">[253] </w:t>
      </w:r>
      <w:hyperlink r:id="rId613">
        <w:r>
          <w:rPr>
            <w:color w:val="1155CC"/>
            <w:u w:val="single"/>
          </w:rPr>
          <w:t>无细胞染色质状态追踪揭示疾病起源和治疗反应</w:t>
        </w:r>
      </w:hyperlink>
    </w:p>
    <w:p>
      <w:pPr>
        <w:spacing w:before="0" w:after="80"/>
      </w:pPr>
      <w:r>
        <w:rPr>
          <w:i/>
          <w:sz w:val="20"/>
        </w:rPr>
        <w:t>EN: Cell-free chromatin state tracing reveals disease origin and therapy responses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14">
        <w:r>
          <w:rPr>
            <w:color w:val="1155CC"/>
            <w:u w:val="single"/>
          </w:rPr>
          <w:t>10.1038/s41586-026-10224-0</w:t>
        </w:r>
      </w:hyperlink>
    </w:p>
    <w:p>
      <w:pPr>
        <w:spacing w:before="0" w:after="120"/>
      </w:pPr>
      <w:r>
        <w:rPr>
          <w:b/>
        </w:rPr>
        <w:t xml:space="preserve">Notes: </w:t>
      </w:r>
      <w:r>
        <w:t>abstract_source=nature_html</w:t>
      </w:r>
    </w:p>
    <w:p>
      <w:pPr>
        <w:spacing w:before="0" w:after="80" w:lineRule="auto" w:line="276"/>
      </w:pPr>
      <w:r>
        <w:rPr>
          <w:b/>
        </w:rPr>
        <w:t xml:space="preserve">摘要（ZH）: </w:t>
      </w:r>
      <w:r>
        <w:t>血液中的无细胞DNA来源于健康和病变组织中死亡细胞释放的碎片化染色质1,2。这些碎片携带丰富的分子模式，可以揭示原发组织中的病理变化3,4,5,6,7,8,9,10。我们开发了cf-EpiTracing，这是一种高度灵敏的自动化平台，可以从仅50 μl的人血浆中分析无细胞DNA中的组蛋白修饰。通过将多模态染色质状态与机器学习相结合，cf-EpiTracing能够准确解构原发细胞类型。我们从125名健康个体和549名患有炎症性肠病、结直肠癌、冠心病或淋巴瘤的患者的血浆中生成了2,417个cf-EpiTracing谱。cf-EpiTracing实现了原发病变的无偏识别。</w:t>
      </w:r>
    </w:p>
    <w:p>
      <w:pPr>
        <w:spacing w:before="0" w:after="200" w:lineRule="auto" w:line="276"/>
      </w:pPr>
      <w:r>
        <w:rPr>
          <w:b/>
        </w:rPr>
        <w:t xml:space="preserve">Abstract (EN): </w:t>
      </w:r>
      <w:r>
        <w:t>Cell-free DNA in blood originates from fragmented chromatin released by dying cells from both healthy and diseased tissues1,2. These fragments carry rich molecular modalities that can reveal pathological alterations in tissues of origin3,4,5,6,7,8,9,10. Here we develop cf-EpiTracing, a highly sensitive automated platform that profiles histone modifications in cell-free DNA from as little as 50 μl of human plasma. By integrating multimodal chromatin states with machine learning, cf-EpiTracing enables accurate deconvolution of cell types of origin. We generated 2,417 cf-EpiTracing profiles from plasma of 125 healthy individuals and 549 patients with inflammatory bowel disease, colorectal cancer, coronary heart disease or lymphoma. cf-EpiTracing enabled unbiased identification of primary diseased tissues and other organ involvement, stratification of B cell lymphoma subtypes with different genetic and epigenetic underpinnings, and detection of early-stage diseases or lesions. Surveying dynamics of epigenetic signatures uncovered disease transformation from follicular lymphoma to diffuse large B cell lymphoma. Further, cf-EpiTracing revealed genomic translocations and epigenetic alterations in patients with mantle cell lymphoma. Of note, our study leverages holistic epigenetic signatures, independently of knowledge of gene transcription, to accurately report recurrence risk and therapeutic response. Together, these findings establish cf-EpiTracing as an automated, non-invasive, epigenome-centric framework with broad applications in early diagnosis, molecular subtyping and prognostic prediction.</w:t>
      </w:r>
    </w:p>
    <w:p>
      <w:pPr>
        <w:spacing w:before="120" w:after="120"/>
      </w:pPr>
      <w:r>
        <w:rPr>
          <w:sz w:val="18"/>
        </w:rPr>
        <w:t>——————————————————————————————————————————————————————————————————————</w:t>
      </w:r>
    </w:p>
    <w:p>
      <w:pPr>
        <w:spacing w:before="160" w:after="40" w:line="240" w:lineRule="auto"/>
      </w:pPr>
      <w:r>
        <w:rPr>
          <w:b/>
        </w:rPr>
        <w:t xml:space="preserve">[254] </w:t>
      </w:r>
      <w:hyperlink r:id="rId615">
        <w:r>
          <w:rPr>
            <w:color w:val="1155CC"/>
            <w:u w:val="single"/>
          </w:rPr>
          <w:t>用于有机半导体中精确掺杂和器件工程的受限微流体掺杂方法</w:t>
        </w:r>
      </w:hyperlink>
    </w:p>
    <w:p>
      <w:pPr>
        <w:spacing w:before="0" w:after="80"/>
      </w:pPr>
      <w:r>
        <w:rPr>
          <w:i/>
          <w:sz w:val="20"/>
        </w:rPr>
        <w:t>EN: Confined microfluidic doping method for precision doping and device engineering in organic semiconductors</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616">
        <w:r>
          <w:rPr>
            <w:color w:val="1155CC"/>
            <w:u w:val="single"/>
          </w:rPr>
          <w:t>10.1016/j.matt.2026.102654</w:t>
        </w:r>
      </w:hyperlink>
    </w:p>
    <w:p>
      <w:pPr>
        <w:spacing w:before="0" w:after="120"/>
      </w:pPr>
      <w:r>
        <w:rPr>
          <w:b/>
        </w:rPr>
        <w:t xml:space="preserve">Notes: </w:t>
      </w:r>
      <w:r>
        <w:t>abstract_source=rss_cell</w:t>
      </w:r>
    </w:p>
    <w:p>
      <w:pPr>
        <w:spacing w:before="0" w:after="80" w:lineRule="auto" w:line="276"/>
      </w:pPr>
      <w:r>
        <w:rPr>
          <w:b/>
        </w:rPr>
        <w:t xml:space="preserve">摘要（ZH）: </w:t>
      </w:r>
      <w:r>
        <w:t>虽然硅芯片依赖于“离子注入”来精确放置杂质并定义器件功能，但有机电子学一直难以实现类似的控制。本研究介绍了一种受限微流体掺杂（CMD）方法，该方法像模板一样作用于掺杂剂，使科学家能够将功能区域直接“打印”到有机半导体薄膜上。这项技术消除了对金属电极的需求，并允许单一的类似塑料的材料转变为复杂的电路，从而简化了柔性高性能电子产品的制造。</w:t>
      </w:r>
    </w:p>
    <w:p>
      <w:pPr>
        <w:spacing w:before="0" w:after="200" w:lineRule="auto" w:line="276"/>
      </w:pPr>
      <w:r>
        <w:rPr>
          <w:b/>
        </w:rPr>
        <w:t xml:space="preserve">Abstract (EN): </w:t>
      </w:r>
      <w:r>
        <w:t>While silicon chips rely on “ion implantation” to precisely place impurities and define device functions, organic electronics have struggled to achieve similar control. This study introduces a confined microfluidic doping (CMD) method that acts like a stencil for dopants, allowing scientists to “print” functional regions directly onto organic semiconductor films. This technique eliminates the need for metal electrodes and allows a single plastic-like material to be transformed into complex circuits, simplifying the manufacturing of flexible, high-performance electronics.</w:t>
      </w:r>
    </w:p>
    <w:p>
      <w:pPr>
        <w:spacing w:before="120" w:after="120"/>
      </w:pPr>
      <w:r>
        <w:rPr>
          <w:sz w:val="18"/>
        </w:rPr>
        <w:t>——————————————————————————————————————————————————————————————————————</w:t>
      </w:r>
    </w:p>
    <w:p>
      <w:pPr>
        <w:spacing w:before="160" w:after="40" w:line="240" w:lineRule="auto"/>
      </w:pPr>
      <w:r>
        <w:rPr>
          <w:b/>
        </w:rPr>
        <w:t xml:space="preserve">[255] </w:t>
      </w:r>
      <w:hyperlink r:id="rId617">
        <w:r>
          <w:rPr>
            <w:color w:val="1155CC"/>
            <w:u w:val="single"/>
          </w:rPr>
          <w:t>通过自发液-液相分离驱动扭曲双层片段的大规模形成的微液滴合并</w:t>
        </w:r>
      </w:hyperlink>
    </w:p>
    <w:p>
      <w:pPr>
        <w:spacing w:before="0" w:after="80"/>
      </w:pPr>
      <w:r>
        <w:rPr>
          <w:i/>
          <w:sz w:val="20"/>
        </w:rPr>
        <w:t>EN: Microdroplet coalescence driving mass formation of twisted bilayer fragments via spontaneous liquid-liquid phase separation</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618">
        <w:r>
          <w:rPr>
            <w:color w:val="1155CC"/>
            <w:u w:val="single"/>
          </w:rPr>
          <w:t>10.1016/j.matt.2026.102658</w:t>
        </w:r>
      </w:hyperlink>
    </w:p>
    <w:p>
      <w:pPr>
        <w:spacing w:before="0" w:after="120"/>
      </w:pPr>
      <w:r>
        <w:rPr>
          <w:b/>
        </w:rPr>
        <w:t xml:space="preserve">Notes: </w:t>
      </w:r>
      <w:r>
        <w:t>abstract_source=rss_cell</w:t>
      </w:r>
    </w:p>
    <w:p>
      <w:pPr>
        <w:spacing w:before="0" w:after="80" w:lineRule="auto" w:line="276"/>
      </w:pPr>
      <w:r>
        <w:rPr>
          <w:b/>
        </w:rPr>
        <w:t xml:space="preserve">摘要（ZH）: </w:t>
      </w:r>
      <w:r>
        <w:t>Yotsuya等人通过使用液-液相分离引入了一种液滴辅助折叠策略，用于原子级薄且机械脆弱的二维材料。进一步对折叠方向的控制演示实现了可调的层间堆叠角度，为工程化莫尔超晶格提供了机会。</w:t>
      </w:r>
    </w:p>
    <w:p>
      <w:pPr>
        <w:spacing w:before="0" w:after="200" w:lineRule="auto" w:line="276"/>
      </w:pPr>
      <w:r>
        <w:rPr>
          <w:b/>
        </w:rPr>
        <w:t xml:space="preserve">Abstract (EN): </w:t>
      </w:r>
      <w:r>
        <w:t>Yotsuya et al. introduce a droplet-assisted folding strategy for atomically thin and mechanically fragile two-dimensional materials by using liquid-liquid phase separation. Further demonstration of control over the folding direction enables tunable interlayer stacking angles, offering opportunities for engineering moiré superlattices.</w:t>
      </w:r>
    </w:p>
    <w:p>
      <w:pPr>
        <w:spacing w:before="120" w:after="120"/>
      </w:pPr>
      <w:r>
        <w:rPr>
          <w:sz w:val="18"/>
        </w:rPr>
        <w:t>——————————————————————————————————————————————————————————————————————</w:t>
      </w:r>
    </w:p>
    <w:p>
      <w:pPr>
        <w:spacing w:before="160" w:after="40" w:line="240" w:lineRule="auto"/>
      </w:pPr>
      <w:r>
        <w:rPr>
          <w:b/>
        </w:rPr>
        <w:t xml:space="preserve">[256] </w:t>
      </w:r>
      <w:hyperlink r:id="rId619">
        <w:r>
          <w:rPr>
            <w:color w:val="1155CC"/>
            <w:u w:val="single"/>
          </w:rPr>
          <w:t>流感聚合酶的共转录帽攫取机制</w:t>
        </w:r>
      </w:hyperlink>
    </w:p>
    <w:p>
      <w:pPr>
        <w:spacing w:before="0" w:after="80"/>
      </w:pPr>
      <w:r>
        <w:rPr>
          <w:i/>
          <w:sz w:val="20"/>
        </w:rPr>
        <w:t>EN: Mechanism of co-transcriptional cap snatching by influenza polymerase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20">
        <w:r>
          <w:rPr>
            <w:color w:val="1155CC"/>
            <w:u w:val="single"/>
          </w:rPr>
          <w:t>10.1038/s41586-026-10189-0</w:t>
        </w:r>
      </w:hyperlink>
    </w:p>
    <w:p>
      <w:pPr>
        <w:spacing w:before="0" w:after="120"/>
      </w:pPr>
      <w:r>
        <w:rPr>
          <w:b/>
        </w:rPr>
        <w:t xml:space="preserve">Notes: </w:t>
      </w:r>
      <w:r>
        <w:t>abstract_source=nature_html</w:t>
      </w:r>
    </w:p>
    <w:p>
      <w:pPr>
        <w:spacing w:before="0" w:after="80" w:lineRule="auto" w:line="276"/>
      </w:pPr>
      <w:r>
        <w:rPr>
          <w:b/>
        </w:rPr>
        <w:t xml:space="preserve">摘要（ZH）: </w:t>
      </w:r>
      <w:r>
        <w:t>流感病毒mRNA是稳定的，并且能够进行核输出和翻译，因为它们在一个称为帽子抢夺的过程中获得了5′帽(1)结构。在帽子抢夺过程中，病毒RNA依赖的RNA聚合酶（FluPol）与宿主RNA聚合酶II（Pol II）和新生转录物结合。然后，FluPol核酸内切酶切割一个带帽的RNA片段，该片段随后作为病毒基因转录的引物。在此，我们展示了FluPol与转录中的Pol II结合并与延伸因子DSIF在预切割状态下的冷冻电子显微镜结构。该结构显示FluPol直接与Pol II和DSIF相互作用，将FluPol核酸内切酶结构域定位在Pol II的RNA出口通道附近。这些相互作用很重要</w:t>
      </w:r>
    </w:p>
    <w:p>
      <w:pPr>
        <w:spacing w:before="0" w:after="200" w:lineRule="auto" w:line="276"/>
      </w:pPr>
      <w:r>
        <w:rPr>
          <w:b/>
        </w:rPr>
        <w:t xml:space="preserve">Abstract (EN): </w:t>
      </w:r>
      <w:r>
        <w:t>Influenza virus mRNAs are stable and competent for nuclear export and translation because they receive a 5′ cap(1) structure in a process called cap snatching1. During cap snatching, the viral RNA-dependent RNA polymerase (FluPol) binds to host RNA polymerase II (Pol II) and the emerging transcript2,3. The FluPol endonuclease then cleaves a capped RNA fragment that subsequently acts as a primer for the transcription of viral genes4,5. Here we present the cryogenic electron microscopy structure of FluPol bound to a transcribing Pol II in complex with the elongation factor DSIF in the pre-cleavage state. The structure shows that FluPol directly interacts with both Pol II and DSIF, positioning the FluPol endonuclease domain near the RNA exit channel of Pol II. These interactions are important for the endonuclease activity of FluPol and FluPol activity in cells. A second structure, trapped after cap snatching, shows that the cleaved capped RNA rearranges within FluPol, directing the capped RNA 3′ end toward the FluPol polymerase active site for viral transcription initiation. Together, our results provide the molecular mechanisms of co-transcriptional cap snatching by FluPol.</w:t>
      </w:r>
    </w:p>
    <w:p>
      <w:pPr>
        <w:spacing w:before="120" w:after="120"/>
      </w:pPr>
      <w:r>
        <w:rPr>
          <w:sz w:val="18"/>
        </w:rPr>
        <w:t>——————————————————————————————————————————————————————————————————————</w:t>
      </w:r>
    </w:p>
    <w:p>
      <w:pPr>
        <w:spacing w:before="160" w:after="40" w:line="240" w:lineRule="auto"/>
      </w:pPr>
      <w:r>
        <w:rPr>
          <w:b/>
        </w:rPr>
        <w:t xml:space="preserve">[257] </w:t>
      </w:r>
      <w:hyperlink r:id="rId621">
        <w:r>
          <w:rPr>
            <w:color w:val="1155CC"/>
            <w:u w:val="single"/>
          </w:rPr>
          <w:t>量子有序钙钛矿纳米晶超晶格中的辐射触发超荧光闪烁</w:t>
        </w:r>
      </w:hyperlink>
    </w:p>
    <w:p>
      <w:pPr>
        <w:spacing w:before="0" w:after="80"/>
      </w:pPr>
      <w:r>
        <w:rPr>
          <w:i/>
          <w:sz w:val="20"/>
        </w:rPr>
        <w:t>EN: Radiation-triggered superfluorescent scintillation in quantum-ordered perovskite nanocrystal superlattices</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622">
        <w:r>
          <w:rPr>
            <w:color w:val="1155CC"/>
            <w:u w:val="single"/>
          </w:rPr>
          <w:t>10.1016/j.matt.2026.102659</w:t>
        </w:r>
      </w:hyperlink>
    </w:p>
    <w:p>
      <w:pPr>
        <w:spacing w:before="0" w:after="120"/>
      </w:pPr>
      <w:r>
        <w:rPr>
          <w:b/>
        </w:rPr>
        <w:t xml:space="preserve">Notes: </w:t>
      </w:r>
      <w:r>
        <w:t>abstract_source=rss_cell</w:t>
      </w:r>
    </w:p>
    <w:p>
      <w:pPr>
        <w:spacing w:before="0" w:after="80" w:lineRule="auto" w:line="276"/>
      </w:pPr>
      <w:r>
        <w:rPr>
          <w:b/>
        </w:rPr>
        <w:t xml:space="preserve">摘要（ZH）: </w:t>
      </w:r>
      <w:r>
        <w:t>纳米结构闪烁体提供了控制电离辐射转化为光的新方法。这项工作表明，X射线可以在钙钛矿纳米晶超晶格中触发超荧光，激活集体发射而非非相干复合。由此产生的闪烁是超快的、相干的且高效的，具有大的斯托克斯位移，抑制了密集纳米晶体组装中长期存在的再吸收问题。这些发现确立了量子闪烁作为一个新领域，使在电离辐射下获得相干光学可观测量成为可能。</w:t>
      </w:r>
    </w:p>
    <w:p>
      <w:pPr>
        <w:spacing w:before="0" w:after="200" w:lineRule="auto" w:line="276"/>
      </w:pPr>
      <w:r>
        <w:rPr>
          <w:b/>
        </w:rPr>
        <w:t xml:space="preserve">Abstract (EN): </w:t>
      </w:r>
      <w:r>
        <w:t>Nanostructured scintillators offer new ways to control how ionizing radiation is converted into light. This work shows that X-rays can trigger superfluorescence in perovskite nanocrystal superlattices, activating collective emission rather than incoherent recombination. The resulting scintillation is ultrafast, coherent, and highly efficient, with a large Stokes shift that suppresses the long-standing issue of reabsorption in dense nanocrystal assemblies. These findings establish quantum scintillation as a new regime, enabling access to coherent optical observables under ionizing radiation.</w:t>
      </w:r>
    </w:p>
    <w:p>
      <w:pPr>
        <w:spacing w:before="120" w:after="120"/>
      </w:pPr>
      <w:r>
        <w:rPr>
          <w:sz w:val="18"/>
        </w:rPr>
        <w:t>——————————————————————————————————————————————————————————————————————</w:t>
      </w:r>
    </w:p>
    <w:p>
      <w:pPr>
        <w:spacing w:before="160" w:after="40" w:line="240" w:lineRule="auto"/>
      </w:pPr>
      <w:r>
        <w:rPr>
          <w:b/>
        </w:rPr>
        <w:t xml:space="preserve">[258] </w:t>
      </w:r>
      <w:hyperlink r:id="rId623">
        <w:r>
          <w:rPr>
            <w:color w:val="1155CC"/>
            <w:u w:val="single"/>
          </w:rPr>
          <w:t>微生物群介导的米色脂肪细胞诱导以响应饮食信号</w:t>
        </w:r>
      </w:hyperlink>
    </w:p>
    <w:p>
      <w:pPr>
        <w:spacing w:before="0" w:after="80"/>
      </w:pPr>
      <w:r>
        <w:rPr>
          <w:i/>
          <w:sz w:val="20"/>
        </w:rPr>
        <w:t>EN: Microbiota-mediated induction of beige adipocytes in response to dietary cues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24">
        <w:r>
          <w:rPr>
            <w:color w:val="1155CC"/>
            <w:u w:val="single"/>
          </w:rPr>
          <w:t>10.1038/s41586-026-10205-3</w:t>
        </w:r>
      </w:hyperlink>
    </w:p>
    <w:p>
      <w:pPr>
        <w:spacing w:before="0" w:after="120"/>
      </w:pPr>
      <w:r>
        <w:rPr>
          <w:b/>
        </w:rPr>
        <w:t xml:space="preserve">Notes: </w:t>
      </w:r>
      <w:r>
        <w:t>abstract_source=nature_html</w:t>
      </w:r>
    </w:p>
    <w:p>
      <w:pPr>
        <w:spacing w:before="0" w:after="80" w:lineRule="auto" w:line="276"/>
      </w:pPr>
      <w:r>
        <w:rPr>
          <w:b/>
        </w:rPr>
        <w:t xml:space="preserve">摘要（ZH）: </w:t>
      </w:r>
      <w:r>
        <w:t>饮食与肠道微生物群之间的相互作用对代谢健康至关重要，影响能量平衡和疾病易感性。然而，饮食和微生物因素如何汇聚以调节宿主生理的潜在机制仍不清楚。在此，我们展示了蛋白质的可用性深刻地调节了肠道微生物群的功能景观，并促进了白色脂肪组织（WAT）的重塑。具体而言，低蛋白饮食（LPDs）强烈诱导了WAT中褐变的标志基因，其程度与经典刺激（如冷暴露或β-肾上腺素能受体激活）相似。在无菌小鼠中，LPD介导的褐变显著减弱，这一缺陷通过定义的细菌群落的定植得以恢复。</w:t>
      </w:r>
    </w:p>
    <w:p>
      <w:pPr>
        <w:spacing w:before="0" w:after="200" w:lineRule="auto" w:line="276"/>
      </w:pPr>
      <w:r>
        <w:rPr>
          <w:b/>
        </w:rPr>
        <w:t xml:space="preserve">Abstract (EN): </w:t>
      </w:r>
      <w:r>
        <w:t>Interactions between diet and the gut microbiota are fundamental to metabolic health, shaping energy balance and disease susceptibility1,2,3,4,5. However, the underlying mechanisms by which dietary and microbial factors converge to regulate host physiology remain unclear. Here we show that protein availability profoundly modulates the functional landscape of the gut microbiota and promotes remodelling of white adipose tissue (WAT). Specifically, low-protein diets (LPDs) robustly induce signature genes of browning in WAT to a similar extent to that seen in response to classical stimuli, such as cold exposure or β-adrenergic receptor activation6,7,8. LPD-mediated browning was markedly diminished in germ-free mice, and this defect was rescued by colonization with defined bacterial consortia made up of strains that were isolated and down-selected from the faeces of either LPD-fed mice or healthy human volunteers with 18F-fluorodeoxyglucose positron emission tomography (FDG-PET)-confirmed brown- or beige-fat activity9,10,11,12. Microbiota-induced browning was mediated both by bile acids driving the activation of the farnesoid X receptor (FXR) in adipose progenitor cells, and by nrfA-encoding commensal-derived ammonia driving the expression of fibroblast growth factor 21 (FGF21) in hepatocytes. The bile acid–FXR and ammonia–FGF21 axes both have non-redundant, essential roles in promoting WAT browning. These findings highlight a mechanistic link between diet, gut microbial metabolism and adipose tissue remodelling, uncovering microbiota-dependent pathways by which the host responds to dietary cues.</w:t>
      </w:r>
    </w:p>
    <w:p>
      <w:pPr>
        <w:spacing w:before="120" w:after="120"/>
      </w:pPr>
      <w:r>
        <w:rPr>
          <w:sz w:val="18"/>
        </w:rPr>
        <w:t>——————————————————————————————————————————————————————————————————————</w:t>
      </w:r>
    </w:p>
    <w:p>
      <w:pPr>
        <w:spacing w:before="160" w:after="40" w:line="240" w:lineRule="auto"/>
      </w:pPr>
      <w:r>
        <w:rPr>
          <w:b/>
        </w:rPr>
        <w:t xml:space="preserve">[259] </w:t>
      </w:r>
      <w:hyperlink r:id="rId625">
        <w:r>
          <w:rPr>
            <w:color w:val="1155CC"/>
            <w:u w:val="single"/>
          </w:rPr>
          <w:t>Merlin：一种计算机断层扫描视觉-语言基础模型和数据集</w:t>
        </w:r>
      </w:hyperlink>
    </w:p>
    <w:p>
      <w:pPr>
        <w:spacing w:before="0" w:after="80"/>
      </w:pPr>
      <w:r>
        <w:rPr>
          <w:i/>
          <w:sz w:val="20"/>
        </w:rPr>
        <w:t>EN: Merlin: a computed tomography vision–language foundation model and dataset</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26">
        <w:r>
          <w:rPr>
            <w:color w:val="1155CC"/>
            <w:u w:val="single"/>
          </w:rPr>
          <w:t>10.1038/s41586-026-10181-8</w:t>
        </w:r>
      </w:hyperlink>
    </w:p>
    <w:p>
      <w:pPr>
        <w:spacing w:before="0" w:after="120"/>
      </w:pPr>
      <w:r>
        <w:rPr>
          <w:b/>
        </w:rPr>
        <w:t xml:space="preserve">Notes: </w:t>
      </w:r>
      <w:r>
        <w:t>abstract_source=nature_html</w:t>
      </w:r>
    </w:p>
    <w:p>
      <w:pPr>
        <w:spacing w:before="0" w:after="80" w:lineRule="auto" w:line="276"/>
      </w:pPr>
      <w:r>
        <w:rPr>
          <w:b/>
        </w:rPr>
        <w:t xml:space="preserve">摘要（ZH）: </w:t>
      </w:r>
      <w:r>
        <w:t>大量的腹部计算机断层扫描（CT）与放射科医生的短缺加剧了对自动化医学图像分析工具的需求。以前的自动化分析的最先进方法利用了视觉-语言模型（VLMs），这些模型共同建模图像和放射学报告。然而，当前的医学VLMs通常仅限于2D图像和简短报告。为克服这些在腹部CT解释中的不足，我们引入了Merlin，一个从体积CT扫描、电子健康记录数据和放射学报告中学习的3D VLM。这种方法由不需要额外手动注释的多阶段预训练框架支持。我们使用一组高质量的临床数据集对Merlin进行了训练。</w:t>
      </w:r>
    </w:p>
    <w:p>
      <w:pPr>
        <w:spacing w:before="0" w:after="200" w:lineRule="auto" w:line="276"/>
      </w:pPr>
      <w:r>
        <w:rPr>
          <w:b/>
        </w:rPr>
        <w:t xml:space="preserve">Abstract (EN): </w:t>
      </w:r>
      <w:r>
        <w:t>The large volume of abdominal computed tomography (CT) scans1,2 coupled with the shortage of radiologists3,4,5,6 have intensified the need for automated medical image analysis tools. Previous state-of-the-art approaches for automated analysis leverage vision–language models (VLMs) that jointly model images and radiology reports7,8,9,10,11,12. However, current medical VLMs are generally limited to 2D images and short reports. Here to overcome these shortcomings for abdominal CT interpretation, we introduce Merlin, a 3D VLM that learns from volumetric CT scans, electronic health record data and radiology reports. This approach is enabled by a multistage pretraining framework that does not require additional manual annotations. We trained Merlin using a high-quality clinical dataset of paired CT scans (&gt;6 million images from 15,331 CT scans), diagnosis codes (&gt;1.8 million codes) and radiology reports (&gt;6 million tokens). We comprehensively evaluated Merlin on 6 task types and 752 individual tasks that covered diagnostic, prognostic and quality-related tasks. The non-adapted (off-the-shelf) tasks included zero-shot classification of findings (30 findings), phenotype classification (692 phenotypes) and zero-shot cross-modal retrieval (image-to-findings and image-to-impression). The model-adapted tasks included 5-year chronic disease prediction (6 diseases), radiology report generation and 3D semantic segmentation (20 organs). We validated Merlin at scale, with internal testing on 5,137 CT scans and external testing on 44,098 CT scans from 3 independent sites and 2 public datasets. The results demonstrated high generalization across institutions and anatomies. Merlin outperformed 2D VLMs, CT foundation models and off-the-shelf radiology models. We also computed scaling laws and conducted ablation studies to identify optimal training strategies. We release our trained models, code and dataset for 25,494 pairs of abdominal CT scans and radiology reports. Our results demonstrate how Merlin may assist in the interpretation of abdominal CT scans and mitigate the burden on radiologists while simultaneously adding value for future biomarker discovery and disease risk stratification.</w:t>
      </w:r>
    </w:p>
    <w:p>
      <w:pPr>
        <w:spacing w:before="120" w:after="120"/>
      </w:pPr>
      <w:r>
        <w:rPr>
          <w:sz w:val="18"/>
        </w:rPr>
        <w:t>——————————————————————————————————————————————————————————————————————</w:t>
      </w:r>
    </w:p>
    <w:p>
      <w:pPr>
        <w:spacing w:before="160" w:after="40" w:line="240" w:lineRule="auto"/>
      </w:pPr>
      <w:r>
        <w:rPr>
          <w:b/>
        </w:rPr>
        <w:t xml:space="preserve">[260] </w:t>
      </w:r>
      <w:hyperlink r:id="rId627">
        <w:r>
          <w:rPr>
            <w:color w:val="1155CC"/>
            <w:u w:val="single"/>
          </w:rPr>
          <w:t>脂质代谢驱动饮食对T细胞铁死亡和免疫的影响</w:t>
        </w:r>
      </w:hyperlink>
    </w:p>
    <w:p>
      <w:pPr>
        <w:spacing w:before="0" w:after="80"/>
      </w:pPr>
      <w:r>
        <w:rPr>
          <w:i/>
          <w:sz w:val="20"/>
        </w:rPr>
        <w:t>EN: Lipid metabolism drives dietary effects on T cell ferroptosis and immunity</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28">
        <w:r>
          <w:rPr>
            <w:color w:val="1155CC"/>
            <w:u w:val="single"/>
          </w:rPr>
          <w:t>10.1038/s41586-026-10193-4</w:t>
        </w:r>
      </w:hyperlink>
    </w:p>
    <w:p>
      <w:pPr>
        <w:spacing w:before="0" w:after="120"/>
      </w:pPr>
      <w:r>
        <w:rPr>
          <w:b/>
        </w:rPr>
        <w:t xml:space="preserve">Notes: </w:t>
      </w:r>
      <w:r>
        <w:t>abstract_source=nature_html</w:t>
      </w:r>
    </w:p>
    <w:p>
      <w:pPr>
        <w:spacing w:before="0" w:after="80" w:lineRule="auto" w:line="276"/>
      </w:pPr>
      <w:r>
        <w:rPr>
          <w:b/>
        </w:rPr>
        <w:t xml:space="preserve">摘要（ZH）: </w:t>
      </w:r>
      <w:r>
        <w:t>铁死亡是一种主要的非凋亡程序性细胞死亡机制，关键地调节外周CD4+和CD8+ T细胞的稳态和功能1,2,3,4,5,6。在此，我们证明在小鼠中，T细胞对铁死亡的抵抗性关键取决于标准啮齿动物饮食的组成，并且饮食对铁死亡的影响（DEFs）在T细胞稳态和免疫反应的调节中起着至关重要的作用。DEFs是独立于微生物群的，由饮食中多不饱和和单不饱和脂肪酸（PUFAs和MUFAs）的变化驱动，这导致淋巴组织和T细胞中脂质种类的丰度变化。一致地，人类T细胞的铁死亡抵抗性也与多个健康队列的血浆脂质谱相关，表现出</w:t>
      </w:r>
    </w:p>
    <w:p>
      <w:pPr>
        <w:spacing w:before="0" w:after="200" w:lineRule="auto" w:line="276"/>
      </w:pPr>
      <w:r>
        <w:rPr>
          <w:b/>
        </w:rPr>
        <w:t xml:space="preserve">Abstract (EN): </w:t>
      </w:r>
      <w:r>
        <w:t>Ferroptosis, a major mechanism of non-apoptotic programmed cell death, critically regulates the homeostasis and functionality of peripheral CD4+ and CD8+ T cells1,2,3,4,5,6. Here we demonstrate that in mouse, resistance of T cells to ferroptosis depends critically on the composition of standard rodent diets, and that dietary effects on ferroptosis (DEFs) have a crucial role in regulation of T cell homeostasis and immune responses. DEFs are microbiota-independent and are driven by variations in dietary polyunsaturated and monounsaturated fatty acids (PUFAs and MUFAs) that lead to variations in abundance of lipid species in lymphoid tissues and T cells. Consistently, ferroptosis resistance of human T cells also correlated with plasma lipid profiles across multiple healthy cohorts, exhibiting negative associations with PUFA/MUFA ratios in major lipid classes. DEFs dictate T cell resilience in the absence of the essential lipid peroxide scavenger GPX4 and broadly modulate T cell-dependent humoral immunity and T cell-mediated anti-tumour immunity, including in chimeric antigen receptor T cell therapy. Mechanistically, ACSL4, which preferentially biosynthezises PUFA-containing phospholipids7, is highly expressed in T cells and underpins DEF-mediated regulation of follicular helper T (TFH) cell generation and function. Our findings reveal the physiological significance of lipid metabolism in driving DEFs in immunity and suggest strategies targeting lipid metabolism to enhance vaccine efficacy and T cell-mediated immunotherapy.</w:t>
      </w:r>
    </w:p>
    <w:p>
      <w:pPr>
        <w:spacing w:before="120" w:after="120"/>
      </w:pPr>
      <w:r>
        <w:rPr>
          <w:sz w:val="18"/>
        </w:rPr>
        <w:t>——————————————————————————————————————————————————————————————————————</w:t>
      </w:r>
    </w:p>
    <w:p>
      <w:pPr>
        <w:spacing w:before="160" w:after="40" w:line="240" w:lineRule="auto"/>
      </w:pPr>
      <w:r>
        <w:rPr>
          <w:b/>
        </w:rPr>
        <w:t xml:space="preserve">[261] </w:t>
      </w:r>
      <w:hyperlink r:id="rId629">
        <w:r>
          <w:rPr>
            <w:color w:val="1155CC"/>
            <w:u w:val="single"/>
          </w:rPr>
          <w:t>通过磁流体实现长期无血栓的左心耳封堵</w:t>
        </w:r>
      </w:hyperlink>
    </w:p>
    <w:p>
      <w:pPr>
        <w:spacing w:before="0" w:after="80"/>
      </w:pPr>
      <w:r>
        <w:rPr>
          <w:i/>
          <w:sz w:val="20"/>
        </w:rPr>
        <w:t>EN: Long-term thrombus-free left atrial appendage occlusion via magnetofluids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30">
        <w:r>
          <w:rPr>
            <w:color w:val="1155CC"/>
            <w:u w:val="single"/>
          </w:rPr>
          <w:t>10.1038/s41586-025-10091-1</w:t>
        </w:r>
      </w:hyperlink>
    </w:p>
    <w:p>
      <w:pPr>
        <w:spacing w:before="0" w:after="120"/>
      </w:pPr>
      <w:r>
        <w:rPr>
          <w:b/>
        </w:rPr>
        <w:t xml:space="preserve">Notes: </w:t>
      </w:r>
      <w:r>
        <w:t>abstract_source=nature_html</w:t>
      </w:r>
    </w:p>
    <w:p>
      <w:pPr>
        <w:spacing w:before="0" w:after="80" w:lineRule="auto" w:line="276"/>
      </w:pPr>
      <w:r>
        <w:rPr>
          <w:b/>
        </w:rPr>
        <w:t xml:space="preserve">摘要（ZH）: </w:t>
      </w:r>
      <w:r>
        <w:t>围设备漏和设备相关血栓1仍然是当前左心耳封堵（LAAO）2的关键挑战，因为固体封堵器与左心耳（LAA）之间的不兼容性。在此，我们提出了一种使用磁流体的个性化和完整的LAAO，适用于所有类型的LAA。磁流体可以通过心脏导管注入LAA。在足够的磁场存在下，磁流体可以抵抗高速血流。磁流体可以在与血液中的水接触后仅几分钟内沉淀成磁凝胶。我们进一步在猪体内模型中确认了磁凝胶在10个月内的长期弹性和生物相容性。在任何猪中都未观察到设备相关血栓或磁凝胶泄漏。</w:t>
      </w:r>
    </w:p>
    <w:p>
      <w:pPr>
        <w:spacing w:before="0" w:after="200" w:lineRule="auto" w:line="276"/>
      </w:pPr>
      <w:r>
        <w:rPr>
          <w:b/>
        </w:rPr>
        <w:t xml:space="preserve">Abstract (EN): </w:t>
      </w:r>
      <w:r>
        <w:t>Peri-device leak and device-related thrombus1 remain key challenges of current left atrial appendage occlusion (LAAO)2 owing to the incompatibility between the solid occluder and the left atrial appendage (LAA). Here we propose a personalized and complete LAAO using magnetofluids that is suitable for all types of LAAs. Magnetofluids can be injected into LAAs from cardiac catheters. In the presence of a sufficient magnetic field, magnetofluids can resist high-speed blood flow. Magnetofluids can precipitate into magnetogels in contact with water in the blood within only a few minutes. We further confirmed the long-term resilience and biocompatibility of the magnetogel over 10 months in a pig model in vivo. Neither device-related thrombus nor magnetogel leakage was observed in any pigs. The endocardium formed on the Watchman occluder was rough and incomplete, predisposing to thrombosis. Myocardial injuries were unavoidable due to the barbs of the Watchman occluder. The endocardium formed on our magnetogel was smooth, firm and thrombus-free. No crevice was observed between our magnetogel and the LAA, and no injury was caused to the myocardium. These findings may offer a promising clinical strategy for long-term thrombus-free LAAO.</w:t>
      </w:r>
    </w:p>
    <w:p>
      <w:pPr>
        <w:spacing w:before="120" w:after="120"/>
      </w:pPr>
      <w:r>
        <w:rPr>
          <w:sz w:val="18"/>
        </w:rPr>
        <w:t>——————————————————————————————————————————————————————————————————————</w:t>
      </w:r>
    </w:p>
    <w:p>
      <w:pPr>
        <w:spacing w:before="160" w:after="40" w:line="240" w:lineRule="auto"/>
      </w:pPr>
      <w:r>
        <w:rPr>
          <w:b/>
        </w:rPr>
        <w:t xml:space="preserve">[262] </w:t>
      </w:r>
      <w:hyperlink r:id="rId631">
        <w:r>
          <w:rPr>
            <w:color w:val="1155CC"/>
            <w:u w:val="single"/>
          </w:rPr>
          <w:t>来自角质形成细胞的代谢警报素增强系统性体液免疫</w:t>
        </w:r>
      </w:hyperlink>
    </w:p>
    <w:p>
      <w:pPr>
        <w:spacing w:before="0" w:after="80"/>
      </w:pPr>
      <w:r>
        <w:rPr>
          <w:i/>
          <w:sz w:val="20"/>
        </w:rPr>
        <w:t>EN: A metabolic alarmin from keratinocytes potentiates systemic humoral immunity</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32">
        <w:r>
          <w:rPr>
            <w:color w:val="1155CC"/>
            <w:u w:val="single"/>
          </w:rPr>
          <w:t>10.1038/s41586-026-10167-6</w:t>
        </w:r>
      </w:hyperlink>
    </w:p>
    <w:p>
      <w:pPr>
        <w:spacing w:before="0" w:after="120"/>
      </w:pPr>
      <w:r>
        <w:rPr>
          <w:b/>
        </w:rPr>
        <w:t xml:space="preserve">Notes: </w:t>
      </w:r>
      <w:r>
        <w:t>abstract_source=nature_html</w:t>
      </w:r>
    </w:p>
    <w:p>
      <w:pPr>
        <w:spacing w:before="0" w:after="80" w:lineRule="auto" w:line="276"/>
      </w:pPr>
      <w:r>
        <w:rPr>
          <w:b/>
        </w:rPr>
        <w:t xml:space="preserve">摘要（ZH）: </w:t>
      </w:r>
      <w:r>
        <w:t>局部感染如何触发系统性体液免疫仍不清楚。在此，我们确定法呢基焦磷酸（FPP），一种甲羟戊酸途径的代谢中间体1，作为一种内源性警报素，通过角质形成细胞衍生的IL-6和CCL20增强IgG抗体反应。该信号轴增强了T滤泡辅助细胞和迁移性树突状细胞的分化2,3。FPP在感染或紫外线照射后通过未折叠蛋白反应–SREBF途径介导的甲羟戊酸途径激活在角质形成细胞中积累，放大引流淋巴结中的生发中心（GC）反应。在机制上，细胞质中积累的FPP通过与其细胞内结构域结合，激活瞬时受体电位香草酸3（TRPV3），诱导Ca</w:t>
      </w:r>
    </w:p>
    <w:p>
      <w:pPr>
        <w:spacing w:before="0" w:after="200" w:lineRule="auto" w:line="276"/>
      </w:pPr>
      <w:r>
        <w:rPr>
          <w:b/>
        </w:rPr>
        <w:t xml:space="preserve">Abstract (EN): </w:t>
      </w:r>
      <w:r>
        <w:t>How a local infection triggers systemic humoral immunity remains unclear. Here we identify farnesyl pyrophosphate (FPP), a mevalonate pathway metabolic intermediate1, as an endogenous alarmin that enhances IgG antibody responses through keratinocyte-derived IL-6 and CCL20. This signalling axis potentiates the differentiation of T follicular helper cells and migratory dendritic cells2,3. FPP accumulates within keratinocytes after infection or ultraviolet irradiation through the activation of the mevalonate pathway mediated by the unfolded protein response–SREBF pathway, amplifying germinal centre (GC) responses in draining lymph nodes. Mechanistically, accumulated FPP in the cytosol engages transient receptor potential vanilloid 3 (TRPV3) by binding to its intracellular domains, inducing Ca2+ influx that subsequently activates the calmodulin–calcineurin–NFAT and PYK2–RAS–ERK pathways to enhance IL-6 and CCL20 production. This FPP–TRPV3–IL-6/CCL20–GC axis potentiates pathogen-specific antibody production, conferring protection in wild-type but not TRPV3-deficient mice. Single-cell RNA-sequencing analyses of systemic lupus erythematosus (SLE) skin lesions and pathogen-infected mouse skin demonstrate hyperactivation of this signalling axis, particularly in the TRPV3high keratinocyte subset. In mouse models of SLE, the activation of this axis correlates with exacerbated disease pathology. Thus, FPP potentiates systemic humoral immunity through the TRPV3–IL-6/CCL20–GC signalling axis, providing insights for the development of vaccine adjuvants and potential therapeutics for SLE.</w:t>
      </w:r>
    </w:p>
    <w:p>
      <w:pPr>
        <w:spacing w:before="120" w:after="120"/>
      </w:pPr>
      <w:r>
        <w:rPr>
          <w:sz w:val="18"/>
        </w:rPr>
        <w:t>——————————————————————————————————————————————————————————————————————</w:t>
      </w:r>
    </w:p>
    <w:p>
      <w:pPr>
        <w:spacing w:before="160" w:after="40" w:line="240" w:lineRule="auto"/>
      </w:pPr>
      <w:r>
        <w:rPr>
          <w:b/>
        </w:rPr>
        <w:t xml:space="preserve">[263] </w:t>
      </w:r>
      <w:hyperlink r:id="rId633">
        <w:r>
          <w:rPr>
            <w:color w:val="1155CC"/>
            <w:u w:val="single"/>
          </w:rPr>
          <w:t>热带昆虫的有限热耐受性及其基因组特征</w:t>
        </w:r>
      </w:hyperlink>
    </w:p>
    <w:p>
      <w:pPr>
        <w:spacing w:before="0" w:after="80"/>
      </w:pPr>
      <w:r>
        <w:rPr>
          <w:i/>
          <w:sz w:val="20"/>
        </w:rPr>
        <w:t>EN: Limited thermal tolerance in tropical insects and its genomic signature</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34">
        <w:r>
          <w:rPr>
            <w:color w:val="1155CC"/>
            <w:u w:val="single"/>
          </w:rPr>
          <w:t>10.1038/s41586-026-10155-w</w:t>
        </w:r>
      </w:hyperlink>
    </w:p>
    <w:p>
      <w:pPr>
        <w:spacing w:before="0" w:after="120"/>
      </w:pPr>
      <w:r>
        <w:rPr>
          <w:b/>
        </w:rPr>
        <w:t xml:space="preserve">Notes: </w:t>
      </w:r>
      <w:r>
        <w:t>abstract_source=nature_html</w:t>
      </w:r>
    </w:p>
    <w:p>
      <w:pPr>
        <w:spacing w:before="0" w:after="80" w:lineRule="auto" w:line="276"/>
      </w:pPr>
      <w:r>
        <w:rPr>
          <w:b/>
        </w:rPr>
        <w:t xml:space="preserve">摘要（ZH）: </w:t>
      </w:r>
      <w:r>
        <w:t>昆虫占所有动物物种的大多数，其中70%发生在热带1，但变暖对热带昆虫的影响仍然高度不确定2。这源于关于热带昆虫热耐受性的稀疏、分类学偏见的数据以及对潜在生理机制的不完全理解3。在此，我们比较了环境温度与在非洲热带和新热带海拔梯度上测量的约2,300种昆虫的上限和下限热耐受性，并识别了昆虫生命树中热耐受性的基因组特征。我们表明，热耐受性并不按比例追踪环境温度，而是在热带低地趋于渐近。在高海拔地区的昆虫利用可塑性来应对</w:t>
      </w:r>
    </w:p>
    <w:p>
      <w:pPr>
        <w:spacing w:before="0" w:after="200" w:lineRule="auto" w:line="276"/>
      </w:pPr>
      <w:r>
        <w:rPr>
          <w:b/>
        </w:rPr>
        <w:t xml:space="preserve">Abstract (EN): </w:t>
      </w:r>
      <w:r>
        <w:t>Insects make up the majority of all animal species, with 70% occurring in the tropics1, yet the impacts of warming on tropical insects remain highly uncertain2. This stems from sparse, taxonomically biased data on thermal tolerance of tropical insects and an incomplete understanding of the underlying physiological mechanisms3. Here we compared environmental temperatures with field-measured upper and lower thermal tolerance limits of around 2,300 insect species along Afrotropical and Neotropical elevational gradients and identified genomic signatures of thermal tolerance across the insect tree of life. We show that thermal tolerances do not proportionally track environmental temperatures but approach an asymptote in tropical lowlands. Insects at high elevations utilize plasticity to cope with rising temperatures, whereas lowland species have limited plastic abilities. Heat tolerance showed strong differences among insect orders and families, reflected in the thermal stability of proteins, suggesting that variation in thermal tolerance is founded in the fundamental protein architecture. Up to 52% of future surface temperatures and 38% of air temperatures in the Amazonian lowlands can cause heat mortality in half of the studied community. Our data suggest a limited capacity of insects in the Earth’s most biodiverse regions to buffer future warming.</w:t>
      </w:r>
    </w:p>
    <w:p>
      <w:pPr>
        <w:spacing w:before="120" w:after="120"/>
      </w:pPr>
      <w:r>
        <w:rPr>
          <w:sz w:val="18"/>
        </w:rPr>
        <w:t>——————————————————————————————————————————————————————————————————————</w:t>
      </w:r>
    </w:p>
    <w:p>
      <w:pPr>
        <w:spacing w:before="160" w:after="40" w:line="240" w:lineRule="auto"/>
      </w:pPr>
      <w:r>
        <w:rPr>
          <w:b/>
        </w:rPr>
        <w:t xml:space="preserve">[264] </w:t>
      </w:r>
      <w:hyperlink r:id="rId635">
        <w:r>
          <w:rPr>
            <w:color w:val="1155CC"/>
            <w:u w:val="single"/>
          </w:rPr>
          <w:t>DICER切割精度由5′端结合口袋控制</w:t>
        </w:r>
      </w:hyperlink>
    </w:p>
    <w:p>
      <w:pPr>
        <w:spacing w:before="0" w:after="80"/>
      </w:pPr>
      <w:r>
        <w:rPr>
          <w:i/>
          <w:sz w:val="20"/>
        </w:rPr>
        <w:t>EN: DICER cleavage fidelity is governed by 5′-end binding pockets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36">
        <w:r>
          <w:rPr>
            <w:color w:val="1155CC"/>
            <w:u w:val="single"/>
          </w:rPr>
          <w:t>10.1038/s41586-026-10211-5</w:t>
        </w:r>
      </w:hyperlink>
    </w:p>
    <w:p>
      <w:pPr>
        <w:spacing w:before="0" w:after="120"/>
      </w:pPr>
      <w:r>
        <w:rPr>
          <w:b/>
        </w:rPr>
        <w:t xml:space="preserve">Notes: </w:t>
      </w:r>
      <w:r>
        <w:t>abstract_source=nature_html</w:t>
      </w:r>
    </w:p>
    <w:p>
      <w:pPr>
        <w:spacing w:before="0" w:after="80" w:lineRule="auto" w:line="276"/>
      </w:pPr>
      <w:r>
        <w:rPr>
          <w:b/>
        </w:rPr>
        <w:t xml:space="preserve">摘要（ZH）: </w:t>
      </w:r>
      <w:r>
        <w:t>RNA干扰（RNAi）依赖于DICER，这是一种处理RNA前体为小调节RNA的必需酶。DICER根据5′-端计数规则切割RNA前体，其中RNA长度从5′-端测量1,2,3。先前的研究提出了一个不利于鸟苷（5′-G）的单一5′-端结合口袋，导致切割不准确4。在此，我们展示了5′-G促进了许多底物的精确切割。通过大规模平行切割测定和冷冻电子显微镜，我们识别了DICER中一个保守的鸟苷偏好（G-favoured）结合口袋，与先前描述的尿苷偏好（U-favoured）口袋不同。这些口袋共同影响了21核苷酸和22核苷酸切割寄存器之间的对齐，扩展了小</w:t>
      </w:r>
    </w:p>
    <w:p>
      <w:pPr>
        <w:spacing w:before="0" w:after="200" w:lineRule="auto" w:line="276"/>
      </w:pPr>
      <w:r>
        <w:rPr>
          <w:b/>
        </w:rPr>
        <w:t xml:space="preserve">Abstract (EN): </w:t>
      </w:r>
      <w:r>
        <w:t>RNA interference (RNAi) depends on DICER, an essential enzyme that processes RNA precursors into small regulatory RNAs. DICER cleaves RNA precursors according to the 5′-end counting rule, in which RNA length is measured from the 5′-end1,2,3. Previous work proposed a single 5′-end binding pocket that disfavours guanosine (5′-G), leading to cleavage inaccuracies4. Here we show that 5′-G promotes precise cleavage for many substrates. Using massively parallel dicing assays and cryo-electron microscopy, we identify a conserved guanosine-favoured (G-favoured) binding pocket in DICER, distinct from the previously described uridine-favoured (U-favoured) pocket. Together, these pockets influence the alignment between 21-nucleotide and 22-nucleotide cleavage registers, expanding the mechanism of small-RNA biogenesis in metazoan DICERs. We also find that conflicts between 5′-end binding and RNA-motif recognition can trigger RNA conformational adjustments that preserve accurate cleavage-site selection. In addition, conformational adjustments of the double-stranded RNA-binding domain (dsRBD) and PAZ domain help to align substrates with the catalytic centres for precise double-strand cleavage. These results show that the DICER cleavage mechanism integrates dual 5′-end binding pockets, RNA-motif influence and domain motions, advancing our understanding of microRNA biogenesis.</w:t>
      </w:r>
    </w:p>
    <w:p>
      <w:pPr>
        <w:spacing w:before="120" w:after="120"/>
      </w:pPr>
      <w:r>
        <w:rPr>
          <w:sz w:val="18"/>
        </w:rPr>
        <w:t>——————————————————————————————————————————————————————————————————————</w:t>
      </w:r>
    </w:p>
    <w:p>
      <w:pPr>
        <w:spacing w:before="160" w:after="40" w:line="240" w:lineRule="auto"/>
      </w:pPr>
      <w:r>
        <w:rPr>
          <w:b/>
        </w:rPr>
        <w:t xml:space="preserve">[265] </w:t>
      </w:r>
      <w:hyperlink r:id="rId637">
        <w:r>
          <w:rPr>
            <w:color w:val="1155CC"/>
            <w:u w:val="single"/>
          </w:rPr>
          <w:t>使用Evo 2进行跨生命领域的基因组建模和设计</w:t>
        </w:r>
      </w:hyperlink>
    </w:p>
    <w:p>
      <w:pPr>
        <w:spacing w:before="0" w:after="80"/>
      </w:pPr>
      <w:r>
        <w:rPr>
          <w:i/>
          <w:sz w:val="20"/>
        </w:rPr>
        <w:t>EN: Genome modelling and design across all domains of life with Evo 2</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38">
        <w:r>
          <w:rPr>
            <w:color w:val="1155CC"/>
            <w:u w:val="single"/>
          </w:rPr>
          <w:t>10.1038/s41586-026-10176-5</w:t>
        </w:r>
      </w:hyperlink>
    </w:p>
    <w:p>
      <w:pPr>
        <w:spacing w:before="0" w:after="120"/>
      </w:pPr>
      <w:r>
        <w:rPr>
          <w:b/>
        </w:rPr>
        <w:t xml:space="preserve">Notes: </w:t>
      </w:r>
      <w:r>
        <w:t>abstract_source=nature_html</w:t>
      </w:r>
    </w:p>
    <w:p>
      <w:pPr>
        <w:spacing w:before="0" w:after="80" w:lineRule="auto" w:line="276"/>
      </w:pPr>
      <w:r>
        <w:rPr>
          <w:b/>
        </w:rPr>
        <w:t xml:space="preserve">摘要（ZH）: </w:t>
      </w:r>
      <w:r>
        <w:t>所有生命都用DNA编码信息。尽管基因组测序、合成和编辑工具已经改变了生物研究，但我们仍然缺乏对基因组所编码的巨大复杂性的充分理解，无法预测许多类别的基因组变化的影响或智能地构建新的生物系统。通过从不同生物体的基因组序列中学习信息的人工智能模型在预测和设计能力上不断进步1,2。在此，我们介绍Evo 2，这是一种生物基础模型，训练于一个高度策划的基因组图谱中的9万亿DNA碱基对，跨越所有生命领域，具有100万个标记上下文窗口和单核苷酸分辨率。Evo 2学习准确预测基因的功能影响</w:t>
      </w:r>
    </w:p>
    <w:p>
      <w:pPr>
        <w:spacing w:before="0" w:after="200" w:lineRule="auto" w:line="276"/>
      </w:pPr>
      <w:r>
        <w:rPr>
          <w:b/>
        </w:rPr>
        <w:t xml:space="preserve">Abstract (EN): </w:t>
      </w:r>
      <w:r>
        <w:t>All of life encodes information with DNA. Although tools for genome sequencing, synthesis and editing have transformed biological research, we still lack sufficient understanding of the immense complexity encoded by genomes to predict the effects of many classes of genomic changes or to intelligently compose new biological systems. Artificial intelligence models that learn information from genomic sequences across diverse organisms have increasingly advanced prediction and design capabilities1,2. Here we introduce Evo 2, a biological foundation model trained on 9 trillion DNA base pairs from a highly curated genomic atlas spanning all domains of life to have a 1 million token context window with single-nucleotide resolution. Evo 2 learns to accurately predict the functional impacts of genetic variation—from noncoding pathogenic mutations to clinically significant BRCA1 variants—without task-specific fine-tuning. Mechanistic interpretability analyses reveal that Evo 2 learns representations associated with biological features, including exon–intron boundaries, transcription factor binding sites, protein structural elements and prophage genomic regions. The generative abilities of Evo 2 produce mitochondrial, prokaryotic and eukaryotic sequences at genome scale with greater naturalness and coherence than previous methods. Evo 2 also generates experimentally validated chromatin accessibility patterns when guided by predictive models3,4 and inference-time search. We have made Evo 2 fully open, including model parameters, training code5, inference code and the OpenGenome2 dataset, to accelerate the exploration and design of biological complexity.</w:t>
      </w:r>
    </w:p>
    <w:p>
      <w:pPr>
        <w:spacing w:before="120" w:after="120"/>
      </w:pPr>
      <w:r>
        <w:rPr>
          <w:sz w:val="18"/>
        </w:rPr>
        <w:t>——————————————————————————————————————————————————————————————————————</w:t>
      </w:r>
    </w:p>
    <w:p>
      <w:pPr>
        <w:spacing w:before="160" w:after="40" w:line="240" w:lineRule="auto"/>
      </w:pPr>
      <w:r>
        <w:rPr>
          <w:b/>
        </w:rPr>
        <w:t xml:space="preserve">[266] </w:t>
      </w:r>
      <w:hyperlink r:id="rId639">
        <w:r>
          <w:rPr>
            <w:color w:val="1155CC"/>
            <w:u w:val="single"/>
          </w:rPr>
          <w:t>宽幅测高技术绘制全球河流的河岸形状和储存变化</w:t>
        </w:r>
      </w:hyperlink>
    </w:p>
    <w:p>
      <w:pPr>
        <w:spacing w:before="0" w:after="80"/>
      </w:pPr>
      <w:r>
        <w:rPr>
          <w:i/>
          <w:sz w:val="20"/>
        </w:rPr>
        <w:t>EN: Wide-swath altimetry maps bank shapes and storage changes in global rivers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40">
        <w:r>
          <w:rPr>
            <w:color w:val="1155CC"/>
            <w:u w:val="single"/>
          </w:rPr>
          <w:t>10.1038/s41586-026-10218-y</w:t>
        </w:r>
      </w:hyperlink>
    </w:p>
    <w:p>
      <w:pPr>
        <w:spacing w:before="0" w:after="120"/>
      </w:pPr>
      <w:r>
        <w:rPr>
          <w:b/>
        </w:rPr>
        <w:t xml:space="preserve">Notes: </w:t>
      </w:r>
      <w:r>
        <w:t>abstract_source=nature_html</w:t>
      </w:r>
    </w:p>
    <w:p>
      <w:pPr>
        <w:spacing w:before="0" w:after="80" w:lineRule="auto" w:line="276"/>
      </w:pPr>
      <w:r>
        <w:rPr>
          <w:b/>
        </w:rPr>
        <w:t xml:space="preserve">摘要（ZH）: </w:t>
      </w:r>
      <w:r>
        <w:t>河流是地球上最可再生和可获取的淡水资源，然而，全球对河流水储量的规模和变异性的估计仍然很少且不一致。先前对变异性的估计要么依赖于稀疏和不同步的遥感观测，要么依赖于受限于对地表水平衡不完整理解和河道特征不明的水文模型。对跨空间的河流水储量时间变化的知识不足，阻碍了对这一关键淡水资源的有效管理。在此，我们展示了从第一个水年（10月）获得的近全球尺度的活跃河道几何形状观测及其在河段尺度上与水储量相关的月度变化。</w:t>
      </w:r>
    </w:p>
    <w:p>
      <w:pPr>
        <w:spacing w:before="0" w:after="200" w:lineRule="auto" w:line="276"/>
      </w:pPr>
      <w:r>
        <w:rPr>
          <w:b/>
        </w:rPr>
        <w:t xml:space="preserve">Abstract (EN): </w:t>
      </w:r>
      <w:r>
        <w:t>Rivers are Earth’s most renewable and accessible freshwater resource1, yet global estimates of the magnitude and variability in river water storage have remained few and inconsistent1,2,3,4,5,6,7,8,9. Previous estimates of variability have relied either on sparse and asynchronous remote-sensing observations10 or on hydrological models constrained by incomplete understanding of surface-water balance and poorly known river channel characteristics2,3. The insufficient knowledge of temporal variations in river water storage across space hinders effective management of this critical freshwater resource11,12. Here we present near-global-scale observations of active river channel geometry and associated monthly changes in water storage at the reach scale derived from the first water year (October 2023 to September 2024) of the Surface Water and Ocean Topography (SWOT) mission at 126,674 reaches worldwide. Clear patterns of riverbed shape and storage variability expectedly emerge across major basins. SWOT reveals a range of 313.1 ± 129.5 km³ in global annual river storage variability, approximately 28% lower than the lowest previously modelled estimates for the same wide reaches. Although the Amazon’s 2024 record drought, the observational challenges in the Arctic and the revisit frequency of SWOT almost certainly contribute to the discrepancy, the observations point to distinct knowledge limitations in surface-water science. These findings highlight key opportunities to improve the fundamental representation of surface-water dynamics in global models and to better inform water resource management and disaster mitigation at scale.</w:t>
      </w:r>
    </w:p>
    <w:p>
      <w:pPr>
        <w:spacing w:before="120" w:after="120"/>
      </w:pPr>
      <w:r>
        <w:rPr>
          <w:sz w:val="18"/>
        </w:rPr>
        <w:t>——————————————————————————————————————————————————————————————————————</w:t>
      </w:r>
    </w:p>
    <w:p>
      <w:pPr>
        <w:spacing w:before="160" w:after="40" w:line="240" w:lineRule="auto"/>
      </w:pPr>
      <w:r>
        <w:rPr>
          <w:b/>
        </w:rPr>
        <w:t xml:space="preserve">[267] </w:t>
      </w:r>
      <w:hyperlink r:id="rId641">
        <w:r>
          <w:rPr>
            <w:color w:val="1155CC"/>
            <w:u w:val="single"/>
          </w:rPr>
          <w:t>注入心脏的磁性凝胶可以阻止中风</w:t>
        </w:r>
      </w:hyperlink>
    </w:p>
    <w:p>
      <w:pPr>
        <w:spacing w:before="0" w:after="80"/>
      </w:pPr>
      <w:r>
        <w:rPr>
          <w:i/>
          <w:sz w:val="20"/>
        </w:rPr>
        <w:t>EN: Magnetic gel injected into the heart could stop strokes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42">
        <w:r>
          <w:rPr>
            <w:color w:val="1155CC"/>
            <w:u w:val="single"/>
          </w:rPr>
          <w:t>10.1038/d41586-026-00740-4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643">
        <w:r>
          <w:rPr>
            <w:color w:val="1155CC"/>
            <w:u w:val="single"/>
          </w:rPr>
          <w:t>使用快速凝固磁性流体的心脏手术可以预防中风</w:t>
        </w:r>
      </w:hyperlink>
    </w:p>
    <w:p>
      <w:pPr>
        <w:spacing w:before="0" w:after="80"/>
      </w:pPr>
      <w:r>
        <w:rPr>
          <w:i/>
          <w:sz w:val="20"/>
        </w:rPr>
        <w:t>EN: Heart surgery with quick-setting magnetic fluid could prevent strokes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44">
        <w:r>
          <w:rPr>
            <w:color w:val="1155CC"/>
            <w:u w:val="single"/>
          </w:rPr>
          <w:t>10.1038/d41586-026-00742-2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[269] </w:t>
      </w:r>
      <w:hyperlink r:id="rId645">
        <w:r>
          <w:rPr>
            <w:color w:val="1155CC"/>
            <w:u w:val="single"/>
          </w:rPr>
          <w:t>钙钛矿纳米晶体中的高熵合金化在室温下实现高纯度单光子发射</w:t>
        </w:r>
      </w:hyperlink>
    </w:p>
    <w:p>
      <w:pPr>
        <w:spacing w:before="0" w:after="80"/>
      </w:pPr>
      <w:r>
        <w:rPr>
          <w:i/>
          <w:sz w:val="20"/>
        </w:rPr>
        <w:t>EN: High-entropy alloying in perovskite nanocrystals enables high-purity single-photon emission at room temperature</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646">
        <w:r>
          <w:rPr>
            <w:color w:val="1155CC"/>
            <w:u w:val="single"/>
          </w:rPr>
          <w:t>10.1016/j.matt.2026.102660</w:t>
        </w:r>
      </w:hyperlink>
    </w:p>
    <w:p>
      <w:pPr>
        <w:spacing w:before="0" w:after="120"/>
      </w:pPr>
      <w:r>
        <w:rPr>
          <w:b/>
        </w:rPr>
        <w:t xml:space="preserve">Notes: </w:t>
      </w:r>
      <w:r>
        <w:t>abstract_source=rss_cell</w:t>
      </w:r>
    </w:p>
    <w:p>
      <w:pPr>
        <w:spacing w:before="0" w:after="80" w:lineRule="auto" w:line="276"/>
      </w:pPr>
      <w:r>
        <w:rPr>
          <w:b/>
        </w:rPr>
        <w:t xml:space="preserve">摘要（ZH）: </w:t>
      </w:r>
      <w:r>
        <w:t>高熵合金化使钙钛矿纳米晶体在室温下实现了稳健的单光子发射。通过引入多种金属阳离子，晶格无序化局域化了激子，减弱了电子-声子耦合，并抑制了陷阱辅助复合。这些耦合机制使得几乎无闪烁的深蓝色发射具有高单光子纯度（室温下为96%），为实用的量子光源建立了一种内在的材料设计途径。</w:t>
      </w:r>
    </w:p>
    <w:p>
      <w:pPr>
        <w:spacing w:before="0" w:after="200" w:lineRule="auto" w:line="276"/>
      </w:pPr>
      <w:r>
        <w:rPr>
          <w:b/>
        </w:rPr>
        <w:t xml:space="preserve">Abstract (EN): </w:t>
      </w:r>
      <w:r>
        <w:t>High-entropy alloying enables robust room temperature single-photon emission in perovskite nanocrystals. By introducing multiple metal cations, the lattice disorder localizes excitons, weakens electron-phonon coupling, and suppresses trap-assisted recombination. These coupled mechanisms enable nearly non-blinking deep-blue emission with high single-photon purity (96% at room temperature), establishing an intrinsic materials design route toward practical quantum light sources.</w:t>
      </w:r>
    </w:p>
    <w:p>
      <w:pPr>
        <w:spacing w:before="120" w:after="120"/>
      </w:pPr>
      <w:r>
        <w:rPr>
          <w:sz w:val="18"/>
        </w:rPr>
        <w:t>——————————————————————————————————————————————————————————————————————</w:t>
      </w:r>
    </w:p>
    <w:p>
      <w:pPr>
        <w:spacing w:before="160" w:after="40" w:line="240" w:lineRule="auto"/>
      </w:pPr>
      <w:r>
        <w:rPr>
          <w:b/>
        </w:rPr>
        <w:t xml:space="preserve">[270] </w:t>
      </w:r>
      <w:hyperlink r:id="rId647">
        <w:r>
          <w:rPr>
            <w:color w:val="1155CC"/>
            <w:u w:val="single"/>
          </w:rPr>
          <w:t>用于高效光诱导放射性氟化的集成瞬态发色团</w:t>
        </w:r>
      </w:hyperlink>
    </w:p>
    <w:p>
      <w:pPr>
        <w:spacing w:before="0" w:after="80"/>
      </w:pPr>
      <w:r>
        <w:rPr>
          <w:i/>
          <w:sz w:val="20"/>
        </w:rPr>
        <w:t>EN: Integrated transient chromophores for efficient photo-induced radiofluorination</w:t>
      </w:r>
    </w:p>
    <w:p>
      <w:pPr>
        <w:spacing w:before="0" w:after="120"/>
      </w:pPr>
      <w:r>
        <w:rPr>
          <w:b/>
        </w:rPr>
        <w:t xml:space="preserve">Source: </w:t>
      </w:r>
      <w:r>
        <w:t>Chem</w:t>
      </w:r>
      <w:r>
        <w:t xml:space="preserve">    </w:t>
      </w:r>
      <w:r>
        <w:rPr>
          <w:b/>
        </w:rPr>
        <w:t xml:space="preserve">Pub date: </w:t>
      </w:r>
      <w:r>
        <w:t>2026-03-04 00:00:00+00:00</w:t>
      </w:r>
      <w:r>
        <w:t xml:space="preserve">    </w:t>
      </w:r>
      <w:r>
        <w:rPr>
          <w:b/>
        </w:rPr>
        <w:t xml:space="preserve">DOI: </w:t>
      </w:r>
      <w:hyperlink r:id="rId648">
        <w:r>
          <w:rPr>
            <w:color w:val="1155CC"/>
            <w:u w:val="single"/>
          </w:rPr>
          <w:t>10.1016/j.chempr.2025.102908</w:t>
        </w:r>
      </w:hyperlink>
    </w:p>
    <w:p>
      <w:pPr>
        <w:spacing w:before="0" w:after="120"/>
      </w:pPr>
      <w:r>
        <w:rPr>
          <w:b/>
        </w:rPr>
        <w:t xml:space="preserve">Notes: </w:t>
      </w:r>
      <w:r>
        <w:t>abstract_source=rss_cell</w:t>
      </w:r>
    </w:p>
    <w:p>
      <w:pPr>
        <w:spacing w:before="0" w:after="80" w:lineRule="auto" w:line="276"/>
      </w:pPr>
      <w:r>
        <w:rPr>
          <w:b/>
        </w:rPr>
        <w:t xml:space="preserve">摘要（ZH）: </w:t>
      </w:r>
      <w:r>
        <w:t>虽然传统的光氧化还原催化高度依赖于激发态光氧化还原催化剂与底物之间的双分子碰撞，但在这项工作中，我们引入了一种策略，将发色团直接整合到底物中，显著增强了底物活化并减少了前体负载。通过利用发色团作为光催化剂和带电离去基团的双重特性，我们不仅加速了反应速率，还简化了纯化步骤。该方法的应用进一步通过合成含有PET示踪剂的18F标记芳烃得到了证明。</w:t>
      </w:r>
    </w:p>
    <w:p>
      <w:pPr>
        <w:spacing w:before="0" w:after="200" w:lineRule="auto" w:line="276"/>
      </w:pPr>
      <w:r>
        <w:rPr>
          <w:b/>
        </w:rPr>
        <w:t xml:space="preserve">Abstract (EN): </w:t>
      </w:r>
      <w:r>
        <w:t>While traditional photoredox catalysis is highly dependent on bimolecular collisions between the excited photoredox catalyst and substrate, in this work, we introduce a strategy that integrates a chromophore directly into the substrate, significantly enhancing substrate activation and reducing precursor loading. By exploiting the dual properties of the chromophore as both a photocatalyst and a charged leaving group, we not only accelerate the reaction rate but also simplify the purification step. Application of this approach is further demonstrated by the synthesis of 18F-labeled arenes containing PET tracers.</w:t>
      </w:r>
    </w:p>
    <w:p>
      <w:pPr>
        <w:spacing w:before="120" w:after="120"/>
      </w:pPr>
      <w:r>
        <w:rPr>
          <w:sz w:val="18"/>
        </w:rPr>
        <w:t>——————————————————————————————————————————————————————————————————————</w:t>
      </w:r>
    </w:p>
    <w:p>
      <w:pPr>
        <w:spacing w:before="160" w:after="40" w:line="240" w:lineRule="auto"/>
      </w:pPr>
      <w:r>
        <w:rPr>
          <w:b/>
        </w:rPr>
        <w:t xml:space="preserve">[271] </w:t>
      </w:r>
      <w:hyperlink r:id="rId649">
        <w:r>
          <w:rPr>
            <w:color w:val="1155CC"/>
            <w:u w:val="single"/>
          </w:rPr>
          <w:t>亲社会行为和育儿行为的共享神经基质</w:t>
        </w:r>
      </w:hyperlink>
    </w:p>
    <w:p>
      <w:pPr>
        <w:spacing w:before="0" w:after="80"/>
      </w:pPr>
      <w:r>
        <w:rPr>
          <w:i/>
          <w:sz w:val="20"/>
        </w:rPr>
        <w:t>EN: Shared neural substrates of prosocial and parenting behaviours</w:t>
      </w:r>
    </w:p>
    <w:p>
      <w:pPr>
        <w:spacing w:before="0" w:after="120"/>
      </w:pPr>
      <w:r>
        <w:rPr>
          <w:b/>
        </w:rPr>
        <w:t xml:space="preserve">Source: </w:t>
      </w:r>
      <w:r>
        <w:t>Nature</w:t>
      </w:r>
      <w:r>
        <w:t xml:space="preserve">    </w:t>
      </w:r>
      <w:r>
        <w:rPr>
          <w:b/>
        </w:rPr>
        <w:t xml:space="preserve">Pub date: </w:t>
      </w:r>
      <w:r>
        <w:t>2026-03-04 00:00:00+00:00</w:t>
      </w:r>
      <w:r>
        <w:t xml:space="preserve">    </w:t>
      </w:r>
      <w:r>
        <w:rPr>
          <w:b/>
        </w:rPr>
        <w:t xml:space="preserve">DOI: </w:t>
      </w:r>
      <w:hyperlink r:id="rId650">
        <w:r>
          <w:rPr>
            <w:color w:val="1155CC"/>
            <w:u w:val="single"/>
          </w:rPr>
          <w:t>10.1038/s41586-026-10327-8</w:t>
        </w:r>
      </w:hyperlink>
    </w:p>
    <w:p>
      <w:pPr>
        <w:spacing w:before="0" w:after="120"/>
      </w:pPr>
      <w:r>
        <w:rPr>
          <w:b/>
        </w:rPr>
        <w:t xml:space="preserve">Notes: </w:t>
      </w:r>
      <w:r>
        <w:t>abstract_source=nature_html</w:t>
      </w:r>
    </w:p>
    <w:p>
      <w:pPr>
        <w:spacing w:before="0" w:after="80" w:lineRule="auto" w:line="276"/>
      </w:pPr>
      <w:r>
        <w:rPr>
          <w:b/>
        </w:rPr>
        <w:t xml:space="preserve">摘要（ZH）: </w:t>
      </w:r>
      <w:r>
        <w:t>人类和动物能够感知其他个体的负面状态，并通过亲社会行为来改善他们的状况1,2。尽管亲社会行为被假设为在照顾脆弱的新生后代中具有进化根源1,3，但育儿的神经基质是否可能对成人导向的亲社会行为有所贡献仍然很不清楚。我们发现，具有较高育儿水平的小鼠对受压的成年个体表现出更多的亲社会梳理行为。内侧前视区（MPOA），一个参与育儿行为的大脑区域，双向调节对受压同种个体的梳理行为。梳理和育儿行为在MPOA中招募部分重叠的神经元群体，均由MPOA到VTA的通路控制，并且</w:t>
      </w:r>
    </w:p>
    <w:p>
      <w:pPr>
        <w:spacing w:before="0" w:after="200" w:lineRule="auto" w:line="276"/>
      </w:pPr>
      <w:r>
        <w:rPr>
          <w:b/>
        </w:rPr>
        <w:t xml:space="preserve">Abstract (EN): </w:t>
      </w:r>
      <w:r>
        <w:t>Humans and animals can sense the negative states of other individuals and respond with prosocial behaviour to improve their conditions1,2. Although prosocial behaviour is hypothesized to have an evolutionary root in caring for vulnerable newborn offspring1,3, whether the neural substrates underlying parenting may contribute to adult-directed prosocial behaviours remains largely unclear. We show that mice with higher levels of parenting exhibit more prosocial allogrooming toward stressed adults. The medial preoptic area (MPOA), a brain area involved in parenting behaviour, bidirectionally regulates allogrooming toward stressed conspecifics. Allogrooming and parenting behaviours recruit a partially overlapping neuronal ensemble in the MPOA, are both controlled by an MPOA–to–VTA pathway and are associated with dopamine release in the nucleus accumbens. Using activity-dependent labeling, we demonstrate that MPOA neuronal ensembles engaged during parenting behaviours are functionally required for allogrooming. Conversely, MPOA neurons activated during prosocial behaviour are functionally required for pup grooming. Collectively, these findings uncover a neural circuit mechanism of prosocial behaviour and reveal partially shared neural substrates between parenting and prosocial behaviours, suggesting that the neural systems evolved for offspring care may have provided a scaffold for the emergence of broader prosocial support between adults.</w:t>
      </w:r>
    </w:p>
    <w:p>
      <w:pPr>
        <w:spacing w:before="120" w:after="120"/>
      </w:pPr>
      <w:r>
        <w:rPr>
          <w:sz w:val="18"/>
        </w:rPr>
        <w:t>——————————————————————————————————————————————————————————————————————</w:t>
      </w:r>
    </w:p>
    <w:p>
      <w:pPr>
        <w:spacing w:before="160" w:after="40" w:line="240" w:lineRule="auto"/>
      </w:pPr>
      <w:r>
        <w:rPr>
          <w:b/>
        </w:rPr>
        <w:t xml:space="preserve">[272] </w:t>
      </w:r>
      <w:hyperlink r:id="rId651">
        <w:r>
          <w:rPr>
            <w:color w:val="1155CC"/>
            <w:u w:val="single"/>
          </w:rPr>
          <w:t>低维度中电荷密度波的熔化</w:t>
        </w:r>
      </w:hyperlink>
    </w:p>
    <w:p>
      <w:pPr>
        <w:spacing w:before="0" w:after="80"/>
      </w:pPr>
      <w:r>
        <w:rPr>
          <w:i/>
          <w:sz w:val="20"/>
        </w:rPr>
        <w:t>EN: Melting of charge density waves in low dimensions</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652">
        <w:r>
          <w:rPr>
            <w:color w:val="1155CC"/>
            <w:u w:val="single"/>
          </w:rPr>
          <w:t>10.1016/j.matt.2026.102665</w:t>
        </w:r>
      </w:hyperlink>
    </w:p>
    <w:p>
      <w:pPr>
        <w:spacing w:before="0" w:after="120"/>
      </w:pPr>
      <w:r>
        <w:rPr>
          <w:b/>
        </w:rPr>
        <w:t xml:space="preserve">Notes: </w:t>
      </w:r>
      <w:r>
        <w:t>abstract_source=rss_cell</w:t>
      </w:r>
    </w:p>
    <w:p>
      <w:pPr>
        <w:spacing w:before="0" w:after="80" w:lineRule="auto" w:line="276"/>
      </w:pPr>
      <w:r>
        <w:rPr>
          <w:b/>
        </w:rPr>
        <w:t xml:space="preserve">摘要（ZH）: </w:t>
      </w:r>
      <w:r>
        <w:t>电荷密度波通过部分有序的向列相和六方相状态连续熔化。当电荷密度波受到热激发时，失序逐渐出现——最初通过平滑的弹性变形调制局部波长，随后通过位错的成核。在材料系统中，低维电子熔化有三个显著特征：方位超晶格峰展宽、波矢收缩和积分强度衰减。</w:t>
      </w:r>
    </w:p>
    <w:p>
      <w:pPr>
        <w:spacing w:before="0" w:after="200" w:lineRule="auto" w:line="276"/>
      </w:pPr>
      <w:r>
        <w:rPr>
          <w:b/>
        </w:rPr>
        <w:t xml:space="preserve">Abstract (EN): </w:t>
      </w:r>
      <w:r>
        <w:t>Charge density waves melt continuously through partially ordered nematic and hexatic states. As a charge density wave is thermally excited, disorder emerges progressively—initially through smooth elastic deformations that modulate the local wavelength and subsequently via the nucleation of dislocations. Across material systems, there are three salient signatures of electronic melting in low dimensions: azimuthal superlattice peak broadening, wavevector contraction, and integrated intensity decay.</w:t>
      </w:r>
    </w:p>
    <w:p>
      <w:pPr>
        <w:spacing w:before="120" w:after="120"/>
      </w:pPr>
      <w:r>
        <w:rPr>
          <w:sz w:val="18"/>
        </w:rPr>
        <w:t>——————————————————————————————————————————————————————————————————————</w:t>
      </w:r>
    </w:p>
    <w:p>
      <w:pPr>
        <w:spacing w:before="160" w:after="40" w:line="240" w:lineRule="auto"/>
      </w:pPr>
      <w:r>
        <w:rPr>
          <w:b/>
        </w:rPr>
        <w:t xml:space="preserve">[273] </w:t>
      </w:r>
      <w:hyperlink r:id="rId653">
        <w:r>
          <w:rPr>
            <w:color w:val="1155CC"/>
            <w:u w:val="single"/>
          </w:rPr>
          <w:t>通过自旋转移在近各向同性磁体中实现动态稳定性</w:t>
        </w:r>
      </w:hyperlink>
    </w:p>
    <w:p>
      <w:pPr>
        <w:spacing w:before="0" w:after="80"/>
      </w:pPr>
      <w:r>
        <w:rPr>
          <w:i/>
          <w:sz w:val="20"/>
        </w:rPr>
        <w:t>EN: Dynamical stability by spin transfer in nearly isotropic magnets</w:t>
      </w:r>
    </w:p>
    <w:p>
      <w:pPr>
        <w:spacing w:before="0" w:after="120"/>
      </w:pPr>
      <w:r>
        <w:rPr>
          <w:b/>
        </w:rPr>
        <w:t xml:space="preserve">Source: </w:t>
      </w:r>
      <w:r>
        <w:t>Nature Materials</w:t>
      </w:r>
      <w:r>
        <w:t xml:space="preserve">    </w:t>
      </w:r>
      <w:r>
        <w:rPr>
          <w:b/>
        </w:rPr>
        <w:t xml:space="preserve">Pub date: </w:t>
      </w:r>
      <w:r>
        <w:t>2026-03-04 00:00:00+00:00</w:t>
      </w:r>
      <w:r>
        <w:t xml:space="preserve">    </w:t>
      </w:r>
      <w:r>
        <w:rPr>
          <w:b/>
        </w:rPr>
        <w:t xml:space="preserve">DOI: </w:t>
      </w:r>
      <w:hyperlink r:id="rId654">
        <w:r>
          <w:rPr>
            <w:color w:val="1155CC"/>
            <w:u w:val="single"/>
          </w:rPr>
          <w:t>10.1038/s41563-026-02510-z</w:t>
        </w:r>
      </w:hyperlink>
    </w:p>
    <w:p>
      <w:pPr>
        <w:spacing w:before="0" w:after="120"/>
      </w:pPr>
      <w:r>
        <w:rPr>
          <w:b/>
        </w:rPr>
        <w:t xml:space="preserve">Notes: </w:t>
      </w:r>
      <w:r>
        <w:t>abstract_source=nature_html</w:t>
      </w:r>
    </w:p>
    <w:p>
      <w:pPr>
        <w:spacing w:before="0" w:after="80" w:lineRule="auto" w:line="276"/>
      </w:pPr>
      <w:r>
        <w:rPr>
          <w:b/>
        </w:rPr>
        <w:t xml:space="preserve">摘要（ZH）: </w:t>
      </w:r>
      <w:r>
        <w:t>自旋转移矩（STTs）通过电流控制磁化，实现了一系列纳米级自旋电子学应用。它们可以通过抵消磁性弛豫来破坏平衡磁化状态。在此，我们通过专门的生长-退火协议最大化CoFeB薄膜的STT效应，使得界面和形状产生的磁各向异性几乎相互抵消。几乎各向同性的磁体使得在与施加磁场相反的方向上实现低电流动态稳定化磁化，从而实现了Kapitza摆的自旋电子学类比。在中等电流范围内，STT驱动大磁化矢量波动，覆盖整个Bloch球。与之相关的连续变量</w:t>
      </w:r>
    </w:p>
    <w:p>
      <w:pPr>
        <w:spacing w:before="0" w:after="200" w:lineRule="auto" w:line="276"/>
      </w:pPr>
      <w:r>
        <w:rPr>
          <w:b/>
        </w:rPr>
        <w:t xml:space="preserve">Abstract (EN): </w:t>
      </w:r>
      <w:r>
        <w:t>Spin transfer torques (STTs) control magnetization by electric currents, enabling a range of nano-scale spintronic applications. They can destabilize the equilibrium magnetization state by counteracting magnetic relaxation. Here we maximize the STT effect through a dedicated growth-annealing protocol for CoFeB thin films, such that magnetic anisotropies originating from the interface and shape almost cancel each other. The nearly isotropic magnets enable low-current dynamical stabilization of the magnetization in the direction opposite to an applied magnetic field, thereby realizing a spintronic analogue of the Kapitza pendulum. In an intermediate current regime, the STT drives large magnetization vector fluctuations that cover the entire Bloch sphere. The continuous variable associated with the stochastic magnetization direction may serve as a resource for probabilistic computing and neuromorphic hardware. Our results establish isotropic magnets as a platform to study as-yet-uncharted, far-from-equilibrium spin dynamics including anti-magnonics, with promising implications for unconventional computing paradigms.</w:t>
      </w:r>
    </w:p>
    <w:p>
      <w:pPr>
        <w:spacing w:before="120" w:after="120"/>
      </w:pPr>
      <w:r>
        <w:rPr>
          <w:sz w:val="18"/>
        </w:rPr>
        <w:t>——————————————————————————————————————————————————————————————————————</w:t>
      </w:r>
    </w:p>
    <w:p>
      <w:pPr>
        <w:spacing w:before="160" w:after="40" w:line="240" w:lineRule="auto"/>
      </w:pPr>
      <w:r>
        <w:rPr>
          <w:b/>
        </w:rPr>
        <w:t xml:space="preserve">[274] </w:t>
      </w:r>
      <w:hyperlink r:id="rId655">
        <w:r>
          <w:rPr>
            <w:color w:val="1155CC"/>
            <w:u w:val="single"/>
          </w:rPr>
          <w:t>通过设计实现的异质性</w:t>
        </w:r>
      </w:hyperlink>
    </w:p>
    <w:p>
      <w:pPr>
        <w:spacing w:before="0" w:after="80"/>
      </w:pPr>
      <w:r>
        <w:rPr>
          <w:i/>
          <w:sz w:val="20"/>
        </w:rPr>
        <w:t>EN: Heterogeneity by design</w:t>
      </w:r>
    </w:p>
    <w:p>
      <w:pPr>
        <w:spacing w:before="0" w:after="120"/>
      </w:pPr>
      <w:r>
        <w:rPr>
          <w:b/>
        </w:rPr>
        <w:t xml:space="preserve">Source: </w:t>
      </w:r>
      <w:r>
        <w:t>Nature Materials</w:t>
      </w:r>
      <w:r>
        <w:t xml:space="preserve">    </w:t>
      </w:r>
      <w:r>
        <w:rPr>
          <w:b/>
        </w:rPr>
        <w:t xml:space="preserve">Pub date: </w:t>
      </w:r>
      <w:r>
        <w:t>2026-03-04 00:00:00+00:00</w:t>
      </w:r>
      <w:r>
        <w:t xml:space="preserve">    </w:t>
      </w:r>
      <w:r>
        <w:rPr>
          <w:b/>
        </w:rPr>
        <w:t xml:space="preserve">DOI: </w:t>
      </w:r>
      <w:hyperlink r:id="rId656">
        <w:r>
          <w:rPr>
            <w:color w:val="1155CC"/>
            <w:u w:val="single"/>
          </w:rPr>
          <w:t>10.1038/s41563-026-02545-2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657">
        <w:r>
          <w:rPr>
            <w:color w:val="1155CC"/>
            <w:u w:val="single"/>
          </w:rPr>
          <w:t>撤回声明：用于超灵敏成像和光活性杀灭革兰氏阴性和阳性细菌的多功能纳米剂</w:t>
        </w:r>
      </w:hyperlink>
    </w:p>
    <w:p>
      <w:pPr>
        <w:spacing w:before="0" w:after="80"/>
      </w:pPr>
      <w:r>
        <w:rPr>
          <w:i/>
          <w:sz w:val="20"/>
        </w:rPr>
        <w:t>EN: Retraction Note: Multifunctional nanoagents for ultrasensitive imaging and photoactive killing of Gram-negative and Gram-positive bacteria</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58">
        <w:r>
          <w:rPr>
            <w:color w:val="1155CC"/>
            <w:u w:val="single"/>
          </w:rPr>
          <w:t>10.1038/s41467-026-68401-8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659">
        <w:r>
          <w:rPr>
            <w:color w:val="1155CC"/>
            <w:u w:val="single"/>
          </w:rPr>
          <w:t>用于AI辅助生物电子学的应变不变高导电性Janus有机凝胶</w:t>
        </w:r>
      </w:hyperlink>
    </w:p>
    <w:p>
      <w:pPr>
        <w:spacing w:before="0" w:after="80"/>
      </w:pPr>
      <w:r>
        <w:rPr>
          <w:i/>
          <w:sz w:val="20"/>
        </w:rPr>
        <w:t>EN: Strain-invariant highly conductive Janus organogels for AI-assisted bioelectronics</w:t>
      </w:r>
    </w:p>
    <w:p>
      <w:pPr>
        <w:spacing w:before="0" w:after="120"/>
      </w:pPr>
      <w:r>
        <w:rPr>
          <w:b/>
        </w:rPr>
        <w:t xml:space="preserve">Source: </w:t>
      </w:r>
      <w:r>
        <w:t>Matter</w:t>
      </w:r>
      <w:r>
        <w:t xml:space="preserve">    </w:t>
      </w:r>
      <w:r>
        <w:rPr>
          <w:b/>
        </w:rPr>
        <w:t xml:space="preserve">Pub date: </w:t>
      </w:r>
      <w:r>
        <w:t>2026-03-04 00:00:00+00:00</w:t>
      </w:r>
      <w:r>
        <w:t xml:space="preserve">    </w:t>
      </w:r>
      <w:r>
        <w:rPr>
          <w:b/>
        </w:rPr>
        <w:t xml:space="preserve">DOI: </w:t>
      </w:r>
      <w:hyperlink r:id="rId660">
        <w:r>
          <w:rPr>
            <w:color w:val="1155CC"/>
            <w:u w:val="single"/>
          </w:rPr>
          <w:t>10.1016/j.matt.2026.102666</w:t>
        </w:r>
      </w:hyperlink>
    </w:p>
    <w:p>
      <w:pPr>
        <w:spacing w:before="0" w:after="120"/>
      </w:pPr>
      <w:r>
        <w:rPr>
          <w:b/>
        </w:rPr>
        <w:t xml:space="preserve">Notes: </w:t>
      </w:r>
      <w:r>
        <w:t>abstract_source=rss_cell</w:t>
      </w:r>
    </w:p>
    <w:p>
      <w:pPr>
        <w:spacing w:before="0" w:after="80" w:lineRule="auto" w:line="276"/>
      </w:pPr>
      <w:r>
        <w:rPr>
          <w:b/>
        </w:rPr>
        <w:t xml:space="preserve">摘要（ZH）: </w:t>
      </w:r>
      <w:r>
        <w:t>这项工作引入了一种重力翻转退火策略，以创造结合应变不变导电性和Janus粘附性的软导电有机凝胶，从而实现稳健的皮肤界面。结合基于变压器的神经网络，这些有机凝胶电极提供抗振动的生理信号记录和智能解码，推动下一代生物电子传感和刺激的发展。</w:t>
      </w:r>
    </w:p>
    <w:p>
      <w:pPr>
        <w:spacing w:before="0" w:after="200" w:lineRule="auto" w:line="276"/>
      </w:pPr>
      <w:r>
        <w:rPr>
          <w:b/>
        </w:rPr>
        <w:t xml:space="preserve">Abstract (EN): </w:t>
      </w:r>
      <w:r>
        <w:t>This work introduces a gravity-flipping annealing strategy to create soft conductive organogels that combine strain-invariant conductivity with Janus adhesion, enabling robust skin interfaces. Coupled with transformer-based neural networks, these organogel electrodes provide vibration-resistant recording and intelligent decoding of physiological signals, advancing next-generation bioelectronic sensing and stimulation.</w:t>
      </w:r>
    </w:p>
    <w:p>
      <w:pPr>
        <w:spacing w:before="120" w:after="120"/>
      </w:pPr>
      <w:r>
        <w:rPr>
          <w:sz w:val="18"/>
        </w:rPr>
        <w:t>——————————————————————————————————————————————————————————————————————</w:t>
      </w:r>
    </w:p>
    <w:p>
      <w:pPr>
        <w:spacing w:before="160" w:after="40" w:line="240" w:lineRule="auto"/>
      </w:pPr>
      <w:r>
        <w:rPr>
          <w:b/>
        </w:rPr>
        <w:t xml:space="preserve">[277] </w:t>
      </w:r>
      <w:hyperlink r:id="rId661">
        <w:r>
          <w:rPr>
            <w:color w:val="1155CC"/>
            <w:u w:val="single"/>
          </w:rPr>
          <w:t>超材料与流体流动</w:t>
        </w:r>
      </w:hyperlink>
    </w:p>
    <w:p>
      <w:pPr>
        <w:spacing w:before="0" w:after="80"/>
      </w:pPr>
      <w:r>
        <w:rPr>
          <w:i/>
          <w:sz w:val="20"/>
        </w:rPr>
        <w:t>EN: Metamaterials and Fluid Flows</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62">
        <w:r>
          <w:rPr>
            <w:color w:val="1155CC"/>
            <w:u w:val="single"/>
          </w:rPr>
          <w:t>10.1038/s41467-026-70163-2</w:t>
        </w:r>
      </w:hyperlink>
    </w:p>
    <w:p>
      <w:pPr>
        <w:spacing w:before="0" w:after="120"/>
      </w:pPr>
      <w:r>
        <w:rPr>
          <w:b/>
        </w:rPr>
        <w:t xml:space="preserve">Notes: </w:t>
      </w:r>
      <w:r>
        <w:t>abstract_source=nature_html</w:t>
      </w:r>
    </w:p>
    <w:p>
      <w:pPr>
        <w:spacing w:before="0" w:after="80" w:lineRule="auto" w:line="276"/>
      </w:pPr>
      <w:r>
        <w:rPr>
          <w:b/>
        </w:rPr>
        <w:t xml:space="preserve">摘要（ZH）: </w:t>
      </w:r>
      <w:r>
        <w:t>理解和控制流体流动与固体材料和结构之间的动态相互作用——这一领域被称为流体-结构相互作用——不仅对航空航天和海军工程等传统学科至关重要，而且对能量收集、软体机器人和生物医学设备等新兴技术也至关重要。近年来，超材料的出现为重新思考和重新设计流体-结构相互作用提供了令人兴奋的机会。设计与流体流动界面的材料内部结构的想法为精确有效地操控和控制耦合的流体、声学和弹性动力学响应开辟了新的视野。本综述重点关注这一相对未被充分探索的跨学科主题，具有广泛的技术</w:t>
      </w:r>
    </w:p>
    <w:p>
      <w:pPr>
        <w:spacing w:before="0" w:after="200" w:lineRule="auto" w:line="276"/>
      </w:pPr>
      <w:r>
        <w:rPr>
          <w:b/>
        </w:rPr>
        <w:t xml:space="preserve">Abstract (EN): </w:t>
      </w:r>
      <w:r>
        <w:t>Understanding and controlling the dynamic interactions between fluid flows and solid materials and structures—a field known as fluid-structure interaction—is central not only to established disciplines such as aerospace and naval engineering, but also to emerging technologies such as energy harvesting, soft robotics, and biomedical devices. In recent years, the advent of metamaterials has provided exciting opportunities to rethink and redesign fluid-structure interactions. The idea of engineering the internal structure of materials that interface with fluid flows opens a new horizon for the precise and effective manipulation and control of coupled fluidic, acoustic, and elastodynamic responses. This review focuses on this relatively unexplored interdisciplinary theme with broad technological significance. Salient potential applications, such as fuel consumption in transport systems, efficiency of renewable energy extraction, noise mitigation, and resilience against structural fatigue, depend on controlling interactions among flow, acoustic, and vibration mechanisms. Flow control, for example, which spans a wealth of regimes such as laminar, transitional, turbulent, and unsteady separated flows, is strongly influenced by fluid-structure interaction. This review surveys and discusses conceptual frameworks that describe the interplay between fluids and elastic solids, with a focus on contemporary and emerging concepts. The paper is organised into three main sections: flow-structure and fluid-phonon interactions, flow and acoustic interactions with metamaterials, and exotic metamaterial concepts with potential impact on fluid-structure interaction. It concludes with perspectives on current challenges and future directions in this rapidly expanding area of research.</w:t>
      </w:r>
    </w:p>
    <w:p>
      <w:pPr>
        <w:spacing w:before="120" w:after="120"/>
      </w:pPr>
      <w:r>
        <w:rPr>
          <w:sz w:val="18"/>
        </w:rPr>
        <w:t>——————————————————————————————————————————————————————————————————————</w:t>
      </w:r>
    </w:p>
    <w:p>
      <w:pPr>
        <w:spacing w:before="160" w:after="40" w:line="240" w:lineRule="auto"/>
      </w:pPr>
      <w:r>
        <w:rPr>
          <w:b/>
        </w:rPr>
        <w:t xml:space="preserve">[278] </w:t>
      </w:r>
      <w:hyperlink r:id="rId663">
        <w:r>
          <w:rPr>
            <w:color w:val="1155CC"/>
            <w:u w:val="single"/>
          </w:rPr>
          <w:t>高强度和形状记忆的基于纤维素的光聚合树脂的增材制造</w:t>
        </w:r>
      </w:hyperlink>
    </w:p>
    <w:p>
      <w:pPr>
        <w:spacing w:before="0" w:after="80"/>
      </w:pPr>
      <w:r>
        <w:rPr>
          <w:i/>
          <w:sz w:val="20"/>
        </w:rPr>
        <w:t>EN: Additive manufacturing of cellulose-based photopolymerizable resin with high strength and shape-memory</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64">
        <w:r>
          <w:rPr>
            <w:color w:val="1155CC"/>
            <w:u w:val="single"/>
          </w:rPr>
          <w:t>10.1038/s41467-026-70253-1</w:t>
        </w:r>
      </w:hyperlink>
    </w:p>
    <w:p>
      <w:pPr>
        <w:spacing w:before="0" w:after="120"/>
      </w:pPr>
      <w:r>
        <w:rPr>
          <w:b/>
        </w:rPr>
        <w:t xml:space="preserve">Notes: </w:t>
      </w:r>
      <w:r>
        <w:t>abstract_source=nature_html</w:t>
      </w:r>
    </w:p>
    <w:p>
      <w:pPr>
        <w:spacing w:before="0" w:after="80" w:lineRule="auto" w:line="276"/>
      </w:pPr>
      <w:r>
        <w:rPr>
          <w:b/>
        </w:rPr>
        <w:t xml:space="preserve">摘要（ZH）: </w:t>
      </w:r>
      <w:r>
        <w:t>作为核心先进制造技术之一，增材制造在航空航天、生物医学和工业部件制造领域具有很高的应用价值。然而，目前的增材制造材料（例如石油基树脂）面临稳定性差、形状恢复有限和机械性能不足等限制，这限制了可持续制造的进展。受植物细胞壁中应力耗散机制的启发，我们开发了一种基于纤维素的光聚合树脂，提供了卓越的刚度-变形协同效应和时空形状记忆能力。这些结构在变形后整合了优异的机械强度和快速恢复性能。增材制造基于纤维素的</w:t>
      </w:r>
    </w:p>
    <w:p>
      <w:pPr>
        <w:spacing w:before="0" w:after="200" w:lineRule="auto" w:line="276"/>
      </w:pPr>
      <w:r>
        <w:rPr>
          <w:b/>
        </w:rPr>
        <w:t xml:space="preserve">Abstract (EN): </w:t>
      </w:r>
      <w:r>
        <w:t>As one of the core advanced manufacturing technologies, additive manufacturing is of high application value in the aerospace, biomedical, and industrial component manufacturing fields. Nevertheless, current additive manufacturing materials (e.g., petroleum-based resins) face limitations such as poor stability, limited shape recovery, and insufficient mechanical properties, which restrict sustainable manufacturing progress. Inspired by the stress-dissipation mechanism in plant cell walls, we develop a cellulose-based photopolymerizable resin that delivers exceptional stiffness-deformability synergy and spatiotemporally shape memory capability. These structures integrate excellent mechanical strength and rapid recovery performance after deformation. The additive manufacturing cellulose-based photopolymerizable resin material exhibits a synergistic stiffness-deformability profile, achieving a compressive strength of 115.42 MPa and stiffness of 1404.16 MPa. These characteristics lay the foundation for specialized defense components, energy absorption systems, and spatiotemporal memory materials.</w:t>
      </w:r>
    </w:p>
    <w:p>
      <w:pPr>
        <w:spacing w:before="120" w:after="120"/>
      </w:pPr>
      <w:r>
        <w:rPr>
          <w:sz w:val="18"/>
        </w:rPr>
        <w:t>——————————————————————————————————————————————————————————————————————</w:t>
      </w:r>
    </w:p>
    <w:p>
      <w:pPr>
        <w:spacing w:before="160" w:after="40" w:line="240" w:lineRule="auto"/>
      </w:pPr>
      <w:r>
        <w:rPr>
          <w:b/>
        </w:rPr>
        <w:t xml:space="preserve">[279] </w:t>
      </w:r>
      <w:hyperlink r:id="rId665">
        <w:r>
          <w:rPr>
            <w:color w:val="1155CC"/>
            <w:u w:val="single"/>
          </w:rPr>
          <w:t>克隆进化分析揭示胰腺导管内乳头状黏液性肿瘤恶性转化的模式</w:t>
        </w:r>
      </w:hyperlink>
    </w:p>
    <w:p>
      <w:pPr>
        <w:spacing w:before="0" w:after="80"/>
      </w:pPr>
      <w:r>
        <w:rPr>
          <w:i/>
          <w:sz w:val="20"/>
        </w:rPr>
        <w:t>EN: Clonal evolutionary analysis reveals patterns of malignant transformation of Intraductal Papillary Mucinous Neoplasms of the pancreas</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66">
        <w:r>
          <w:rPr>
            <w:color w:val="1155CC"/>
            <w:u w:val="single"/>
          </w:rPr>
          <w:t>10.1038/s41467-026-69762-w</w:t>
        </w:r>
      </w:hyperlink>
    </w:p>
    <w:p>
      <w:pPr>
        <w:spacing w:before="0" w:after="120"/>
      </w:pPr>
      <w:r>
        <w:rPr>
          <w:b/>
        </w:rPr>
        <w:t xml:space="preserve">Notes: </w:t>
      </w:r>
      <w:r>
        <w:t>abstract_source=nature_html</w:t>
      </w:r>
    </w:p>
    <w:p>
      <w:pPr>
        <w:spacing w:before="0" w:after="80" w:lineRule="auto" w:line="276"/>
      </w:pPr>
      <w:r>
        <w:rPr>
          <w:b/>
        </w:rPr>
        <w:t xml:space="preserve">摘要（ZH）: </w:t>
      </w:r>
      <w:r>
        <w:t>导管内乳头状黏液性肿瘤（IPMNs）是胰腺导管腺癌的关键前体，这是一种以晚期检测和快速进展为特征的高致命性癌症。在此，我们整合了多区域全基因组和转录组测序以追踪IPMN的演化，构建详细的系统发育树以提供对亚克隆结构和进展路径的见解。我们的分析识别了两种不同的进化轨迹：一种由单一祖先克隆驱动，另一种涉及多个独立的祖先克隆。我们进一步探讨了突变特征和结构变异在促进克隆演化和新亚克隆出现中的作用。补充这些基因组发现，我们的转录组分析揭示了独特的</w:t>
      </w:r>
    </w:p>
    <w:p>
      <w:pPr>
        <w:spacing w:before="0" w:after="200" w:lineRule="auto" w:line="276"/>
      </w:pPr>
      <w:r>
        <w:rPr>
          <w:b/>
        </w:rPr>
        <w:t xml:space="preserve">Abstract (EN): </w:t>
      </w:r>
      <w:r>
        <w:t>Intraductal papillary mucinous neoplasms (IPMNs) are critical precursors to pancreatic ductal adenocarcinoma, a highly lethal cancer characterized by late detection and rapid progression. Here we integrate multi-region whole-genome and transcriptome sequencing to trace the evolution of IPMN, constructing detailed phylogenetic trees to provide insights into subclonal architectures and progression pathways. Our analysis identifies two distinct evolutionary trajectories: one driven by a single ancestral clone, and another involving multiple independent ancestral clones. We further explore the roles of mutational signatures and structural variants in promoting clonal evolution and the emergence of new subclones. Complementing these genomic findings, our transcriptomic analysis reveals unique gene expression profiles and variations in the immune landscape that correlate with different progression stages of IPMN. These insights reveal the complex molecular dynamics of IPMN heterogeneity and progression, highlighting the need to refine early detection and treatment strategies.</w:t>
      </w:r>
    </w:p>
    <w:p>
      <w:pPr>
        <w:spacing w:before="120" w:after="120"/>
      </w:pPr>
      <w:r>
        <w:rPr>
          <w:sz w:val="18"/>
        </w:rPr>
        <w:t>——————————————————————————————————————————————————————————————————————</w:t>
      </w:r>
    </w:p>
    <w:p>
      <w:pPr>
        <w:spacing w:before="160" w:after="40" w:line="240" w:lineRule="auto"/>
      </w:pPr>
      <w:r>
        <w:rPr>
          <w:b/>
        </w:rPr>
        <w:t xml:space="preserve">[280] </w:t>
      </w:r>
      <w:hyperlink r:id="rId667">
        <w:r>
          <w:rPr>
            <w:color w:val="1155CC"/>
            <w:u w:val="single"/>
          </w:rPr>
          <w:t>最小N-羟基邻苯二甲酰亚胺-氨基甲酸酯键实现共价可调网络的优越热机械稳定性</w:t>
        </w:r>
      </w:hyperlink>
    </w:p>
    <w:p>
      <w:pPr>
        <w:spacing w:before="0" w:after="80"/>
      </w:pPr>
      <w:r>
        <w:rPr>
          <w:i/>
          <w:sz w:val="20"/>
        </w:rPr>
        <w:t>EN: Minimal N-hydroxyphthalimide-urethane bonds enable superior thermomechanical stability for covalent adaptable networks</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68">
        <w:r>
          <w:rPr>
            <w:color w:val="1155CC"/>
            <w:u w:val="single"/>
          </w:rPr>
          <w:t>10.1038/s41467-026-70151-6</w:t>
        </w:r>
      </w:hyperlink>
    </w:p>
    <w:p>
      <w:pPr>
        <w:spacing w:before="0" w:after="120"/>
      </w:pPr>
      <w:r>
        <w:rPr>
          <w:b/>
        </w:rPr>
        <w:t xml:space="preserve">Notes: </w:t>
      </w:r>
      <w:r>
        <w:t>abstract_source=nature_html</w:t>
      </w:r>
    </w:p>
    <w:p>
      <w:pPr>
        <w:spacing w:before="0" w:after="80" w:lineRule="auto" w:line="276"/>
      </w:pPr>
      <w:r>
        <w:rPr>
          <w:b/>
        </w:rPr>
        <w:t xml:space="preserve">摘要（ZH）: </w:t>
      </w:r>
      <w:r>
        <w:t>与经典热固性材料相比，由动态共价键（DCBs）赋予的共价可调网络（CANs）的可再加工性通常以牺牲机械性能和热机械稳定性为代价。在此，我们报告了一种“高活性和低含量”策略用于CANs，以实现优越的热机械稳定性，这由动态N-羟基邻苯二甲酰亚胺-氨基甲酸酯键（NUBs）实现。N-羟基邻苯二甲酰亚胺和异氰酸酯之间的无催化剂加成反应在室温下于二甲基亚砜中进行，2小时内几乎达到定量转化，而形成的键在120°C时甚至解离高达约28%。这种双重高活性，表现为高解离度和快速结合动力学，允许有效减少DCB含量</w:t>
      </w:r>
    </w:p>
    <w:p>
      <w:pPr>
        <w:spacing w:before="0" w:after="200" w:lineRule="auto" w:line="276"/>
      </w:pPr>
      <w:r>
        <w:rPr>
          <w:b/>
        </w:rPr>
        <w:t xml:space="preserve">Abstract (EN): </w:t>
      </w:r>
      <w:r>
        <w:t>Compared to classic thermosets, the reprocessability of covalent adaptable networks (CANs) endowed by dynamic covalent bonds (DCBs) often comes at the expense of mechanical performance and thermomechanical stability. Herein, we report a “High Activity &amp; Low Content” strategy for CANs to achieve superior thermomechanical stability, which is enabled by dynamic N-hydroxyphthalimide-urethane bonds (NUBs). The catalyst-free addition reaction between N-hydroxyphthalimides and isocyanates proceeds to a near-quantitative conversion within 2 h at room temperature in dimethyl sulfoxide, while the formed bonds dissociate even up to ~ 28% at 120 °C. The dual high activity, characterized by a high degree of dissociation and fast association kinetics, allows for an effective reduction in DCB content within CANs while preserving their dynamic characteristics. We incorporate only 5 mol% of dynamic units to develop poly(N-hydroxyphthalimide-urethanes) (PNU) networks. The “High Activity &amp; Low Content” design endows PNUs with superior mechanical properties, exceptional crack tolerance, and remarkable mechanical stability at high temperatures. Furthermore, even with minimal DCB participation, the PNUs exhibit excellent reprocessability and mild degradability in neutral aqueous conditions. This study proposes a compelling strategy that enables CANs to achieve excellent reprocessability while retaining their mechanical strength and thermomechanical robustness—overcoming the traditional trade-off between these properties.</w:t>
      </w:r>
    </w:p>
    <w:p>
      <w:pPr>
        <w:spacing w:before="120" w:after="120"/>
      </w:pPr>
      <w:r>
        <w:rPr>
          <w:sz w:val="18"/>
        </w:rPr>
        <w:t>——————————————————————————————————————————————————————————————————————</w:t>
      </w:r>
    </w:p>
    <w:p>
      <w:pPr>
        <w:spacing w:before="160" w:after="40" w:line="240" w:lineRule="auto"/>
      </w:pPr>
      <w:r>
        <w:rPr>
          <w:b/>
        </w:rPr>
        <w:t xml:space="preserve">[281] </w:t>
      </w:r>
      <w:hyperlink r:id="rId669">
        <w:r>
          <w:rPr>
            <w:color w:val="1155CC"/>
            <w:u w:val="single"/>
          </w:rPr>
          <w:t>抑制Mrt4-rRNA相互作用的富马酰胺霉素衍生物作为抗真菌策略</w:t>
        </w:r>
      </w:hyperlink>
    </w:p>
    <w:p>
      <w:pPr>
        <w:spacing w:before="0" w:after="80"/>
      </w:pPr>
      <w:r>
        <w:rPr>
          <w:i/>
          <w:sz w:val="20"/>
        </w:rPr>
        <w:t>EN: Inhibiting Mrt4-rRNA interaction with fumaramidmycin-based derivatives as an antifungal strategy</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70">
        <w:r>
          <w:rPr>
            <w:color w:val="1155CC"/>
            <w:u w:val="single"/>
          </w:rPr>
          <w:t>10.1038/s41467-026-70226-4</w:t>
        </w:r>
      </w:hyperlink>
    </w:p>
    <w:p>
      <w:pPr>
        <w:spacing w:before="0" w:after="120"/>
      </w:pPr>
      <w:r>
        <w:rPr>
          <w:b/>
        </w:rPr>
        <w:t xml:space="preserve">Notes: </w:t>
      </w:r>
      <w:r>
        <w:t>abstract_source=nature_html</w:t>
      </w:r>
    </w:p>
    <w:p>
      <w:pPr>
        <w:spacing w:before="0" w:after="80" w:lineRule="auto" w:line="276"/>
      </w:pPr>
      <w:r>
        <w:rPr>
          <w:b/>
        </w:rPr>
        <w:t xml:space="preserve">摘要（ZH）: </w:t>
      </w:r>
      <w:r>
        <w:t>药物耐药性的增加和当前抗真菌治疗的局限性突显了创新抗真菌策略的迫切需求。在此，我们介绍了顺式富马酰胺霉素衍生物的开发，这些衍生物通过抑制核糖体组装因子Mrt4与rRNA的相互作用来对抗真菌感染。通过抗真菌筛选，我们发现了一个有前途的候选物20，对包括臭名昭著的超级真菌耳念珠菌在内的各种耐药真菌具有强效。结合活性和非活性蛋白质分析（AIBPP）、化学遗传分析和荧光偏振的综合方法揭示，20的抗真菌活性主要是由于选择性抑制必需的CaMrt4-rRNA相互作用，通过共价结合CaMrt4上的C96和C189。</w:t>
      </w:r>
    </w:p>
    <w:p>
      <w:pPr>
        <w:spacing w:before="0" w:after="200" w:lineRule="auto" w:line="276"/>
      </w:pPr>
      <w:r>
        <w:rPr>
          <w:b/>
        </w:rPr>
        <w:t xml:space="preserve">Abstract (EN): </w:t>
      </w:r>
      <w:r>
        <w:t>The rise of drug resistance and limitations of current antifungal treatments highlight the urgent need for innovative antifungal strategies. Here we present the development of cis-fumaramidmycin-derived analogs inhibiting the interactions of ribosome assembly factor Mrt4 with rRNA to combat fungal infections. Through antifungal screening, we identified a promising lead 20 with strong efficacy against various drug-resistant fungi, including notorious super-fungus Candida auris. A comprehensive approach combining active-and-inactive-based protein profiling (AIBPP), chemical-genetic profiling, and fluorescence polarization revealed that the antifungal activity of 20 is primarily due to selectively inhibiting essential CaMrt4-rRNA interaction by conjointly covalent engaging C96&amp;C189 on CaMrt4 but inactive for HuMrt4-rRNA interaction, thereby disrupting fungal ribosomal assembly. Therapeutic efficacy of 20 in both Galleria mellonella larvae and murine candidiasis models validate this antifungal strategy. Collectively, our studies provide a potential and much needed therapeutic strategy to address the rapidly rising burden of drug-resistant fungal infections.</w:t>
      </w:r>
    </w:p>
    <w:p>
      <w:pPr>
        <w:spacing w:before="120" w:after="120"/>
      </w:pPr>
      <w:r>
        <w:rPr>
          <w:sz w:val="18"/>
        </w:rPr>
        <w:t>——————————————————————————————————————————————————————————————————————</w:t>
      </w:r>
    </w:p>
    <w:p>
      <w:pPr>
        <w:spacing w:before="160" w:after="40" w:line="240" w:lineRule="auto"/>
      </w:pPr>
      <w:r>
        <w:rPr>
          <w:b/>
        </w:rPr>
        <w:t xml:space="preserve">[282] </w:t>
      </w:r>
      <w:hyperlink r:id="rId671">
        <w:r>
          <w:rPr>
            <w:color w:val="1155CC"/>
            <w:u w:val="single"/>
          </w:rPr>
          <w:t>通过三取代烯烃的氢胺化立体分化合成含邻位立体中心的手性胺</w:t>
        </w:r>
      </w:hyperlink>
    </w:p>
    <w:p>
      <w:pPr>
        <w:spacing w:before="0" w:after="80"/>
      </w:pPr>
      <w:r>
        <w:rPr>
          <w:i/>
          <w:sz w:val="20"/>
        </w:rPr>
        <w:t>EN: Stereodivergent synthesis of chiral amines bearing vicinal stereocenters via hydroamination of trisubstituted alkenes</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72">
        <w:r>
          <w:rPr>
            <w:color w:val="1155CC"/>
            <w:u w:val="single"/>
          </w:rPr>
          <w:t>10.1038/s41467-026-70294-6</w:t>
        </w:r>
      </w:hyperlink>
    </w:p>
    <w:p>
      <w:pPr>
        <w:spacing w:before="0" w:after="120"/>
      </w:pPr>
      <w:r>
        <w:rPr>
          <w:b/>
        </w:rPr>
        <w:t xml:space="preserve">Notes: </w:t>
      </w:r>
      <w:r>
        <w:t>abstract_source=nature_html</w:t>
      </w:r>
    </w:p>
    <w:p>
      <w:pPr>
        <w:spacing w:before="0" w:after="80" w:lineRule="auto" w:line="276"/>
      </w:pPr>
      <w:r>
        <w:rPr>
          <w:b/>
        </w:rPr>
        <w:t xml:space="preserve">摘要（ZH）: </w:t>
      </w:r>
      <w:r>
        <w:t>含有邻位立体中心的手性脂肪胺是药物和生物活性分子中常见的结构单元，但高效且立体多样化地获取这些结构仍然是一个长期的挑战。在此，我们报道了一种镍催化的非环状三取代烯烃的不对称氢胺化反应，为构建含有β,γ-立体中心的手性胺提供了一个统一的平台。该反应表现出广泛的底物范围，能够适应多种胺电亲试剂和三取代烯烃，包括那些来源于复杂生物活性分子的烯烃，并具有高水平的区域选择性、非对映选择性和对映选择性。通过调节烯烃的几何形状和手性双咪唑啉配体的构型，可以获得所有四种立体异构体。</w:t>
      </w:r>
    </w:p>
    <w:p>
      <w:pPr>
        <w:spacing w:before="0" w:after="200" w:lineRule="auto" w:line="276"/>
      </w:pPr>
      <w:r>
        <w:rPr>
          <w:b/>
        </w:rPr>
        <w:t xml:space="preserve">Abstract (EN): </w:t>
      </w:r>
      <w:r>
        <w:t>Chiral aliphatic amines bearing vicinal stereocenters are prevalent motifs in pharmaceuticals and bioactive molecules, yet efficient and stereodivergent access to these structures remains a longstanding challenge. Herein, we report a nickel-catalyzed enantioselective hydroamination of acyclic trisubstituted alkenes that provides a unified platform for the stereodivergent construction of chiral amines bearing β,γ-stereocenters. The reaction exhibits broad substrate scope, accommodating diverse amine electrophiles and tri-substituted alkenes, including those derived from complex bioactive molecules, with high levels of regio-, diastereo-, and enantioselectivity. By modulating the alkene geometry and the configuration of a chiral biimidazoline ligand, all four stereoisomers can be accessed in a predictable manner. The protocol proceeds under mild conditions, tolerates various functional groups, and enables late-stage derivatization, demonstrating its utility for constructing densely functionalized, three-dimensional amine scaffolds. This work provides a valuable platform for asymmetric synthesis and holds strong potential for drug discovery and molecular design.</w:t>
      </w:r>
    </w:p>
    <w:p>
      <w:pPr>
        <w:spacing w:before="120" w:after="120"/>
      </w:pPr>
      <w:r>
        <w:rPr>
          <w:sz w:val="18"/>
        </w:rPr>
        <w:t>——————————————————————————————————————————————————————————————————————</w:t>
      </w:r>
    </w:p>
    <w:p>
      <w:pPr>
        <w:spacing w:before="160" w:after="40" w:line="240" w:lineRule="auto"/>
      </w:pPr>
      <w:r>
        <w:rPr>
          <w:b/>
        </w:rPr>
        <w:t xml:space="preserve">[283] </w:t>
      </w:r>
      <w:hyperlink r:id="rId673">
        <w:r>
          <w:rPr>
            <w:color w:val="1155CC"/>
            <w:u w:val="single"/>
          </w:rPr>
          <w:t>一个激活性转录程序共同调节侵袭、增殖和休眠以定义转移潜力</w:t>
        </w:r>
      </w:hyperlink>
    </w:p>
    <w:p>
      <w:pPr>
        <w:spacing w:before="0" w:after="80"/>
      </w:pPr>
      <w:r>
        <w:rPr>
          <w:i/>
          <w:sz w:val="20"/>
        </w:rPr>
        <w:t>EN: A hormetic transcriptional program coregulates invasion, proliferation and dormancy to define metastatic potential</w:t>
      </w:r>
    </w:p>
    <w:p>
      <w:pPr>
        <w:spacing w:before="0" w:after="120"/>
      </w:pPr>
      <w:r>
        <w:rPr>
          <w:b/>
        </w:rPr>
        <w:t xml:space="preserve">Source: </w:t>
      </w:r>
      <w:r>
        <w:t>Nature Communications</w:t>
      </w:r>
      <w:r>
        <w:t xml:space="preserve">    </w:t>
      </w:r>
      <w:r>
        <w:rPr>
          <w:b/>
        </w:rPr>
        <w:t xml:space="preserve">Pub date: </w:t>
      </w:r>
      <w:r>
        <w:t>2026-03-04 00:00:00+00:00</w:t>
      </w:r>
      <w:r>
        <w:t xml:space="preserve">    </w:t>
      </w:r>
      <w:r>
        <w:rPr>
          <w:b/>
        </w:rPr>
        <w:t xml:space="preserve">DOI: </w:t>
      </w:r>
      <w:hyperlink r:id="rId674">
        <w:r>
          <w:rPr>
            <w:color w:val="1155CC"/>
            <w:u w:val="single"/>
          </w:rPr>
          <w:t>10.1038/s41467-026-70242-4</w:t>
        </w:r>
      </w:hyperlink>
    </w:p>
    <w:p>
      <w:pPr>
        <w:spacing w:before="0" w:after="120"/>
      </w:pPr>
      <w:r>
        <w:rPr>
          <w:b/>
        </w:rPr>
        <w:t xml:space="preserve">Notes: </w:t>
      </w:r>
      <w:r>
        <w:t>abstract_source=nature_html</w:t>
      </w:r>
    </w:p>
    <w:p>
      <w:pPr>
        <w:spacing w:before="0" w:after="80" w:lineRule="auto" w:line="276"/>
      </w:pPr>
      <w:r>
        <w:rPr>
          <w:b/>
        </w:rPr>
        <w:t xml:space="preserve">摘要（ZH）: </w:t>
      </w:r>
      <w:r>
        <w:t>转移性仍然是癌症死亡的主要原因，但决定转移能力的因素及其获得的时间尚不清楚。通过使用人类乳腺癌队列和临床前模型中的多组学研究，我们发现细胞在离开原发肿瘤时就具有预设的转移潜力。通过整合空间转录组学与单细胞基因表达和染色质谱，我们确定了转录因子Prrx1是扩散的主调节因子：除了其在侵袭中的已知作用外，它通过作用于细胞周期蛋白和细胞周期抑制因子（Ccnd1/2, Cdkn2a/b/c）抑制增殖，并激活休眠程序（Gas6, Mme, Ogn）。中等水平的Prrx1优化了侵袭与增殖/休眠之间的权衡，产生了一种激素效应（n</w:t>
      </w:r>
    </w:p>
    <w:p>
      <w:pPr>
        <w:spacing w:before="0" w:after="200" w:lineRule="auto" w:line="276"/>
      </w:pPr>
      <w:r>
        <w:rPr>
          <w:b/>
        </w:rPr>
        <w:t xml:space="preserve">Abstract (EN): </w:t>
      </w:r>
      <w:r>
        <w:t>Metastasis remains the leading cause of cancer mortality, yet the factors that determine metastatic competence and the timing of its acquisition are not well understood. Using human breast cancer cohorts and multi-omics in preclinical models, here we show that cells exit the primary tumor with pre-set metastatic potential. Integrating spatial transcriptomics with single-cell gene expression and chromatin profiles, we identify the transcription factor Prrx1 as a master regulator of dissemination: beyond its known role in invasion, it represses proliferation by acting on cyclins and cell-cycle inhibitors (Ccnd1/2, Cdkn2a/b/c) and activates a dormancy program (Gas6, Mme, Ogn). Intermediate Prrx1 levels optimize the trade-off between invasion and proliferation/dormancy, producing a hormetic (nonlinear) relationship between Prrx1 expression and metastatic burden. Combined invasion and proliferation signatures strongly stratify breast cancer prognosis, underscoring the clinical relevance of this phenotypic interplay. These findings indicate that metastatic competence emerges from the integration of Prrx1 co-regulated molecular programs, explaining why some invasive cells enter dormancy while others resume growth.</w:t>
      </w:r>
    </w:p>
    <w:p>
      <w:pPr>
        <w:spacing w:before="120" w:after="120"/>
      </w:pPr>
      <w:r>
        <w:rPr>
          <w:sz w:val="18"/>
        </w:rPr>
        <w:t>——————————————————————————————————————————————————————————————————————</w:t>
      </w:r>
    </w:p>
    <w:p>
      <w:pPr>
        <w:spacing w:before="160" w:after="40" w:line="240" w:lineRule="auto"/>
      </w:pPr>
      <w:r>
        <w:rPr>
          <w:b/>
        </w:rPr>
        <w:t xml:space="preserve">[284] </w:t>
      </w:r>
      <w:hyperlink r:id="rId675">
        <w:r>
          <w:rPr>
            <w:color w:val="1155CC"/>
            <w:u w:val="single"/>
          </w:rPr>
          <w:t>PiP‐Plex：用于多重定量单细胞分泌蛋白的粒中粒系统（Adv. Mater. 13/2026）</w:t>
        </w:r>
      </w:hyperlink>
    </w:p>
    <w:p>
      <w:pPr>
        <w:spacing w:before="0" w:after="80"/>
      </w:pPr>
      <w:r>
        <w:rPr>
          <w:i/>
          <w:sz w:val="20"/>
        </w:rPr>
        <w:t>EN: PiP‐Plex: A Particle‐in‐Particle System for Multiplexed Quantification of Proteins Secreted by Single Cells (Adv. Mater. 13/2026)</w:t>
      </w:r>
    </w:p>
    <w:p>
      <w:pPr>
        <w:spacing w:before="0" w:after="120"/>
      </w:pPr>
      <w:r>
        <w:rPr>
          <w:b/>
        </w:rPr>
        <w:t xml:space="preserve">Source: </w:t>
      </w:r>
      <w:r>
        <w:t>Wiley: Advanced Materials: Table of Contents</w:t>
      </w:r>
      <w:r>
        <w:t xml:space="preserve">    </w:t>
      </w:r>
      <w:r>
        <w:rPr>
          <w:b/>
        </w:rPr>
        <w:t xml:space="preserve">Pub date: </w:t>
      </w:r>
      <w:r>
        <w:t>2026-03-04 06:46:50+00:00</w:t>
      </w:r>
      <w:r>
        <w:t xml:space="preserve">    </w:t>
      </w:r>
      <w:r>
        <w:rPr>
          <w:b/>
        </w:rPr>
        <w:t xml:space="preserve">DOI: </w:t>
      </w:r>
      <w:hyperlink r:id="rId676">
        <w:r>
          <w:rPr>
            <w:color w:val="1155CC"/>
            <w:u w:val="single"/>
          </w:rPr>
          <w:t>10.1002/adma.72520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[285] </w:t>
      </w:r>
      <w:hyperlink r:id="rId677">
        <w:r>
          <w:rPr>
            <w:color w:val="1155CC"/>
            <w:u w:val="single"/>
          </w:rPr>
          <w:t>触控驱动的双手性超结构用于多重光学信息的嵌套加密（Adv. Mater. 13/2026）</w:t>
        </w:r>
      </w:hyperlink>
    </w:p>
    <w:p>
      <w:pPr>
        <w:spacing w:before="0" w:after="80"/>
      </w:pPr>
      <w:r>
        <w:rPr>
          <w:i/>
          <w:sz w:val="20"/>
        </w:rPr>
        <w:t>EN: Touch‐Driven Bi‐Chiral Superstructures for Nested Encryption of Multiplexed Optical Information (Adv. Mater. 13/2026)</w:t>
      </w:r>
    </w:p>
    <w:p>
      <w:pPr>
        <w:spacing w:before="0" w:after="120"/>
      </w:pPr>
      <w:r>
        <w:rPr>
          <w:b/>
        </w:rPr>
        <w:t xml:space="preserve">Source: </w:t>
      </w:r>
      <w:r>
        <w:t>Wiley: Advanced Materials: Table of Contents</w:t>
      </w:r>
      <w:r>
        <w:t xml:space="preserve">    </w:t>
      </w:r>
      <w:r>
        <w:rPr>
          <w:b/>
        </w:rPr>
        <w:t xml:space="preserve">Pub date: </w:t>
      </w:r>
      <w:r>
        <w:t>2026-03-04 06:46:50+00:00</w:t>
      </w:r>
      <w:r>
        <w:t xml:space="preserve">    </w:t>
      </w:r>
      <w:r>
        <w:rPr>
          <w:b/>
        </w:rPr>
        <w:t xml:space="preserve">DOI: </w:t>
      </w:r>
      <w:hyperlink r:id="rId678">
        <w:r>
          <w:rPr>
            <w:color w:val="1155CC"/>
            <w:u w:val="single"/>
          </w:rPr>
          <w:t>10.1002/adma.72523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[286] </w:t>
      </w:r>
      <w:hyperlink r:id="rId679">
        <w:r>
          <w:rPr>
            <w:color w:val="1155CC"/>
            <w:u w:val="single"/>
          </w:rPr>
          <w:t>利用仿生双面微纳格子理性设计三维可变形变色中表面（Adv. Mater. 13/2026）</w:t>
        </w:r>
      </w:hyperlink>
    </w:p>
    <w:p>
      <w:pPr>
        <w:spacing w:before="0" w:after="80"/>
      </w:pPr>
      <w:r>
        <w:rPr>
          <w:i/>
          <w:sz w:val="20"/>
        </w:rPr>
        <w:t>EN: Rational Design of 3D Morphable Color‐shifting Mesosurfaces Using Bioinspired Janus Micro‐ and Nanolattices (Adv. Mater. 13/2026)</w:t>
      </w:r>
    </w:p>
    <w:p>
      <w:pPr>
        <w:spacing w:before="0" w:after="120"/>
      </w:pPr>
      <w:r>
        <w:rPr>
          <w:b/>
        </w:rPr>
        <w:t xml:space="preserve">Source: </w:t>
      </w:r>
      <w:r>
        <w:t>Wiley: Advanced Materials: Table of Contents</w:t>
      </w:r>
      <w:r>
        <w:t xml:space="preserve">    </w:t>
      </w:r>
      <w:r>
        <w:rPr>
          <w:b/>
        </w:rPr>
        <w:t xml:space="preserve">Pub date: </w:t>
      </w:r>
      <w:r>
        <w:t>2026-03-04 06:46:50+00:00</w:t>
      </w:r>
      <w:r>
        <w:t xml:space="preserve">    </w:t>
      </w:r>
      <w:r>
        <w:rPr>
          <w:b/>
        </w:rPr>
        <w:t xml:space="preserve">DOI: </w:t>
      </w:r>
      <w:hyperlink r:id="rId680">
        <w:r>
          <w:rPr>
            <w:color w:val="1155CC"/>
            <w:u w:val="single"/>
          </w:rPr>
          <w:t>10.1002/adma.72521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[287] </w:t>
      </w:r>
      <w:hyperlink r:id="rId681">
        <w:r>
          <w:rPr>
            <w:color w:val="1155CC"/>
            <w:u w:val="single"/>
          </w:rPr>
          <w:t>meta-环对苯撑中的奇偶导电振荡</w:t>
        </w:r>
      </w:hyperlink>
    </w:p>
    <w:p>
      <w:pPr>
        <w:spacing w:before="0" w:after="80"/>
      </w:pPr>
      <w:r>
        <w:rPr>
          <w:i/>
          <w:sz w:val="20"/>
        </w:rPr>
        <w:t>EN: Odd-even conductance oscillations in meta-cycloparaphenylenes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682">
        <w:r>
          <w:rPr>
            <w:color w:val="1155CC"/>
            <w:u w:val="single"/>
          </w:rPr>
          <w:t>10.1126/sciadv.aeb8037</w:t>
        </w:r>
      </w:hyperlink>
    </w:p>
    <w:p>
      <w:pPr>
        <w:spacing w:before="0" w:after="120"/>
      </w:pPr>
      <w:r>
        <w:rPr>
          <w:b/>
        </w:rPr>
        <w:t xml:space="preserve">Notes: </w:t>
      </w:r>
      <w:r>
        <w:t>abstract_source=crossref</w:t>
      </w:r>
    </w:p>
    <w:p>
      <w:pPr>
        <w:spacing w:before="0" w:after="80" w:lineRule="auto" w:line="276"/>
      </w:pPr>
      <w:r>
        <w:rPr>
          <w:b/>
        </w:rPr>
        <w:t xml:space="preserve">摘要（ZH）: </w:t>
      </w:r>
      <w:r>
        <w:t>分子尺度电子学通过利用电荷传输的量子特性，旨在超越经典器件范式。分子轨道作为电子波函数，表现出空间结构的振幅和节点模式，塑造了电子传输。然而，在单分子结中实验解析空间特性是困难的。在此，我们报告了在室温下直接观察到的长度依赖的奇偶导电振荡，这源于对单个π轨道不同区域的采样。这是通过无锚单分子结实现的，其中环状碳纳米环分子与金电极形成Au-π接触，允许直接探测内在的π轨道轮廓。这种最小接触设计保留了轨道</w:t>
      </w:r>
    </w:p>
    <w:p>
      <w:pPr>
        <w:spacing w:before="0" w:after="200" w:lineRule="auto" w:line="276"/>
      </w:pPr>
      <w:r>
        <w:rPr>
          <w:b/>
        </w:rPr>
        <w:t xml:space="preserve">Abstract (EN): </w:t>
      </w:r>
      <w:r>
        <w:t>Molecular-scale electronics seeks to transcend classical device paradigms by leveraging the quantum nature of charge transport. Molecular orbitals, as electron wave functions, exhibit spatially structured amplitude and nodal patterns that shape electron transmission. Yet, the spatial characteristics are difficult to resolve experimentally in single-molecule junctions. Here, we report the direct observation of length-dependent odd-even conductance oscillations that arise from sampling different regions of a single π-orbital at room temperature. This is enabled by anchor-free single-molecule junctions, where cyclic carbon nanohoop molecules form Au-π contacts with gold electrodes, allowing the intrinsic π-orbital profile to be probed directly. This minimal-contact design preserves orbital symmetry and reveals conductance variations linked to the orbital’s spatial amplitude distribution, as corroborated by first-principles transport calculations. These results demonstrate that the spatial structure of an individual molecular orbital can measurably influence room-temperature charge transport, providing a clear framework for understanding orbital contributions in molecular-scale electronic systems.</w:t>
      </w:r>
    </w:p>
    <w:p>
      <w:pPr>
        <w:spacing w:before="120" w:after="120"/>
      </w:pPr>
      <w:r>
        <w:rPr>
          <w:sz w:val="18"/>
        </w:rPr>
        <w:t>——————————————————————————————————————————————————————————————————————</w:t>
      </w:r>
    </w:p>
    <w:p>
      <w:pPr>
        <w:spacing w:before="160" w:after="40" w:line="240" w:lineRule="auto"/>
      </w:pPr>
      <w:r>
        <w:rPr>
          <w:b/>
        </w:rPr>
        <w:t xml:space="preserve">[288] </w:t>
      </w:r>
      <w:hyperlink r:id="rId683">
        <w:r>
          <w:rPr>
            <w:color w:val="1155CC"/>
            <w:u w:val="single"/>
          </w:rPr>
          <w:t>如何使用中性群落模型从群落丰度数据中量化移民</w:t>
        </w:r>
      </w:hyperlink>
    </w:p>
    <w:p>
      <w:pPr>
        <w:spacing w:before="0" w:after="80"/>
      </w:pPr>
      <w:r>
        <w:rPr>
          <w:i/>
          <w:sz w:val="20"/>
        </w:rPr>
        <w:t>EN: How to quantify immigration from community abundance data using the neutral community model</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684">
        <w:r>
          <w:rPr>
            <w:color w:val="1155CC"/>
            <w:u w:val="single"/>
          </w:rPr>
          <w:t>10.1073/pnas.2508689123</w:t>
        </w:r>
      </w:hyperlink>
    </w:p>
    <w:p>
      <w:pPr>
        <w:spacing w:before="0" w:after="120"/>
      </w:pPr>
      <w:r>
        <w:rPr>
          <w:b/>
        </w:rPr>
        <w:t xml:space="preserve">Notes: </w:t>
      </w:r>
      <w:r>
        <w:t>abstract_source=crossref</w:t>
      </w:r>
    </w:p>
    <w:p>
      <w:pPr>
        <w:spacing w:before="0" w:after="80" w:lineRule="auto" w:line="276"/>
      </w:pPr>
      <w:r>
        <w:rPr>
          <w:b/>
        </w:rPr>
        <w:t xml:space="preserve">摘要（ZH）: </w:t>
      </w:r>
      <w:r>
        <w:t>生物群落通过扩散相互连接，调节了局部和区域尺度的多样性。然而，扩散难以直接测量，限制了对复杂群落中扩散对物种组成影响的了解。测量扩散的一种方法是使用中性群落模型（NCM）来量化局部群落如何受到来自更大源群落的个体移民的影响。方便的是，NCM的移民率 N T m 可以从丰富的生物序列丰度数据集中拟合。然而，尚不清楚这些估计值是否反映了真实情况，也不清楚需要多少采样努力才能获得准确的估计值</w:t>
      </w:r>
    </w:p>
    <w:p>
      <w:pPr>
        <w:spacing w:before="0" w:after="200" w:lineRule="auto" w:line="276"/>
      </w:pPr>
      <w:r>
        <w:rPr>
          <w:b/>
        </w:rPr>
        <w:t xml:space="preserve">Abstract (EN): </w:t>
      </w:r>
      <w:r>
        <w:t>Biological communities are connected through dispersal, which regulates diversity across local and regional scales. However, dispersal is difficult to measure directly, limiting what is known about dispersal’s impact on species composition in complex communities. One method to measure dispersal employs the Neutral Community Model (NCM) to quantify how a local community is influenced by the immigration of individuals from a larger source community. Conveniently, the immigration rate</w:t>
      </w:r>
      <w:r>
        <w:t xml:space="preserve"> </w:t>
      </w:r>
      <w:r>
        <w:t>N</w:t>
      </w:r>
      <w:r>
        <w:t xml:space="preserve"> </w:t>
      </w:r>
      <w:r>
        <w:t>T</w:t>
      </w:r>
      <w:r>
        <w:t xml:space="preserve"> </w:t>
      </w:r>
      <w:r>
        <w:t>m</w:t>
      </w:r>
      <w:r>
        <w:t xml:space="preserve"> </w:t>
      </w:r>
      <w:r>
        <w:t>of the NCM can be fit from biological sequence abundance datasets, which are plentiful. Yet it is neither known if these estimated values reflect the ground truth, nor what sampling effort is required to yield accurate estimates. In this study, we introduce two inference methods, a variance-based and a Dirichlet-multinomial log-likelihood (DM-LL) method, to complement the established occupancy-based inference method. In simulations of communities that resemble activated sludge microbiomes, all inference methods were capable of estimating</w:t>
      </w:r>
      <w:r>
        <w:t xml:space="preserve"> </w:t>
      </w:r>
      <w:r>
        <w:t>N</w:t>
      </w:r>
      <w:r>
        <w:t xml:space="preserve"> </w:t>
      </w:r>
      <w:r>
        <w:t>T</w:t>
      </w:r>
      <w:r>
        <w:t xml:space="preserve"> </w:t>
      </w:r>
      <w:r>
        <w:t>m</w:t>
      </w:r>
      <w:r>
        <w:t xml:space="preserve"> </w:t>
      </w:r>
      <w:r>
        <w:t>within 10% of ground-truth, with the variance-based and DM-LL methods requiring less sampling effort. Accurate inferences require read depths greater than</w:t>
      </w:r>
      <w:r>
        <w:t xml:space="preserve"> </w:t>
      </w:r>
      <w:r>
        <w:t>N</w:t>
      </w:r>
      <w:r>
        <w:t xml:space="preserve"> </w:t>
      </w:r>
      <w:r>
        <w:t>T</w:t>
      </w:r>
      <w:r>
        <w:t xml:space="preserve"> </w:t>
      </w:r>
      <w:r>
        <w:t>m</w:t>
      </w:r>
      <w:r>
        <w:t xml:space="preserve"> </w:t>
      </w:r>
      <w:r>
        <w:t>in each sample. The three methods agree in their inferred</w:t>
      </w:r>
      <w:r>
        <w:t xml:space="preserve"> </w:t>
      </w:r>
      <w:r>
        <w:t>N</w:t>
      </w:r>
      <w:r>
        <w:t xml:space="preserve"> </w:t>
      </w:r>
      <w:r>
        <w:t>T</w:t>
      </w:r>
      <w:r>
        <w:t xml:space="preserve"> </w:t>
      </w:r>
      <w:r>
        <w:t>m</w:t>
      </w:r>
      <w:r>
        <w:t xml:space="preserve"> </w:t>
      </w:r>
      <w:r>
        <w:t>in simulations of communities experiencing weak non-neutral effects (e.g., selection) and in applications to abundance datasets from wastewater activated sludge, tropical trees, and coral reefs. Based on these findings, we propose practical sampling and methodological guidelines for quantifying immigration between highly diverse, complex communities using the NCM.</w:t>
      </w:r>
    </w:p>
    <w:p>
      <w:pPr>
        <w:spacing w:before="120" w:after="120"/>
      </w:pPr>
      <w:r>
        <w:rPr>
          <w:sz w:val="18"/>
        </w:rPr>
        <w:t>——————————————————————————————————————————————————————————————————————</w:t>
      </w:r>
    </w:p>
    <w:p>
      <w:pPr>
        <w:spacing w:before="160" w:after="40" w:line="240" w:lineRule="auto"/>
      </w:pPr>
      <w:r>
        <w:rPr>
          <w:b/>
        </w:rPr>
        <w:t xml:space="preserve">[289] </w:t>
      </w:r>
      <w:hyperlink r:id="rId685">
        <w:r>
          <w:rPr>
            <w:color w:val="1155CC"/>
            <w:u w:val="single"/>
          </w:rPr>
          <w:t>单飞秒级抖动的超短电子脉冲生成</w:t>
        </w:r>
      </w:hyperlink>
    </w:p>
    <w:p>
      <w:pPr>
        <w:spacing w:before="0" w:after="80"/>
      </w:pPr>
      <w:r>
        <w:rPr>
          <w:i/>
          <w:sz w:val="20"/>
        </w:rPr>
        <w:t>EN: Ultrashort electron pulse generation with single-femtosecond-level jitter</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686">
        <w:r>
          <w:rPr>
            <w:color w:val="1155CC"/>
            <w:u w:val="single"/>
          </w:rPr>
          <w:t>10.1126/sciadv.aec0008</w:t>
        </w:r>
      </w:hyperlink>
    </w:p>
    <w:p>
      <w:pPr>
        <w:spacing w:before="0" w:after="120"/>
      </w:pPr>
      <w:r>
        <w:rPr>
          <w:b/>
        </w:rPr>
        <w:t xml:space="preserve">Notes: </w:t>
      </w:r>
      <w:r>
        <w:t>abstract_source=crossref</w:t>
      </w:r>
    </w:p>
    <w:p>
      <w:pPr>
        <w:spacing w:before="0" w:after="80" w:lineRule="auto" w:line="276"/>
      </w:pPr>
      <w:r>
        <w:rPr>
          <w:b/>
        </w:rPr>
        <w:t xml:space="preserve">摘要（ZH）: </w:t>
      </w:r>
      <w:r>
        <w:t>超短电子束与精确的泵浦激光同步和适当的电荷对于时间分辨技术如超快电子衍射（UED）和先进光源至关重要。在此，我们通过单个太赫兹（THz）驱动装置实现电子切割和压缩，产生50飞秒、接近飞库仑（fC）的电子脉冲，具有1.4飞秒的到达时间抖动，持续超过一小时。与没有THz装置的情况相比，这实现了脉冲持续时间减少35倍和抖动改善10倍，标志着在千电子伏特水平上多电子脉冲（接近fC水平）中直接测量的最短脉冲持续时间和最小时间抖动。高质量的电子衍射证实了该技术适用于UED。</w:t>
      </w:r>
    </w:p>
    <w:p>
      <w:pPr>
        <w:spacing w:before="0" w:after="200" w:lineRule="auto" w:line="276"/>
      </w:pPr>
      <w:r>
        <w:rPr>
          <w:b/>
        </w:rPr>
        <w:t xml:space="preserve">Abstract (EN): </w:t>
      </w:r>
      <w:r>
        <w:t>Ultrashort electron bunches with precise pump laser synchronization and adequate charge are fundamental for time-resolved techniques like ultrafast electron diffraction (UED) and advanced light sources. Here, we achieve electron chopping and compression through a single terahertz (THz)–driven device, producing 50-femtosecond, near-femtocoulomb (fC) electron pulses with 1.4-femtosecond arrival time jitter sustained over an hour. This achieves a 35-fold pulse duration reduction and 10-fold jitter improvement compared to cases without the THz device, marking the shortest directly measured pulse duration and smallest timing jitter reported for multielectron pulses (near-fC level) at the kilo–electron volt level. High-quality electron diffraction confirms this technique’s suitability for UED. We further introduce a beam tilting correction via a tilted antenna, enabling bunch compression down to 6 femtoseconds. Furthermore, we have demonstrated its capability of reducing extended timing jitter from several hundred femtoseconds to the few-femtosecond level, offering a promising solution to the long-standing synchronization challenge between radio frequency accelerators and optical lasers. This advancement paves the way for jitter-free UED techniques with attosecond temporal resolution, thereby notably enhancing modern ultrafast applications.</w:t>
      </w:r>
    </w:p>
    <w:p>
      <w:pPr>
        <w:spacing w:before="120" w:after="120"/>
      </w:pPr>
      <w:r>
        <w:rPr>
          <w:sz w:val="18"/>
        </w:rPr>
        <w:t>——————————————————————————————————————————————————————————————————————</w:t>
      </w:r>
    </w:p>
    <w:p>
      <w:pPr>
        <w:spacing w:before="160" w:after="40" w:line="240" w:lineRule="auto"/>
      </w:pPr>
      <w:r>
        <w:rPr>
          <w:b/>
        </w:rPr>
        <w:t xml:space="preserve">[290] </w:t>
      </w:r>
      <w:hyperlink r:id="rId687">
        <w:r>
          <w:rPr>
            <w:color w:val="1155CC"/>
            <w:u w:val="single"/>
          </w:rPr>
          <w:t>扭矩触控实现人类水平的机器人灵巧性</w:t>
        </w:r>
      </w:hyperlink>
    </w:p>
    <w:p>
      <w:pPr>
        <w:spacing w:before="0" w:after="80"/>
      </w:pPr>
      <w:r>
        <w:rPr>
          <w:i/>
          <w:sz w:val="20"/>
        </w:rPr>
        <w:t>EN: Touching with torque enables human-level robotic dexterity</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688">
        <w:r>
          <w:rPr>
            <w:color w:val="1155CC"/>
            <w:u w:val="single"/>
          </w:rPr>
          <w:t>10.1126/sciadv.aec3263</w:t>
        </w:r>
      </w:hyperlink>
    </w:p>
    <w:p>
      <w:pPr>
        <w:spacing w:before="0" w:after="120"/>
      </w:pPr>
      <w:r>
        <w:rPr>
          <w:b/>
        </w:rPr>
        <w:t xml:space="preserve">Notes: </w:t>
      </w:r>
      <w:r>
        <w:t>abstract_source=crossref</w:t>
      </w:r>
    </w:p>
    <w:p>
      <w:pPr>
        <w:spacing w:before="0" w:after="80" w:lineRule="auto" w:line="276"/>
      </w:pPr>
      <w:r>
        <w:rPr>
          <w:b/>
        </w:rPr>
        <w:t xml:space="preserve">摘要（ZH）: </w:t>
      </w:r>
      <w:r>
        <w:t>在机器人领域，实现类似人类的强力操作仍然是一个主要挑战，因为缺乏关键的环境交互线索，如碰撞、平衡和阻力。我们提出了一种扭矩-角度-压力（TAP）触觉传感器，利用磁通密度梯度实现双向、超灵敏（约0.1°，约0.4牛顿-毫米）和高线性（R² = 0.99）传感，覆盖广泛范围（±241.6牛顿-毫米），通过单一读出通道。精确的扭矩感知能力提供了力和距离信息，将环境引入交互环路。配备TAP的机器人可以在无视觉的情况下稳定地放置物体，并在短时间内完成平衡梁堆叠挑战。</w:t>
      </w:r>
    </w:p>
    <w:p>
      <w:pPr>
        <w:spacing w:before="0" w:after="200" w:lineRule="auto" w:line="276"/>
      </w:pPr>
      <w:r>
        <w:rPr>
          <w:b/>
        </w:rPr>
        <w:t xml:space="preserve">Abstract (EN): </w:t>
      </w:r>
      <w:r>
        <w:t>Achieving human-like forceful manipulation remains a major challenge in robotics because of the lack of critical environmental interaction cues such as collisions, balance, and resistance. We present a torque-angle-pressure (TAP) tactile sensor leveraging magnetic flux density gradients to achieve bidirectional, ultrasensitive (~0.1°, ~0.4 newton-millimeter), and high-linearity (</w:t>
      </w:r>
      <w:r>
        <w:t xml:space="preserve"> </w:t>
      </w:r>
      <w:r>
        <w:t>R</w:t>
      </w:r>
      <w:r>
        <w:rPr>
          <w:vertAlign w:val="subscript"/>
        </w:rPr>
        <w:t>2</w:t>
      </w:r>
      <w:r>
        <w:t>= 0.99) sensing over a wide range (±241.6 newton-millimeter) through a single readout channel. The accurate torque sensing ability provides both force and distance information, bringing the environment into the interaction loop. A TAP-equipped robot can perform vision-free stable object placement and complete a balance beam stacking challenge in just 2.4 seconds with a success rate of 81.5%—both measured metrics surpassing human performance. It also supports adaptive daikon slicing with real-time posture and motion adjustments—capabilities rarely achievable in existing robotic systems. This work advances tactile sensing, enables forceful manipulation in unstructured environments, and represents a key step toward effective human-robot collaboration.</w:t>
      </w:r>
    </w:p>
    <w:p>
      <w:pPr>
        <w:spacing w:before="120" w:after="120"/>
      </w:pPr>
      <w:r>
        <w:rPr>
          <w:sz w:val="18"/>
        </w:rPr>
        <w:t>——————————————————————————————————————————————————————————————————————</w:t>
      </w:r>
    </w:p>
    <w:p>
      <w:pPr>
        <w:spacing w:before="160" w:after="40" w:line="240" w:lineRule="auto"/>
      </w:pPr>
      <w:r>
        <w:rPr>
          <w:b/>
        </w:rPr>
        <w:t xml:space="preserve">[291] </w:t>
      </w:r>
      <w:hyperlink r:id="rId689">
        <w:r>
          <w:rPr>
            <w:color w:val="1155CC"/>
            <w:u w:val="single"/>
          </w:rPr>
          <w:t>数字支持系统改善秘鲁儿童发展：一项集群随机对照开放标签试验</w:t>
        </w:r>
      </w:hyperlink>
    </w:p>
    <w:p>
      <w:pPr>
        <w:spacing w:before="0" w:after="80"/>
      </w:pPr>
      <w:r>
        <w:rPr>
          <w:i/>
          <w:sz w:val="20"/>
        </w:rPr>
        <w:t>EN: Digital support systems to improve child development in Peru: A cluster-randomized controlled open-label trial</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690">
        <w:r>
          <w:rPr>
            <w:color w:val="1155CC"/>
            <w:u w:val="single"/>
          </w:rPr>
          <w:t>10.1126/sciadv.aeb9403</w:t>
        </w:r>
      </w:hyperlink>
    </w:p>
    <w:p>
      <w:pPr>
        <w:spacing w:before="0" w:after="120"/>
      </w:pPr>
      <w:r>
        <w:rPr>
          <w:b/>
        </w:rPr>
        <w:t xml:space="preserve">Notes: </w:t>
      </w:r>
      <w:r>
        <w:t>abstract_source=crossref</w:t>
      </w:r>
    </w:p>
    <w:p>
      <w:pPr>
        <w:spacing w:before="0" w:after="80" w:lineRule="auto" w:line="276"/>
      </w:pPr>
      <w:r>
        <w:rPr>
          <w:b/>
        </w:rPr>
        <w:t xml:space="preserve">摘要（ZH）: </w:t>
      </w:r>
      <w:r>
        <w:t>数字技术有潜力通过大规模提供个性化支持来改变早期儿童发展（ECD）干预措施。我们在秘鲁农村进行了一项集群随机对照试验，以评估人工智能支持的数字育儿聊天机器人以及传统家访作为改善儿童发展的干预措施的有效性和成本效益。在2461对看护者-儿童二元组中，数字和家访干预措施均在2.5岁时改善了儿童发展结果，标准化效应量分别为0.11和0.17。数字干预措施的成本仅为面对面支持的1/15，显示出更高的成本效益。</w:t>
      </w:r>
    </w:p>
    <w:p>
      <w:pPr>
        <w:spacing w:before="0" w:after="200" w:lineRule="auto" w:line="276"/>
      </w:pPr>
      <w:r>
        <w:rPr>
          <w:b/>
        </w:rPr>
        <w:t xml:space="preserve">Abstract (EN): </w:t>
      </w:r>
      <w:r>
        <w:t>Digital technologies have the potential to transform early childhood development (ECD) interventions by delivering personalized support at scale. We conducted a cluster-randomized controlled trial in rural Peru to evaluate the effectiveness and cost-effectiveness of an artificial intelligence–supported digital parenting chatbot as well as traditional home visits as interventions to improve child development. Among 2461 caregiver-child dyads, both the digital and home-visiting interventions improved child development outcomes at 2.5 years of age, with standardized effect sizes of 0.11 and 0.17, respectively. At</w:t>
      </w:r>
      <w:r>
        <w:rPr>
          <w:vertAlign w:val="subscript"/>
        </w:rPr>
        <w:t>1</w:t>
      </w:r>
      <w:r>
        <w:t>/</w:t>
      </w:r>
      <w:r>
        <w:rPr>
          <w:vertAlign w:val="subscript"/>
        </w:rPr>
        <w:t>15</w:t>
      </w:r>
      <w:r>
        <w:t>of the cost of in-person support, the digital intervention yielded superior cost-effectiveness. These findings suggest that digital platforms can be a viable, scalable alternative to support children’s development in resource-constrained settings.</w:t>
      </w:r>
    </w:p>
    <w:p>
      <w:pPr>
        <w:spacing w:before="120" w:after="120"/>
      </w:pPr>
      <w:r>
        <w:rPr>
          <w:sz w:val="18"/>
        </w:rPr>
        <w:t>——————————————————————————————————————————————————————————————————————</w:t>
      </w:r>
    </w:p>
    <w:p>
      <w:pPr>
        <w:spacing w:before="160" w:after="40" w:line="240" w:lineRule="auto"/>
      </w:pPr>
      <w:r>
        <w:rPr>
          <w:b/>
        </w:rPr>
        <w:t xml:space="preserve">[292] </w:t>
      </w:r>
      <w:hyperlink r:id="rId691">
        <w:r>
          <w:rPr>
            <w:color w:val="1155CC"/>
            <w:u w:val="single"/>
          </w:rPr>
          <w:t>蛋白质稳态压力下线粒体蛋白生物合成机制的结构重塑</w:t>
        </w:r>
      </w:hyperlink>
    </w:p>
    <w:p>
      <w:pPr>
        <w:spacing w:before="0" w:after="80"/>
      </w:pPr>
      <w:r>
        <w:rPr>
          <w:i/>
          <w:sz w:val="20"/>
        </w:rPr>
        <w:t>EN: Structural remodeling of the mitochondrial protein biogenesis machinery under proteostatic stress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692">
        <w:r>
          <w:rPr>
            <w:color w:val="1155CC"/>
            <w:u w:val="single"/>
          </w:rPr>
          <w:t>10.1126/sciadv.aed3579</w:t>
        </w:r>
      </w:hyperlink>
    </w:p>
    <w:p>
      <w:pPr>
        <w:spacing w:before="0" w:after="120"/>
      </w:pPr>
      <w:r>
        <w:rPr>
          <w:b/>
        </w:rPr>
        <w:t xml:space="preserve">Notes: </w:t>
      </w:r>
      <w:r>
        <w:t>abstract_source=crossref</w:t>
      </w:r>
    </w:p>
    <w:p>
      <w:pPr>
        <w:spacing w:before="0" w:after="80" w:lineRule="auto" w:line="276"/>
      </w:pPr>
      <w:r>
        <w:rPr>
          <w:b/>
        </w:rPr>
        <w:t xml:space="preserve">摘要（ZH）: </w:t>
      </w:r>
      <w:r>
        <w:t>细胞已经进化出特定细胞器的反应来维持蛋白质稳态（蛋白质稳态）。在蛋白质稳态压力下，线粒体下调翻译并增强蛋白质折叠，但其潜在机制仍不明确。在此，我们使用冷冻电子断层扫描观察人类细胞中线粒体蛋白质稳态压力的结构后果。我们检测到线粒体基质内的蛋白质聚集，伴随着嵴结构的显著重塑。同时，线粒体核糖体复合物的数量显著减少。线粒体Hsp60（mHsp60），一种关键的蛋白质折叠机器，发生了主要的构象变化，以促进与其共伴侣mHsp10的复合物。我们可视化了mHsp60与天然底物的相互作用</w:t>
      </w:r>
    </w:p>
    <w:p>
      <w:pPr>
        <w:spacing w:before="0" w:after="200" w:lineRule="auto" w:line="276"/>
      </w:pPr>
      <w:r>
        <w:rPr>
          <w:b/>
        </w:rPr>
        <w:t xml:space="preserve">Abstract (EN): </w:t>
      </w:r>
      <w:r>
        <w:t>Cells have evolved organelle-specific responses to maintain protein homeostasis (proteostasis). During proteostatic stress, mitochondria down-regulate translation and enhance protein folding, yet the underlying mechanisms remain poorly defined. Here, we used cryo–electron tomography to observe the structural consequences of mitochondrial proteostatic stress within human cells. We detected protein aggregates within the mitochondrial matrix, accompanied by a marked remodeling of cristae architecture. Concomitantly, the number of mitochondrial ribosome complexes was significantly reduced. Mitochondrial Hsp60 (mHsp60), a key protein folding machine, underwent major conformational changes to favor complexes with its co-chaperone mHsp10. We visualized the interactions of mHsp60 with native substrate proteins and determined in vitro mHsp60 cryo–electron microscopy structures enabling nucleotide state assignment of the in situ structures. These data converge on a model of the mHsp60 functional cycle and its essential role in mitochondrial proteostasis. More broadly, our findings reveal structural mechanisms governing mitochondrial protein biosynthesis and their remodeling under proteostatic stress.</w:t>
      </w:r>
    </w:p>
    <w:p>
      <w:pPr>
        <w:spacing w:before="120" w:after="120"/>
      </w:pPr>
      <w:r>
        <w:rPr>
          <w:sz w:val="18"/>
        </w:rPr>
        <w:t>——————————————————————————————————————————————————————————————————————</w:t>
      </w:r>
    </w:p>
    <w:p>
      <w:pPr>
        <w:spacing w:before="160" w:after="40" w:line="240" w:lineRule="auto"/>
      </w:pPr>
      <w:r>
        <w:rPr>
          <w:b/>
        </w:rPr>
        <w:t xml:space="preserve">[293] </w:t>
      </w:r>
      <w:hyperlink r:id="rId693">
        <w:r>
          <w:rPr>
            <w:color w:val="1155CC"/>
            <w:u w:val="single"/>
          </w:rPr>
          <w:t>哺乳动物骨骼的多同位素分析为墨西哥特瓦坎谷地农业采纳提供环境背景</w:t>
        </w:r>
      </w:hyperlink>
    </w:p>
    <w:p>
      <w:pPr>
        <w:spacing w:before="0" w:after="80"/>
      </w:pPr>
      <w:r>
        <w:rPr>
          <w:i/>
          <w:sz w:val="20"/>
        </w:rPr>
        <w:t>EN: Multi-isotope analysis of mammal bones provides environmental context for the adoption of agriculture in the Tehuacan Valley of Mexico</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694">
        <w:r>
          <w:rPr>
            <w:color w:val="1155CC"/>
            <w:u w:val="single"/>
          </w:rPr>
          <w:t>10.1126/sciadv.adw9222</w:t>
        </w:r>
      </w:hyperlink>
    </w:p>
    <w:p>
      <w:pPr>
        <w:spacing w:before="0" w:after="120"/>
      </w:pPr>
      <w:r>
        <w:rPr>
          <w:b/>
        </w:rPr>
        <w:t xml:space="preserve">Notes: </w:t>
      </w:r>
      <w:r>
        <w:t>abstract_source=crossref</w:t>
      </w:r>
    </w:p>
    <w:p>
      <w:pPr>
        <w:spacing w:before="0" w:after="80" w:lineRule="auto" w:line="276"/>
      </w:pPr>
      <w:r>
        <w:rPr>
          <w:b/>
        </w:rPr>
        <w:t xml:space="preserve">摘要（ZH）: </w:t>
      </w:r>
      <w:r>
        <w:t>玉米（Zea mays）的驯化和全球传播是世界历史上的关键过程。然而，尽管玉米在全球营养、粮食安全和贸易中具有重要性，其起源仍存在争议。本文通过重建墨西哥普埃布拉州特瓦坎谷地的古环境，探讨了玉米农业初期集约化的环境解释。多同位素分析（δ13Cap、δ18Oap、δ13Ccol和δ15N</w:t>
      </w:r>
    </w:p>
    <w:p>
      <w:pPr>
        <w:spacing w:before="0" w:after="200" w:lineRule="auto" w:line="276"/>
      </w:pPr>
      <w:r>
        <w:rPr>
          <w:b/>
        </w:rPr>
        <w:t xml:space="preserve">Abstract (EN): </w:t>
      </w:r>
      <w:r>
        <w:t>The domestication and global spread of maize (</w:t>
      </w:r>
      <w:r>
        <w:t xml:space="preserve"> </w:t>
      </w:r>
      <w:r>
        <w:t>Zea mays</w:t>
      </w:r>
      <w:r>
        <w:t xml:space="preserve"> </w:t>
      </w:r>
      <w:r>
        <w:t>) are pivotal processes in world history. Yet, despite the current importance of maize in global nutrition, food security, and trade, much of its origins remain debated. This paper addresses environmental explanations for the initial intensification of maize agriculture by reconstructing the paleoenvironment of the Tehuacan Valley, Puebla, Mexico. Multi-isotope analysis (δ</w:t>
      </w:r>
      <w:r>
        <w:rPr>
          <w:vertAlign w:val="subscript"/>
        </w:rPr>
        <w:t>13</w:t>
      </w:r>
      <w:r>
        <w:t>C</w:t>
      </w:r>
      <w:r>
        <w:t xml:space="preserve"> </w:t>
      </w:r>
      <w:r>
        <w:t>ap</w:t>
      </w:r>
      <w:r>
        <w:t xml:space="preserve"> </w:t>
      </w:r>
      <w:r>
        <w:t>, δ</w:t>
      </w:r>
      <w:r>
        <w:rPr>
          <w:vertAlign w:val="subscript"/>
        </w:rPr>
        <w:t>18</w:t>
      </w:r>
      <w:r>
        <w:t>O</w:t>
      </w:r>
      <w:r>
        <w:t xml:space="preserve"> </w:t>
      </w:r>
      <w:r>
        <w:t>ap</w:t>
      </w:r>
      <w:r>
        <w:t xml:space="preserve"> </w:t>
      </w:r>
      <w:r>
        <w:t>, δ</w:t>
      </w:r>
      <w:r>
        <w:rPr>
          <w:vertAlign w:val="subscript"/>
        </w:rPr>
        <w:t>13</w:t>
      </w:r>
      <w:r>
        <w:t>C</w:t>
      </w:r>
      <w:r>
        <w:t xml:space="preserve"> </w:t>
      </w:r>
      <w:r>
        <w:t>col</w:t>
      </w:r>
      <w:r>
        <w:t xml:space="preserve"> </w:t>
      </w:r>
      <w:r>
        <w:t>, and δ</w:t>
      </w:r>
      <w:r>
        <w:rPr>
          <w:vertAlign w:val="subscript"/>
        </w:rPr>
        <w:t>15</w:t>
      </w:r>
      <w:r>
        <w:t>N</w:t>
      </w:r>
      <w:r>
        <w:t xml:space="preserve"> </w:t>
      </w:r>
      <w:r>
        <w:t>col</w:t>
      </w:r>
      <w:r>
        <w:t xml:space="preserve"> </w:t>
      </w:r>
      <w:r>
        <w:t>) of deer (</w:t>
      </w:r>
      <w:r>
        <w:t xml:space="preserve"> </w:t>
      </w:r>
      <w:r>
        <w:t>Odocoileus virginianus</w:t>
      </w:r>
      <w:r>
        <w:t xml:space="preserve"> </w:t>
      </w:r>
      <w:r>
        <w:t>) and rabbit (</w:t>
      </w:r>
      <w:r>
        <w:t xml:space="preserve"> </w:t>
      </w:r>
      <w:r>
        <w:t>Sylvilagus</w:t>
      </w:r>
      <w:r>
        <w:t xml:space="preserve"> </w:t>
      </w:r>
      <w:r>
        <w:t>spp.) bones from archaeological deposits produces proxy environmental data relevant to the botanical composition of the landscape, precipitation, and temperature. Results indicate that maize cultivation began in the Tehuacan Valley during a relatively wet period, while agricultural intensification and social complexity emerged several centuries later, during a possible dry/wet transition. Stable isotope results are contextualized within broader paleoclimate and archaeological records. This study enhances our understanding of the environmental setting in which agricultural intensification first occurred in Mesoamerica and contributes to discussions on the origins of farming more broadly.</w:t>
      </w:r>
    </w:p>
    <w:p>
      <w:pPr>
        <w:spacing w:before="120" w:after="120"/>
      </w:pPr>
      <w:r>
        <w:rPr>
          <w:sz w:val="18"/>
        </w:rPr>
        <w:t>——————————————————————————————————————————————————————————————————————</w:t>
      </w:r>
    </w:p>
    <w:p>
      <w:pPr>
        <w:spacing w:before="160" w:after="40" w:line="240" w:lineRule="auto"/>
      </w:pPr>
      <w:r>
        <w:rPr>
          <w:b/>
        </w:rPr>
        <w:t xml:space="preserve">[294] </w:t>
      </w:r>
      <w:hyperlink r:id="rId695">
        <w:r>
          <w:rPr>
            <w:color w:val="1155CC"/>
            <w:u w:val="single"/>
          </w:rPr>
          <w:t>针灸背后的科学是什么？</w:t>
        </w:r>
      </w:hyperlink>
    </w:p>
    <w:p>
      <w:pPr>
        <w:spacing w:before="0" w:after="80"/>
      </w:pPr>
      <w:r>
        <w:rPr>
          <w:i/>
          <w:sz w:val="20"/>
        </w:rPr>
        <w:t>EN: What’s the science behind acupuncture?</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696">
        <w:r>
          <w:rPr>
            <w:color w:val="1155CC"/>
            <w:u w:val="single"/>
          </w:rPr>
          <w:t>10.1073/pnas.2605301123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697">
        <w:r>
          <w:rPr>
            <w:color w:val="1155CC"/>
            <w:u w:val="single"/>
          </w:rPr>
          <w:t>Yanaka等人的更正，利用计算和实验方法探索人类免疫球蛋白G的糖型依赖性动态调节</w:t>
        </w:r>
      </w:hyperlink>
    </w:p>
    <w:p>
      <w:pPr>
        <w:spacing w:before="0" w:after="80"/>
      </w:pPr>
      <w:r>
        <w:rPr>
          <w:i/>
          <w:sz w:val="20"/>
        </w:rPr>
        <w:t>EN: Correction for Yanaka et al., Exploring glycoform-dependent dynamic modulations in human immunoglobulin G via computational and experimental approaches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698">
        <w:r>
          <w:rPr>
            <w:color w:val="1155CC"/>
            <w:u w:val="single"/>
          </w:rPr>
          <w:t>10.1073/pnas.2605006123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[296] </w:t>
      </w:r>
      <w:hyperlink r:id="rId699">
        <w:r>
          <w:rPr>
            <w:color w:val="1155CC"/>
            <w:u w:val="single"/>
          </w:rPr>
          <w:t>Meireles等人的更正，老龄化人口威胁动物园的保护目标</w:t>
        </w:r>
      </w:hyperlink>
    </w:p>
    <w:p>
      <w:pPr>
        <w:spacing w:before="0" w:after="80"/>
      </w:pPr>
      <w:r>
        <w:rPr>
          <w:i/>
          <w:sz w:val="20"/>
        </w:rPr>
        <w:t>EN: Correction for Meireles et al., Aging populations threaten conservation goals of zoos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00">
        <w:r>
          <w:rPr>
            <w:color w:val="1155CC"/>
            <w:u w:val="single"/>
          </w:rPr>
          <w:t>10.1073/pnas.2605008123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[297] </w:t>
      </w:r>
      <w:hyperlink r:id="rId701">
        <w:r>
          <w:rPr>
            <w:color w:val="1155CC"/>
            <w:u w:val="single"/>
          </w:rPr>
          <w:t>考古数据结合AI和基于物理的建模解释约3000年前中国内陆的台风引发灾害</w:t>
        </w:r>
      </w:hyperlink>
    </w:p>
    <w:p>
      <w:pPr>
        <w:spacing w:before="0" w:after="80"/>
      </w:pPr>
      <w:r>
        <w:rPr>
          <w:i/>
          <w:sz w:val="20"/>
        </w:rPr>
        <w:t>EN: Archeological data with AI- and physics-based modeling explain typhoon-induced disasters in inland China around 3000 yr B.P.</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02">
        <w:r>
          <w:rPr>
            <w:color w:val="1155CC"/>
            <w:u w:val="single"/>
          </w:rPr>
          <w:t>10.1126/sciadv.aeb1598</w:t>
        </w:r>
      </w:hyperlink>
    </w:p>
    <w:p>
      <w:pPr>
        <w:spacing w:before="0" w:after="120"/>
      </w:pPr>
      <w:r>
        <w:rPr>
          <w:b/>
        </w:rPr>
        <w:t xml:space="preserve">Notes: </w:t>
      </w:r>
      <w:r>
        <w:t>abstract_source=crossref</w:t>
      </w:r>
    </w:p>
    <w:p>
      <w:pPr>
        <w:spacing w:before="0" w:after="80" w:lineRule="auto" w:line="276"/>
      </w:pPr>
      <w:r>
        <w:rPr>
          <w:b/>
        </w:rPr>
        <w:t xml:space="preserve">摘要（ZH）: </w:t>
      </w:r>
      <w:r>
        <w:t>全新世中晚期的气候变化相关极端事件，尤其是在距今约3000年（yr B.P.）左右，严重威胁了人类在各地的生存和文化发展。然而，尽管中国在这一时期的显著社会变化也被报道与极端灾害相吻合，这些事件的原因和影响仍不清楚。在此，我们将古气候重建与考古证据的定量分析（包括甲骨文）以及基于人工智能和物理模型的模拟相结合，以揭示原因。我们发现，约3000 yr B.P.，台风活动的加剧对中国内陆的气候极端和社会变化产生了相当大的影响。这些发现强调了</w:t>
      </w:r>
    </w:p>
    <w:p>
      <w:pPr>
        <w:spacing w:before="0" w:after="200" w:lineRule="auto" w:line="276"/>
      </w:pPr>
      <w:r>
        <w:rPr>
          <w:b/>
        </w:rPr>
        <w:t xml:space="preserve">Abstract (EN): </w:t>
      </w:r>
      <w:r>
        <w:t>Climate change–related extreme events during the mid-late Holocene, especially around 3000 years before the present (yr B.P.), severely threatened human survival and cultural development at various locations. However, although marked social change during this period in China have also been reported to coincide with extreme disasters, the causes and impacts of these events remain unclear. Here, we aligned paleoclimate reconstructions with quantitative analyses of archeological evidence, including oracle bone scripts, together with artificial intelligence– and physics-based model simulations to uncover the causes. We found that intensified typhoon activities exerted considerable impacts on climate extremes and social change in inland China around 3000 yr B.P. These findings underscore the urgent need to improve preparedness for today’s typhoon-induced disasters in the context of accelerating climate change.</w:t>
      </w:r>
    </w:p>
    <w:p>
      <w:pPr>
        <w:spacing w:before="120" w:after="120"/>
      </w:pPr>
      <w:r>
        <w:rPr>
          <w:sz w:val="18"/>
        </w:rPr>
        <w:t>——————————————————————————————————————————————————————————————————————</w:t>
      </w:r>
    </w:p>
    <w:p>
      <w:pPr>
        <w:spacing w:before="160" w:after="40" w:line="240" w:lineRule="auto"/>
      </w:pPr>
      <w:r>
        <w:rPr>
          <w:b/>
        </w:rPr>
        <w:t xml:space="preserve">[298] </w:t>
      </w:r>
      <w:hyperlink r:id="rId703">
        <w:r>
          <w:rPr>
            <w:color w:val="1155CC"/>
            <w:u w:val="single"/>
          </w:rPr>
          <w:t>通过观察超过100 TeV的γ射线晕约束Geminga周围的磁流体动力学湍流</w:t>
        </w:r>
      </w:hyperlink>
    </w:p>
    <w:p>
      <w:pPr>
        <w:spacing w:before="0" w:after="80"/>
      </w:pPr>
      <w:r>
        <w:rPr>
          <w:i/>
          <w:sz w:val="20"/>
        </w:rPr>
        <w:t>EN: Constraining the magnetohydrodynamic turbulence around Geminga by observing the γ-ray halo beyond 100 TeV</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04">
        <w:r>
          <w:rPr>
            <w:color w:val="1155CC"/>
            <w:u w:val="single"/>
          </w:rPr>
          <w:t>10.1126/sciadv.adv8173</w:t>
        </w:r>
      </w:hyperlink>
    </w:p>
    <w:p>
      <w:pPr>
        <w:spacing w:before="0" w:after="120"/>
      </w:pPr>
      <w:r>
        <w:rPr>
          <w:b/>
        </w:rPr>
        <w:t xml:space="preserve">Notes: </w:t>
      </w:r>
      <w:r>
        <w:t>abstract_source=crossref</w:t>
      </w:r>
    </w:p>
    <w:p>
      <w:pPr>
        <w:spacing w:before="0" w:after="80" w:lineRule="auto" w:line="276"/>
      </w:pPr>
      <w:r>
        <w:rPr>
          <w:b/>
        </w:rPr>
        <w:t xml:space="preserve">摘要（ZH）: </w:t>
      </w:r>
      <w:r>
        <w:t>围绕一个老脉冲星风星云（PWN）的扩展γ射线晕是研究宇宙射线加速和扩散过程的理想场所。在这项工作中，我们报告了由西藏ASγ实验在世界上最高能量100太电子伏（TeV）以上精确观测到的γ射线晕。我们确定了约100 TeV的加速极限，超出此范围，电子/正电子通量呈指数抑制，同时我们测量了γ射线晕在三种不同能量下的形态。我们还发现扩散系数的能量依赖性与Kolmogorov磁流体动力学（MHD）湍流一致，并确定了小于1秒差距的湍流特性。测量结果表明电子/正电子的能量</w:t>
      </w:r>
    </w:p>
    <w:p>
      <w:pPr>
        <w:spacing w:before="0" w:after="200" w:lineRule="auto" w:line="276"/>
      </w:pPr>
      <w:r>
        <w:rPr>
          <w:b/>
        </w:rPr>
        <w:t xml:space="preserve">Abstract (EN): </w:t>
      </w:r>
      <w:r>
        <w:t>The extended γ-ray halo surrounding an old pulsar wind nebula (PWN) is an ideal place to investigate both the acceleration and diffusion processes of cosmic rays. In this work, we report the γ-ray halo observed with high precision by the Tibet ASγ experiment at the world’s highest-energy above 100 tera–electron volt (TeV). We determined the acceleration limit at about 100 TeV, beyond which the electron/positron flux suppresses exponentially, while we measured the morphology of the γ-ray halo at three different energies. We also found that the energy dependence of the diffusion coefficient is consistent with the Kolmogorov magnetohydrodynamic (MHD) turbulence and determined the turbulence property at scales smaller than 1 parsec. The measurements indicate that the energy of electrons/positrons is insufficient to amplify the strong MHD turbulence around itself, thereby suppressing the diffusion coefficient.</w:t>
      </w:r>
    </w:p>
    <w:p>
      <w:pPr>
        <w:spacing w:before="120" w:after="120"/>
      </w:pPr>
      <w:r>
        <w:rPr>
          <w:sz w:val="18"/>
        </w:rPr>
        <w:t>——————————————————————————————————————————————————————————————————————</w:t>
      </w:r>
    </w:p>
    <w:p>
      <w:pPr>
        <w:spacing w:before="160" w:after="40" w:line="240" w:lineRule="auto"/>
      </w:pPr>
      <w:r>
        <w:rPr>
          <w:b/>
        </w:rPr>
        <w:t xml:space="preserve">[299] </w:t>
      </w:r>
      <w:hyperlink r:id="rId705">
        <w:r>
          <w:rPr>
            <w:color w:val="1155CC"/>
            <w:u w:val="single"/>
          </w:rPr>
          <w:t>Yu的更正，解决决策系统中AI–AI偏见的更广泛影响</w:t>
        </w:r>
      </w:hyperlink>
    </w:p>
    <w:p>
      <w:pPr>
        <w:spacing w:before="0" w:after="80"/>
      </w:pPr>
      <w:r>
        <w:rPr>
          <w:i/>
          <w:sz w:val="20"/>
        </w:rPr>
        <w:t>EN: Correction for Yu, Addressing the broader implications of AI–AI bias in decision-making systems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06">
        <w:r>
          <w:rPr>
            <w:color w:val="1155CC"/>
            <w:u w:val="single"/>
          </w:rPr>
          <w:t>10.1073/pnas.2605132123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[300] </w:t>
      </w:r>
      <w:hyperlink r:id="rId707">
        <w:r>
          <w:rPr>
            <w:color w:val="1155CC"/>
            <w:u w:val="single"/>
          </w:rPr>
          <w:t>腹侧海马-伏隔核回路兴奋性的转录调节驱动可卡因寻求行为</w:t>
        </w:r>
      </w:hyperlink>
    </w:p>
    <w:p>
      <w:pPr>
        <w:spacing w:before="0" w:after="80"/>
      </w:pPr>
      <w:r>
        <w:rPr>
          <w:i/>
          <w:sz w:val="20"/>
        </w:rPr>
        <w:t>EN: Transcriptional regulation of ventral hippocampus-nucleus accumbens circuit excitability drives cocaine seeking</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08">
        <w:r>
          <w:rPr>
            <w:color w:val="1155CC"/>
            <w:u w:val="single"/>
          </w:rPr>
          <w:t>10.1126/sciadv.adv1236</w:t>
        </w:r>
      </w:hyperlink>
    </w:p>
    <w:p>
      <w:pPr>
        <w:spacing w:before="0" w:after="120"/>
      </w:pPr>
      <w:r>
        <w:rPr>
          <w:b/>
        </w:rPr>
        <w:t xml:space="preserve">Notes: </w:t>
      </w:r>
      <w:r>
        <w:t>abstract_source=crossref</w:t>
      </w:r>
    </w:p>
    <w:p>
      <w:pPr>
        <w:spacing w:before="0" w:after="80" w:lineRule="auto" w:line="276"/>
      </w:pPr>
      <w:r>
        <w:rPr>
          <w:b/>
        </w:rPr>
        <w:t xml:space="preserve">摘要（ZH）: </w:t>
      </w:r>
      <w:r>
        <w:t>腹侧海马（vHPC）CA1锥体神经元向伏隔核（NAc）发送谷氨酸能投射，这一vHPC-NAc回路介导可卡因寻求和奖励，但尚不清楚vHPC-NAc神经元特性是否受到可卡因暴露的调节以驱动后续行为。即刻早期基因转录因子FosB/ΔFosB在大脑中被可卡因诱导，并对可卡因寻求至关重要，但其在vHPC-NAc神经元中的功能尚不清楚。我们现在显示，vHPC-NAc神经元中FosB/ΔFosB的回路特异性敲除损害了可卡因奖励表达和强迫戒断诱导的寻求。我们还发现，实验者施用的重复可卡因和可卡因自我管理导致vHPC-NAc兴奋性降低，这种可卡因诱导的兴奋性</w:t>
      </w:r>
    </w:p>
    <w:p>
      <w:pPr>
        <w:spacing w:before="0" w:after="200" w:lineRule="auto" w:line="276"/>
      </w:pPr>
      <w:r>
        <w:rPr>
          <w:b/>
        </w:rPr>
        <w:t xml:space="preserve">Abstract (EN): </w:t>
      </w:r>
      <w:r>
        <w:t>Ventral hippocampus (vHPC) CA1 pyramidal neurons send glutamatergic projections to nucleus accumbens (NAc), and this vHPC-NAc circuit mediates cocaine seeking and reward, but it is unclear whether vHPC-NAc neuron properties are modulated by cocaine exposure to drive subsequent behavior. The immediate early gene transcription factor FosB/ΔFosB is induced throughout the brain by cocaine and is critical for cocaine seeking, but its function in vHPC-NAc neurons is not understood. We now show that circuit-specific knockout of FosB/ΔFosB in vHPC-NAc neurons impaired cocaine reward expression and forced abstinence–induced seeking. We also found that vHPC-NAc excitability was decreased by experimenter-administered repeated cocaine and cocaine self-administration, and this cocaine-induced excitability decrease was mediated by ΔFosB expression. To uncover the mechanism of this change in circuit function, we used circuit-specific translating ribosome affinity purification to assess cocaine-induced, FosB/ΔFosB-dependent changes in gene expression in vHPC-NAc. We found that cocaine causes a FosB/ΔFosB-dependent increase in the expression of calreticulin, an endoplasmic reticulum–resident calcium-buffering protein. Calreticulin expression mediated vHPC-NAc excitability and was necessary for cocaine reward. These findings uncover a noncanonical mechanism by which cocaine increases calreticulin in vHPC leading to decreased vHPC-NAc excitability and drives cocaine seeking and reward.</w:t>
      </w:r>
    </w:p>
    <w:p>
      <w:pPr>
        <w:spacing w:before="120" w:after="120"/>
      </w:pPr>
      <w:r>
        <w:rPr>
          <w:sz w:val="18"/>
        </w:rPr>
        <w:t>——————————————————————————————————————————————————————————————————————</w:t>
      </w:r>
    </w:p>
    <w:p>
      <w:pPr>
        <w:spacing w:before="160" w:after="40" w:line="240" w:lineRule="auto"/>
      </w:pPr>
      <w:r>
        <w:rPr>
          <w:b/>
        </w:rPr>
        <w:t xml:space="preserve">[301] </w:t>
      </w:r>
      <w:hyperlink r:id="rId709">
        <w:r>
          <w:rPr>
            <w:color w:val="1155CC"/>
            <w:u w:val="single"/>
          </w:rPr>
          <w:t>压缩应力驱动的Piezo1激活和Rho-ROCK机械转导通过表观遗传机械记忆促进肿瘤进展</w:t>
        </w:r>
      </w:hyperlink>
    </w:p>
    <w:p>
      <w:pPr>
        <w:spacing w:before="0" w:after="80"/>
      </w:pPr>
      <w:r>
        <w:rPr>
          <w:i/>
          <w:sz w:val="20"/>
        </w:rPr>
        <w:t>EN: Compressive stress–driven Piezo1 activation and Rho-ROCK mechanotransduction promote tumor progression via epigenetic mechanical memory</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10">
        <w:r>
          <w:rPr>
            <w:color w:val="1155CC"/>
            <w:u w:val="single"/>
          </w:rPr>
          <w:t>10.1126/sciadv.aeb1271</w:t>
        </w:r>
      </w:hyperlink>
    </w:p>
    <w:p>
      <w:pPr>
        <w:spacing w:before="0" w:after="120"/>
      </w:pPr>
      <w:r>
        <w:rPr>
          <w:b/>
        </w:rPr>
        <w:t xml:space="preserve">Notes: </w:t>
      </w:r>
      <w:r>
        <w:t>abstract_source=crossref</w:t>
      </w:r>
    </w:p>
    <w:p>
      <w:pPr>
        <w:spacing w:before="0" w:after="80" w:lineRule="auto" w:line="276"/>
      </w:pPr>
      <w:r>
        <w:rPr>
          <w:b/>
        </w:rPr>
        <w:t xml:space="preserve">摘要（ZH）: </w:t>
      </w:r>
      <w:r>
        <w:t>快速生长的肿瘤在组织层面上承受着高强度的力，特别是在有限空间内生长时。这些需要通过细胞内力来抵消以防止组织损伤。在此，我们揭示了离子通道Piezo1作为压缩力的机械传感器，激活Rho–Rho激酶（ROCK）机械转导以产生细胞内力，并增强肿瘤的恶性特征。压缩应力以依赖于Rho-ROCK的方式在体内促进癌症生长。在此模型中，沉默Piezo1消除了压缩诱导的Rho-ROCK激活和肿瘤进展。因此，PIEZO1升高与乳腺癌患者35%的生存率降低相关。我们表明，急性压缩力通过Piezo1激活的Rho-ROCK引发表观遗传机械记忆</w:t>
      </w:r>
    </w:p>
    <w:p>
      <w:pPr>
        <w:spacing w:before="0" w:after="200" w:lineRule="auto" w:line="276"/>
      </w:pPr>
      <w:r>
        <w:rPr>
          <w:b/>
        </w:rPr>
        <w:t xml:space="preserve">Abstract (EN): </w:t>
      </w:r>
      <w:r>
        <w:t>Rapidly growing tumors experience high tissue-level forces, particularly when growing within a restricted space. These require counteracting by intracellular forces to prevent tissue damage. Here, we reveal the ion channel Piezo1 as a mechanosensor of compressive force, activating Rho–Rho kinase (ROCK) mechanotransduction to generate intracellular forces and enhancing malignant characteristics of tumors. Compressive stress promoted cancer growth in vivo in a Rho-ROCK–dependent manner. Silencing Piezo1 abolished compression-induced Rho-ROCK activation and tumor progression in this model. Accordingly, elevated PIEZO1 is associated with 35% poorer survival of patients with breast cancer. We show that acute compressive forces engender epigenetic mechanical memory via Piezo1-activated Rho-ROCK signaling, promoting tumor growth in vivo. Compressive stress promoted ROCK-dependent histone modifications associated with open chromatin, including acetylation of key histone 3–lysine residues, regulating the expression of cancer-related genes across cell, explant, and in vivo tumor models. Our observations suggest that the PIEZO1-RHO-ROCK axis links tissue-level forces to persistent tumor-promoting epigenetic changes and merits evaluation as a mechanotherapy target in cancer.</w:t>
      </w:r>
    </w:p>
    <w:p>
      <w:pPr>
        <w:spacing w:before="120" w:after="120"/>
      </w:pPr>
      <w:r>
        <w:rPr>
          <w:sz w:val="18"/>
        </w:rPr>
        <w:t>——————————————————————————————————————————————————————————————————————</w:t>
      </w:r>
    </w:p>
    <w:p>
      <w:pPr>
        <w:spacing w:before="160" w:after="40" w:line="240" w:lineRule="auto"/>
      </w:pPr>
      <w:r>
        <w:rPr>
          <w:b/>
        </w:rPr>
        <w:t xml:space="preserve">[302] </w:t>
      </w:r>
      <w:hyperlink r:id="rId711">
        <w:r>
          <w:rPr>
            <w:color w:val="1155CC"/>
            <w:u w:val="single"/>
          </w:rPr>
          <w:t>持续性抗原对于维持利什曼原虫特异性记忆CD4+ T细胞和长期免疫至关重要</w:t>
        </w:r>
      </w:hyperlink>
    </w:p>
    <w:p>
      <w:pPr>
        <w:spacing w:before="0" w:after="80"/>
      </w:pPr>
      <w:r>
        <w:rPr>
          <w:i/>
          <w:sz w:val="20"/>
        </w:rPr>
        <w:t>EN: Persistent antigen is essential for sustaining Leishmania major–specific memory CD4+ T cells and long-term immunity</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12">
        <w:r>
          <w:rPr>
            <w:color w:val="1155CC"/>
            <w:u w:val="single"/>
          </w:rPr>
          <w:t>10.1126/sciadv.aeb3345</w:t>
        </w:r>
      </w:hyperlink>
    </w:p>
    <w:p>
      <w:pPr>
        <w:spacing w:before="0" w:after="120"/>
      </w:pPr>
      <w:r>
        <w:rPr>
          <w:b/>
        </w:rPr>
        <w:t xml:space="preserve">Notes: </w:t>
      </w:r>
      <w:r>
        <w:t>abstract_source=crossref</w:t>
      </w:r>
    </w:p>
    <w:p>
      <w:pPr>
        <w:spacing w:before="0" w:after="80" w:lineRule="auto" w:line="276"/>
      </w:pPr>
      <w:r>
        <w:rPr>
          <w:b/>
        </w:rPr>
        <w:t xml:space="preserve">摘要（ZH）: </w:t>
      </w:r>
      <w:r>
        <w:t>记忆CD4</w:t>
      </w:r>
      <w:r>
        <w:t xml:space="preserve"> </w:t>
      </w:r>
      <w:r>
        <w:t>+</w:t>
      </w:r>
      <w:r>
        <w:t xml:space="preserve"> </w:t>
      </w:r>
      <w:r>
        <w:t>T细胞是长期免疫的核心，但在没有抗原的情况下它们的持久性仍有争议。皮肤利什曼病后的终生免疫主要由CD4</w:t>
      </w:r>
      <w:r>
        <w:t xml:space="preserve"> </w:t>
      </w:r>
      <w:r>
        <w:t>+</w:t>
      </w:r>
      <w:r>
        <w:t xml:space="preserve"> </w:t>
      </w:r>
      <w:r>
        <w:t>T细胞介导，但是否需要持续存在的寄生虫来维持这种免疫尚未得到实验证实。使用一种非持续性</w:t>
      </w:r>
      <w:r>
        <w:t xml:space="preserve"> </w:t>
      </w:r>
      <w:r>
        <w:t>Leishmania major</w:t>
      </w:r>
      <w:r>
        <w:t xml:space="preserve"> </w:t>
      </w:r>
      <w:r>
        <w:t>菌株（</w:t>
      </w:r>
      <w:r>
        <w:t xml:space="preserve"> </w:t>
      </w:r>
      <w:r>
        <w:t>dhfr-ts</w:t>
      </w:r>
      <w:r>
        <w:t xml:space="preserve"> </w:t>
      </w:r>
      <w:r>
        <w:t>缺陷型），我们证明抗原的丧失导致</w:t>
      </w:r>
      <w:r>
        <w:t xml:space="preserve"> </w:t>
      </w:r>
      <w:r>
        <w:t>Leishmania</w:t>
      </w:r>
      <w:r>
        <w:t xml:space="preserve"> </w:t>
      </w:r>
      <w:r>
        <w:t>特异性CD4</w:t>
      </w:r>
      <w:r>
        <w:t xml:space="preserve"> </w:t>
      </w:r>
      <w:r>
        <w:t>+</w:t>
      </w:r>
      <w:r>
        <w:t xml:space="preserve"> </w:t>
      </w:r>
      <w:r>
        <w:t>T细胞的减少和对再感染的易感性。为了阐明机制，我们</w:t>
      </w:r>
    </w:p>
    <w:p>
      <w:pPr>
        <w:spacing w:before="0" w:after="200" w:lineRule="auto" w:line="276"/>
      </w:pPr>
      <w:r>
        <w:rPr>
          <w:b/>
        </w:rPr>
        <w:t xml:space="preserve">Abstract (EN): </w:t>
      </w:r>
      <w:r>
        <w:t>Memory CD4</w:t>
      </w:r>
      <w:r>
        <w:t xml:space="preserve"> </w:t>
      </w:r>
      <w:r>
        <w:t>+</w:t>
      </w:r>
      <w:r>
        <w:t xml:space="preserve"> </w:t>
      </w:r>
      <w:r>
        <w:t>T cells are central to long-term immunity, yet their persistence in the absence of antigen remains controversial. Lifelong immunity following cutaneous leishmaniasis is primarily mediated by CD4</w:t>
      </w:r>
      <w:r>
        <w:t xml:space="preserve"> </w:t>
      </w:r>
      <w:r>
        <w:t>+</w:t>
      </w:r>
      <w:r>
        <w:t xml:space="preserve"> </w:t>
      </w:r>
      <w:r>
        <w:t>T cells, but whether persistent parasites are required for sustaining this immunity has not been empirically established. Using a nonpersistent</w:t>
      </w:r>
      <w:r>
        <w:t xml:space="preserve"> </w:t>
      </w:r>
      <w:r>
        <w:t>Leishmania major</w:t>
      </w:r>
      <w:r>
        <w:t xml:space="preserve"> </w:t>
      </w:r>
      <w:r>
        <w:t>strain (</w:t>
      </w:r>
      <w:r>
        <w:t xml:space="preserve"> </w:t>
      </w:r>
      <w:r>
        <w:t>dhfr-ts</w:t>
      </w:r>
      <w:r>
        <w:t xml:space="preserve"> </w:t>
      </w:r>
      <w:r>
        <w:t>–deficient), we demonstrate that loss of antigen leads to a decline in</w:t>
      </w:r>
      <w:r>
        <w:t xml:space="preserve"> </w:t>
      </w:r>
      <w:r>
        <w:t>Leishmania</w:t>
      </w:r>
      <w:r>
        <w:t xml:space="preserve"> </w:t>
      </w:r>
      <w:r>
        <w:t>-specific CD4</w:t>
      </w:r>
      <w:r>
        <w:t xml:space="preserve"> </w:t>
      </w:r>
      <w:r>
        <w:t>+</w:t>
      </w:r>
      <w:r>
        <w:t xml:space="preserve"> </w:t>
      </w:r>
      <w:r>
        <w:t>T cells and susceptibility to reinfection. To elucidate the mechanism, we developed</w:t>
      </w:r>
      <w:r>
        <w:t xml:space="preserve"> </w:t>
      </w:r>
      <w:r>
        <w:t>Leishmania</w:t>
      </w:r>
      <w:r>
        <w:t xml:space="preserve"> </w:t>
      </w:r>
      <w:r>
        <w:t>phosphoenolpyruvate carboxykinase (PEPCK)-specific CD4</w:t>
      </w:r>
      <w:r>
        <w:t xml:space="preserve"> </w:t>
      </w:r>
      <w:r>
        <w:t>+</w:t>
      </w:r>
      <w:r>
        <w:t xml:space="preserve"> </w:t>
      </w:r>
      <w:r>
        <w:t>T cell receptor transgenic (PEG) mice, enabling precise tracking of</w:t>
      </w:r>
      <w:r>
        <w:t xml:space="preserve"> </w:t>
      </w:r>
      <w:r>
        <w:t>Leishmania</w:t>
      </w:r>
      <w:r>
        <w:t xml:space="preserve"> </w:t>
      </w:r>
      <w:r>
        <w:t>-specific memory CD4</w:t>
      </w:r>
      <w:r>
        <w:t xml:space="preserve"> </w:t>
      </w:r>
      <w:r>
        <w:t>+</w:t>
      </w:r>
      <w:r>
        <w:t xml:space="preserve"> </w:t>
      </w:r>
      <w:r>
        <w:t>T cells. Both in vitro and in vivo–generated memory PEG cells progressively declined in the absence of antigen, independent of major histocompatibility complex II expression. Mice infected with PEPCK antigen–deficient</w:t>
      </w:r>
      <w:r>
        <w:t xml:space="preserve"> </w:t>
      </w:r>
      <w:r>
        <w:t>L. major</w:t>
      </w:r>
      <w:r>
        <w:t xml:space="preserve"> </w:t>
      </w:r>
      <w:r>
        <w:t>failed to sustain recall responses and secondary immunity. These findings in a</w:t>
      </w:r>
      <w:r>
        <w:t xml:space="preserve"> </w:t>
      </w:r>
      <w:r>
        <w:t>L. major</w:t>
      </w:r>
      <w:r>
        <w:t xml:space="preserve"> </w:t>
      </w:r>
      <w:r>
        <w:t>model system argue that persistent antigen may be indispensable for maintaining memory CD4</w:t>
      </w:r>
      <w:r>
        <w:t xml:space="preserve"> </w:t>
      </w:r>
      <w:r>
        <w:t>+</w:t>
      </w:r>
      <w:r>
        <w:t xml:space="preserve"> </w:t>
      </w:r>
      <w:r>
        <w:t>T cells and ensuring durable immunity against chronic infections.</w:t>
      </w:r>
    </w:p>
    <w:p>
      <w:pPr>
        <w:spacing w:before="120" w:after="120"/>
      </w:pPr>
      <w:r>
        <w:rPr>
          <w:sz w:val="18"/>
        </w:rPr>
        <w:t>——————————————————————————————————————————————————————————————————————</w:t>
      </w:r>
    </w:p>
    <w:p>
      <w:pPr>
        <w:spacing w:before="160" w:after="40" w:line="240" w:lineRule="auto"/>
      </w:pPr>
      <w:r>
        <w:rPr>
          <w:b/>
        </w:rPr>
        <w:t xml:space="preserve">[303] </w:t>
      </w:r>
      <w:hyperlink r:id="rId713">
        <w:r>
          <w:rPr>
            <w:color w:val="1155CC"/>
            <w:u w:val="single"/>
          </w:rPr>
          <w:t>精神分裂症患者口腔拭子中SP4差异表达和HSP60丰度</w:t>
        </w:r>
      </w:hyperlink>
    </w:p>
    <w:p>
      <w:pPr>
        <w:spacing w:before="0" w:after="80"/>
      </w:pPr>
      <w:r>
        <w:rPr>
          <w:i/>
          <w:sz w:val="20"/>
        </w:rPr>
        <w:t>EN: Differential SP4 expression and HSP60 abundance in buccal swabs from patients with schizophrenia</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14">
        <w:r>
          <w:rPr>
            <w:color w:val="1155CC"/>
            <w:u w:val="single"/>
          </w:rPr>
          <w:t>10.1126/sciadv.aeb0460</w:t>
        </w:r>
      </w:hyperlink>
    </w:p>
    <w:p>
      <w:pPr>
        <w:spacing w:before="0" w:after="120"/>
      </w:pPr>
      <w:r>
        <w:rPr>
          <w:b/>
        </w:rPr>
        <w:t xml:space="preserve">Notes: </w:t>
      </w:r>
      <w:r>
        <w:t>abstract_source=crossref</w:t>
      </w:r>
    </w:p>
    <w:p>
      <w:pPr>
        <w:spacing w:before="0" w:after="80" w:lineRule="auto" w:line="276"/>
      </w:pPr>
      <w:r>
        <w:rPr>
          <w:b/>
        </w:rPr>
        <w:t xml:space="preserve">摘要（ZH）: </w:t>
      </w:r>
      <w:r>
        <w:t>精神分裂症（SCZ）是异质性和多基因的，使其难以诊断和治疗。这是预期的，因为诊断标准仅基于行为标志。迫切需要易于收集的生物标志物来帮助治疗。为了识别潜在的生物标志物，我们招募了SCZ患者和对照组。使用颊细胞裂解物，我们进行了实时定量聚合酶链反应，并发现患者和对照组之间的</w:t>
      </w:r>
      <w:r>
        <w:t xml:space="preserve"> </w:t>
      </w:r>
      <w:r>
        <w:t>Sp4</w:t>
      </w:r>
      <w:r>
        <w:t xml:space="preserve"> </w:t>
      </w:r>
      <w:r>
        <w:t>mRNA存在显著差异。靶向质谱分析在SCZ样本中识别出热休克蛋白60（HSP60）增加。为了确定</w:t>
      </w:r>
      <w:r>
        <w:t xml:space="preserve"> </w:t>
      </w:r>
      <w:r>
        <w:t>Sp4</w:t>
      </w:r>
      <w:r>
        <w:t xml:space="preserve"> </w:t>
      </w:r>
      <w:r>
        <w:t>mRNA和HSP60蛋白作为生物标志物的实用性，我们评估了它们与症状严重程度的关系</w:t>
      </w:r>
    </w:p>
    <w:p>
      <w:pPr>
        <w:spacing w:before="0" w:after="200" w:lineRule="auto" w:line="276"/>
      </w:pPr>
      <w:r>
        <w:rPr>
          <w:b/>
        </w:rPr>
        <w:t xml:space="preserve">Abstract (EN): </w:t>
      </w:r>
      <w:r>
        <w:t>Schizophrenia (SCZ) is heterogenous and polygenic, making it difficult to diagnose and treat. This is expected as diagnostic criteria are solely based on behavioral markers. There is a critical need for easy-to-collect biomarkers that aid in treatment. To identify potential biomarkers, we recruited patients with SCZ and controls. Using buccal cell lysates, we performed real-time quantitative polymerase chain reaction and identified significant differences in</w:t>
      </w:r>
      <w:r>
        <w:t xml:space="preserve"> </w:t>
      </w:r>
      <w:r>
        <w:t>Sp4</w:t>
      </w:r>
      <w:r>
        <w:t xml:space="preserve"> </w:t>
      </w:r>
      <w:r>
        <w:t>mRNA between patients and controls. Targeted mass spectrometry identified increased heat shock protein 60 (HSP60) in SCZ samples. To determine the utility of</w:t>
      </w:r>
      <w:r>
        <w:t xml:space="preserve"> </w:t>
      </w:r>
      <w:r>
        <w:t>Sp4</w:t>
      </w:r>
      <w:r>
        <w:t xml:space="preserve"> </w:t>
      </w:r>
      <w:r>
        <w:t>mRNA and HSP60 protein as biomarkers, we evaluated their relationship with symptom severity and aberrant cognitive processes. Correlational analyses revealed that elevated</w:t>
      </w:r>
      <w:r>
        <w:t xml:space="preserve"> </w:t>
      </w:r>
      <w:r>
        <w:t>Sp4</w:t>
      </w:r>
      <w:r>
        <w:t xml:space="preserve"> </w:t>
      </w:r>
      <w:r>
        <w:t>mRNA and HSP60 protein define a subgroup of patients with SCZ who demonstrate symptomology and poor memory. These data support buccal cell</w:t>
      </w:r>
      <w:r>
        <w:t xml:space="preserve"> </w:t>
      </w:r>
      <w:r>
        <w:t>Sp4</w:t>
      </w:r>
      <w:r>
        <w:t xml:space="preserve"> </w:t>
      </w:r>
      <w:r>
        <w:t>mRNA and HSP60 protein as easy-to-collect, candidate SCZ biomarkers for a subset of patients.</w:t>
      </w:r>
    </w:p>
    <w:p>
      <w:pPr>
        <w:spacing w:before="120" w:after="120"/>
      </w:pPr>
      <w:r>
        <w:rPr>
          <w:sz w:val="18"/>
        </w:rPr>
        <w:t>——————————————————————————————————————————————————————————————————————</w:t>
      </w:r>
    </w:p>
    <w:p>
      <w:pPr>
        <w:spacing w:before="160" w:after="40" w:line="240" w:lineRule="auto"/>
      </w:pPr>
      <w:r>
        <w:rPr>
          <w:b/>
        </w:rPr>
        <w:t xml:space="preserve">[304] </w:t>
      </w:r>
      <w:hyperlink r:id="rId715">
        <w:r>
          <w:rPr>
            <w:color w:val="1155CC"/>
            <w:u w:val="single"/>
          </w:rPr>
          <w:t>磁性年代M0r的精细年表揭示了海洋缺氧事件1a对陆地和海洋碳同位素响应的不同步性</w:t>
        </w:r>
      </w:hyperlink>
    </w:p>
    <w:p>
      <w:pPr>
        <w:spacing w:before="0" w:after="80"/>
      </w:pPr>
      <w:r>
        <w:rPr>
          <w:i/>
          <w:sz w:val="20"/>
        </w:rPr>
        <w:t>EN: Refined chronologies of magnetochron M0r reveal asynchronous terrestrial and marine carbon isotope responses to Oceanic Anoxic Event 1a</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16">
        <w:r>
          <w:rPr>
            <w:color w:val="1155CC"/>
            <w:u w:val="single"/>
          </w:rPr>
          <w:t>10.1126/sciadv.aea8374</w:t>
        </w:r>
      </w:hyperlink>
    </w:p>
    <w:p>
      <w:pPr>
        <w:spacing w:before="0" w:after="120"/>
      </w:pPr>
      <w:r>
        <w:rPr>
          <w:b/>
        </w:rPr>
        <w:t xml:space="preserve">Notes: </w:t>
      </w:r>
      <w:r>
        <w:t>abstract_source=crossref</w:t>
      </w:r>
    </w:p>
    <w:p>
      <w:pPr>
        <w:spacing w:before="0" w:after="80" w:lineRule="auto" w:line="276"/>
      </w:pPr>
      <w:r>
        <w:rPr>
          <w:b/>
        </w:rPr>
        <w:t xml:space="preserve">摘要（ZH）: </w:t>
      </w:r>
      <w:r>
        <w:t>磁性年代M0r的基准已被非正式地用于校准海洋缺氧事件1a（OAE1a）的开始，并确定巴列姆期-阿普第期的边界；然而，其精确年龄仍然是一个争论的话题。在此，我们展示了来自中国北方下白垩统九佛堂组的1497.5米连续钻孔。高分辨率周期校准的磁性地层分析精确限制了M0r纪元的终止为121.26 ± 0.38百万年。与同一钻孔中OAE1a相关的碳同位素异常在M0r纪元终止后1.24 ± 0.4百万年发生，远长于海洋记录中观察到的约0.3至0.66百万年的偏移。这一精细的年代学提供了OAE1a期间陆地和海洋系统之间碳循环不同步的直接证据，</w:t>
      </w:r>
    </w:p>
    <w:p>
      <w:pPr>
        <w:spacing w:before="0" w:after="200" w:lineRule="auto" w:line="276"/>
      </w:pPr>
      <w:r>
        <w:rPr>
          <w:b/>
        </w:rPr>
        <w:t xml:space="preserve">Abstract (EN): </w:t>
      </w:r>
      <w:r>
        <w:t>The base of magnetochron M0r has been informally used to calibrate the onset of Oceanic Anoxic Event 1a (OAE1a) and place the Barremian-Aptian boundary; however, its precise age remains a subject of debate. Here, we present a 1497.5-m continuous drill core from the Lower Cretaceous lacustrine Jiufotang Formation in North China. High-resolution cycle-calibrated magnetostratigraphic analyses precisely constrain the termination of Chron M0r to 121.26 ± 0.38 Ma. The carbon isotope excursion associated with OAE1a in the same core postdates the termination of Chron M0r by 1.24 ± 0.4 Myr, substantially longer than ~0.3 to 0.66 Myr offset observed in marine records. This refined chronology provides direct evidence for asynchronous carbon cycles between terrestrial and marine systems during OAE1a, thereby challenging the prevailing hypothesis of rapid atmospheric CO</w:t>
      </w:r>
      <w:r>
        <w:rPr>
          <w:vertAlign w:val="subscript"/>
        </w:rPr>
        <w:t>2</w:t>
      </w:r>
      <w:r>
        <w:t>emissions at the onset of OAE1a.</w:t>
      </w:r>
    </w:p>
    <w:p>
      <w:pPr>
        <w:spacing w:before="120" w:after="120"/>
      </w:pPr>
      <w:r>
        <w:rPr>
          <w:sz w:val="18"/>
        </w:rPr>
        <w:t>——————————————————————————————————————————————————————————————————————</w:t>
      </w:r>
    </w:p>
    <w:p>
      <w:pPr>
        <w:spacing w:before="160" w:after="40" w:line="240" w:lineRule="auto"/>
      </w:pPr>
      <w:r>
        <w:rPr>
          <w:b/>
        </w:rPr>
        <w:t xml:space="preserve">[305] </w:t>
      </w:r>
      <w:hyperlink r:id="rId717">
        <w:r>
          <w:rPr>
            <w:color w:val="1155CC"/>
            <w:u w:val="single"/>
          </w:rPr>
          <w:t>交感神经通过NE-肾上腺素能受体轴加重自身免疫性皮肤病：从白癜风中获得的神经免疫交叉对话见解</w:t>
        </w:r>
      </w:hyperlink>
    </w:p>
    <w:p>
      <w:pPr>
        <w:spacing w:before="0" w:after="80"/>
      </w:pPr>
      <w:r>
        <w:rPr>
          <w:i/>
          <w:sz w:val="20"/>
        </w:rPr>
        <w:t>EN: Sympathetic nerve aggravates autoimmune skin disease via NE–adrenergic receptor axis: Neuroimmune cross-talk insights from vitiligo</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18">
        <w:r>
          <w:rPr>
            <w:color w:val="1155CC"/>
            <w:u w:val="single"/>
          </w:rPr>
          <w:t>10.1126/sciadv.aea7017</w:t>
        </w:r>
      </w:hyperlink>
    </w:p>
    <w:p>
      <w:pPr>
        <w:spacing w:before="0" w:after="120"/>
      </w:pPr>
      <w:r>
        <w:rPr>
          <w:b/>
        </w:rPr>
        <w:t xml:space="preserve">Notes: </w:t>
      </w:r>
      <w:r>
        <w:t>abstract_source=crossref</w:t>
      </w:r>
    </w:p>
    <w:p>
      <w:pPr>
        <w:spacing w:before="0" w:after="80" w:lineRule="auto" w:line="276"/>
      </w:pPr>
      <w:r>
        <w:rPr>
          <w:b/>
        </w:rPr>
        <w:t xml:space="preserve">摘要（ZH）: </w:t>
      </w:r>
      <w:r>
        <w:t>交感神经系统（SNS）与免疫系统之间的交互失调与自身免疫性疾病的发展密切相关。本研究以白癜风为模型，阐明SNS在自身免疫性皮肤病中的作用。临床和动物研究的证据证实了白癜风中SNS的异常激活。化学交感神经切除改善了疾病表型，降低了致病性细胞因子水平，并抑制了CD8</w:t>
      </w:r>
      <w:r>
        <w:t xml:space="preserve"> </w:t>
      </w:r>
      <w:r>
        <w:t>+</w:t>
      </w:r>
      <w:r>
        <w:t xml:space="preserve"> </w:t>
      </w:r>
      <w:r>
        <w:t>T细胞的浸润和效应功能。机制研究表明，SNS释放的去甲肾上腺素（NE）与肾上腺素能受体相互作用，驱动成纤维细胞和角质形成细胞分泌趋化因子CXCL9/10和炎症介质IL-6/15，建立了一种病理</w:t>
      </w:r>
    </w:p>
    <w:p>
      <w:pPr>
        <w:spacing w:before="0" w:after="200" w:lineRule="auto" w:line="276"/>
      </w:pPr>
      <w:r>
        <w:rPr>
          <w:b/>
        </w:rPr>
        <w:t xml:space="preserve">Abstract (EN): </w:t>
      </w:r>
      <w:r>
        <w:t>The dysregulation of cross-talk between the sympathetic nervous system (SNS) and the immune system is closely linked to the development of autoimmune diseases. This study used vitiligo as a model to elucidate the role of the SNS in autoimmune skin diseases. Evidence from clinical and animal studies confirmed abnormal activation of the SNS in vitiligo. Chemical sympathectomy improved the disease phenotype, reduced pathogenic cytokine levels, and inhibited the infiltration and effector functions of CD8</w:t>
      </w:r>
      <w:r>
        <w:t xml:space="preserve"> </w:t>
      </w:r>
      <w:r>
        <w:t>+</w:t>
      </w:r>
      <w:r>
        <w:t xml:space="preserve"> </w:t>
      </w:r>
      <w:r>
        <w:t>T cells. Mechanistic investigations showed that norepinephrine (NE) released by the SNS interacts with adrenergic receptors to drive fibroblasts and keratinocytes to secrete chemokines CXCL9/10 and inflammatory mediators IL-6/15, establishing a pathological immune microenvironment conducive to the recruitment and activation of CD8</w:t>
      </w:r>
      <w:r>
        <w:t xml:space="preserve"> </w:t>
      </w:r>
      <w:r>
        <w:t>+</w:t>
      </w:r>
      <w:r>
        <w:t xml:space="preserve"> </w:t>
      </w:r>
      <w:r>
        <w:t>T cells. Adrenergic receptor antagonists could reverse this abnormal immune microenvironment. This study elucidated the pathogenic mechanism of the SNS in vitiligo via the NE–adrenergic receptor–fibroblast/keratinocyte pathway, providing a theoretical foundation for neuroimmune therapy.</w:t>
      </w:r>
    </w:p>
    <w:p>
      <w:pPr>
        <w:spacing w:before="120" w:after="120"/>
      </w:pPr>
      <w:r>
        <w:rPr>
          <w:sz w:val="18"/>
        </w:rPr>
        <w:t>——————————————————————————————————————————————————————————————————————</w:t>
      </w:r>
    </w:p>
    <w:p>
      <w:pPr>
        <w:spacing w:before="160" w:after="40" w:line="240" w:lineRule="auto"/>
      </w:pPr>
      <w:r>
        <w:rPr>
          <w:b/>
        </w:rPr>
        <w:t xml:space="preserve">[306] </w:t>
      </w:r>
      <w:hyperlink r:id="rId719">
        <w:r>
          <w:rPr>
            <w:color w:val="1155CC"/>
            <w:u w:val="single"/>
          </w:rPr>
          <w:t>南半球中更新世过渡的启动</w:t>
        </w:r>
      </w:hyperlink>
    </w:p>
    <w:p>
      <w:pPr>
        <w:spacing w:before="0" w:after="80"/>
      </w:pPr>
      <w:r>
        <w:rPr>
          <w:i/>
          <w:sz w:val="20"/>
        </w:rPr>
        <w:t>EN: Southern Hemisphere initiation of the mid-Pleistocene transition</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20">
        <w:r>
          <w:rPr>
            <w:color w:val="1155CC"/>
            <w:u w:val="single"/>
          </w:rPr>
          <w:t>10.1126/sciadv.aea6811</w:t>
        </w:r>
      </w:hyperlink>
    </w:p>
    <w:p>
      <w:pPr>
        <w:spacing w:before="0" w:after="120"/>
      </w:pPr>
      <w:r>
        <w:rPr>
          <w:b/>
        </w:rPr>
        <w:t xml:space="preserve">Notes: </w:t>
      </w:r>
      <w:r>
        <w:t>abstract_source=crossref</w:t>
      </w:r>
    </w:p>
    <w:p>
      <w:pPr>
        <w:spacing w:before="0" w:after="80" w:lineRule="auto" w:line="276"/>
      </w:pPr>
      <w:r>
        <w:rPr>
          <w:b/>
        </w:rPr>
        <w:t xml:space="preserve">摘要（ZH）: </w:t>
      </w:r>
      <w:r>
        <w:t>中更新世过渡期[MPT；约125万至70万年前（Ma）]标志着地球的冰川节奏从41,000年周期转变为100,000年周期。在此，我们展示了一项南太平洋氢成钕同位素记录，追踪1.5至0.5 Ma期间深海环流的变化。该记录表明，MPT并非由北半球（NH）过程触发。相反，南极冰盖的增长至临界规模（约1.8 Ma）为MPT的气候系统做好了准备，冰山的释放和融化将浮力从南大洋转移出去。这种与冰山相关的浮力再分配最终减少了NH的深水形成，这一观察得到了我们的数据支持。一旦MPT在南半球启动，其后续的气候</w:t>
      </w:r>
    </w:p>
    <w:p>
      <w:pPr>
        <w:spacing w:before="0" w:after="200" w:lineRule="auto" w:line="276"/>
      </w:pPr>
      <w:r>
        <w:rPr>
          <w:b/>
        </w:rPr>
        <w:t xml:space="preserve">Abstract (EN): </w:t>
      </w:r>
      <w:r>
        <w:t>The mid-Pleistocene transition [MPT; between ~1.25 and 0.7 million years ago (Ma)] marks when Earth’s glacial pacing switched from 41,000- to 100,000-year cyclicity. Here, we present a South Pacific hydrogenous neodymium isotope record tracking changes in deep ocean circulation spanning 1.5 to 0.5 Ma. This record indicates that the MPT was not triggered by Northern Hemisphere (NH) processes. Instead, the growth of Antarctic ice sheets to a critical size (~1.8 Ma) primed the climate system for the MPT, with iceberg release and melting transferring buoyancy out of the Southern Ocean. This iceberg-associated buoyancy redistribution ultimately reduced deep water formation in the NH, an observation supported by our data. Once the MPT was initiated in the Southern Hemisphere, its subsequent climatic changes were dominated by NH processes.</w:t>
      </w:r>
    </w:p>
    <w:p>
      <w:pPr>
        <w:spacing w:before="120" w:after="120"/>
      </w:pPr>
      <w:r>
        <w:rPr>
          <w:sz w:val="18"/>
        </w:rPr>
        <w:t>——————————————————————————————————————————————————————————————————————</w:t>
      </w:r>
    </w:p>
    <w:p>
      <w:pPr>
        <w:spacing w:before="160" w:after="40" w:line="240" w:lineRule="auto"/>
      </w:pPr>
      <w:r>
        <w:rPr>
          <w:b/>
        </w:rPr>
        <w:t xml:space="preserve">[307] </w:t>
      </w:r>
      <w:hyperlink r:id="rId721">
        <w:r>
          <w:rPr>
            <w:color w:val="1155CC"/>
            <w:u w:val="single"/>
          </w:rPr>
          <w:t>磁子镜阵列中无反射状态的单向例外点</w:t>
        </w:r>
      </w:hyperlink>
    </w:p>
    <w:p>
      <w:pPr>
        <w:spacing w:before="0" w:after="80"/>
      </w:pPr>
      <w:r>
        <w:rPr>
          <w:i/>
          <w:sz w:val="20"/>
        </w:rPr>
        <w:t>EN: Unidirectional exceptional point of reflectionless states in a magnonic mirror array</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22">
        <w:r>
          <w:rPr>
            <w:color w:val="1155CC"/>
            <w:u w:val="single"/>
          </w:rPr>
          <w:t>10.1126/sciadv.aea6000</w:t>
        </w:r>
      </w:hyperlink>
    </w:p>
    <w:p>
      <w:pPr>
        <w:spacing w:before="0" w:after="120"/>
      </w:pPr>
      <w:r>
        <w:rPr>
          <w:b/>
        </w:rPr>
        <w:t xml:space="preserve">Notes: </w:t>
      </w:r>
      <w:r>
        <w:t>abstract_source=crossref</w:t>
      </w:r>
    </w:p>
    <w:p>
      <w:pPr>
        <w:spacing w:before="0" w:after="80" w:lineRule="auto" w:line="276"/>
      </w:pPr>
      <w:r>
        <w:rPr>
          <w:b/>
        </w:rPr>
        <w:t xml:space="preserve">摘要（ZH）: </w:t>
      </w:r>
      <w:r>
        <w:t>非厄米系统中的例外点（EPs）是特征值和特征向量合并的奇点。在散射系统中，EPs对应于散射态的合并，导致无反射（RL）行为。当两个RL态进一步合并时，会产生无反射例外点（RL EP），从而产生异常的四次谱响应。虽然RL EPs已在双向系统中被探索，但其单向实现仍然难以捉摸。在此，我们通过在反布拉格磁子镜阵列中设计集体态，实验性地展示了单向RL EP。使用一个巨大的自旋集合在三个空间分离点耦合到波导，打破了反演对称性，从而实现单向RL。在RL EP处，反射光谱</w:t>
      </w:r>
    </w:p>
    <w:p>
      <w:pPr>
        <w:spacing w:before="0" w:after="200" w:lineRule="auto" w:line="276"/>
      </w:pPr>
      <w:r>
        <w:rPr>
          <w:b/>
        </w:rPr>
        <w:t xml:space="preserve">Abstract (EN): </w:t>
      </w:r>
      <w:r>
        <w:t>Exceptional points (EPs) in non-Hermitian systems are singularities where both eigenvalues and eigenvectors coalesce. In scattering systems, EPs correspond to the merging of scattering states, leading to reflectionless (RL) behavior. A reflectionless exceptional point (RL EP) arises when two RL states further coalesce, yielding an anomalous quartic spectral response. While RL EPs have been explored in bidirectional systems, their unidirectional realization remains elusive. Here, we experimentally demonstrate a unidirectional RL EP by engineering collective states in an anti-Bragg magnonic mirror array. Inversion symmetry is broken using a giant spin ensemble that couples to a waveguide at three spatially separated points, enabling unidirectional RL. At the RL EP, the reflection spectrum flattens and broadens substantially beyond the Lorentzian profile. The observed spectral valleys also expose dark state behaviors that are typically inaccessible through conventional measurements. Our results provide a route toward controlling collective coherence in open systems and developing broadband unidirectional devices.</w:t>
      </w:r>
    </w:p>
    <w:p>
      <w:pPr>
        <w:spacing w:before="120" w:after="120"/>
      </w:pPr>
      <w:r>
        <w:rPr>
          <w:sz w:val="18"/>
        </w:rPr>
        <w:t>——————————————————————————————————————————————————————————————————————</w:t>
      </w:r>
    </w:p>
    <w:p>
      <w:pPr>
        <w:spacing w:before="160" w:after="40" w:line="240" w:lineRule="auto"/>
      </w:pPr>
      <w:r>
        <w:rPr>
          <w:b/>
        </w:rPr>
        <w:t xml:space="preserve">[308] </w:t>
      </w:r>
      <w:hyperlink r:id="rId723">
        <w:r>
          <w:rPr>
            <w:color w:val="1155CC"/>
            <w:u w:val="single"/>
          </w:rPr>
          <w:t>行星和棕矮星磁层系统中辐射带的普遍能量限制</w:t>
        </w:r>
      </w:hyperlink>
    </w:p>
    <w:p>
      <w:pPr>
        <w:spacing w:before="0" w:after="80"/>
      </w:pPr>
      <w:r>
        <w:rPr>
          <w:i/>
          <w:sz w:val="20"/>
        </w:rPr>
        <w:t>EN: Universal energy limits of radiation belts in planetary and brown dwarf magnetospheric systems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24">
        <w:r>
          <w:rPr>
            <w:color w:val="1155CC"/>
            <w:u w:val="single"/>
          </w:rPr>
          <w:t>10.1126/sciadv.aea4945</w:t>
        </w:r>
      </w:hyperlink>
    </w:p>
    <w:p>
      <w:pPr>
        <w:spacing w:before="0" w:after="120"/>
      </w:pPr>
      <w:r>
        <w:rPr>
          <w:b/>
        </w:rPr>
        <w:t xml:space="preserve">Notes: </w:t>
      </w:r>
      <w:r>
        <w:t>abstract_source=crossref</w:t>
      </w:r>
    </w:p>
    <w:p>
      <w:pPr>
        <w:spacing w:before="0" w:after="80" w:lineRule="auto" w:line="276"/>
      </w:pPr>
      <w:r>
        <w:rPr>
          <w:b/>
        </w:rPr>
        <w:t xml:space="preserve">摘要（ZH）: </w:t>
      </w:r>
      <w:r>
        <w:t>辐射带是围绕太阳系中所有足够磁化的行星以及最近观察到的棕矮星周围的磁性捕获粒子辐射区域。尽管它们无处不在，但尚无通用理论或模型来预测任何特定磁层系统的辐射带可以达到的最高能量极限。通过仅考虑最基本的损失过程，开发了一种模型和相应的理论，成功地限制并解释了所有已记录辐射带系统的最大观测能量。该方法得出了一个相对简单的最高能量极限函数，该函数仅依赖于系统的表面磁场强度。该模型预测了所有辐射带的能量极限</w:t>
      </w:r>
    </w:p>
    <w:p>
      <w:pPr>
        <w:spacing w:before="0" w:after="200" w:lineRule="auto" w:line="276"/>
      </w:pPr>
      <w:r>
        <w:rPr>
          <w:b/>
        </w:rPr>
        <w:t xml:space="preserve">Abstract (EN): </w:t>
      </w:r>
      <w:r>
        <w:t>Radiation belts are regions of magnetically trapped particle radiation found around all of the sufficiently magnetized planets in the Solar System and recently also observed around brown dwarfs, yet despite their ubiquity, there is not yet a general theory or model to predict the uppermost energy limits that any particular magnetospheric system’s radiation belts can attain. By considering only the most fundamental loss processes, a model and corresponding theory are developed that successfully bound and explain the maximum observed energies of all documented radiation belt systems. This approach yields a relatively simple function for the uppermost energy limit that depends on only the surface magnetic field strength of the system. The model predicts an energy limit for all radiation belt systems that asymptotes at 7 ± 2 teraelectronvolts (TeV) (for protons and electrons), offering intriguing, previously unrecognized insight on potential sources of galactic cosmic rays. This model is also applied to an exoplanetary system, demonstrating that the planet is likely a synchrotron emitter and showcasing the model’s use for identifying candidate targets for synchrotron-emitting astrophysical systems and revealing details critical to habitability at those remote worlds.</w:t>
      </w:r>
    </w:p>
    <w:p>
      <w:pPr>
        <w:spacing w:before="120" w:after="120"/>
      </w:pPr>
      <w:r>
        <w:rPr>
          <w:sz w:val="18"/>
        </w:rPr>
        <w:t>——————————————————————————————————————————————————————————————————————</w:t>
      </w:r>
    </w:p>
    <w:p>
      <w:pPr>
        <w:spacing w:before="160" w:after="40" w:line="240" w:lineRule="auto"/>
      </w:pPr>
      <w:r>
        <w:rPr>
          <w:b/>
        </w:rPr>
        <w:t xml:space="preserve">[309] </w:t>
      </w:r>
      <w:hyperlink r:id="rId725">
        <w:r>
          <w:rPr>
            <w:color w:val="1155CC"/>
            <w:u w:val="single"/>
          </w:rPr>
          <w:t>用于室内外双模式个人降温的可扩展Mie-Silk纺织品</w:t>
        </w:r>
      </w:hyperlink>
    </w:p>
    <w:p>
      <w:pPr>
        <w:spacing w:before="0" w:after="80"/>
      </w:pPr>
      <w:r>
        <w:rPr>
          <w:i/>
          <w:sz w:val="20"/>
        </w:rPr>
        <w:t>EN: Scalable Mie-Silk textile for dual-mode personal cooling indoors and outdoors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26">
        <w:r>
          <w:rPr>
            <w:color w:val="1155CC"/>
            <w:u w:val="single"/>
          </w:rPr>
          <w:t>10.1126/sciadv.aea4369</w:t>
        </w:r>
      </w:hyperlink>
    </w:p>
    <w:p>
      <w:pPr>
        <w:spacing w:before="0" w:after="120"/>
      </w:pPr>
      <w:r>
        <w:rPr>
          <w:b/>
        </w:rPr>
        <w:t xml:space="preserve">Notes: </w:t>
      </w:r>
      <w:r>
        <w:t>abstract_source=crossref</w:t>
      </w:r>
    </w:p>
    <w:p>
      <w:pPr>
        <w:spacing w:before="0" w:after="80" w:lineRule="auto" w:line="276"/>
      </w:pPr>
      <w:r>
        <w:rPr>
          <w:b/>
        </w:rPr>
        <w:t xml:space="preserve">摘要（ZH）: </w:t>
      </w:r>
      <w:r>
        <w:t>辐射冷却纺织品通常为特定的室内或室外条件设计，限制了其环境适应性。在此，我们报告了一种连续纺制的分子界面工程丝（Mie-Silk），它集成了辐射和导热冷却，以在多种环境中有效调节体温。Mie-Silk具有高中红外（MIR）发射率的天然蚕丝纱线芯和基于Mie散射原理的ZrO</w:t>
      </w:r>
      <w:r>
        <w:rPr>
          <w:vertAlign w:val="subscript"/>
        </w:rPr>
        <w:t>2</w:t>
      </w:r>
      <w:r>
        <w:t>纳米颗粒（NPs）表面层，能够实现强太阳散射。天然丝素蛋白作为坚固的粘合剂，将NPs牢固地固定在丝表面。编织的Mie-Silk通过高太阳反射率（92.54%）和MIR发射率（97.13%）实现室外辐射冷却</w:t>
      </w:r>
    </w:p>
    <w:p>
      <w:pPr>
        <w:spacing w:before="0" w:after="200" w:lineRule="auto" w:line="276"/>
      </w:pPr>
      <w:r>
        <w:rPr>
          <w:b/>
        </w:rPr>
        <w:t xml:space="preserve">Abstract (EN): </w:t>
      </w:r>
      <w:r>
        <w:t>Radiative cooling textiles are typically designed for specific indoor or outdoor conditions, limiting their environmental adaptability. Here, we report a continuously spun molecular interface–engineered silk (Mie-Silk) that integrates radiative and conductive cooling for effective body temperature regulation in diverse settings. The Mie-Silk has a natural silk yarn core with high mid-infrared (MIR) emissivity and a surface layer of ZrO</w:t>
      </w:r>
      <w:r>
        <w:rPr>
          <w:vertAlign w:val="subscript"/>
        </w:rPr>
        <w:t>2</w:t>
      </w:r>
      <w:r>
        <w:t>nanoparticles (NPs) enabling strong solar scattering based on the Mie scattering principle. Natural silk fibroin acts as a robust binder, anchoring the NPs on the silk surface securely. Woven Mie-Silk achieves outdoor radiative cooling through high solar reflectivity (92.54%) and MIR emissivity (97.13%) within the atmospheric window. Indoors, where radiative cooling is less effective, its thermal conductivity (0.19 watts per meter-Kelvin) facilitated by densely packed NPs provides obvious cooling capability. This Mie-Silk, with effective cooling across varied environments, represents a promising candidate for next-generation personal thermal management clothing.</w:t>
      </w:r>
    </w:p>
    <w:p>
      <w:pPr>
        <w:spacing w:before="120" w:after="120"/>
      </w:pPr>
      <w:r>
        <w:rPr>
          <w:sz w:val="18"/>
        </w:rPr>
        <w:t>——————————————————————————————————————————————————————————————————————</w:t>
      </w:r>
    </w:p>
    <w:p>
      <w:pPr>
        <w:spacing w:before="160" w:after="40" w:line="240" w:lineRule="auto"/>
      </w:pPr>
      <w:r>
        <w:rPr>
          <w:b/>
        </w:rPr>
        <w:t xml:space="preserve">[310] </w:t>
      </w:r>
      <w:hyperlink r:id="rId727">
        <w:r>
          <w:rPr>
            <w:color w:val="1155CC"/>
            <w:u w:val="single"/>
          </w:rPr>
          <w:t>在大气模拟室中实时直接检测烯烃臭氧分解产生的Criegee中间体</w:t>
        </w:r>
      </w:hyperlink>
    </w:p>
    <w:p>
      <w:pPr>
        <w:spacing w:before="0" w:after="80"/>
      </w:pPr>
      <w:r>
        <w:rPr>
          <w:i/>
          <w:sz w:val="20"/>
        </w:rPr>
        <w:t>EN: Real-time direct detection of Criegee intermediates from ozonolysis of alkenes in an atmospheric simulation chamber</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28">
        <w:r>
          <w:rPr>
            <w:color w:val="1155CC"/>
            <w:u w:val="single"/>
          </w:rPr>
          <w:t>10.1126/sciadv.aeb0618</w:t>
        </w:r>
      </w:hyperlink>
    </w:p>
    <w:p>
      <w:pPr>
        <w:spacing w:before="0" w:after="120"/>
      </w:pPr>
      <w:r>
        <w:rPr>
          <w:b/>
        </w:rPr>
        <w:t xml:space="preserve">Notes: </w:t>
      </w:r>
      <w:r>
        <w:t>abstract_source=crossref</w:t>
      </w:r>
    </w:p>
    <w:p>
      <w:pPr>
        <w:spacing w:before="0" w:after="80" w:lineRule="auto" w:line="276"/>
      </w:pPr>
      <w:r>
        <w:rPr>
          <w:b/>
        </w:rPr>
        <w:t xml:space="preserve">摘要（ZH）: </w:t>
      </w:r>
      <w:r>
        <w:t>臭氧分解反应是大气中不饱和挥发性有机化合物的关键氧化机制，生成驱动后续化学反应的Criegee中间体（CIs）。某些CIs的光解实验室来源显示出意外高的CI反应性，但绕过了臭氧分解过程中在大气中发生的复杂动态，这影响了产率和反应性。在此，我们报告了在大气模拟室中使用紫外腔增强吸收光谱（CEAS）实时测量臭氧分解反应中CIs甲醛氧化物（CH</w:t>
      </w:r>
      <w:r>
        <w:rPr>
          <w:vertAlign w:val="subscript"/>
        </w:rPr>
        <w:t>2</w:t>
      </w:r>
      <w:r>
        <w:t>OO）和丙酮氧化物[(CH</w:t>
      </w:r>
      <w:r>
        <w:rPr>
          <w:vertAlign w:val="subscript"/>
        </w:rPr>
        <w:t>3</w:t>
      </w:r>
      <w:r>
        <w:t>)</w:t>
      </w:r>
      <w:r>
        <w:rPr>
          <w:vertAlign w:val="subscript"/>
        </w:rPr>
        <w:t>2</w:t>
      </w:r>
      <w:r>
        <w:t>COO]的绝对浓度的直接测量。</w:t>
      </w:r>
    </w:p>
    <w:p>
      <w:pPr>
        <w:spacing w:before="0" w:after="200" w:lineRule="auto" w:line="276"/>
      </w:pPr>
      <w:r>
        <w:rPr>
          <w:b/>
        </w:rPr>
        <w:t xml:space="preserve">Abstract (EN): </w:t>
      </w:r>
      <w:r>
        <w:t>Ozonolysis reactions are key oxidation mechanisms for unsaturated volatile organic compounds in the atmosphere, generating Criegee intermediates (CIs) that drive subsequent chemistry. Photolytic laboratory sources of certain CIs have demonstrated unexpectedly high CI reactivity but bypass the complex dynamics that occur in the atmosphere during ozonolysis, which affect yields and reactivity. Here, we report direct measurements of absolute concentrations of the CIs formaldehyde oxide (CH</w:t>
      </w:r>
      <w:r>
        <w:rPr>
          <w:vertAlign w:val="subscript"/>
        </w:rPr>
        <w:t>2</w:t>
      </w:r>
      <w:r>
        <w:t>OO) and acetone oxide [(CH</w:t>
      </w:r>
      <w:r>
        <w:rPr>
          <w:vertAlign w:val="subscript"/>
        </w:rPr>
        <w:t>3</w:t>
      </w:r>
      <w:r>
        <w:t>)</w:t>
      </w:r>
      <w:r>
        <w:rPr>
          <w:vertAlign w:val="subscript"/>
        </w:rPr>
        <w:t>2</w:t>
      </w:r>
      <w:r>
        <w:t>COO] during ozonolysis reactions in an atmospheric simulation chamber made in real-time using UV cavity-enhanced absorption spectroscopy (CEAS). The measurements enable direct determination of stabilized CI yields and reaction kinetics under atmospheric conditions. The technique has the potential to reduce uncertainties associated with ozonolysis chemistry in atmospheric models.</w:t>
      </w:r>
    </w:p>
    <w:p>
      <w:pPr>
        <w:spacing w:before="120" w:after="120"/>
      </w:pPr>
      <w:r>
        <w:rPr>
          <w:sz w:val="18"/>
        </w:rPr>
        <w:t>——————————————————————————————————————————————————————————————————————</w:t>
      </w:r>
    </w:p>
    <w:p>
      <w:pPr>
        <w:spacing w:before="160" w:after="40" w:line="240" w:lineRule="auto"/>
      </w:pPr>
      <w:r>
        <w:rPr>
          <w:b/>
        </w:rPr>
        <w:t xml:space="preserve">[311] </w:t>
      </w:r>
      <w:hyperlink r:id="rId729">
        <w:r>
          <w:rPr>
            <w:color w:val="1155CC"/>
            <w:u w:val="single"/>
          </w:rPr>
          <w:t>利用键解离动力学调节动态共价四臂PEG水凝胶的剪切增稠行为</w:t>
        </w:r>
      </w:hyperlink>
    </w:p>
    <w:p>
      <w:pPr>
        <w:spacing w:before="0" w:after="80"/>
      </w:pPr>
      <w:r>
        <w:rPr>
          <w:i/>
          <w:sz w:val="20"/>
        </w:rPr>
        <w:t>EN: Leveraging bond dissociation kinetics to tune shear-thickening behavior in dynamic covalent tetra-PEG hydrogels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30">
        <w:r>
          <w:rPr>
            <w:color w:val="1155CC"/>
            <w:u w:val="single"/>
          </w:rPr>
          <w:t>10.1126/sciadv.adz9563</w:t>
        </w:r>
      </w:hyperlink>
    </w:p>
    <w:p>
      <w:pPr>
        <w:spacing w:before="0" w:after="120"/>
      </w:pPr>
      <w:r>
        <w:rPr>
          <w:b/>
        </w:rPr>
        <w:t xml:space="preserve">Notes: </w:t>
      </w:r>
      <w:r>
        <w:t>abstract_source=crossref</w:t>
      </w:r>
    </w:p>
    <w:p>
      <w:pPr>
        <w:spacing w:before="0" w:after="80" w:lineRule="auto" w:line="276"/>
      </w:pPr>
      <w:r>
        <w:rPr>
          <w:b/>
        </w:rPr>
        <w:t xml:space="preserve">摘要（ZH）: </w:t>
      </w:r>
      <w:r>
        <w:t>动态共价交联赋予水凝胶粘弹性和自愈合特性，激励其作为仿生细胞支架和可注射材料的应用。长键寿命导致复杂的流变行为，包括剪切增稠。我们假设这种行为广泛适用于动态共价水凝胶，并可以通过反应速率常数进行设计。因此，我们合成了具有共轭加成、硼酸酯或吡啶锌交联的多臂聚乙二醇（PEG）水凝胶，这些交联调节键解离动力学和水凝胶松弛时间，跨越四个数量级。所有配方均表现出剪切增稠，其起始由松弛时间决定。尽管多种机制可能是这种行为的基础，链</w:t>
      </w:r>
    </w:p>
    <w:p>
      <w:pPr>
        <w:spacing w:before="0" w:after="200" w:lineRule="auto" w:line="276"/>
      </w:pPr>
      <w:r>
        <w:rPr>
          <w:b/>
        </w:rPr>
        <w:t xml:space="preserve">Abstract (EN): </w:t>
      </w:r>
      <w:r>
        <w:t>Dynamic covalent cross-links impart hydrogels with viscoelastic and self-healing properties, motivating applications as biomimetic cell scaffolds and injectable materials. The long bond lifetime results in complex rheological behavior including shear thickening. We hypothesized that this behavior applies broadly across dynamic covalent hydrogels and can be engineered through reaction rate constants. Thus, we synthesized multiarm poly(ethylene glycol) (PEG) hydrogels with conjugate addition, boronate ester, or terpyridine-zinc cross-links, which tune bond dissociation kinetics and hydrogel relaxation times over four orders of magnitude. All formulations exhibited shear thickening, with the onset dictated by the relaxation time. Although multiple mechanisms may underlie this behavior, chain stretching is hypothesized to contribute to shear thickening, as the cross-linking concentration remained constant under shear and networks with more defects correlated with increased shear thickening. These molecular and structural drivers of shear thickening apply across dilute dynamic covalent tetra-PEG hydrogels, clarifying their suitability for applications under shear.</w:t>
      </w:r>
    </w:p>
    <w:p>
      <w:pPr>
        <w:spacing w:before="120" w:after="120"/>
      </w:pPr>
      <w:r>
        <w:rPr>
          <w:sz w:val="18"/>
        </w:rPr>
        <w:t>——————————————————————————————————————————————————————————————————————</w:t>
      </w:r>
    </w:p>
    <w:p>
      <w:pPr>
        <w:spacing w:before="160" w:after="40" w:line="240" w:lineRule="auto"/>
      </w:pPr>
      <w:r>
        <w:rPr>
          <w:b/>
        </w:rPr>
        <w:t xml:space="preserve">[312] </w:t>
      </w:r>
      <w:hyperlink r:id="rId731">
        <w:r>
          <w:rPr>
            <w:color w:val="1155CC"/>
            <w:u w:val="single"/>
          </w:rPr>
          <w:t>顺式调控进化揭示感官权衡作为貘时间生态位进化的遗传基础</w:t>
        </w:r>
      </w:hyperlink>
    </w:p>
    <w:p>
      <w:pPr>
        <w:spacing w:before="0" w:after="80"/>
      </w:pPr>
      <w:r>
        <w:rPr>
          <w:i/>
          <w:sz w:val="20"/>
        </w:rPr>
        <w:t>EN: Cis-regulatory evolution reveals sensory trade-offs as a genetic basis for temporal niche evolution in tapirs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32">
        <w:r>
          <w:rPr>
            <w:color w:val="1155CC"/>
            <w:u w:val="single"/>
          </w:rPr>
          <w:t>10.1126/sciadv.adz4758</w:t>
        </w:r>
      </w:hyperlink>
    </w:p>
    <w:p>
      <w:pPr>
        <w:spacing w:before="0" w:after="120"/>
      </w:pPr>
      <w:r>
        <w:rPr>
          <w:b/>
        </w:rPr>
        <w:t xml:space="preserve">Notes: </w:t>
      </w:r>
      <w:r>
        <w:t>abstract_source=crossref</w:t>
      </w:r>
    </w:p>
    <w:p>
      <w:pPr>
        <w:spacing w:before="0" w:after="80" w:lineRule="auto" w:line="276"/>
      </w:pPr>
      <w:r>
        <w:rPr>
          <w:b/>
        </w:rPr>
        <w:t xml:space="preserve">摘要（ZH）: </w:t>
      </w:r>
      <w:r>
        <w:t>昼夜活动模式的进化转变塑造了哺乳动物的感官重塑，但其遗传基础仍然知之甚少。貘代表了一个独特的自然实验，从昼夜活动的祖先回归到以夜行性为特征的生态位，表现为视觉减弱但听觉和嗅觉增强。在此，我们通过生成Tapirus terrestris和Tapirus indicus的高质量染色体水平基因组来研究这一现象的遗传基础。比较分析揭示了与感官通路相关的基因和顺式调控元件的广泛谱系特异性重塑。值得注意的是，通过CRISPR-Cas9编辑tapir特异的保守非编码元件（CNE74）上游的功能验证。</w:t>
      </w:r>
    </w:p>
    <w:p>
      <w:pPr>
        <w:spacing w:before="0" w:after="200" w:lineRule="auto" w:line="276"/>
      </w:pPr>
      <w:r>
        <w:rPr>
          <w:b/>
        </w:rPr>
        <w:t xml:space="preserve">Abstract (EN): </w:t>
      </w:r>
      <w:r>
        <w:t>Evolutionary shifts in diel activity patterns shape sensory remodeling across mammals, yet the genetic basis remains poorly understood. Tapirs represent a unique natural experiment, having reverted from a cathemeral ancestor to a nocturnal niche characterized by reduced vision but enhanced hearing and olfaction. Here, we investigate the genetic basis of this phenomenon by generating high-quality chromosome-level genomes for</w:t>
      </w:r>
      <w:r>
        <w:t xml:space="preserve"> </w:t>
      </w:r>
      <w:r>
        <w:t>Tapirus terrestris</w:t>
      </w:r>
      <w:r>
        <w:t xml:space="preserve"> </w:t>
      </w:r>
      <w:r>
        <w:t>and</w:t>
      </w:r>
      <w:r>
        <w:t xml:space="preserve"> </w:t>
      </w:r>
      <w:r>
        <w:t>Tapirus indicus</w:t>
      </w:r>
      <w:r>
        <w:t xml:space="preserve"> </w:t>
      </w:r>
      <w:r>
        <w:t>. Comparative analyses revealed extensive lineage-specific remodeling of genes and cis-regulatory elements linked to sensory pathways. Notably, functional validation via CRISPR-Cas9 editing of a tapir-specific conserved noncoding element (CNE74) upstream of the</w:t>
      </w:r>
      <w:r>
        <w:t xml:space="preserve"> </w:t>
      </w:r>
      <w:r>
        <w:t>FLT1</w:t>
      </w:r>
      <w:r>
        <w:t xml:space="preserve"> </w:t>
      </w:r>
      <w:r>
        <w:t>gene in mice revealed coordinated sensory effects, including retinal degeneration and reduced visual acuity, yet enhanced auditory sensitivity. These findings suggest that regulatory element evolution may induce pleiotropic effects on competing sensory modalities, offering genetic insights into sensory evolution during temporal niche adaptation and potential relevance to human retinal vascular diseases.</w:t>
      </w:r>
    </w:p>
    <w:p>
      <w:pPr>
        <w:spacing w:before="120" w:after="120"/>
      </w:pPr>
      <w:r>
        <w:rPr>
          <w:sz w:val="18"/>
        </w:rPr>
        <w:t>——————————————————————————————————————————————————————————————————————</w:t>
      </w:r>
    </w:p>
    <w:p>
      <w:pPr>
        <w:spacing w:before="160" w:after="40" w:line="240" w:lineRule="auto"/>
      </w:pPr>
      <w:r>
        <w:rPr>
          <w:b/>
        </w:rPr>
        <w:t xml:space="preserve">[313] </w:t>
      </w:r>
      <w:hyperlink r:id="rId733">
        <w:r>
          <w:rPr>
            <w:color w:val="1155CC"/>
            <w:u w:val="single"/>
          </w:rPr>
          <w:t>NMI促进IL-17的分泌并加重银屑病</w:t>
        </w:r>
      </w:hyperlink>
    </w:p>
    <w:p>
      <w:pPr>
        <w:spacing w:before="0" w:after="80"/>
      </w:pPr>
      <w:r>
        <w:rPr>
          <w:i/>
          <w:sz w:val="20"/>
        </w:rPr>
        <w:t>EN: NMI promotes the secretion of IL-17 and exacerbates psoriasis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34">
        <w:r>
          <w:rPr>
            <w:color w:val="1155CC"/>
            <w:u w:val="single"/>
          </w:rPr>
          <w:t>10.1073/pnas.2511535123</w:t>
        </w:r>
      </w:hyperlink>
    </w:p>
    <w:p>
      <w:pPr>
        <w:spacing w:before="0" w:after="120"/>
      </w:pPr>
      <w:r>
        <w:rPr>
          <w:b/>
        </w:rPr>
        <w:t xml:space="preserve">Notes: </w:t>
      </w:r>
      <w:r>
        <w:t>abstract_source=crossref</w:t>
      </w:r>
    </w:p>
    <w:p>
      <w:pPr>
        <w:spacing w:before="0" w:after="80" w:lineRule="auto" w:line="276"/>
      </w:pPr>
      <w:r>
        <w:rPr>
          <w:b/>
        </w:rPr>
        <w:t xml:space="preserve">摘要（ZH）: </w:t>
      </w:r>
      <w:r>
        <w:t>损伤相关分子模式（DAMPs）作为先天免疫激活的关键介质已被广泛认可；然而，它们在调节适应性免疫，特别是T细胞反应中的功能仍未完全表征。在此，我们报告了NMI的识别和功能表征——一种最近被识别的DAMP，作为T辅助17（Th17）细胞活性的调节因子及其在银屑病发病机制中的参与。在银屑病皮肤病变中观察到NMI的高表达，并与IL-17水平的升高显著相关。在银屑病的小鼠模型中，Nmi缺乏（Nmi−/−）导致皮肤炎症显著减弱，伴随着显著的</w:t>
      </w:r>
    </w:p>
    <w:p>
      <w:pPr>
        <w:spacing w:before="0" w:after="200" w:lineRule="auto" w:line="276"/>
      </w:pPr>
      <w:r>
        <w:rPr>
          <w:b/>
        </w:rPr>
        <w:t xml:space="preserve">Abstract (EN): </w:t>
      </w:r>
      <w:r>
        <w:t>Damage-associated molecular patterns (DAMPs) are well established as key mediators of innate immune activation; however, their functions in modulating adaptive immunity, particularly T cell responses, remain incompletely characterized. Here, we report the identification and functional characterization of NMI—a recently identified DAMP—as a regulator of T helper 17 (Th17) cell activity and its involvement in psoriasis pathogenesis. Elevated expression of NMI was observed in psoriatic skin lesions and correlated significantly with heightened IL-17 levels. In a murine model of psoriasis,</w:t>
      </w:r>
      <w:r>
        <w:t xml:space="preserve"> </w:t>
      </w:r>
      <w:r>
        <w:t>Nmi</w:t>
      </w:r>
      <w:r>
        <w:t xml:space="preserve"> </w:t>
      </w:r>
      <w:r>
        <w:t>deficiency (</w:t>
      </w:r>
      <w:r>
        <w:t xml:space="preserve"> </w:t>
      </w:r>
      <w:r>
        <w:t>Nmi</w:t>
      </w:r>
      <w:r>
        <w:t xml:space="preserve"> </w:t>
      </w:r>
      <w:r>
        <w:t>−/−</w:t>
      </w:r>
      <w:r>
        <w:t>) resulted in a marked attenuation of skin inflammation, accompanied by significantly reduced expression of IL-17A and IL-17F. In vitro studies further demonstrated that NMI promotes the secretion of IL-17A and IL-17F from differentiated Th17 cells through its interaction with Toll-like receptor 4. Moreover, therapeutic neutralization of NMI using specific antibodies effectively ameliorated psoriatic symptoms in mice. Collectively, these results identify NMI as an endogenous enhancer of Th17-mediated immunity and highlight its potential as a therapeutic target in psoriasis.</w:t>
      </w:r>
    </w:p>
    <w:p>
      <w:pPr>
        <w:spacing w:before="120" w:after="120"/>
      </w:pPr>
      <w:r>
        <w:rPr>
          <w:sz w:val="18"/>
        </w:rPr>
        <w:t>——————————————————————————————————————————————————————————————————————</w:t>
      </w:r>
    </w:p>
    <w:p>
      <w:pPr>
        <w:spacing w:before="160" w:after="40" w:line="240" w:lineRule="auto"/>
      </w:pPr>
      <w:r>
        <w:rPr>
          <w:b/>
        </w:rPr>
        <w:t xml:space="preserve">[314] </w:t>
      </w:r>
      <w:hyperlink r:id="rId735">
        <w:r>
          <w:rPr>
            <w:color w:val="1155CC"/>
            <w:u w:val="single"/>
          </w:rPr>
          <w:t>髓鞘在轴突退化后持续数周</w:t>
        </w:r>
      </w:hyperlink>
    </w:p>
    <w:p>
      <w:pPr>
        <w:spacing w:before="0" w:after="80"/>
      </w:pPr>
      <w:r>
        <w:rPr>
          <w:i/>
          <w:sz w:val="20"/>
        </w:rPr>
        <w:t>EN: Myelin sheaths persist for weeks following axon degeneration</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36">
        <w:r>
          <w:rPr>
            <w:color w:val="1155CC"/>
            <w:u w:val="single"/>
          </w:rPr>
          <w:t>10.1126/sciadv.aeb2628</w:t>
        </w:r>
      </w:hyperlink>
    </w:p>
    <w:p>
      <w:pPr>
        <w:spacing w:before="0" w:after="120"/>
      </w:pPr>
      <w:r>
        <w:rPr>
          <w:b/>
        </w:rPr>
        <w:t xml:space="preserve">Notes: </w:t>
      </w:r>
      <w:r>
        <w:t>abstract_source=crossref</w:t>
      </w:r>
    </w:p>
    <w:p>
      <w:pPr>
        <w:spacing w:before="0" w:after="80" w:lineRule="auto" w:line="276"/>
      </w:pPr>
      <w:r>
        <w:rPr>
          <w:b/>
        </w:rPr>
        <w:t xml:space="preserve">摘要（ZH）: </w:t>
      </w:r>
      <w:r>
        <w:t>轴突退化是创伤性损伤和神经退行性疾病临床缺陷的基础。尚不清楚髓鞘形成的少突胶质细胞如何直接受到轴突损伤和丧失的影响或如何响应。在此，我们结合活体成像与激光轴突切除或单个神经元消融，以确定髓鞘形成退化轴突的少突胶质细胞的纵向响应。我们发现，虽然轴突迅速退化，但没有轴突的髓鞘可以持续数周。这些剩余的髓鞘失去压缩性并缓慢收缩。在损伤局部，少突胶质细胞的稳态基本保持，仅有髓鞘结构可塑性的短暂变化。在神经元消融和轴突切除后，如果轴突有髓鞘，轴突碎片的清除会延迟。然而，长</w:t>
      </w:r>
    </w:p>
    <w:p>
      <w:pPr>
        <w:spacing w:before="0" w:after="200" w:lineRule="auto" w:line="276"/>
      </w:pPr>
      <w:r>
        <w:rPr>
          <w:b/>
        </w:rPr>
        <w:t xml:space="preserve">Abstract (EN): </w:t>
      </w:r>
      <w:r>
        <w:t>Axon degeneration underlies clinical deficits in traumatic injuries and neurodegenerative disease. It is not clear how myelinating oligodendrocytes are directly affected by or respond to axon injury and loss. Here, we combined intravital imaging with laser axotomy or single neuron ablation to determine the longitudinal responses by oligodendrocytes that myelinate the degenerating axon. We find that while axons rapidly degenerate, myelin sheaths devoid of axon can persist for weeks. These remaining myelin sheaths lose compaction and slowly shrink. Local to the injury, oligodendrocyte homeostasis is largely maintained, with only a brief change in myelin sheath structural plasticity. After neuron ablation and axotomy, clearance of axon debris is delayed if the axon is myelinated. However, longitudinal imaging of microglia revealed only rare microglial engagement with injured axons, regardless of myelination status. Likewise, microglia did not engage with de-axoned myelin sheaths. These findings highlight the stability of myelinating oligodendrocytes and provide insight into homeostatic neuroglia responses following injury.</w:t>
      </w:r>
    </w:p>
    <w:p>
      <w:pPr>
        <w:spacing w:before="120" w:after="120"/>
      </w:pPr>
      <w:r>
        <w:rPr>
          <w:sz w:val="18"/>
        </w:rPr>
        <w:t>——————————————————————————————————————————————————————————————————————</w:t>
      </w:r>
    </w:p>
    <w:p>
      <w:pPr>
        <w:spacing w:before="160" w:after="40" w:line="240" w:lineRule="auto"/>
      </w:pPr>
      <w:r>
        <w:rPr>
          <w:b/>
        </w:rPr>
        <w:t xml:space="preserve">[315] </w:t>
      </w:r>
      <w:hyperlink r:id="rId737">
        <w:r>
          <w:rPr>
            <w:color w:val="1155CC"/>
            <w:u w:val="single"/>
          </w:rPr>
          <w:t>机械顺应性增强玻璃态聚合物薄膜的冲击能量吸收</w:t>
        </w:r>
      </w:hyperlink>
    </w:p>
    <w:p>
      <w:pPr>
        <w:spacing w:before="0" w:after="80"/>
      </w:pPr>
      <w:r>
        <w:rPr>
          <w:i/>
          <w:sz w:val="20"/>
        </w:rPr>
        <w:t>EN: Mechanical compliance enhances the impulsive energy absorption of glassy polymer films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38">
        <w:r>
          <w:rPr>
            <w:color w:val="1155CC"/>
            <w:u w:val="single"/>
          </w:rPr>
          <w:t>10.1073/pnas.2514520123</w:t>
        </w:r>
      </w:hyperlink>
    </w:p>
    <w:p>
      <w:pPr>
        <w:spacing w:before="0" w:after="120"/>
      </w:pPr>
      <w:r>
        <w:rPr>
          <w:b/>
        </w:rPr>
        <w:t xml:space="preserve">Notes: </w:t>
      </w:r>
      <w:r>
        <w:t>abstract_source=crossref</w:t>
      </w:r>
    </w:p>
    <w:p>
      <w:pPr>
        <w:spacing w:before="0" w:after="80" w:lineRule="auto" w:line="276"/>
      </w:pPr>
      <w:r>
        <w:rPr>
          <w:b/>
        </w:rPr>
        <w:t xml:space="preserve">摘要（ZH）: </w:t>
      </w:r>
      <w:r>
        <w:t>从软组织到地震阻尼系统，自然和工程系统广泛利用机械顺应性来消散能量和避免灾难性故障。虽然在准静态条件下这一原理已被很好理解，但在极端应变速率下的顺应性作用探索较少。在此，我们整合了基于激光烧蚀的膜扩展测试、超高速成像和机械建模，以研究玻璃态聚甲基丙烯酸甲酯（PMMA）薄膜在应变速率范围内受到冲击加载时的实时动态响应</w:t>
      </w:r>
    </w:p>
    <w:p>
      <w:pPr>
        <w:spacing w:before="0" w:after="200" w:lineRule="auto" w:line="276"/>
      </w:pPr>
      <w:r>
        <w:rPr>
          <w:b/>
        </w:rPr>
        <w:t xml:space="preserve">Abstract (EN): </w:t>
      </w:r>
      <w:r>
        <w:t>From soft tissues to seismic damping systems, mechanical compliance is widely exploited by natural and engineered systems for dissipating energy and averting catastrophic failure. While this principle is well understood under quasi-static conditions, the role of compliance at extreme strain rates is less explored. Here, we integrate laser-ablation-based membrane expansion testing, ultra-high-speed imaging, and mechanical modeling to study the real-time dynamic response of glassy poly(methyl methacrylate) (PMMA) films subjected to impulsive loading at strain rates ranging from</w:t>
      </w:r>
      <w:r>
        <w:t xml:space="preserve"> </w:t>
      </w:r>
      <w:r>
        <w:rPr>
          <w:vertAlign w:val="subscript"/>
        </w:rPr>
        <w:t>10</w:t>
      </w:r>
      <w:r>
        <w:rPr>
          <w:vertAlign w:val="subscript"/>
        </w:rPr>
        <w:t>6</w:t>
      </w:r>
      <w:r>
        <w:t xml:space="preserve"> </w:t>
      </w:r>
      <w:r>
        <w:t>s</w:t>
      </w:r>
      <w:r>
        <w:t xml:space="preserve"> </w:t>
      </w:r>
      <w:r>
        <w:t>−</w:t>
      </w:r>
      <w:r>
        <w:rPr>
          <w:vertAlign w:val="subscript"/>
        </w:rPr>
        <w:t>1</w:t>
      </w:r>
      <w:r>
        <w:t xml:space="preserve"> </w:t>
      </w:r>
      <w:r>
        <w:t>to</w:t>
      </w:r>
      <w:r>
        <w:t xml:space="preserve"> </w:t>
      </w:r>
      <w:r>
        <w:rPr>
          <w:vertAlign w:val="subscript"/>
        </w:rPr>
        <w:t>10</w:t>
      </w:r>
      <w:r>
        <w:rPr>
          <w:vertAlign w:val="subscript"/>
        </w:rPr>
        <w:t>8</w:t>
      </w:r>
      <w:r>
        <w:t xml:space="preserve"> </w:t>
      </w:r>
      <w:r>
        <w:t>s</w:t>
      </w:r>
      <w:r>
        <w:t xml:space="preserve"> </w:t>
      </w:r>
      <w:r>
        <w:t>−</w:t>
      </w:r>
      <w:r>
        <w:rPr>
          <w:vertAlign w:val="subscript"/>
        </w:rPr>
        <w:t>1</w:t>
      </w:r>
      <w:r>
        <w:t xml:space="preserve"> </w:t>
      </w:r>
      <w:r>
        <w:t>. Although PMMA ordinarily exhibits low impact resistance, under these conditions, the films deform and can sustain unexpectedly large biaxial strains without catastrophic failure. By tuning the film thickness, we demonstrate that the increased compliance of thinner films promotes plastic deformation, enabling more effective energy absorption. Our findings suggest strategies for designing lighter, tougher materials for impact mitigation under extreme dynamic loading.</w:t>
      </w:r>
    </w:p>
    <w:p>
      <w:pPr>
        <w:spacing w:before="120" w:after="120"/>
      </w:pPr>
      <w:r>
        <w:rPr>
          <w:sz w:val="18"/>
        </w:rPr>
        <w:t>——————————————————————————————————————————————————————————————————————</w:t>
      </w:r>
    </w:p>
    <w:p>
      <w:pPr>
        <w:spacing w:before="160" w:after="40" w:line="240" w:lineRule="auto"/>
      </w:pPr>
      <w:r>
        <w:rPr>
          <w:b/>
        </w:rPr>
        <w:t xml:space="preserve">[316] </w:t>
      </w:r>
      <w:hyperlink r:id="rId739">
        <w:r>
          <w:rPr>
            <w:color w:val="1155CC"/>
            <w:u w:val="single"/>
          </w:rPr>
          <w:t>Cho等人的更正，复合气候和经济不确定性下的二氧化碳去除的弹性植树策略</w:t>
        </w:r>
      </w:hyperlink>
    </w:p>
    <w:p>
      <w:pPr>
        <w:spacing w:before="0" w:after="80"/>
      </w:pPr>
      <w:r>
        <w:rPr>
          <w:i/>
          <w:sz w:val="20"/>
        </w:rPr>
        <w:t>EN: Correction for Cho et al., Resilient tree-planting strategies for carbon dioxide removal under compounding climate and economic uncertainties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40">
        <w:r>
          <w:rPr>
            <w:color w:val="1155CC"/>
            <w:u w:val="single"/>
          </w:rPr>
          <w:t>10.1073/pnas.2536297123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[317] </w:t>
      </w:r>
      <w:hyperlink r:id="rId741">
        <w:r>
          <w:rPr>
            <w:color w:val="1155CC"/>
            <w:u w:val="single"/>
          </w:rPr>
          <w:t>实现生物多样性测量根本性转变所需的九项变革</w:t>
        </w:r>
      </w:hyperlink>
    </w:p>
    <w:p>
      <w:pPr>
        <w:spacing w:before="0" w:after="80"/>
      </w:pPr>
      <w:r>
        <w:rPr>
          <w:i/>
          <w:sz w:val="20"/>
        </w:rPr>
        <w:t>EN: Nine changes needed to deliver a radical transformation in biodiversity measurement</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42">
        <w:r>
          <w:rPr>
            <w:color w:val="1155CC"/>
            <w:u w:val="single"/>
          </w:rPr>
          <w:t>10.1073/pnas.2519345123</w:t>
        </w:r>
      </w:hyperlink>
    </w:p>
    <w:p>
      <w:pPr>
        <w:spacing w:before="0" w:after="120"/>
      </w:pPr>
      <w:r>
        <w:rPr>
          <w:b/>
        </w:rPr>
        <w:t xml:space="preserve">Notes: </w:t>
      </w:r>
      <w:r>
        <w:t>abstract_source=crossref</w:t>
      </w:r>
    </w:p>
    <w:p>
      <w:pPr>
        <w:spacing w:before="0" w:after="80" w:lineRule="auto" w:line="276"/>
      </w:pPr>
      <w:r>
        <w:rPr>
          <w:b/>
        </w:rPr>
        <w:t xml:space="preserve">摘要（ZH）: </w:t>
      </w:r>
      <w:r>
        <w:t>生物多样性在世界许多地区正在下降。生物多样性的测量和监测对于评估环境变化的原因和后果、识别保护生物多样性或生态系统服务的关键区域、确定行动的有效性以及创建对维持可持续星球至关重要的决策支持工具是基本的。由于公民科学、图像识别、声学监测、环境DNA、基因组学、遥感和AI的进步，生物多样性测量正在迅速变化。在这一视角中，我们概述了这些发展所提供的令人兴奋的机会，但也考虑了挑战。我们的关键建议是：1）利用新技术整合数据的能力</w:t>
      </w:r>
    </w:p>
    <w:p>
      <w:pPr>
        <w:spacing w:before="0" w:after="200" w:lineRule="auto" w:line="276"/>
      </w:pPr>
      <w:r>
        <w:rPr>
          <w:b/>
        </w:rPr>
        <w:t xml:space="preserve">Abstract (EN): </w:t>
      </w:r>
      <w:r>
        <w:t>Biodiversity is declining in many parts of the world. Biological diversity measurement and monitoring are fundamental to the assessment of the causes and consequences of environmental changes, identification of key areas for the protection of biodiversity or ecosystem services, determining the effectiveness of actions, and the creation of decision-support tools critical to maintaining a sustainable planet. Biodiversity measurement is rapidly changing due to advances in citizen science, image recognition, acoustic monitoring, environmental DNA, genomics, remote sensing, and AI. In this perspective, we outline the exciting opportunities these developments offer but also consider the challenges. Our key recommendations are to 1) Capitalize on the ability of novel technology to integrate data sources 2) agree to standard methods for data collection 3) ensure new technologies are calibrated with existing data; 4) fill data gaps by using emerging technologies and increasing capacity, especially in the tropics; 5) create living safeguarded databases of trusted information to reduce the risk of poisoning by AI hallucinated, or false, information; 6) ensure data generation is valued; 7) ensure respectful incorporation of Indigenous Knowledge; 8) ensure measurements enable the quantification of effectiveness of actions, and 9) increase the resilience of global datasets to technical and societal change. Radical new collaborations are needed between computer scientists, engineers, molecular biologists, data scientists, field ecologists, citizen scientists, Indigenous peoples, policymakers, and local communities to create the rigorous, resilient, accessible biodiversity information systems required to underpin policies and practices that ensure the maintenance and restoration of ecological systems.</w:t>
      </w:r>
    </w:p>
    <w:p>
      <w:pPr>
        <w:spacing w:before="120" w:after="120"/>
      </w:pPr>
      <w:r>
        <w:rPr>
          <w:sz w:val="18"/>
        </w:rPr>
        <w:t>——————————————————————————————————————————————————————————————————————</w:t>
      </w:r>
    </w:p>
    <w:p>
      <w:pPr>
        <w:spacing w:before="160" w:after="40" w:line="240" w:lineRule="auto"/>
      </w:pPr>
      <w:r>
        <w:rPr>
          <w:b/>
        </w:rPr>
        <w:t xml:space="preserve">[318] </w:t>
      </w:r>
      <w:hyperlink r:id="rId743">
        <w:r>
          <w:rPr>
            <w:color w:val="1155CC"/>
            <w:u w:val="single"/>
          </w:rPr>
          <w:t>使用衍射光学处理器的结构振动监测</w:t>
        </w:r>
      </w:hyperlink>
    </w:p>
    <w:p>
      <w:pPr>
        <w:spacing w:before="0" w:after="80"/>
      </w:pPr>
      <w:r>
        <w:rPr>
          <w:i/>
          <w:sz w:val="20"/>
        </w:rPr>
        <w:t>EN: Structural vibration monitoring with diffractive optical processors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44">
        <w:r>
          <w:rPr>
            <w:color w:val="1155CC"/>
            <w:u w:val="single"/>
          </w:rPr>
          <w:t>10.1126/sciadv.aea1712</w:t>
        </w:r>
      </w:hyperlink>
    </w:p>
    <w:p>
      <w:pPr>
        <w:spacing w:before="0" w:after="120"/>
      </w:pPr>
      <w:r>
        <w:rPr>
          <w:b/>
        </w:rPr>
        <w:t xml:space="preserve">Notes: </w:t>
      </w:r>
      <w:r>
        <w:t>abstract_source=crossref</w:t>
      </w:r>
    </w:p>
    <w:p>
      <w:pPr>
        <w:spacing w:before="0" w:after="80" w:lineRule="auto" w:line="276"/>
      </w:pPr>
      <w:r>
        <w:rPr>
          <w:b/>
        </w:rPr>
        <w:t xml:space="preserve">摘要（ZH）: </w:t>
      </w:r>
      <w:r>
        <w:t>结构健康监测（SHM）对于维护土木基础设施的安全性和寿命至关重要，但当前的解决方案仍受限于成本、功耗、可扩展性和数据处理的复杂性。在此，我们提出了一种衍射振动监测系统，集成了一个联合优化的衍射层和一个基于浅层神经网络的后端，以远程提取三维（3D）结构振动光谱，提供了一种低功耗、成本效益高且可扩展的解决方案。与之前主要为静态图像分类或重建任务设计的衍射处理器不同，该框架建立了一种动态计算感知模式，其中光学前端被共同优化以将时间变化的机械振动编码为独特的</w:t>
      </w:r>
    </w:p>
    <w:p>
      <w:pPr>
        <w:spacing w:before="0" w:after="200" w:lineRule="auto" w:line="276"/>
      </w:pPr>
      <w:r>
        <w:rPr>
          <w:b/>
        </w:rPr>
        <w:t xml:space="preserve">Abstract (EN): </w:t>
      </w:r>
      <w:r>
        <w:t>Structural health monitoring (SHM) is vital for maintaining the safety and longevity of civil infrastructure, yet current solutions remain constrained by cost, power consumption, scalability, and the complexity of data processing. Here, we present a diffractive vibration monitoring system, integrating a jointly optimized diffractive layer with a shallow neural network-based backend to remotely extract three-dimensional (3D) structural vibration spectra, offering a low-power, cost-effective, and scalable solution. Unlike prior diffractive processors designed primarily for static image classification or reconstruction tasks, this framework establishes a dynamic computational sensing modality where the optical front-end is co-optimized to encode time-varying mechanical vibrations into distinct spatiotemporal optical patterns. This architecture eliminates the need for dense sensor arrays or extensive data acquisition; instead, it uses a spatially optimized passive diffractive layer that encodes 3D structural displacements into modulated light, captured by a minimal number of detectors and decoded in real time by shallow and low-power neural networks to reconstruct the 3D displacement spectra of structures. The diffractive system’s efficacy was demonstrated both numerically and experimentally using millimeter-wave illumination on a laboratory-scale building model with a programmable shake table. Our system achieves more than an order-of-magnitude improvement in accuracy over conventional optics or separately trained modules, establishing a foundation for high-throughput 3D monitoring of structures. Beyond SHM, the 3D vibration monitoring capabilities of this cost-effective and data-efficient framework establish a distinct computational sensing modality with potential applications in disaster resilience, aerospace diagnostics, and autonomous navigation—where energy efficiency, low latency, and high-throughput are critical.</w:t>
      </w:r>
    </w:p>
    <w:p>
      <w:pPr>
        <w:spacing w:before="120" w:after="120"/>
      </w:pPr>
      <w:r>
        <w:rPr>
          <w:sz w:val="18"/>
        </w:rPr>
        <w:t>——————————————————————————————————————————————————————————————————————</w:t>
      </w:r>
    </w:p>
    <w:p>
      <w:pPr>
        <w:spacing w:before="160" w:after="40" w:line="240" w:lineRule="auto"/>
      </w:pPr>
      <w:r>
        <w:rPr>
          <w:b/>
        </w:rPr>
        <w:t xml:space="preserve">[319] </w:t>
      </w:r>
      <w:hyperlink r:id="rId745">
        <w:r>
          <w:rPr>
            <w:color w:val="1155CC"/>
            <w:u w:val="single"/>
          </w:rPr>
          <w:t>Vγ1 γδ T细胞在自发性肺癌小鼠模型中引导气道巨噬细胞走向促纤维化反应</w:t>
        </w:r>
      </w:hyperlink>
    </w:p>
    <w:p>
      <w:pPr>
        <w:spacing w:before="0" w:after="80"/>
      </w:pPr>
      <w:r>
        <w:rPr>
          <w:i/>
          <w:sz w:val="20"/>
        </w:rPr>
        <w:t>EN: Vγ1 γδ T cells steer airway macrophages toward a profibrotic response in an autochthonous lung cancer mouse model</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46">
        <w:r>
          <w:rPr>
            <w:color w:val="1155CC"/>
            <w:u w:val="single"/>
          </w:rPr>
          <w:t>10.1126/sciadv.adu8802</w:t>
        </w:r>
      </w:hyperlink>
    </w:p>
    <w:p>
      <w:pPr>
        <w:spacing w:before="0" w:after="120"/>
      </w:pPr>
      <w:r>
        <w:rPr>
          <w:b/>
        </w:rPr>
        <w:t xml:space="preserve">Notes: </w:t>
      </w:r>
      <w:r>
        <w:t>abstract_source=crossref</w:t>
      </w:r>
    </w:p>
    <w:p>
      <w:pPr>
        <w:spacing w:before="0" w:after="80" w:lineRule="auto" w:line="276"/>
      </w:pPr>
      <w:r>
        <w:rPr>
          <w:b/>
        </w:rPr>
        <w:t xml:space="preserve">摘要（ZH）: </w:t>
      </w:r>
      <w:r>
        <w:t>γδ T细胞在呼吸道粘膜的宿主防御中起重要作用，可以直接作用或通过与其他细胞的相互作用。然而，γδ T细胞如何影响肺中的其他免疫细胞仍不清楚。使用一种基因工程小鼠肺癌模型，我们显示肿瘤驱动CD27</w:t>
      </w:r>
      <w:r>
        <w:t xml:space="preserve"> </w:t>
      </w:r>
      <w:r>
        <w:t>+</w:t>
      </w:r>
      <w:r>
        <w:t xml:space="preserve"> </w:t>
      </w:r>
      <w:r>
        <w:t>和CD27</w:t>
      </w:r>
      <w:r>
        <w:t xml:space="preserve"> </w:t>
      </w:r>
      <w:r>
        <w:t>−</w:t>
      </w:r>
      <w:r>
        <w:t>γδ T细胞的扩展。先进的显微技术表明，CD27</w:t>
      </w:r>
      <w:r>
        <w:t xml:space="preserve"> </w:t>
      </w:r>
      <w:r>
        <w:t>−</w:t>
      </w:r>
      <w:r>
        <w:t>γδ T细胞在肿瘤中富集，而CD27</w:t>
      </w:r>
      <w:r>
        <w:t xml:space="preserve"> </w:t>
      </w:r>
      <w:r>
        <w:t>+</w:t>
      </w:r>
      <w:r>
        <w:t xml:space="preserve"> </w:t>
      </w:r>
      <w:r>
        <w:t>γδ T细胞更容易与肿瘤相关的外膜袖带中的巨噬细胞相互作用。SiglecF</w:t>
      </w:r>
      <w:r>
        <w:t xml:space="preserve"> </w:t>
      </w:r>
      <w:r>
        <w:t>low</w:t>
      </w:r>
      <w:r>
        <w:t xml:space="preserve"> </w:t>
      </w:r>
      <w:r>
        <w:t>促纤维化气道巨噬细胞更为普遍</w:t>
      </w:r>
    </w:p>
    <w:p>
      <w:pPr>
        <w:spacing w:before="0" w:after="200" w:lineRule="auto" w:line="276"/>
      </w:pPr>
      <w:r>
        <w:rPr>
          <w:b/>
        </w:rPr>
        <w:t xml:space="preserve">Abstract (EN): </w:t>
      </w:r>
      <w:r>
        <w:t>γδ T cells are important for host defense at the respiratory mucosa, acting directly or through interactions with other cells. However, how γδ T cells influence other immune cells in the lung remains unclear. Using a genetically engineered mouse model of lung cancer, we show that tumors drive expansion of both CD27</w:t>
      </w:r>
      <w:r>
        <w:t xml:space="preserve"> </w:t>
      </w:r>
      <w:r>
        <w:t>+</w:t>
      </w:r>
      <w:r>
        <w:t xml:space="preserve"> </w:t>
      </w:r>
      <w:r>
        <w:t>and CD27</w:t>
      </w:r>
      <w:r>
        <w:t xml:space="preserve"> </w:t>
      </w:r>
      <w:r>
        <w:t>−</w:t>
      </w:r>
      <w:r>
        <w:t>γδ T cells. Advanced microscopy techniques indicated that CD27</w:t>
      </w:r>
      <w:r>
        <w:t xml:space="preserve"> </w:t>
      </w:r>
      <w:r>
        <w:t>−</w:t>
      </w:r>
      <w:r>
        <w:t>γδ T cells are enriched in tumors, whereas CD27</w:t>
      </w:r>
      <w:r>
        <w:t xml:space="preserve"> </w:t>
      </w:r>
      <w:r>
        <w:t>+</w:t>
      </w:r>
      <w:r>
        <w:t xml:space="preserve"> </w:t>
      </w:r>
      <w:r>
        <w:t>γδ T cells are more prone to interact with macrophages in tumor-associated adventitial cuffs. SiglecF</w:t>
      </w:r>
      <w:r>
        <w:t xml:space="preserve"> </w:t>
      </w:r>
      <w:r>
        <w:t>low</w:t>
      </w:r>
      <w:r>
        <w:t xml:space="preserve"> </w:t>
      </w:r>
      <w:r>
        <w:t>profibrotic airway macrophages were more prevalent in lung tumor-bearing mice than tumor-free mice. This profibrotic subset was reduced in lungs when the cancer model was crossed to</w:t>
      </w:r>
      <w:r>
        <w:t xml:space="preserve"> </w:t>
      </w:r>
      <w:r>
        <w:t>Tcrd</w:t>
      </w:r>
      <w:r>
        <w:t xml:space="preserve"> </w:t>
      </w:r>
      <w:r>
        <w:t>knockout mice or treated with Vγ1-depleting antibodies but not in</w:t>
      </w:r>
      <w:r>
        <w:t xml:space="preserve"> </w:t>
      </w:r>
      <w:r>
        <w:t>TcrgV4/6</w:t>
      </w:r>
      <w:r>
        <w:t xml:space="preserve"> </w:t>
      </w:r>
      <w:r>
        <w:t>knockout mice. Thus, our findings implicate Vγ1 γδ T cells in driving tumor-associated airway macrophage functional imprinting. Determining the translatability to human health may offer new avenues for refining patient management and immunotherapeutic strategies.</w:t>
      </w:r>
    </w:p>
    <w:p>
      <w:pPr>
        <w:spacing w:before="120" w:after="120"/>
      </w:pPr>
      <w:r>
        <w:rPr>
          <w:sz w:val="18"/>
        </w:rPr>
        <w:t>——————————————————————————————————————————————————————————————————————</w:t>
      </w:r>
    </w:p>
    <w:p>
      <w:pPr>
        <w:spacing w:before="160" w:after="40" w:line="240" w:lineRule="auto"/>
      </w:pPr>
      <w:r>
        <w:rPr>
          <w:b/>
        </w:rPr>
        <w:t xml:space="preserve">[320] </w:t>
      </w:r>
      <w:hyperlink r:id="rId747">
        <w:r>
          <w:rPr>
            <w:color w:val="1155CC"/>
            <w:u w:val="single"/>
          </w:rPr>
          <w:t>使用零质量声子超材料实现亚波长成像</w:t>
        </w:r>
      </w:hyperlink>
    </w:p>
    <w:p>
      <w:pPr>
        <w:spacing w:before="0" w:after="80"/>
      </w:pPr>
      <w:r>
        <w:rPr>
          <w:i/>
          <w:sz w:val="20"/>
        </w:rPr>
        <w:t>EN: Subwavelength imaging with a zero-mass sonic meta-atom</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48">
        <w:r>
          <w:rPr>
            <w:color w:val="1155CC"/>
            <w:u w:val="single"/>
          </w:rPr>
          <w:t>10.1126/sciadv.adz9172</w:t>
        </w:r>
      </w:hyperlink>
    </w:p>
    <w:p>
      <w:pPr>
        <w:spacing w:before="0" w:after="120"/>
      </w:pPr>
      <w:r>
        <w:rPr>
          <w:b/>
        </w:rPr>
        <w:t xml:space="preserve">Notes: </w:t>
      </w:r>
      <w:r>
        <w:t>abstract_source=crossref</w:t>
      </w:r>
    </w:p>
    <w:p>
      <w:pPr>
        <w:spacing w:before="0" w:after="80" w:lineRule="auto" w:line="276"/>
      </w:pPr>
      <w:r>
        <w:rPr>
          <w:b/>
        </w:rPr>
        <w:t xml:space="preserve">摘要（ZH）: </w:t>
      </w:r>
      <w:r>
        <w:t>声学超材料在亚波长尺度上提供了操控声音的强大解决方案。一个重要的应用是超分辨声学成像，它依赖于超越衍射极限的倏逝波。使用亚波长探针的近场技术可以捕捉这些波，揭示物体的细节。在此，我们介绍了一种实验平台，该平台利用空气中的非凡传输将倏逝声波耦合到亚波长、零质量的声子元探针中。通过在一个充满空气的波导的锥形尖端安装一个圆形膜，我们利用声学惯性因物体接近而引起的声学Drexhage效应的修改，导致共振频率在千赫范围内的下移。</w:t>
      </w:r>
    </w:p>
    <w:p>
      <w:pPr>
        <w:spacing w:before="0" w:after="200" w:lineRule="auto" w:line="276"/>
      </w:pPr>
      <w:r>
        <w:rPr>
          <w:b/>
        </w:rPr>
        <w:t xml:space="preserve">Abstract (EN): </w:t>
      </w:r>
      <w:r>
        <w:t>Acoustic metamaterials offer powerful solutions for manipulating sound at subwavelength scales. One important application is super-resolved acoustic imaging, which relies on access to evanescent waves beyond the diffraction limit. Near-field techniques using subwavelength probes can capture these waves, revealing fine object details. Here, we introduce an experimental platform that harnesses airborne extraordinary transmission to couple evanescent acoustic waves into a subwavelength, zero-mass sonic meta-atom probe. By mounting a circular membrane at the tip of an air-filled waveguide with a conical tip, we exploit a modification of the acoustic inertance—caused by an object’s proximity—via the sonic Drexhage effect, leading to a downshift of the resonant frequency in the kilohertz range. Experimental results, supported by numerical and theoretical models, demonstrate that extreme subwavelength imaging is enabled by measuring the waveguide’s acoustic reflection coefficient, with lateral and depth resolutions of approximately</w:t>
      </w:r>
      <w:r>
        <w:t xml:space="preserve"> </w:t>
      </w:r>
      <w:r>
        <w:t>λ</w:t>
      </w:r>
      <w:r>
        <w:t xml:space="preserve"> </w:t>
      </w:r>
      <w:r>
        <w:t>/</w:t>
      </w:r>
      <w:r>
        <w:rPr>
          <w:vertAlign w:val="subscript"/>
        </w:rPr>
        <w:t>20</w:t>
      </w:r>
      <w:r>
        <w:t xml:space="preserve"> </w:t>
      </w:r>
      <w:r>
        <w:t>and</w:t>
      </w:r>
      <w:r>
        <w:t xml:space="preserve"> </w:t>
      </w:r>
      <w:r>
        <w:t>λ</w:t>
      </w:r>
      <w:r>
        <w:t xml:space="preserve"> </w:t>
      </w:r>
      <w:r>
        <w:t>/</w:t>
      </w:r>
      <w:r>
        <w:rPr>
          <w:vertAlign w:val="subscript"/>
        </w:rPr>
        <w:t>650</w:t>
      </w:r>
      <w:r>
        <w:t xml:space="preserve"> </w:t>
      </w:r>
      <w:r>
        <w:t>, respectively (where λ is the acoustic wavelength). The platform’s capabilities for texture measurement and noncontact scanning are also demonstrated.</w:t>
      </w:r>
    </w:p>
    <w:p>
      <w:pPr>
        <w:spacing w:before="120" w:after="120"/>
      </w:pPr>
      <w:r>
        <w:rPr>
          <w:sz w:val="18"/>
        </w:rPr>
        <w:t>——————————————————————————————————————————————————————————————————————</w:t>
      </w:r>
    </w:p>
    <w:p>
      <w:pPr>
        <w:spacing w:before="160" w:after="40" w:line="240" w:lineRule="auto"/>
      </w:pPr>
      <w:r>
        <w:rPr>
          <w:b/>
        </w:rPr>
        <w:t xml:space="preserve">[321] </w:t>
      </w:r>
      <w:hyperlink r:id="rId749">
        <w:r>
          <w:rPr>
            <w:color w:val="1155CC"/>
            <w:u w:val="single"/>
          </w:rPr>
          <w:t>广泛分布的浅水Thyasirid蛤中的复杂化学共生</w:t>
        </w:r>
      </w:hyperlink>
    </w:p>
    <w:p>
      <w:pPr>
        <w:spacing w:before="0" w:after="80"/>
      </w:pPr>
      <w:r>
        <w:rPr>
          <w:i/>
          <w:sz w:val="20"/>
        </w:rPr>
        <w:t>EN: Intricate chemosymbiosis in a widespread shallow-water thyasirid clam</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50">
        <w:r>
          <w:rPr>
            <w:color w:val="1155CC"/>
            <w:u w:val="single"/>
          </w:rPr>
          <w:t>10.1126/sciadv.adw8163</w:t>
        </w:r>
      </w:hyperlink>
    </w:p>
    <w:p>
      <w:pPr>
        <w:spacing w:before="0" w:after="120"/>
      </w:pPr>
      <w:r>
        <w:rPr>
          <w:b/>
        </w:rPr>
        <w:t xml:space="preserve">Notes: </w:t>
      </w:r>
      <w:r>
        <w:t>abstract_source=crossref</w:t>
      </w:r>
    </w:p>
    <w:p>
      <w:pPr>
        <w:spacing w:before="0" w:after="80" w:lineRule="auto" w:line="276"/>
      </w:pPr>
      <w:r>
        <w:rPr>
          <w:b/>
        </w:rPr>
        <w:t xml:space="preserve">摘要（ZH）: </w:t>
      </w:r>
      <w:r>
        <w:t>动物和细菌之间的化能合成共生在海洋生态系统中很常见，但生活在缺氧沉积物中的浅水Thyasirid蛤的共生关系尽管广泛存在，却仍未得到充分研究。在此，我们报告了在黄海沉积物中占主导地位的浅水Thyasirid蛤Thyasira tokunagai在鳃的袋状结构中寄宿硫氧化Sedimenticola共生体；这些共生体在该地区表现出高度一致的基因组内容和功能性。存在两种共生体的谱系类型，在16S rRNA基因中仅相差一个碱基，同时共享关键功能基因，差异极小。空间代谢条</w:t>
      </w:r>
    </w:p>
    <w:p>
      <w:pPr>
        <w:spacing w:before="0" w:after="200" w:lineRule="auto" w:line="276"/>
      </w:pPr>
      <w:r>
        <w:rPr>
          <w:b/>
        </w:rPr>
        <w:t xml:space="preserve">Abstract (EN): </w:t>
      </w:r>
      <w:r>
        <w:t>Chemosynthetic symbioses between animals and bacteria are common in marine ecosystems, but the symbioses in shallow-water thyasirid clams inhabiting suboxic sediments remain understudied despite their widespread occurrence. Here, we report that the shallow-water thyasirid clam</w:t>
      </w:r>
      <w:r>
        <w:t xml:space="preserve"> </w:t>
      </w:r>
      <w:r>
        <w:t>Thyasira tokunagai</w:t>
      </w:r>
      <w:r>
        <w:t xml:space="preserve"> </w:t>
      </w:r>
      <w:r>
        <w:t>, dominant in Yellow Sea sediments, harbors sulfur-oxidizing</w:t>
      </w:r>
      <w:r>
        <w:t xml:space="preserve"> </w:t>
      </w:r>
      <w:r>
        <w:t>Sedimenticola</w:t>
      </w:r>
      <w:r>
        <w:t xml:space="preserve"> </w:t>
      </w:r>
      <w:r>
        <w:t>symbionts in pouch-like structures on the gill; the symbionts exhibit highly consistent genomic content and functionality across the region. Two phylotypes of symbionts are present, differing by a single base in the 16</w:t>
      </w:r>
      <w:r>
        <w:t xml:space="preserve"> </w:t>
      </w:r>
      <w:r>
        <w:t>S</w:t>
      </w:r>
      <w:r>
        <w:t xml:space="preserve"> </w:t>
      </w:r>
      <w:r>
        <w:t>rRNA gene while sharing key functional genes with minimal differences. Spatial metabarcoding analyses of gills showed that individuals also vary in the level of spatial heterogeneity concerning the two phylotypes. These symbionts exhibit active Calvin cycle gene expressions and close-knit host-symbiont metabolic integration. Furthermore, we estimated the capacity of dissolved inorganic carbon assimilation in the live holobiont by radiocarbon tracing (29.3 ± 8.7 nmol C·clam</w:t>
      </w:r>
      <w:r>
        <w:t xml:space="preserve"> </w:t>
      </w:r>
      <w:r>
        <w:t>−1</w:t>
      </w:r>
      <w:r>
        <w:t xml:space="preserve"> </w:t>
      </w:r>
      <w:r>
        <w:t>·day</w:t>
      </w:r>
      <w:r>
        <w:t xml:space="preserve"> </w:t>
      </w:r>
      <w:r>
        <w:t>−1</w:t>
      </w:r>
      <w:r>
        <w:t xml:space="preserve"> </w:t>
      </w:r>
      <w:r>
        <w:t>). Our findings provide the basis for understanding chemosymbiosis in thyasirid clams, highlight the potential of</w:t>
      </w:r>
      <w:r>
        <w:t xml:space="preserve"> </w:t>
      </w:r>
      <w:r>
        <w:t>T. tokunagai</w:t>
      </w:r>
      <w:r>
        <w:t xml:space="preserve"> </w:t>
      </w:r>
      <w:r>
        <w:t>as a model for studying symbiosis, and underscore the ecological significance of shallow-water chemosymbioses overall.</w:t>
      </w:r>
    </w:p>
    <w:p>
      <w:pPr>
        <w:spacing w:before="120" w:after="120"/>
      </w:pPr>
      <w:r>
        <w:rPr>
          <w:sz w:val="18"/>
        </w:rPr>
        <w:t>——————————————————————————————————————————————————————————————————————</w:t>
      </w:r>
    </w:p>
    <w:p>
      <w:pPr>
        <w:spacing w:before="160" w:after="40" w:line="240" w:lineRule="auto"/>
      </w:pPr>
      <w:r>
        <w:rPr>
          <w:b/>
        </w:rPr>
        <w:t xml:space="preserve">[322] </w:t>
      </w:r>
      <w:hyperlink r:id="rId751">
        <w:r>
          <w:rPr>
            <w:color w:val="1155CC"/>
            <w:u w:val="single"/>
          </w:rPr>
          <w:t>适用于任何地方的全身运动捕捉纺织服装</w:t>
        </w:r>
      </w:hyperlink>
    </w:p>
    <w:p>
      <w:pPr>
        <w:spacing w:before="0" w:after="80"/>
      </w:pPr>
      <w:r>
        <w:rPr>
          <w:i/>
          <w:sz w:val="20"/>
        </w:rPr>
        <w:t>EN: Textile suit for anywhere full-body motion capture</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52">
        <w:r>
          <w:rPr>
            <w:color w:val="1155CC"/>
            <w:u w:val="single"/>
          </w:rPr>
          <w:t>10.1126/sciadv.aea2646</w:t>
        </w:r>
      </w:hyperlink>
    </w:p>
    <w:p>
      <w:pPr>
        <w:spacing w:before="0" w:after="120"/>
      </w:pPr>
      <w:r>
        <w:rPr>
          <w:b/>
        </w:rPr>
        <w:t xml:space="preserve">Notes: </w:t>
      </w:r>
      <w:r>
        <w:t>abstract_source=crossref</w:t>
      </w:r>
    </w:p>
    <w:p>
      <w:pPr>
        <w:spacing w:before="0" w:after="80" w:lineRule="auto" w:line="276"/>
      </w:pPr>
      <w:r>
        <w:rPr>
          <w:b/>
        </w:rPr>
        <w:t xml:space="preserve">摘要（ZH）: </w:t>
      </w:r>
      <w:r>
        <w:t>可穿戴技术在追踪人体运动方面显示出显著的前景，为从生物力学到医疗保健等领域提供了宝贵的见解。然而，传统的运动捕捉系统通常笨重且具有干扰性，使其不适合日常使用。基于纺织品的传感技术的进步提供了一种有前途的替代方案，使空气和汗液可渗透的传感器无缝集成到日常服装中。在此，介绍了一种用于不显眼的全身运动捕捉的传感纺织服装。该服装能够准确追踪复杂的运动而不干扰日常活动。这种可穿戴设备使用个性化定制的基于织物的传感器网络，自动识别和监测运动角度和模式，为生理提供见解。</w:t>
      </w:r>
    </w:p>
    <w:p>
      <w:pPr>
        <w:spacing w:before="0" w:after="200" w:lineRule="auto" w:line="276"/>
      </w:pPr>
      <w:r>
        <w:rPr>
          <w:b/>
        </w:rPr>
        <w:t xml:space="preserve">Abstract (EN): </w:t>
      </w:r>
      <w:r>
        <w:t>Wearable technology has shown notable promise for tracking human motion, offering valuable insights for fields ranging from biomechanics to healthcare. Traditional motion capture systems, however, are often bulky and disruptive, making them impractical for daily use. Advances in textile-based sensing offer a promising alternative, enabling seamless integration of air- and sweat-permeable sensors into everyday clothing. Here, a sensorized textile suit designed for unobtrusive full-body motion capture is presented. The suit is capable of accurately tracking complex movements without interfering with routine activities. This wearable, using an individual-customized network of fabric-based sensors, autonomously identifies and monitors movement angles and patterns, providing insights into physical range, activity frequency, and exertion levels. Language models are shown to interpret motion data into descriptive language, enhancing its potential for real-world applications. This sensorized textile suit and corresponding algorithms represent a step forward in accessible, continuous movement monitoring in the form of everyday clothing, opening avenues for studying human behavior and health in natural environments.</w:t>
      </w:r>
    </w:p>
    <w:p>
      <w:pPr>
        <w:spacing w:before="120" w:after="120"/>
      </w:pPr>
      <w:r>
        <w:rPr>
          <w:sz w:val="18"/>
        </w:rPr>
        <w:t>——————————————————————————————————————————————————————————————————————</w:t>
      </w:r>
    </w:p>
    <w:p>
      <w:pPr>
        <w:spacing w:before="160" w:after="40" w:line="240" w:lineRule="auto"/>
      </w:pPr>
      <w:r>
        <w:rPr>
          <w:b/>
        </w:rPr>
        <w:t xml:space="preserve">[323] </w:t>
      </w:r>
      <w:hyperlink r:id="rId753">
        <w:r>
          <w:rPr>
            <w:color w:val="1155CC"/>
            <w:u w:val="single"/>
          </w:rPr>
          <w:t>Cheng和Yu的更正，整合生成式AI和物理测试以加强对新兴现象的主张</w:t>
        </w:r>
      </w:hyperlink>
    </w:p>
    <w:p>
      <w:pPr>
        <w:spacing w:before="0" w:after="80"/>
      </w:pPr>
      <w:r>
        <w:rPr>
          <w:i/>
          <w:sz w:val="20"/>
        </w:rPr>
        <w:t>EN: Correction for Cheng and Yu, Integrating generative AI and physical tests to strengthen claims about emergent phenomena</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54">
        <w:r>
          <w:rPr>
            <w:color w:val="1155CC"/>
            <w:u w:val="single"/>
          </w:rPr>
          <w:t>10.1073/pnas.2605137123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[324] </w:t>
      </w:r>
      <w:hyperlink r:id="rId755">
        <w:r>
          <w:rPr>
            <w:color w:val="1155CC"/>
            <w:u w:val="single"/>
          </w:rPr>
          <w:t>栉水母口侧器官的3D结构及动物复杂整合中心的进化</w:t>
        </w:r>
      </w:hyperlink>
    </w:p>
    <w:p>
      <w:pPr>
        <w:spacing w:before="0" w:after="80"/>
      </w:pPr>
      <w:r>
        <w:rPr>
          <w:i/>
          <w:sz w:val="20"/>
        </w:rPr>
        <w:t>EN: The 3D architecture of the ctenophore aboral organ and the evolution of complex integrative centers in animals</w:t>
      </w:r>
    </w:p>
    <w:p>
      <w:pPr>
        <w:spacing w:before="0" w:after="120"/>
      </w:pPr>
      <w:r>
        <w:rPr>
          <w:b/>
        </w:rPr>
        <w:t xml:space="preserve">Source: </w:t>
      </w:r>
      <w:r>
        <w:t>AAAS: Science Advances: Table of Contents</w:t>
      </w:r>
      <w:r>
        <w:t xml:space="preserve">    </w:t>
      </w:r>
      <w:r>
        <w:rPr>
          <w:b/>
        </w:rPr>
        <w:t xml:space="preserve">Pub date: </w:t>
      </w:r>
      <w:r>
        <w:t>2026-03-04 08:00:00+00:00</w:t>
      </w:r>
      <w:r>
        <w:t xml:space="preserve">    </w:t>
      </w:r>
      <w:r>
        <w:rPr>
          <w:b/>
        </w:rPr>
        <w:t xml:space="preserve">DOI: </w:t>
      </w:r>
      <w:hyperlink r:id="rId756">
        <w:r>
          <w:rPr>
            <w:color w:val="1155CC"/>
            <w:u w:val="single"/>
          </w:rPr>
          <w:t>10.1126/sciadv.aea8399</w:t>
        </w:r>
      </w:hyperlink>
    </w:p>
    <w:p>
      <w:pPr>
        <w:spacing w:before="0" w:after="120"/>
      </w:pPr>
      <w:r>
        <w:rPr>
          <w:b/>
        </w:rPr>
        <w:t xml:space="preserve">Notes: </w:t>
      </w:r>
      <w:r>
        <w:t>abstract_source=crossref</w:t>
      </w:r>
    </w:p>
    <w:p>
      <w:pPr>
        <w:spacing w:before="0" w:after="80" w:lineRule="auto" w:line="276"/>
      </w:pPr>
      <w:r>
        <w:rPr>
          <w:b/>
        </w:rPr>
        <w:t xml:space="preserve">摘要（ZH）: </w:t>
      </w:r>
      <w:r>
        <w:t>感知和响应环境线索的能力是动物行为和生存的基础。在栉水母——早期分支的海洋动物中，皮下神经网（SNN）是地向性、觅食和逃避等复杂行为的基础。该系统的核心是无口器官（AO），一个感知运动、光线和压力并协调纤毛运动的感官枢纽。然而，AO的细胞结构及其与SNN的整合仍然知之甚少。在此，我们使用体积电子显微镜在Mnemiopsis leidyi中揭示SNN在AO周围凝聚，与效应细胞形成突触连接。我们注释了17种细胞类型，包括可能参与体积传输的非突触性囊泡丰富细胞。我们的研究</w:t>
      </w:r>
    </w:p>
    <w:p>
      <w:pPr>
        <w:spacing w:before="0" w:after="200" w:lineRule="auto" w:line="276"/>
      </w:pPr>
      <w:r>
        <w:rPr>
          <w:b/>
        </w:rPr>
        <w:t xml:space="preserve">Abstract (EN): </w:t>
      </w:r>
      <w:r>
        <w:t>The ability to sense and respond to environmental cues is fundamental to animal behavior and survival. In ctenophores—early-branching marine animals—a subepitheliall nerve net (SNN) underlies complex behaviors such as geotaxis, feeding, and escape. Central to this system is the aboral organ (AO), a sensory hub that detects motion, light, and pressure and coordinates ciliary movement. However, the AO’s cellular architecture and its integration with the SNN remain poorly understood. Here, using volume electron microscopy in</w:t>
      </w:r>
      <w:r>
        <w:t xml:space="preserve"> </w:t>
      </w:r>
      <w:r>
        <w:t>Mnemiopsis leidyi</w:t>
      </w:r>
      <w:r>
        <w:t xml:space="preserve"> </w:t>
      </w:r>
      <w:r>
        <w:t>, we reveal that the SNN condenses around the AO, forming synaptic connections with effector cells. We annotated 17 cell types, including nonsynaptic vesicle-rich cells likely involved in volume transmission. Our data suggest that signal processing within the AO relies on synaptic and nonsynaptic communication. Profiling of shared cnidarian-bilaterian transcription factors revealed nonconserved expression, suggesting unique molecular pathways underlying ctenophore AO formation. Our findings redefine the ctenophore AO as a distinct, integrated, and potentially multimodal sensory system critical for behavioral regulation.</w:t>
      </w:r>
    </w:p>
    <w:p>
      <w:pPr>
        <w:spacing w:before="120" w:after="120"/>
      </w:pPr>
      <w:r>
        <w:rPr>
          <w:sz w:val="18"/>
        </w:rPr>
        <w:t>——————————————————————————————————————————————————————————————————————</w:t>
      </w:r>
    </w:p>
    <w:p>
      <w:pPr>
        <w:spacing w:before="160" w:after="40" w:line="240" w:lineRule="auto"/>
      </w:pPr>
      <w:r>
        <w:rPr>
          <w:b/>
        </w:rPr>
        <w:t xml:space="preserve">[325] </w:t>
      </w:r>
      <w:hyperlink r:id="rId757">
        <w:r>
          <w:rPr>
            <w:color w:val="1155CC"/>
            <w:u w:val="single"/>
          </w:rPr>
          <w:t>Eames等人的更正，现实世界中的计算机辅助学习：可汗学院如何影响学生的数学学习</w:t>
        </w:r>
      </w:hyperlink>
    </w:p>
    <w:p>
      <w:pPr>
        <w:spacing w:before="0" w:after="80"/>
      </w:pPr>
      <w:r>
        <w:rPr>
          <w:i/>
          <w:sz w:val="20"/>
        </w:rPr>
        <w:t>EN: Correction for Eames et al., Computer-assisted learning in the real world: How Khan Academy influences student math learning</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58">
        <w:r>
          <w:rPr>
            <w:color w:val="1155CC"/>
            <w:u w:val="single"/>
          </w:rPr>
          <w:t>10.1073/pnas.2604984123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[326] </w:t>
      </w:r>
      <w:hyperlink r:id="rId759">
        <w:r>
          <w:rPr>
            <w:color w:val="1155CC"/>
            <w:u w:val="single"/>
          </w:rPr>
          <w:t>Szewczyk等人的更正，配体结合的LolCDE结构揭示了指导细菌脂蛋白运输的常见底物-LolE相互作用</w:t>
        </w:r>
      </w:hyperlink>
    </w:p>
    <w:p>
      <w:pPr>
        <w:spacing w:before="0" w:after="80"/>
      </w:pPr>
      <w:r>
        <w:rPr>
          <w:i/>
          <w:sz w:val="20"/>
        </w:rPr>
        <w:t>EN: Correction for Szewczyk et al., Liganded LolCDE structures reveal a common substrate-LolE interaction guiding bacterial lipoprotein transport</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60">
        <w:r>
          <w:rPr>
            <w:color w:val="1155CC"/>
            <w:u w:val="single"/>
          </w:rPr>
          <w:t>10.1073/pnas.2604435123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[327] </w:t>
      </w:r>
      <w:hyperlink r:id="rId761">
        <w:r>
          <w:rPr>
            <w:color w:val="1155CC"/>
            <w:u w:val="single"/>
          </w:rPr>
          <w:t>谢等人的更正，点击构建的模块化信号适配体嵌合体实现了受体独立的膜蛋白降解</w:t>
        </w:r>
      </w:hyperlink>
    </w:p>
    <w:p>
      <w:pPr>
        <w:spacing w:before="0" w:after="80"/>
      </w:pPr>
      <w:r>
        <w:rPr>
          <w:i/>
          <w:sz w:val="20"/>
        </w:rPr>
        <w:t>EN: Correction for Xie et al., Click-constructed modular signal aptamer chimeras enable receptor-independent degradation of membrane proteins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62">
        <w:r>
          <w:rPr>
            <w:color w:val="1155CC"/>
            <w:u w:val="single"/>
          </w:rPr>
          <w:t>10.1073/pnas.2604411123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[328] </w:t>
      </w:r>
      <w:hyperlink r:id="rId763">
        <w:r>
          <w:rPr>
            <w:color w:val="1155CC"/>
            <w:u w:val="single"/>
          </w:rPr>
          <w:t>Med14磷酸化塑造了对GLP-1激动剂的基因组响应</w:t>
        </w:r>
      </w:hyperlink>
    </w:p>
    <w:p>
      <w:pPr>
        <w:spacing w:before="0" w:after="80"/>
      </w:pPr>
      <w:r>
        <w:rPr>
          <w:i/>
          <w:sz w:val="20"/>
        </w:rPr>
        <w:t>EN: Med14 phosphorylation shapes genomic response to GLP-1 agonists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64">
        <w:r>
          <w:rPr>
            <w:color w:val="1155CC"/>
            <w:u w:val="single"/>
          </w:rPr>
          <w:t>10.1073/pnas.2536772123</w:t>
        </w:r>
      </w:hyperlink>
    </w:p>
    <w:p>
      <w:pPr>
        <w:spacing w:before="0" w:after="120"/>
      </w:pPr>
      <w:r>
        <w:rPr>
          <w:b/>
        </w:rPr>
        <w:t xml:space="preserve">Notes: </w:t>
      </w:r>
      <w:r>
        <w:t>abstract_source=crossref</w:t>
      </w:r>
    </w:p>
    <w:p>
      <w:pPr>
        <w:spacing w:before="0" w:after="80" w:lineRule="auto" w:line="276"/>
      </w:pPr>
      <w:r>
        <w:rPr>
          <w:b/>
        </w:rPr>
        <w:t xml:space="preserve">摘要（ZH）: </w:t>
      </w:r>
      <w:r>
        <w:t>GLP-1与其在胰腺β细胞中的受体结合会触发cAMP通路的激活和CREB的磷酸化，导致含有CREB结合位点的细胞靶基因的诱导。与其对β细胞基因表达的急性效应相比，β细胞长期暴露于稳定的GLP-1类似物如Exendin-4会刺激β细胞特异性基因的持续表达，导致β细胞活力和胰岛素分泌的增加。在对GLP-1转录效应贡献的转录共调节因子的蛋白质组学筛选中，我们鉴定了Med14，保守的30亚基Mediator复合体的支架亚基。暴露于Exendin-4和其他GLP-1受体激动剂会刺激Med14在Ser983的持续磷酸化，这与</w:t>
      </w:r>
    </w:p>
    <w:p>
      <w:pPr>
        <w:spacing w:before="0" w:after="200" w:lineRule="auto" w:line="276"/>
      </w:pPr>
      <w:r>
        <w:rPr>
          <w:b/>
        </w:rPr>
        <w:t xml:space="preserve">Abstract (EN): </w:t>
      </w:r>
      <w:r>
        <w:t>Binding of GLP-1 to its receptor in pancreatic beta cells triggers activation of the cAMP pathway and phosphorylation of CREB, leading to induction of cellular target genes containing CREB binding sites. By contrast with their acute effects on beta cell gene expression, chronic exposure of beta cells to stable GLP-1 analogs like Exendin-4 stimulates sustained expression of beta cell-specific genes, leading to increases in beta cell viability and insulin secretion. In a proteomic screen for transcriptional coregulators that contribute to the transcriptional effects of GLP-1, we identified Med14, the scaffolding subunit of the conserved 30 subunit Mediator complex. Exposure to Exendin-4 and other GLP-1 receptor agonists stimulates sustained phosphorylation of Med14 at Ser983, which corresponds to a conserved PKA recognition site. Mutation of Med14 at Ser983 blocked Exendin-4 effects on cellular gene expression by interfering with CREB-mediated activation of beta cell-specific enhancers. Med14 mutation results in higher alpha-to-beta cell ratios and blunted gene regulation in response to Exendin-4 in Ser983-mutant primary mouse islets. Our work reveals how phosphorylation of a general transcription factor in response to GLP-1 analogs triggers a broad genomic response with salutary effects on beta cell function.</w:t>
      </w:r>
    </w:p>
    <w:p>
      <w:pPr>
        <w:spacing w:before="120" w:after="120"/>
      </w:pPr>
      <w:r>
        <w:rPr>
          <w:sz w:val="18"/>
        </w:rPr>
        <w:t>——————————————————————————————————————————————————————————————————————</w:t>
      </w:r>
    </w:p>
    <w:p>
      <w:pPr>
        <w:spacing w:before="160" w:after="40" w:line="240" w:lineRule="auto"/>
      </w:pPr>
      <w:r>
        <w:rPr>
          <w:b/>
        </w:rPr>
        <w:t xml:space="preserve">[329] </w:t>
      </w:r>
      <w:hyperlink r:id="rId765">
        <w:r>
          <w:rPr>
            <w:color w:val="1155CC"/>
            <w:u w:val="single"/>
          </w:rPr>
          <w:t>中和酰基辅酶A结合蛋白减弱糖皮质激素介导的癌症免疫监视抑制</w:t>
        </w:r>
      </w:hyperlink>
    </w:p>
    <w:p>
      <w:pPr>
        <w:spacing w:before="0" w:after="80"/>
      </w:pPr>
      <w:r>
        <w:rPr>
          <w:i/>
          <w:sz w:val="20"/>
        </w:rPr>
        <w:t>EN: Neutralization of acyl-CoA-binding protein attenuates glucocorticoid-mediated suppression of cancer immunosurveillance</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66">
        <w:r>
          <w:rPr>
            <w:color w:val="1155CC"/>
            <w:u w:val="single"/>
          </w:rPr>
          <w:t>10.1073/pnas.2518983123</w:t>
        </w:r>
      </w:hyperlink>
    </w:p>
    <w:p>
      <w:pPr>
        <w:spacing w:before="0" w:after="120"/>
      </w:pPr>
      <w:r>
        <w:rPr>
          <w:b/>
        </w:rPr>
        <w:t xml:space="preserve">Notes: </w:t>
      </w:r>
      <w:r>
        <w:t>abstract_source=crossref</w:t>
      </w:r>
    </w:p>
    <w:p>
      <w:pPr>
        <w:spacing w:before="0" w:after="80" w:lineRule="auto" w:line="276"/>
      </w:pPr>
      <w:r>
        <w:rPr>
          <w:b/>
        </w:rPr>
        <w:t xml:space="preserve">摘要（ZH）: </w:t>
      </w:r>
      <w:r>
        <w:t>糖皮质激素（GCs）是强效的免疫抑制剂，会削弱抗癌免疫反应，但这种效应的分子介质仍未完全了解。在此，我们确定了酰基辅酶A结合蛋白/地西泮结合抑制剂（ACBP/DBI）作为GC诱导的肿瘤免疫监视和免疫治疗效能抑制的关键效应因子。使用乳腺癌、非小细胞肺癌和皮肤纤维肉瘤的原位小鼠模型，我们显示皮质酮（CORT）加速肿瘤进展并消除对免疫原性化疗和PD-1阻断的治疗反应。ACBP/DBI的基因消融或单克隆抗体（mAb）介导的中和可防止CORT引起的免疫抑制，恢复自然和治疗增强的抗肿瘤免疫</w:t>
      </w:r>
    </w:p>
    <w:p>
      <w:pPr>
        <w:spacing w:before="0" w:after="200" w:lineRule="auto" w:line="276"/>
      </w:pPr>
      <w:r>
        <w:rPr>
          <w:b/>
        </w:rPr>
        <w:t xml:space="preserve">Abstract (EN): </w:t>
      </w:r>
      <w:r>
        <w:t>Glucocorticoids (GCs) are potent immunosuppressive agents that compromise anticancer immune responses, yet the molecular mediators of this effect remain incompletely understood. Here, we identify the acyl-CoA-binding protein/diazepam-binding inhibitor (ACBP/DBI) as a critical effector of the GC-induced suppression of tumor immunosurveillance and immunotherapy efficacy. Using orthotopic murine models of breast cancer, non–small cell lung cancer, and cutaneous fibrosarcoma, we show that corticosterone (CORT) accelerates tumor progression and abrogates therapeutic responses to immunogenic chemotherapy and PD-1 blockade. Genetic ablation or monoclonal antibody (mAb)-mediated neutralization of ACBP/DBI prevents immunosuppression by CORT, restoring both natural and therapy-enhanced antitumor immunity in a T cell–dependent manner. Mechanistically, CORT induces</w:t>
      </w:r>
      <w:r>
        <w:t xml:space="preserve"> </w:t>
      </w:r>
      <w:r>
        <w:t>Tsc22d3</w:t>
      </w:r>
      <w:r>
        <w:t xml:space="preserve"> </w:t>
      </w:r>
      <w:r>
        <w:t>expression in dendritic cells, impairs type I interferon signaling, and reduces antigen presentation capacity, which all can be reversed by ACBP/DBI neutralization. The immunosuppressive activity of GCs and the immunostimulatory function of anti-ACBP/DBI mAb converge on</w:t>
      </w:r>
      <w:r>
        <w:t xml:space="preserve"> </w:t>
      </w:r>
      <w:r>
        <w:t>Tsc22d3</w:t>
      </w:r>
      <w:r>
        <w:t xml:space="preserve"> </w:t>
      </w:r>
      <w:r>
        <w:t>expression in myeloid cells, as shown by loss-of-function experiments in myeloid-specific</w:t>
      </w:r>
      <w:r>
        <w:t xml:space="preserve"> </w:t>
      </w:r>
      <w:r>
        <w:t>Tsc22d3</w:t>
      </w:r>
      <w:r>
        <w:t xml:space="preserve"> </w:t>
      </w:r>
      <w:r>
        <w:t>-deficient mice. These findings reveal ACBP/DBI as a central mediator of GC-induced immune evasion and suggest its neutralization as a therapeutic strategy to restore anticancer immunity during endogenous or iatrogenic GC exposure.</w:t>
      </w:r>
    </w:p>
    <w:p>
      <w:pPr>
        <w:spacing w:before="120" w:after="120"/>
      </w:pPr>
      <w:r>
        <w:rPr>
          <w:sz w:val="18"/>
        </w:rPr>
        <w:t>——————————————————————————————————————————————————————————————————————</w:t>
      </w:r>
    </w:p>
    <w:p>
      <w:pPr>
        <w:spacing w:before="160" w:after="40" w:line="240" w:lineRule="auto"/>
      </w:pPr>
      <w:r>
        <w:rPr>
          <w:b/>
        </w:rPr>
        <w:t xml:space="preserve">[330] </w:t>
      </w:r>
      <w:hyperlink r:id="rId767">
        <w:r>
          <w:rPr>
            <w:color w:val="1155CC"/>
            <w:u w:val="single"/>
          </w:rPr>
          <w:t>磷脂酰肌醇4,5-二磷酸介导Arl4D自相互作用以促进Pak1信号传导</w:t>
        </w:r>
      </w:hyperlink>
    </w:p>
    <w:p>
      <w:pPr>
        <w:spacing w:before="0" w:after="80"/>
      </w:pPr>
      <w:r>
        <w:rPr>
          <w:i/>
          <w:sz w:val="20"/>
        </w:rPr>
        <w:t>EN: Phosphatidylinositol 4,5-bisphosphate mediates Arl4D self-interaction to promote Pak1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68">
        <w:r>
          <w:rPr>
            <w:color w:val="1155CC"/>
            <w:u w:val="single"/>
          </w:rPr>
          <w:t>10.1073/pnas.2533102123</w:t>
        </w:r>
      </w:hyperlink>
    </w:p>
    <w:p>
      <w:pPr>
        <w:spacing w:before="0" w:after="120"/>
      </w:pPr>
      <w:r>
        <w:rPr>
          <w:b/>
        </w:rPr>
        <w:t xml:space="preserve">Notes: </w:t>
      </w:r>
      <w:r>
        <w:t>abstract_source=crossref</w:t>
      </w:r>
    </w:p>
    <w:p>
      <w:pPr>
        <w:spacing w:before="0" w:after="80" w:lineRule="auto" w:line="276"/>
      </w:pPr>
      <w:r>
        <w:rPr>
          <w:b/>
        </w:rPr>
        <w:t xml:space="preserve">摘要（ZH）: </w:t>
      </w:r>
      <w:r>
        <w:t>小GTP酶在膜上的自我结合对于其信号输出和细胞功能至关重要。然而，膜成分如何调节这一过程的机制理解仍不完全。在此，我们展示了磷脂酰肌醇4,5-二磷酸[PI(4,5)P</w:t>
      </w:r>
      <w:r>
        <w:rPr>
          <w:vertAlign w:val="subscript"/>
        </w:rPr>
        <w:t>2</w:t>
      </w:r>
      <w:r>
        <w:t>]促进Arl4D自我结合以增强下游Pak1信号传导。我们首先展示了Arl4D的自我结合是GTP依赖的，并发生在质膜上。纤维连接蛋白刺激通过两种协同机制增加了这种自我结合：i) Arl4D通过保守的C末端多碱性基序直接结合PI(4,5)P</w:t>
      </w:r>
      <w:r>
        <w:rPr>
          <w:vertAlign w:val="subscript"/>
        </w:rPr>
        <w:t>2</w:t>
      </w:r>
      <w:r>
        <w:t>，以及ii) 通过其效应激酶Pak1在Ser144位点对Arl4D进行磷酸化。作为一个结果，</w:t>
      </w:r>
    </w:p>
    <w:p>
      <w:pPr>
        <w:spacing w:before="0" w:after="200" w:lineRule="auto" w:line="276"/>
      </w:pPr>
      <w:r>
        <w:rPr>
          <w:b/>
        </w:rPr>
        <w:t xml:space="preserve">Abstract (EN): </w:t>
      </w:r>
      <w:r>
        <w:t>Self-association by small GTPases on membrane is critical for their signaling output and cellular function. However, a mechanistic understanding of how membrane components regulate this process remains incompletely understood. Here, we show that phosphatidylinositol 4,5-bisphosphate [PI(4,5)P</w:t>
      </w:r>
      <w:r>
        <w:rPr>
          <w:vertAlign w:val="subscript"/>
        </w:rPr>
        <w:t>2</w:t>
      </w:r>
      <w:r>
        <w:t>] promotes Arl4D self-association to potentiate downstream Pak1 signaling. We first show that Arl4D self-association is GTP-dependent and occurs at the plasma membrane. Fibronectin stimulation increases this self-association through two cooperative mechanisms: i) direct binding of PI(4,5)P</w:t>
      </w:r>
      <w:r>
        <w:rPr>
          <w:vertAlign w:val="subscript"/>
        </w:rPr>
        <w:t>2</w:t>
      </w:r>
      <w:r>
        <w:t>by Arl4D via a conserved C-terminal polybasic motif, and ii) phosphorylation of Arl4D at Ser144 by its effector kinase Pak1. As a result, Arl4D membrane residency and protein stability are enhanced, with downstream signaling through Pak1 also amplified. Furthermore, pursuing structural prediction using AlphaFold, we generate an Arl4D mutant defective in self-association but retains GTP binding and membrane targeting, and find that this mutant fails to activate Pak1 for cell migration, while forced self-association of this mutant restores these downstream effects. Collectively, our findings reveal how an extracellular matrix cue leads to directional cell migration through Arl4D assembling into signaling-competent multimers at the plasma membrane, with cooperation between lipid recognition and kinase-mediated feedback playing critical roles.</w:t>
      </w:r>
    </w:p>
    <w:p>
      <w:pPr>
        <w:spacing w:before="120" w:after="120"/>
      </w:pPr>
      <w:r>
        <w:rPr>
          <w:sz w:val="18"/>
        </w:rPr>
        <w:t>——————————————————————————————————————————————————————————————————————</w:t>
      </w:r>
    </w:p>
    <w:p>
      <w:pPr>
        <w:spacing w:before="160" w:after="40" w:line="240" w:lineRule="auto"/>
      </w:pPr>
      <w:r>
        <w:rPr>
          <w:b/>
        </w:rPr>
        <w:t xml:space="preserve">[331] </w:t>
      </w:r>
      <w:hyperlink r:id="rId769">
        <w:r>
          <w:rPr>
            <w:color w:val="1155CC"/>
            <w:u w:val="single"/>
          </w:rPr>
          <w:t>超声波驱动的机械活化在活体植物中</w:t>
        </w:r>
      </w:hyperlink>
    </w:p>
    <w:p>
      <w:pPr>
        <w:spacing w:before="0" w:after="80"/>
      </w:pPr>
      <w:r>
        <w:rPr>
          <w:i/>
          <w:sz w:val="20"/>
        </w:rPr>
        <w:t>EN: Ultrasound-driven mechanophore activation in living plants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70">
        <w:r>
          <w:rPr>
            <w:color w:val="1155CC"/>
            <w:u w:val="single"/>
          </w:rPr>
          <w:t>10.1073/pnas.2533066123</w:t>
        </w:r>
      </w:hyperlink>
    </w:p>
    <w:p>
      <w:pPr>
        <w:spacing w:before="0" w:after="120"/>
      </w:pPr>
      <w:r>
        <w:rPr>
          <w:b/>
        </w:rPr>
        <w:t xml:space="preserve">Notes: </w:t>
      </w:r>
      <w:r>
        <w:t>abstract_source=crossref</w:t>
      </w:r>
    </w:p>
    <w:p>
      <w:pPr>
        <w:spacing w:before="0" w:after="80" w:lineRule="auto" w:line="276"/>
      </w:pPr>
      <w:r>
        <w:rPr>
          <w:b/>
        </w:rPr>
        <w:t xml:space="preserve">摘要（ZH）: </w:t>
      </w:r>
      <w:r>
        <w:t>本研究提出了一种生物相容的、超声响应的平台，用于在活体植物组织内远程激活机械化学反应。嵌入荧光机械载体的二氧化硅纳米颗粒（FMNPs）被设计为在机械激活时在440 nm处发出蓝色荧光，并具有热稳定性。在</w:t>
      </w:r>
      <w:r>
        <w:t xml:space="preserve"> </w:t>
      </w:r>
      <w:r>
        <w:t>Solanum lycopersicum</w:t>
      </w:r>
      <w:r>
        <w:t xml:space="preserve"> </w:t>
      </w:r>
      <w:r>
        <w:t>（番茄）叶片中，通过气泡囊（GVs）和高频聚焦超声（FUS，550 kHz）的协同组合实现了激活，能够实现空间定位和微创刺激。低频超声（25 kHz）触发了激活但导致了广泛的组织损伤，而单独的高频FUS则具有生物相容性但不足以激活FMNPs。将GVs作为空化</w:t>
      </w:r>
    </w:p>
    <w:p>
      <w:pPr>
        <w:spacing w:before="0" w:after="200" w:lineRule="auto" w:line="276"/>
      </w:pPr>
      <w:r>
        <w:rPr>
          <w:b/>
        </w:rPr>
        <w:t xml:space="preserve">Abstract (EN): </w:t>
      </w:r>
      <w:r>
        <w:t>This study presents a biocompatible, ultrasound-responsive platform for remotely activating mechanochemical reactions within live plant tissue. Fluorogenic Mechanophore-embedded silica NanoParticles (FMNPs) that are thermally stable were engineered to emit blue fluorescence at 440 nm upon mechanical activation. In</w:t>
      </w:r>
      <w:r>
        <w:t xml:space="preserve"> </w:t>
      </w:r>
      <w:r>
        <w:t>Solanum lycopersicum</w:t>
      </w:r>
      <w:r>
        <w:t xml:space="preserve"> </w:t>
      </w:r>
      <w:r>
        <w:t>(tomato) leaves, activation was achieved through the synergistic combination of gas vesicles (GVs) and high-frequency focused ultrasound (FUS, 550 kHz), enabling spatially localized and minimally invasive stimulation. Low-frequency ultrasound (25 kHz) triggered activation but caused extensive tissue damage, while high-frequency FUS alone was biocompatible yet insufficient to activate FMNPs. Incorporation of GVs as a cavitation amplifier significantly boosted activation efficiency under mild acoustic conditions without observable tissue disruption. In planta fluorescence imaging confirmed that FMNPs retained their functionality after injection into leaf vasculature, and only the combination of GV and FUS produced a statistically significant fluorescence increase, indicating successful mechanochemical activation. This represents a demonstration of noninvasive and biocompatible ultrasound-induced mechanophore activation in live plants. This modular and noninvasive strategy opens possibilities for programmable release of regulatory and metabolic chemicals, biosensing, and synthetic molecular control in plant systems.</w:t>
      </w:r>
    </w:p>
    <w:p>
      <w:pPr>
        <w:spacing w:before="120" w:after="120"/>
      </w:pPr>
      <w:r>
        <w:rPr>
          <w:sz w:val="18"/>
        </w:rPr>
        <w:t>——————————————————————————————————————————————————————————————————————</w:t>
      </w:r>
    </w:p>
    <w:p>
      <w:pPr>
        <w:spacing w:before="160" w:after="40" w:line="240" w:lineRule="auto"/>
      </w:pPr>
      <w:r>
        <w:rPr>
          <w:b/>
        </w:rPr>
        <w:t xml:space="preserve">[332] </w:t>
      </w:r>
      <w:hyperlink r:id="rId771">
        <w:r>
          <w:rPr>
            <w:color w:val="1155CC"/>
            <w:u w:val="single"/>
          </w:rPr>
          <w:t>异戊二烯二磷酸盐抑制FicD介导的AMP化和去AMP化</w:t>
        </w:r>
      </w:hyperlink>
    </w:p>
    <w:p>
      <w:pPr>
        <w:spacing w:before="0" w:after="80"/>
      </w:pPr>
      <w:r>
        <w:rPr>
          <w:i/>
          <w:sz w:val="20"/>
        </w:rPr>
        <w:t>EN: Inhibition of FicD-mediated AMPylation and deAMPylation by isoprenoid diphosphates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72">
        <w:r>
          <w:rPr>
            <w:color w:val="1155CC"/>
            <w:u w:val="single"/>
          </w:rPr>
          <w:t>10.1073/pnas.2533457123</w:t>
        </w:r>
      </w:hyperlink>
    </w:p>
    <w:p>
      <w:pPr>
        <w:spacing w:before="0" w:after="120"/>
      </w:pPr>
      <w:r>
        <w:rPr>
          <w:b/>
        </w:rPr>
        <w:t xml:space="preserve">Notes: </w:t>
      </w:r>
      <w:r>
        <w:t>abstract_source=crossref</w:t>
      </w:r>
    </w:p>
    <w:p>
      <w:pPr>
        <w:spacing w:before="0" w:after="80" w:lineRule="auto" w:line="276"/>
      </w:pPr>
      <w:r>
        <w:rPr>
          <w:b/>
        </w:rPr>
        <w:t xml:space="preserve">摘要（ZH）: </w:t>
      </w:r>
      <w:r>
        <w:t>FicD通过可逆的AMP化和去AMP化调节未折叠蛋白反应（UPR），作用于BiP，这是一种HSP70伴侣蛋白和UPR的主调节器。FicD的活性受内质网应激调节，在低应激条件下催化BiP的AMP化以将不活跃的伴侣蛋白储备起来。在受应激的细胞中，FicD去AMP化BiP，急剧增加其活性池以协助蛋白质折叠。UPR机制中的变异，包括</w:t>
      </w:r>
      <w:r>
        <w:t xml:space="preserve"> </w:t>
      </w:r>
      <w:r>
        <w:t>FicD</w:t>
      </w:r>
      <w:r>
        <w:t xml:space="preserve"> </w:t>
      </w:r>
      <w:r>
        <w:t>基因中的变异，与遗传性疾病有关。尽管已知FicD在UPR中的作用，其活性在体内的调节仍然难以捉摸，识别改变FicD活性的代谢物可能在药物上有用。我们应用了一种无偏高通量筛选平台，称为Ma</w:t>
      </w:r>
    </w:p>
    <w:p>
      <w:pPr>
        <w:spacing w:before="0" w:after="200" w:lineRule="auto" w:line="276"/>
      </w:pPr>
      <w:r>
        <w:rPr>
          <w:b/>
        </w:rPr>
        <w:t xml:space="preserve">Abstract (EN): </w:t>
      </w:r>
      <w:r>
        <w:t>FicD regulates Unfolded Protein Response (UPR) through reversible AMPylation and deAMPylation of BiP, an HSP70 chaperone and master regulator of the UPR. FicD activity is regulated by endoplasmic reticulum-stress, catalyzing BiP AMPylation under low stress conditions to hold inactive chaperone in reserve. In stressed cells, FicD deAMPylates BiP, acutely increasing its active pool to assist in protein folding. Variants in UPR machinery, including those in the</w:t>
      </w:r>
      <w:r>
        <w:t xml:space="preserve"> </w:t>
      </w:r>
      <w:r>
        <w:t>FicD</w:t>
      </w:r>
      <w:r>
        <w:t xml:space="preserve"> </w:t>
      </w:r>
      <w:r>
        <w:t>gene, are linked to hereditary diseases. Despite the known role of FicD in UPR, in-vivo regulation of its activity remains elusive, and identifying metabolites that alter FicD activity could prove useful pharmaceutically. We applied an unbiased high-throughput screening platform, known as Mass spectrometry Integrated with equilibrium Dialysis for the discovery of Allostery Systematically (MIDAS), to identify small molecule metabolites that might regulate FicD activity. MIDAS revealed interactions between FicD and two mevalonate pathway intermediates: geranyl-pyrophosphate and farnesyl-pyrophosphate. Biochemical characterization indicates that both potently inhibit FicD-mediated AMPylation and deAMPylation. The crystal structure of FicD bound to farnesyl-pyrophosphate demonstrates a competitive inhibition mechanism, with the pyrophosphate adopting the alpha and beta phosphate positions of adenosine triphosphate (ATP) and the hydrocarbon chain filling the nucleoside pocket. FicD variants previously appeared as biochemically indistinguishable, yet lead to different human pathologies. We demonstrate farnesyl-pyrophosphate inhibits FicD</w:t>
      </w:r>
      <w:r>
        <w:t xml:space="preserve"> </w:t>
      </w:r>
      <w:r>
        <w:t>R374H</w:t>
      </w:r>
      <w:r>
        <w:t xml:space="preserve"> </w:t>
      </w:r>
      <w:r>
        <w:t>and FicD</w:t>
      </w:r>
      <w:r>
        <w:t xml:space="preserve"> </w:t>
      </w:r>
      <w:r>
        <w:t>R374C</w:t>
      </w:r>
      <w:r>
        <w:t xml:space="preserve"> </w:t>
      </w:r>
      <w:r>
        <w:t>variants implicated in causing hereditary spastic paraplegia, but not the FicD</w:t>
      </w:r>
      <w:r>
        <w:t xml:space="preserve"> </w:t>
      </w:r>
      <w:r>
        <w:t>R371S</w:t>
      </w:r>
      <w:r>
        <w:t xml:space="preserve"> </w:t>
      </w:r>
      <w:r>
        <w:t>variant associated with neonatal diabetes. This study furthers our understanding of FicD inhibitors and distinguishes disease causing variants, providing insight into pharmacological targeting of UPR activity.</w:t>
      </w:r>
    </w:p>
    <w:p>
      <w:pPr>
        <w:spacing w:before="120" w:after="120"/>
      </w:pPr>
      <w:r>
        <w:rPr>
          <w:sz w:val="18"/>
        </w:rPr>
        <w:t>——————————————————————————————————————————————————————————————————————</w:t>
      </w:r>
    </w:p>
    <w:p>
      <w:pPr>
        <w:spacing w:before="160" w:after="40" w:line="240" w:lineRule="auto"/>
      </w:pPr>
      <w:r>
        <w:rPr>
          <w:b/>
        </w:rPr>
        <w:t xml:space="preserve">[333] </w:t>
      </w:r>
      <w:hyperlink r:id="rId773">
        <w:r>
          <w:rPr>
            <w:color w:val="1155CC"/>
            <w:u w:val="single"/>
          </w:rPr>
          <w:t>探究多聚合物网络中韧性的微观起源</w:t>
        </w:r>
      </w:hyperlink>
    </w:p>
    <w:p>
      <w:pPr>
        <w:spacing w:before="0" w:after="80"/>
      </w:pPr>
      <w:r>
        <w:rPr>
          <w:i/>
          <w:sz w:val="20"/>
        </w:rPr>
        <w:t>EN: Probing the microscopic origin of toughness in multiple polymer networks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74">
        <w:r>
          <w:rPr>
            <w:color w:val="1155CC"/>
            <w:u w:val="single"/>
          </w:rPr>
          <w:t>10.1073/pnas.2530175123</w:t>
        </w:r>
      </w:hyperlink>
    </w:p>
    <w:p>
      <w:pPr>
        <w:spacing w:before="0" w:after="120"/>
      </w:pPr>
      <w:r>
        <w:rPr>
          <w:b/>
        </w:rPr>
        <w:t xml:space="preserve">Notes: </w:t>
      </w:r>
      <w:r>
        <w:t>abstract_source=crossref</w:t>
      </w:r>
    </w:p>
    <w:p>
      <w:pPr>
        <w:spacing w:before="0" w:after="80" w:lineRule="auto" w:line="276"/>
      </w:pPr>
      <w:r>
        <w:rPr>
          <w:b/>
        </w:rPr>
        <w:t xml:space="preserve">摘要（ZH）: </w:t>
      </w:r>
      <w:r>
        <w:t>多重聚合物网络，如包含牺牲网络和基体网络的双网络弹性体，表现出卓越的机械韧性，这通常归因于在裂纹扩展之前形成的扩展损伤区。然而，其韧性的微观机制仍然知之甚少。在此，我们结合先进的光散射方法和分子动力学模拟，探索单网络和双网络弹性体在单轴加载下的聚合物链尺度的微观松弛动力学和应力再分布。动态光散射实验表明，在单网络中，微观重排和键断裂事件局限于裂纹尖端附近，容易导致裂纹推进。相反，双网络</w:t>
      </w:r>
    </w:p>
    <w:p>
      <w:pPr>
        <w:spacing w:before="0" w:after="200" w:lineRule="auto" w:line="276"/>
      </w:pPr>
      <w:r>
        <w:rPr>
          <w:b/>
        </w:rPr>
        <w:t xml:space="preserve">Abstract (EN): </w:t>
      </w:r>
      <w:r>
        <w:t>Multiple polymer networks, such as double-network elastomers comprising a sacrificial and a matrix network, exhibit exceptional mechanical resilience, commonly attributed to the formation of an extended damage zone before a crack can grow. However, the microscopic mechanisms underlying their toughness remain poorly understood. Here, we combine advanced light scattering methods and molecular dynamics simulations to explore the microscopic relaxation dynamics and stress redistribution at the polymer strand scale of single-network and double-network elastomers under uniaxial loading. Dynamic light scattering experiments show that microscopic rearrangements and bond breaking events are localized near the crack tip in single networks, readily causing the crack to advance. In contrast, double networks exhibit delocalized microscopic rearrangements well ahead of and not directly correlated with crack propagation, enabling the dissipation of energy over broader regions and timescales. Numerical simulations of the damage zone show that bond breaking in the matrix network of double networks leads to widespread stress redistribution, mitigating catastrophic damage localization. This enhanced ability to redistribute stress in a nonlocal manner allows a much larger extension before localized macroscopic failure occurs, explaining the superior toughness of double networks. Our findings identify early, delocalized bond breaking events combined with more efficient dissipation pathways through enhanced microscopic rearrangements as the key microscopic mechanisms responsible for the outstanding toughness and extensibility of multiple elastomer networks.</w:t>
      </w:r>
    </w:p>
    <w:p>
      <w:pPr>
        <w:spacing w:before="120" w:after="120"/>
      </w:pPr>
      <w:r>
        <w:rPr>
          <w:sz w:val="18"/>
        </w:rPr>
        <w:t>——————————————————————————————————————————————————————————————————————</w:t>
      </w:r>
    </w:p>
    <w:p>
      <w:pPr>
        <w:spacing w:before="160" w:after="40" w:line="240" w:lineRule="auto"/>
      </w:pPr>
      <w:r>
        <w:rPr>
          <w:b/>
        </w:rPr>
        <w:t xml:space="preserve">[334] </w:t>
      </w:r>
      <w:hyperlink r:id="rId775">
        <w:r>
          <w:rPr>
            <w:color w:val="1155CC"/>
            <w:u w:val="single"/>
          </w:rPr>
          <w:t>从数据到决策：迈向生物多样性监测标准框架</w:t>
        </w:r>
      </w:hyperlink>
    </w:p>
    <w:p>
      <w:pPr>
        <w:spacing w:before="0" w:after="80"/>
      </w:pPr>
      <w:r>
        <w:rPr>
          <w:i/>
          <w:sz w:val="20"/>
        </w:rPr>
        <w:t>EN: From data to decisions: Toward a Biodiversity Monitoring Standards Framework</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76">
        <w:r>
          <w:rPr>
            <w:color w:val="1155CC"/>
            <w:u w:val="single"/>
          </w:rPr>
          <w:t>10.1073/pnas.2519347123</w:t>
        </w:r>
      </w:hyperlink>
    </w:p>
    <w:p>
      <w:pPr>
        <w:spacing w:before="0" w:after="120"/>
      </w:pPr>
      <w:r>
        <w:rPr>
          <w:b/>
        </w:rPr>
        <w:t xml:space="preserve">Notes: </w:t>
      </w:r>
      <w:r>
        <w:t>abstract_source=crossref</w:t>
      </w:r>
    </w:p>
    <w:p>
      <w:pPr>
        <w:spacing w:before="0" w:after="80" w:lineRule="auto" w:line="276"/>
      </w:pPr>
      <w:r>
        <w:rPr>
          <w:b/>
        </w:rPr>
        <w:t xml:space="preserve">摘要（ZH）: </w:t>
      </w:r>
      <w:r>
        <w:t>实现昆明-蒙特利尔全球生物多样性框架（GBF）的目标需要监测系统能够将异构观测转化为一致的、与决策相关的知识。然而，目前的生物多样性数据是零散的，质量不均，且很少能在空间或时间上进行比较。现有的标准如Darwin Core、可查找、可访问、可互操作和可重用（FAIR）以及集体利益、控制权威、责任和伦理（CARE）原则提供了重要的基础，但它们并未连接从现场观测到政策报告的完整链条。我们引入了生物多样性监测标准框架（BMSF）——一个统一的架构，连接伦理原则、标准化数据收集、认证的分析工作流程和</w:t>
      </w:r>
    </w:p>
    <w:p>
      <w:pPr>
        <w:spacing w:before="0" w:after="200" w:lineRule="auto" w:line="276"/>
      </w:pPr>
      <w:r>
        <w:rPr>
          <w:b/>
        </w:rPr>
        <w:t xml:space="preserve">Abstract (EN): </w:t>
      </w:r>
      <w:r>
        <w:t>Achieving the goals of the Kunming–Montreal Global Biodiversity Framework (GBF) requires monitoring systems that can transform heterogeneous observations into consistent, decision-relevant knowledge. Yet current biodiversity data are fragmented, uneven in quality, and seldom comparable across space or time. Existing standards such as Darwin Core, Findable, Accessible, Interoperable, and Reusable (FAIR) and Collective Benefit, Authority to Control, Responsibility, and Ethics (CARE) principles provide important foundations, but they do not connect the full chain from field observation to policy reporting. We introduce the Biodiversity Monitoring Standards Framework (BMSF)—a unifying architecture that links ethical principles, standardized data collection, accredited analytical workflows, and transparent reporting into a single auditable “chain of evidence.” The framework’s novelty lies in its tiered and federated design, enabling national agencies, Indigenous knowledge holders, local communities, and private-sector actors to operate under shared principles while maintaining data sovereignty. By integrating Essential Variables, accredited analytical methods, and open-source implementation pathways, the BMSF allows locally generated data to be aggregated into credible, comparable indicators aligned with GBF targets. Concrete application, such as a national forest-connectivity assessment, demonstrates how the BMSF improves reproducibility, transparency, and policy relevance relative to existing approaches. Implemented generally, this framework would convert fragmented monitoring efforts into a coordinated, scalable system capable of tracking and guiding collective progress toward halting and reversing biodiversity loss.</w:t>
      </w:r>
    </w:p>
    <w:p>
      <w:pPr>
        <w:spacing w:before="120" w:after="120"/>
      </w:pPr>
      <w:r>
        <w:rPr>
          <w:sz w:val="18"/>
        </w:rPr>
        <w:t>——————————————————————————————————————————————————————————————————————</w:t>
      </w:r>
    </w:p>
    <w:p>
      <w:pPr>
        <w:spacing w:before="160" w:after="40" w:line="240" w:lineRule="auto"/>
      </w:pPr>
      <w:r>
        <w:rPr>
          <w:b/>
        </w:rPr>
        <w:t xml:space="preserve">[335] </w:t>
      </w:r>
      <w:hyperlink r:id="rId777">
        <w:r>
          <w:rPr>
            <w:color w:val="1155CC"/>
            <w:u w:val="single"/>
          </w:rPr>
          <w:t>大型语言模型中的道德刻板印象</w:t>
        </w:r>
      </w:hyperlink>
    </w:p>
    <w:p>
      <w:pPr>
        <w:spacing w:before="0" w:after="80"/>
      </w:pPr>
      <w:r>
        <w:rPr>
          <w:i/>
          <w:sz w:val="20"/>
        </w:rPr>
        <w:t>EN: Moral stereotyping in large language models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78">
        <w:r>
          <w:rPr>
            <w:color w:val="1155CC"/>
            <w:u w:val="single"/>
          </w:rPr>
          <w:t>10.1073/pnas.2519941123</w:t>
        </w:r>
      </w:hyperlink>
    </w:p>
    <w:p>
      <w:pPr>
        <w:spacing w:before="0" w:after="120"/>
      </w:pPr>
      <w:r>
        <w:rPr>
          <w:b/>
        </w:rPr>
        <w:t xml:space="preserve">Notes: </w:t>
      </w:r>
      <w:r>
        <w:t>abstract_source=crossref</w:t>
      </w:r>
    </w:p>
    <w:p>
      <w:pPr>
        <w:spacing w:before="0" w:after="80" w:lineRule="auto" w:line="276"/>
      </w:pPr>
      <w:r>
        <w:rPr>
          <w:b/>
        </w:rPr>
        <w:t xml:space="preserve">摘要（ZH）: </w:t>
      </w:r>
      <w:r>
        <w:t>大型语言模型（LLMs）能否准确估计不同社会的道德价值观？在此，我们查询LLMs对来自48个国家的“普通”人的道德规范的看法，并将其与一项大规模（n=90,802）的六种道德价值观（关怀、平等、比例、忠诚、权威和纯洁）调查进行比较。我们的研究结果表明，LLMs对全球道德多样性的捕捉能力较差，系统性地高估了一些道德价值观（尤其是关怀）</w:t>
      </w:r>
    </w:p>
    <w:p>
      <w:pPr>
        <w:spacing w:before="0" w:after="200" w:lineRule="auto" w:line="276"/>
      </w:pPr>
      <w:r>
        <w:rPr>
          <w:b/>
        </w:rPr>
        <w:t xml:space="preserve">Abstract (EN): </w:t>
      </w:r>
      <w:r>
        <w:t>Can Large Language Models (LLMs) accurately estimate various societies’ moral values? Here, we query the perceptions of LLMs regarding the moral norms of the “average” person from 48 nations and compare them to a large-scale (</w:t>
      </w:r>
      <w:r>
        <w:t xml:space="preserve"> </w:t>
      </w:r>
      <w:r>
        <w:t>n</w:t>
      </w:r>
      <w:r>
        <w:t xml:space="preserve"> </w:t>
      </w:r>
      <w:r>
        <w:t>=</w:t>
      </w:r>
      <w:r>
        <w:rPr>
          <w:vertAlign w:val="subscript"/>
        </w:rPr>
        <w:t>90</w:t>
      </w:r>
      <w:r>
        <w:t>,</w:t>
      </w:r>
      <w:r>
        <w:rPr>
          <w:vertAlign w:val="subscript"/>
        </w:rPr>
        <w:t>802</w:t>
      </w:r>
      <w:r>
        <w:t xml:space="preserve"> </w:t>
      </w:r>
      <w:r>
        <w:t>) survey of six moral values (Care, Equality, Proportionality, Loyalty, Authority, and Purity) from those populations. Our findings indicate that LLMs poorly capture the moral diversity around the globe, systematically overestimating some moral values (particularly Care) and underestimating others (especially Purity). Notably, examining various versions of Generative Pre-trained Transformer (GPT) shows that these LLMs may overestimate the overall moral concerns of some Western countries (e.g., the United States, Canada, and Australia) while underestimating those of non-Western countries (e.g., Nigeria, Morocco, and Indonesia). Our work demonstrates that LLMs are inaccurate generators of cross-cultural estimations in the moral domain; in other words, they stereotype the moral values of non-Western populations in predictable ways. Our results highlight the ethical and epistemic risks of relying on LLMs to estimate the endorsement of moral values around the globe.</w:t>
      </w:r>
    </w:p>
    <w:p>
      <w:pPr>
        <w:spacing w:before="120" w:after="120"/>
      </w:pPr>
      <w:r>
        <w:rPr>
          <w:sz w:val="18"/>
        </w:rPr>
        <w:t>——————————————————————————————————————————————————————————————————————</w:t>
      </w:r>
    </w:p>
    <w:p>
      <w:pPr>
        <w:spacing w:before="160" w:after="40" w:line="240" w:lineRule="auto"/>
      </w:pPr>
      <w:r>
        <w:rPr>
          <w:b/>
        </w:rPr>
        <w:t xml:space="preserve">[336] </w:t>
      </w:r>
      <w:hyperlink r:id="rId779">
        <w:r>
          <w:rPr>
            <w:color w:val="1155CC"/>
            <w:u w:val="single"/>
          </w:rPr>
          <w:t>用主要特征研究五十年的季节性浮游植物演替——一种将组成与功能联系的方法</w:t>
        </w:r>
      </w:hyperlink>
    </w:p>
    <w:p>
      <w:pPr>
        <w:spacing w:before="0" w:after="80"/>
      </w:pPr>
      <w:r>
        <w:rPr>
          <w:i/>
          <w:sz w:val="20"/>
        </w:rPr>
        <w:t>EN: Five decades of seasonal phytoplankton succession examined with principal traits—An approach linking composition to function</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80">
        <w:r>
          <w:rPr>
            <w:color w:val="1155CC"/>
            <w:u w:val="single"/>
          </w:rPr>
          <w:t>10.1073/pnas.2522157123</w:t>
        </w:r>
      </w:hyperlink>
    </w:p>
    <w:p>
      <w:pPr>
        <w:spacing w:before="0" w:after="120"/>
      </w:pPr>
      <w:r>
        <w:rPr>
          <w:b/>
        </w:rPr>
        <w:t xml:space="preserve">Notes: </w:t>
      </w:r>
      <w:r>
        <w:t>abstract_source=crossref</w:t>
      </w:r>
    </w:p>
    <w:p>
      <w:pPr>
        <w:spacing w:before="0" w:after="80" w:lineRule="auto" w:line="276"/>
      </w:pPr>
      <w:r>
        <w:rPr>
          <w:b/>
        </w:rPr>
        <w:t xml:space="preserve">摘要（ZH）: </w:t>
      </w:r>
      <w:r>
        <w:t>理解社区组成和功能如何因环境变化而变化仍然是一个基本挑战，而基于特征的方法提供了一种机制视角。为了研究功能和组成变化之间的联系，我们引入了一个指标——“主特征”，将社区的平均特征与社区组成的主成分（PC）联系起来。通过分析康斯坦茨湖近五十年的浮游植物监测数据，我们展示了这种方法的好处。基于主特征、PC分数和PC旋转，我们识别出从易受捕食的冬春季到防御性的夏季社区的过渡，并区分出在富营养化和贫营养化条件下的组成和功能变化模式。</w:t>
      </w:r>
    </w:p>
    <w:p>
      <w:pPr>
        <w:spacing w:before="0" w:after="200" w:lineRule="auto" w:line="276"/>
      </w:pPr>
      <w:r>
        <w:rPr>
          <w:b/>
        </w:rPr>
        <w:t xml:space="preserve">Abstract (EN): </w:t>
      </w:r>
      <w:r>
        <w:t>Understanding how changes in community composition and function are driven by environmental change remains a fundamental challenge—to which trait-based approaches offer a mechanistic perspective. To examine links between functional and compositional changes we introduce a metric—the “principal trait”—relating the mean traits of a community to principal components (PC) of community composition. We demonstrate the benefits of this approach by analyzing nearly five decades of phytoplankton monitoring data from Lake Constance. Based on principal traits, PC-scores, and PC-rotations we identify the transition of a predation susceptible winter-spring to a defended summer community and distinguish patterns of compositional and functional change during eutrophic and oligotrophic conditions. Remarkably, this approach uncovered the independent emergence of a strong tradeoff between the resource acquisition traits phosphate and light affinity at two temporal scales: once in the response of the predation susceptible winter-spring community to seasonal changes in light and phosphorus availability, and once in the response of the defended summer community to long-term changes in the lake’s nutrient status. The analysis identified community members and mechanisms involved in functional changes, demonstrating how the interplay between multiple traits determined the responses of phytoplankton community composition and function to environmental change.</w:t>
      </w:r>
    </w:p>
    <w:p>
      <w:pPr>
        <w:spacing w:before="120" w:after="120"/>
      </w:pPr>
      <w:r>
        <w:rPr>
          <w:sz w:val="18"/>
        </w:rPr>
        <w:t>——————————————————————————————————————————————————————————————————————</w:t>
      </w:r>
    </w:p>
    <w:p>
      <w:pPr>
        <w:spacing w:before="160" w:after="40" w:line="240" w:lineRule="auto"/>
      </w:pPr>
      <w:r>
        <w:rPr>
          <w:b/>
        </w:rPr>
        <w:t xml:space="preserve">[337] </w:t>
      </w:r>
      <w:hyperlink r:id="rId781">
        <w:r>
          <w:rPr>
            <w:color w:val="1155CC"/>
            <w:u w:val="single"/>
          </w:rPr>
          <w:t>AlphaFold3在预测配体诱导的酶域运动中的偏差</w:t>
        </w:r>
      </w:hyperlink>
    </w:p>
    <w:p>
      <w:pPr>
        <w:spacing w:before="0" w:after="80"/>
      </w:pPr>
      <w:r>
        <w:rPr>
          <w:i/>
          <w:sz w:val="20"/>
        </w:rPr>
        <w:t>EN: Bias in the AlphaFold3 prediction of ligand-induced domain motion in enzymes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82">
        <w:r>
          <w:rPr>
            <w:color w:val="1155CC"/>
            <w:u w:val="single"/>
          </w:rPr>
          <w:t>10.1073/pnas.2530709123</w:t>
        </w:r>
      </w:hyperlink>
    </w:p>
    <w:p>
      <w:pPr>
        <w:spacing w:before="0" w:after="120"/>
      </w:pPr>
      <w:r>
        <w:rPr>
          <w:b/>
        </w:rPr>
        <w:t xml:space="preserve">Notes: </w:t>
      </w:r>
      <w:r>
        <w:t>abstract_source=crossref</w:t>
      </w:r>
    </w:p>
    <w:p>
      <w:pPr>
        <w:spacing w:before="0" w:after="80" w:lineRule="auto" w:line="276"/>
      </w:pPr>
      <w:r>
        <w:rPr>
          <w:b/>
        </w:rPr>
        <w:t xml:space="preserve">摘要（ZH）: </w:t>
      </w:r>
      <w:r>
        <w:t>在许多酶中，从开放到闭合状态的结构域运动形成了催化所需的环境。我们通过生成AlphaFold 3（AF3）模型的集合，研究了82种酶中由配体诱导的结构域运动，这些模型既包括有配体也包括无配体的情况。结果发现，结果在很大程度上取决于每种酶在蛋白质数据银行（PDB）中apo和holo结构的数量。对于apo结构多于holo结构的酶，64.8%的无配体模型更接近于开放的apo状态而不是闭合的holo状态。相反，对于在PDB中holo结构多于apo结构的酶，75.5%的无配体AF3模型处于holo构象，显示出强烈的记忆效应。在这两种情况下，添加配体都有</w:t>
      </w:r>
    </w:p>
    <w:p>
      <w:pPr>
        <w:spacing w:before="0" w:after="200" w:lineRule="auto" w:line="276"/>
      </w:pPr>
      <w:r>
        <w:rPr>
          <w:b/>
        </w:rPr>
        <w:t xml:space="preserve">Abstract (EN): </w:t>
      </w:r>
      <w:r>
        <w:t>In many enzymes, movement of domains from open to closed state forms the environment required for catalysis. We have studied ligand-induced domain motion in 82 enzymes by generating ensembles of AlphaFold 3 (AF3) models both with and without the presence of ligands that are known to trigger such motion. It was found that the results heavily depend on the number of apo and holo structures of each enzyme in the Protein Data Bank (PDB). For enzymes with more apo than holo structures, 64.8% of models generated without ligand are closer to the open apo than to the closed holo state. In contrast, for enzymes that have more holo than apo structures in the PDB, 75.5% of AF3 models without any ligand are in the holo conformation, revealing strong memorization. In both cases, adding the ligand has only a moderate impact. However, the impact of ligand is substantial for proteins that have only a few structures in the training set. Ligands are placed with higher accuracy if there are more holo structures with different ligands in the PDB. We have found that nonbinder ligands also generate similar domain motion, and the distributions of the predicted enzyme conformations remain close to those obtained with the native trigger ligands, but with lower ligand pLDDT values. For enzymes with more holo than apo structures in the PDB, AlphaFold2 also generates the majority of models close to the holo state, suggesting the same memorization effects seen for AF3.</w:t>
      </w:r>
    </w:p>
    <w:p>
      <w:pPr>
        <w:spacing w:before="120" w:after="120"/>
      </w:pPr>
      <w:r>
        <w:rPr>
          <w:sz w:val="18"/>
        </w:rPr>
        <w:t>——————————————————————————————————————————————————————————————————————</w:t>
      </w:r>
    </w:p>
    <w:p>
      <w:pPr>
        <w:spacing w:before="160" w:after="40" w:line="240" w:lineRule="auto"/>
      </w:pPr>
      <w:r>
        <w:rPr>
          <w:b/>
        </w:rPr>
        <w:t xml:space="preserve">[338] </w:t>
      </w:r>
      <w:hyperlink r:id="rId783">
        <w:r>
          <w:rPr>
            <w:color w:val="1155CC"/>
            <w:u w:val="single"/>
          </w:rPr>
          <w:t>MondoA在胰腺癌中介导MYC网络与综合应激反应之间的转录协调</w:t>
        </w:r>
      </w:hyperlink>
    </w:p>
    <w:p>
      <w:pPr>
        <w:spacing w:before="0" w:after="80"/>
      </w:pPr>
      <w:r>
        <w:rPr>
          <w:i/>
          <w:sz w:val="20"/>
        </w:rPr>
        <w:t>EN: MondoA mediates transcriptional coordination between the MYC network and the integrated stress response in pancreatic cancer</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84">
        <w:r>
          <w:rPr>
            <w:color w:val="1155CC"/>
            <w:u w:val="single"/>
          </w:rPr>
          <w:t>10.1073/pnas.2524659123</w:t>
        </w:r>
      </w:hyperlink>
    </w:p>
    <w:p>
      <w:pPr>
        <w:spacing w:before="0" w:after="120"/>
      </w:pPr>
      <w:r>
        <w:rPr>
          <w:b/>
        </w:rPr>
        <w:t xml:space="preserve">Notes: </w:t>
      </w:r>
      <w:r>
        <w:t>abstract_source=crossref</w:t>
      </w:r>
    </w:p>
    <w:p>
      <w:pPr>
        <w:spacing w:before="0" w:after="80" w:lineRule="auto" w:line="276"/>
      </w:pPr>
      <w:r>
        <w:rPr>
          <w:b/>
        </w:rPr>
        <w:t xml:space="preserve">摘要（ZH）: </w:t>
      </w:r>
      <w:r>
        <w:t>MYC扩增导致胰腺导管腺癌（PDAC）患者的生存率和预后较差。在这里，我们展示了在MYC扩增的PDAC细胞系中，MondoA对于细胞活力是必需的，促进增殖同时抑制体内外的凋亡。转录和基因组分析表明，MondoA的缺失导致直接MondoA靶标以及MYC靶基因的表达发生变化，并伴随着MYC、MNT和MondoA旁系同源物ChREBP的基因组占位变化。这种由MYC网络成员引起的基因组结合变化与多种代谢和应激途径的转录扰动相关，并伴随着信使RNA（mRNA）的N6-甲基腺苷修饰（m6A）的全局变化。</w:t>
      </w:r>
    </w:p>
    <w:p>
      <w:pPr>
        <w:spacing w:before="0" w:after="200" w:lineRule="auto" w:line="276"/>
      </w:pPr>
      <w:r>
        <w:rPr>
          <w:b/>
        </w:rPr>
        <w:t xml:space="preserve">Abstract (EN): </w:t>
      </w:r>
      <w:r>
        <w:t>MYC amplification contributes to poor survival and outcome in pancreatic ductal adenocarcinoma (PDAC). Here we show that in PDAC cell lines with amplified MYC, MondoA is required for viability, facilitating proliferation while suppressing apoptosis in vitro and in vivo. Transcriptional and genomic profiling demonstrates that loss of MondoA leads to altered expression of direct MondoA targets as well as MYC target genes and is accompanied by shifts in genomic occupancy of MYC, MNT, and the MondoA paralog ChREBP. This altered genomic binding by MYC network members is associated with transcriptional perturbation of multiple metabolic and stress pathways, as well as global changes in N6-methyladenosine modification (m</w:t>
      </w:r>
      <w:r>
        <w:rPr>
          <w:vertAlign w:val="subscript"/>
        </w:rPr>
        <w:t>6</w:t>
      </w:r>
      <w:r>
        <w:t>A) of messenger RNA (mRNA). MondoA inhibition disrupts coordination between MYC network members and the Integrated Stress Response (ISR), resulting in decreased translation of ATF4 mRNA, discordant gene regulation of shared targets of MYC and ATF4 and, ultimately, apoptosis. Reestablishing ATF4 protein expression rescues the diminished viability due to loss of MondoA expression or activity, providing direct evidence of a link between deregulated MYC and the transcriptional machinery of the ISR. Last, we find that small-molecule inhibition of MondoA is lethal in a subset of PDAC cell lines, including patient-derived organoids, suggesting that the ability to target MYC via chemical inhibition of MondoA transcriptional activity may have broad efficacy.</w:t>
      </w:r>
    </w:p>
    <w:p>
      <w:pPr>
        <w:spacing w:before="120" w:after="120"/>
      </w:pPr>
      <w:r>
        <w:rPr>
          <w:sz w:val="18"/>
        </w:rPr>
        <w:t>——————————————————————————————————————————————————————————————————————</w:t>
      </w:r>
    </w:p>
    <w:p>
      <w:pPr>
        <w:spacing w:before="160" w:after="40" w:line="240" w:lineRule="auto"/>
      </w:pPr>
      <w:r>
        <w:rPr>
          <w:b/>
        </w:rPr>
        <w:t xml:space="preserve">[339] </w:t>
      </w:r>
      <w:hyperlink r:id="rId785">
        <w:r>
          <w:rPr>
            <w:color w:val="1155CC"/>
            <w:u w:val="single"/>
          </w:rPr>
          <w:t>耦合机器学习-生态系统集合模型显著提高了美国农田氧化亚氮（N2O）通量的预测</w:t>
        </w:r>
      </w:hyperlink>
    </w:p>
    <w:p>
      <w:pPr>
        <w:spacing w:before="0" w:after="80"/>
      </w:pPr>
      <w:r>
        <w:rPr>
          <w:i/>
          <w:sz w:val="20"/>
        </w:rPr>
        <w:t>EN: Coupled machine learning–ecosystem ensemble models substantially improve predictions of nitrous oxide (N2O) fluxes from US croplands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86">
        <w:r>
          <w:rPr>
            <w:color w:val="1155CC"/>
            <w:u w:val="single"/>
          </w:rPr>
          <w:t>10.1073/pnas.2524808123</w:t>
        </w:r>
      </w:hyperlink>
    </w:p>
    <w:p>
      <w:pPr>
        <w:spacing w:before="0" w:after="120"/>
      </w:pPr>
      <w:r>
        <w:rPr>
          <w:b/>
        </w:rPr>
        <w:t xml:space="preserve">Notes: </w:t>
      </w:r>
      <w:r>
        <w:t>abstract_source=crossref</w:t>
      </w:r>
    </w:p>
    <w:p>
      <w:pPr>
        <w:spacing w:before="0" w:after="80" w:lineRule="auto" w:line="276"/>
      </w:pPr>
      <w:r>
        <w:rPr>
          <w:b/>
        </w:rPr>
        <w:t xml:space="preserve">摘要（ZH）: </w:t>
      </w:r>
      <w:r>
        <w:t>一氧化二氮（N</w:t>
      </w:r>
      <w:r>
        <w:rPr>
          <w:vertAlign w:val="subscript"/>
        </w:rPr>
        <w:t>2</w:t>
      </w:r>
      <w:r>
        <w:t>O）是一种强效且持久的温室气体，其大气浓度的上升部分是由于农业中合成氮（N）肥料的低效使用所驱动的。由于复杂的土壤生物地球化学过程导致的高空间和时间变异性，预测土壤N</w:t>
      </w:r>
      <w:r>
        <w:rPr>
          <w:vertAlign w:val="subscript"/>
        </w:rPr>
        <w:t>2</w:t>
      </w:r>
      <w:r>
        <w:t>O排放具有挑战性。基于过程的生态系统模型和不进行广泛特定地点校准的独立机器学习（ML）方法通常会错过高排放事件。在此，我们展示了一种基于生态系统模型和机器学习模型集合输出的集成建模系统（EMS），可以改善对N</w:t>
      </w:r>
      <w:r>
        <w:rPr>
          <w:vertAlign w:val="subscript"/>
        </w:rPr>
        <w:t>2</w:t>
      </w:r>
    </w:p>
    <w:p>
      <w:pPr>
        <w:spacing w:before="0" w:after="200" w:lineRule="auto" w:line="276"/>
      </w:pPr>
      <w:r>
        <w:rPr>
          <w:b/>
        </w:rPr>
        <w:t xml:space="preserve">Abstract (EN): </w:t>
      </w:r>
      <w:r>
        <w:t>Nitrous oxide (N</w:t>
      </w:r>
      <w:r>
        <w:rPr>
          <w:vertAlign w:val="subscript"/>
        </w:rPr>
        <w:t>2</w:t>
      </w:r>
      <w:r>
        <w:t>O) is a potent and persistent greenhouse gas, with rising atmospheric concentrations driven in part by inefficient use of synthetic nitrogen (N) fertilizers in agriculture. Predicting soil N</w:t>
      </w:r>
      <w:r>
        <w:rPr>
          <w:vertAlign w:val="subscript"/>
        </w:rPr>
        <w:t>2</w:t>
      </w:r>
      <w:r>
        <w:t>O emissions is challenging due to high spatial and temporal variability arising from complex soil biogeochemical processes. Process-based ecosystem models and standalone machine learning (ML) approaches without extensive site-specific calibration often miss high-emission episodes. Here, we show how an Ensemble Modeling System (EMS) based on outputs from an ensemble of ecosystem models coupled to an ensemble of ML models can improve predictions and understanding of N</w:t>
      </w:r>
      <w:r>
        <w:rPr>
          <w:vertAlign w:val="subscript"/>
        </w:rPr>
        <w:t>2</w:t>
      </w:r>
      <w:r>
        <w:t>O fluxes from US cropland. Trained and validated on ~12,000 N</w:t>
      </w:r>
      <w:r>
        <w:rPr>
          <w:vertAlign w:val="subscript"/>
        </w:rPr>
        <w:t>2</w:t>
      </w:r>
      <w:r>
        <w:t>O chamber measurements at 17 US Midwest sites (six crops, 35 management practices), the EMS accurately predicted daily fluxes of N</w:t>
      </w:r>
      <w:r>
        <w:rPr>
          <w:vertAlign w:val="subscript"/>
        </w:rPr>
        <w:t>2</w:t>
      </w:r>
      <w:r>
        <w:t>O at both training (R</w:t>
      </w:r>
      <w:r>
        <w:rPr>
          <w:vertAlign w:val="subscript"/>
        </w:rPr>
        <w:t>2</w:t>
      </w:r>
      <w:r>
        <w:t>= 0.84, RMSE = 16.4 g N ha</w:t>
      </w:r>
      <w:r>
        <w:t xml:space="preserve"> </w:t>
      </w:r>
      <w:r>
        <w:t>−1</w:t>
      </w:r>
      <w:r>
        <w:t xml:space="preserve"> </w:t>
      </w:r>
      <w:r>
        <w:t>d</w:t>
      </w:r>
      <w:r>
        <w:t xml:space="preserve"> </w:t>
      </w:r>
      <w:r>
        <w:t>−1</w:t>
      </w:r>
      <w:r>
        <w:t xml:space="preserve"> </w:t>
      </w:r>
      <w:r>
        <w:t>) and held-out testing sites (R</w:t>
      </w:r>
      <w:r>
        <w:rPr>
          <w:vertAlign w:val="subscript"/>
        </w:rPr>
        <w:t>2</w:t>
      </w:r>
      <w:r>
        <w:t>= 0.84, RMSE = 6.2 g N ha</w:t>
      </w:r>
      <w:r>
        <w:t xml:space="preserve"> </w:t>
      </w:r>
      <w:r>
        <w:t>−1</w:t>
      </w:r>
      <w:r>
        <w:t xml:space="preserve"> </w:t>
      </w:r>
      <w:r>
        <w:t>d</w:t>
      </w:r>
      <w:r>
        <w:t xml:space="preserve"> </w:t>
      </w:r>
      <w:r>
        <w:t>−1</w:t>
      </w:r>
      <w:r>
        <w:t xml:space="preserve"> </w:t>
      </w:r>
      <w:r>
        <w:t>). Analyses identified six dominant N</w:t>
      </w:r>
      <w:r>
        <w:rPr>
          <w:vertAlign w:val="subscript"/>
        </w:rPr>
        <w:t>2</w:t>
      </w:r>
      <w:r>
        <w:t>O drivers: soil organic carbon (SOC), NH</w:t>
      </w:r>
      <w:r>
        <w:rPr>
          <w:vertAlign w:val="subscript"/>
        </w:rPr>
        <w:t>4</w:t>
      </w:r>
      <w:r>
        <w:t>+</w:t>
      </w:r>
      <w:r>
        <w:t xml:space="preserve"> </w:t>
      </w:r>
      <w:r>
        <w:t>, NO</w:t>
      </w:r>
      <w:r>
        <w:rPr>
          <w:vertAlign w:val="subscript"/>
        </w:rPr>
        <w:t>3</w:t>
      </w:r>
      <w:r>
        <w:t>-</w:t>
      </w:r>
      <w:r>
        <w:t>, water-filled pore space, temperature, and aboveground biomass production. Wet, warm soils produced large N</w:t>
      </w:r>
      <w:r>
        <w:rPr>
          <w:vertAlign w:val="subscript"/>
        </w:rPr>
        <w:t>2</w:t>
      </w:r>
      <w:r>
        <w:t>O peaks only with sufficient SOC and mineral N; in low-SOC soils, fluxes remained low. Incorporating these drivers into process-based models might significantly improve their predictive capacity. The EMS demonstrates a strong potential to predict N</w:t>
      </w:r>
      <w:r>
        <w:rPr>
          <w:vertAlign w:val="subscript"/>
        </w:rPr>
        <w:t>2</w:t>
      </w:r>
      <w:r>
        <w:t>O fluxes at unseen sites, enabling more reliable regional inventories, improved gap-filling where measurements are sparse, and enhanced understanding of mechanisms to advance targeted mitigation strategies in food, feed, and bioenergy crops.</w:t>
      </w:r>
    </w:p>
    <w:p>
      <w:pPr>
        <w:spacing w:before="120" w:after="120"/>
      </w:pPr>
      <w:r>
        <w:rPr>
          <w:sz w:val="18"/>
        </w:rPr>
        <w:t>——————————————————————————————————————————————————————————————————————</w:t>
      </w:r>
    </w:p>
    <w:p>
      <w:pPr>
        <w:spacing w:before="160" w:after="40" w:line="240" w:lineRule="auto"/>
      </w:pPr>
      <w:r>
        <w:rPr>
          <w:b/>
        </w:rPr>
        <w:t xml:space="preserve">[340] </w:t>
      </w:r>
      <w:hyperlink r:id="rId787">
        <w:r>
          <w:rPr>
            <w:color w:val="1155CC"/>
            <w:u w:val="single"/>
          </w:rPr>
          <w:t>乳腺癌中的应激依赖性生长源于机械渗透耦合和细胞大小检查点</w:t>
        </w:r>
      </w:hyperlink>
    </w:p>
    <w:p>
      <w:pPr>
        <w:spacing w:before="0" w:after="80"/>
      </w:pPr>
      <w:r>
        <w:rPr>
          <w:i/>
          <w:sz w:val="20"/>
        </w:rPr>
        <w:t>EN: Stress-dependent growth in breast cancer arises from a mechano-osmotic coupling and cell-sizing checkpoint</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88">
        <w:r>
          <w:rPr>
            <w:color w:val="1155CC"/>
            <w:u w:val="single"/>
          </w:rPr>
          <w:t>10.1073/pnas.2523159123</w:t>
        </w:r>
      </w:hyperlink>
    </w:p>
    <w:p>
      <w:pPr>
        <w:spacing w:before="0" w:after="120"/>
      </w:pPr>
      <w:r>
        <w:rPr>
          <w:b/>
        </w:rPr>
        <w:t xml:space="preserve">Notes: </w:t>
      </w:r>
      <w:r>
        <w:t>abstract_source=crossref</w:t>
      </w:r>
    </w:p>
    <w:p>
      <w:pPr>
        <w:spacing w:before="0" w:after="80" w:lineRule="auto" w:line="276"/>
      </w:pPr>
      <w:r>
        <w:rPr>
          <w:b/>
        </w:rPr>
        <w:t xml:space="preserve">摘要（ZH）: </w:t>
      </w:r>
      <w:r>
        <w:t>机械响应性细胞增殖是肿瘤生长的一个特征，尽管癌症中许多其他调节检查点被抑制，但驱动这种行为的细胞尺度机制尚未确定。在这项研究中，我们提出了一个由主动控制渗透压控制的细胞生长生物物理模型，并将其与离散粒子框架结合，以模拟乳腺癌球体的生长和重塑。通过神经网络加速的有限元求解器分析来自细胞外环境的限制和生物力学反馈。结合实验，我们的模型揭示了应力依赖的球体生长可以源于有丝分裂的尺寸检查点。在足够的细胞外负载下，细胞生长</w:t>
      </w:r>
    </w:p>
    <w:p>
      <w:pPr>
        <w:spacing w:before="0" w:after="200" w:lineRule="auto" w:line="276"/>
      </w:pPr>
      <w:r>
        <w:rPr>
          <w:b/>
        </w:rPr>
        <w:t xml:space="preserve">Abstract (EN): </w:t>
      </w:r>
      <w:r>
        <w:t>Mechanoresponsive cell proliferation is a feature of growing tumors, despite the suppression of many other regulatory checkpoints in cancer, but the underlying cell-scale mechanisms driving this behavior have not yet been established. In this study, we propose a biophysical model for cell growth as governed by actively controlled osmolarity, which we integrate with a discrete particle framework to simulate growth and remodeling of breast cancer spheroids. Confinement and biomechanical feedback from the extracellular environment are analyzed through a neural-network-accelerated finite element solver. Combining the framework with experiments, our model reveals that stress-dependent spheroid growth can arise from a sizing checkpoint for mitosis. Under sufficient extracellular loading, cell growth is restricted by high hydrostatic forces in competition with osmotic pressure from biomolecule synthesis, which prevents cells from surpassing a critical volume. Our model provides insight into mechanosensitive growth arrest in breast cancer, potentially serving as a computational tool for analyzing growth in a wider range of normal and malignant biological tissues.</w:t>
      </w:r>
    </w:p>
    <w:p>
      <w:pPr>
        <w:spacing w:before="120" w:after="120"/>
      </w:pPr>
      <w:r>
        <w:rPr>
          <w:sz w:val="18"/>
        </w:rPr>
        <w:t>——————————————————————————————————————————————————————————————————————</w:t>
      </w:r>
    </w:p>
    <w:p>
      <w:pPr>
        <w:spacing w:before="160" w:after="40" w:line="240" w:lineRule="auto"/>
      </w:pPr>
      <w:r>
        <w:rPr>
          <w:b/>
        </w:rPr>
        <w:t xml:space="preserve">[341] </w:t>
      </w:r>
      <w:hyperlink r:id="rId789">
        <w:r>
          <w:rPr>
            <w:color w:val="1155CC"/>
            <w:u w:val="single"/>
          </w:rPr>
          <w:t>PARP7保护肺上皮屏障免受多种环境威胁</w:t>
        </w:r>
      </w:hyperlink>
    </w:p>
    <w:p>
      <w:pPr>
        <w:spacing w:before="0" w:after="80"/>
      </w:pPr>
      <w:r>
        <w:rPr>
          <w:i/>
          <w:sz w:val="20"/>
        </w:rPr>
        <w:t>EN: PARP7 protects the lung epithelial barrier from diverse environmental threats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90">
        <w:r>
          <w:rPr>
            <w:color w:val="1155CC"/>
            <w:u w:val="single"/>
          </w:rPr>
          <w:t>10.1073/pnas.2525274123</w:t>
        </w:r>
      </w:hyperlink>
    </w:p>
    <w:p>
      <w:pPr>
        <w:spacing w:before="0" w:after="120"/>
      </w:pPr>
      <w:r>
        <w:rPr>
          <w:b/>
        </w:rPr>
        <w:t xml:space="preserve">Notes: </w:t>
      </w:r>
      <w:r>
        <w:t>abstract_source=crossref</w:t>
      </w:r>
    </w:p>
    <w:p>
      <w:pPr>
        <w:spacing w:before="0" w:after="80" w:lineRule="auto" w:line="276"/>
      </w:pPr>
      <w:r>
        <w:rPr>
          <w:b/>
        </w:rPr>
        <w:t xml:space="preserve">摘要（ZH）: </w:t>
      </w:r>
      <w:r>
        <w:t>聚ADP-核糖聚合酶（PARP）家族蛋白参与了广泛的细胞过程。基于其生化功能，几种PARP被抑制剂作为癌症治疗的靶点；然而，大多数PARP的生理功能和PARP抑制的潜在不良影响尚不清楚。在此，我们展示了PARP7对肺生理的重要性。小鼠中PARP7的缺失增加了对化学诱导的弥漫性肺泡出血（DAH）和棕榈酸诱导的狼疮的易感性。单核RNA-seq显示PARP7选择性表达于肺泡I型细胞中，PARP7缺失增加了肺内免疫细胞的浸润，表明上皮屏障完整性的丧失。此外，在气液</w:t>
      </w:r>
    </w:p>
    <w:p>
      <w:pPr>
        <w:spacing w:before="0" w:after="200" w:lineRule="auto" w:line="276"/>
      </w:pPr>
      <w:r>
        <w:rPr>
          <w:b/>
        </w:rPr>
        <w:t xml:space="preserve">Abstract (EN): </w:t>
      </w:r>
      <w:r>
        <w:t>Poly-ADP-ribose polymerase (PARP) family proteins are involved in a wide range of cellular processes. Several PARPs are targeted by inhibitors as treatments for cancer based on their biochemical functions; however, the physiological functions of most PARPs and the potential adverse effects of PARP inhibition are unknown. Here, we show that PARP7 is important for lung physiology. Loss of PARP7 in mice increases susceptibility to chemically induced diffuse alveolar hemorrhaging (DAH) and pristane-induced lupus. Single-nucleus RNA-seq reveals that PARP7 is selectively expressed in alveolar type I cells and PARP7 loss increases immune cell infiltration within the lung, indicating a loss of epithelial barrier integrity. Further, PARP7 inhibition in human bronchial epithelial cells in air–liquid interface culture leads to increased barrier permeability after cigarette smoke challenge or bacterial infection. Mechanistically, we show that PARP7 target, aryl hydrocarbon receptor (AHR), mediates diverse cellular responses to cigarette smoke challenge, including loss of tight junction protein Occludin and increased expression of xenobiotic metabolizing genes and proinflammatory genes. Together, our study uncovers PARP7 as a key player in maintaining the epithelial barrier integrity within the lung, which may have important implications for pulmonary diseases and for guiding PARP7 inhibitor use in the clinic.</w:t>
      </w:r>
    </w:p>
    <w:p>
      <w:pPr>
        <w:spacing w:before="120" w:after="120"/>
      </w:pPr>
      <w:r>
        <w:rPr>
          <w:sz w:val="18"/>
        </w:rPr>
        <w:t>——————————————————————————————————————————————————————————————————————</w:t>
      </w:r>
    </w:p>
    <w:p>
      <w:pPr>
        <w:spacing w:before="160" w:after="40" w:line="240" w:lineRule="auto"/>
      </w:pPr>
      <w:r>
        <w:rPr>
          <w:b/>
        </w:rPr>
        <w:t xml:space="preserve">[342] </w:t>
      </w:r>
      <w:hyperlink r:id="rId791">
        <w:r>
          <w:rPr>
            <w:color w:val="1155CC"/>
            <w:u w:val="single"/>
          </w:rPr>
          <w:t>气体感应神经元优化线粒体健康以抵消代谢压力</w:t>
        </w:r>
      </w:hyperlink>
    </w:p>
    <w:p>
      <w:pPr>
        <w:spacing w:before="0" w:after="80"/>
      </w:pPr>
      <w:r>
        <w:rPr>
          <w:i/>
          <w:sz w:val="20"/>
        </w:rPr>
        <w:t>EN: Gas-sensing neurons prime mitochondrial fitness to offset metabolic stress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92">
        <w:r>
          <w:rPr>
            <w:color w:val="1155CC"/>
            <w:u w:val="single"/>
          </w:rPr>
          <w:t>10.1073/pnas.2525619123</w:t>
        </w:r>
      </w:hyperlink>
    </w:p>
    <w:p>
      <w:pPr>
        <w:spacing w:before="0" w:after="120"/>
      </w:pPr>
      <w:r>
        <w:rPr>
          <w:b/>
        </w:rPr>
        <w:t xml:space="preserve">Notes: </w:t>
      </w:r>
      <w:r>
        <w:t>abstract_source=crossref</w:t>
      </w:r>
    </w:p>
    <w:p>
      <w:pPr>
        <w:spacing w:before="0" w:after="80" w:lineRule="auto" w:line="276"/>
      </w:pPr>
      <w:r>
        <w:rPr>
          <w:b/>
        </w:rPr>
        <w:t xml:space="preserve">摘要（ZH）: </w:t>
      </w:r>
      <w:r>
        <w:t>线粒体未折叠蛋白反应（UPRmt）是细胞在代谢压力下为缓解蛋白毒性而触发的反应。通过感知外部或内部环境中潜在的有毒变化，预先准备细胞以抵抗线粒体压力的能力将提供生存优势。然而，动物是否以及如何预期线粒体压力仍不清楚。在此，我们展示了秀丽隐杆线虫受体鸟苷酸环化酶GCY-9调节从二氧化碳感知神经元的神经肽信号传导，以控制肠道中的非经典线粒体压力反应。这种非细胞自主的压力反应诱导了非典型的</w:t>
      </w:r>
    </w:p>
    <w:p>
      <w:pPr>
        <w:spacing w:before="0" w:after="200" w:lineRule="auto" w:line="276"/>
      </w:pPr>
      <w:r>
        <w:rPr>
          <w:b/>
        </w:rPr>
        <w:t xml:space="preserve">Abstract (EN): </w:t>
      </w:r>
      <w:r>
        <w:t>The mitochondrial unfolded protein response (UPR</w:t>
      </w:r>
      <w:r>
        <w:t xml:space="preserve"> </w:t>
      </w:r>
      <w:r>
        <w:t>mt</w:t>
      </w:r>
      <w:r>
        <w:t xml:space="preserve"> </w:t>
      </w:r>
      <w:r>
        <w:t>) is triggered by cells to alleviate proteotoxicity in response to metabolic stress. The ability to anticipate and prime cells against mitochondrial stress, by sensing potentially toxic changes in the external or internal environment, would provide a survival advantage. Yet, whether and how animals anticipate mitochondrial stress remains unclear. Here, we show that the</w:t>
      </w:r>
      <w:r>
        <w:t xml:space="preserve"> </w:t>
      </w:r>
      <w:r>
        <w:t>Caenorhabditis elegans</w:t>
      </w:r>
      <w:r>
        <w:t xml:space="preserve"> </w:t>
      </w:r>
      <w:r>
        <w:t>receptor guanylyl cyclase GCY-9 regulates neuropeptide signaling from carbon dioxide–sensing neurons to govern a noncanonical mitochondrial stress response in the intestine. This noncell autonomous stress response induces atypical mitochondrial chaperone transcription, confers mitochondrial stress resistance, and increases mitochondrial membrane potential and respiration. We show that starvation decreases GCY-9 expression and propose that the resultant cytoprotective program is launched to offset metabolic and proteotoxic risks. Thus, environmental sensing by peripheral neurons can preemptively enhance systemic mitochondrial function in response to metabolic uncertainty.</w:t>
      </w:r>
    </w:p>
    <w:p>
      <w:pPr>
        <w:spacing w:before="120" w:after="120"/>
      </w:pPr>
      <w:r>
        <w:rPr>
          <w:sz w:val="18"/>
        </w:rPr>
        <w:t>——————————————————————————————————————————————————————————————————————</w:t>
      </w:r>
    </w:p>
    <w:p>
      <w:pPr>
        <w:spacing w:before="160" w:after="40" w:line="240" w:lineRule="auto"/>
      </w:pPr>
      <w:r>
        <w:rPr>
          <w:b/>
        </w:rPr>
        <w:t xml:space="preserve">[343] </w:t>
      </w:r>
      <w:hyperlink r:id="rId793">
        <w:r>
          <w:rPr>
            <w:color w:val="1155CC"/>
            <w:u w:val="single"/>
          </w:rPr>
          <w:t>重复触发隐性统计学习中的错觉意识</w:t>
        </w:r>
      </w:hyperlink>
    </w:p>
    <w:p>
      <w:pPr>
        <w:spacing w:before="0" w:after="80"/>
      </w:pPr>
      <w:r>
        <w:rPr>
          <w:i/>
          <w:sz w:val="20"/>
        </w:rPr>
        <w:t>EN: Repetitions trigger illusory awareness in implicit statistical learning</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94">
        <w:r>
          <w:rPr>
            <w:color w:val="1155CC"/>
            <w:u w:val="single"/>
          </w:rPr>
          <w:t>10.1073/pnas.2526432123</w:t>
        </w:r>
      </w:hyperlink>
    </w:p>
    <w:p>
      <w:pPr>
        <w:spacing w:before="0" w:after="120"/>
      </w:pPr>
      <w:r>
        <w:rPr>
          <w:b/>
        </w:rPr>
        <w:t xml:space="preserve">Notes: </w:t>
      </w:r>
      <w:r>
        <w:t>abstract_source=crossref</w:t>
      </w:r>
    </w:p>
    <w:p>
      <w:pPr>
        <w:spacing w:before="0" w:after="80" w:lineRule="auto" w:line="276"/>
      </w:pPr>
      <w:r>
        <w:rPr>
          <w:b/>
        </w:rPr>
        <w:t xml:space="preserve">摘要（ZH）: </w:t>
      </w:r>
      <w:r>
        <w:t>本研究考察了从隐性统计学习（ISL）中产生的意识表征的准确性，这是一种通过提取环境中的规律性而进行的基本认知过程。虽然ISL具有无意识处理的几个特征（例如，它无意中操作，产生主观上无意识的知识），但ISL实验中的参与者总是报告一些零碎的意识知识。因此，ISL是真正无意识过程的概念一直是持续争论的主题。在本研究中，我们挑战了这些意识报告反映对所获得知识的直接访问的假设。结合先前收集的和新的数据，我们测试了参与者在ISL中的意识报告反映了一个可能的</w:t>
      </w:r>
    </w:p>
    <w:p>
      <w:pPr>
        <w:spacing w:before="0" w:after="200" w:lineRule="auto" w:line="276"/>
      </w:pPr>
      <w:r>
        <w:rPr>
          <w:b/>
        </w:rPr>
        <w:t xml:space="preserve">Abstract (EN): </w:t>
      </w:r>
      <w:r>
        <w:t>The present study examined the accuracy of conscious representations that emerge from implicit statistical learning (ISL), a fundamental cognitive process through which we extract regularities in the environment. While ISL has several characteristics of unconscious processing (e.g., it operates unintentionally, produces subjectively unconscious knowledge), participants in ISL experiments always report some fragmentary conscious knowledge. Thus, the notion that ISL is truly an unconscious process has been the subject of perpetual debates. In the present study, we challenge the assumption that these conscious reports reflect direct access to the acquired knowledge. Combining previously collected and novel data, we tested the hypothesis that participants’ conscious reports in ISL reflect a post hoc conscious model of their nonconscious knowledge. Across two experiments, participants were exposed to sequences of stimuli (letters, faces, or body movements in VR) generated by different regularities (artificial grammars and grammar-like bigram regularities). In a subsequent test, they decided whether novel strings were grammatical or not and reported their subjective awareness trial-by-trial. In both experiments, we found extreme Bayesian evidence that repetitions embedded in the testing strings made participants more aware of the knowledge driving their grammaticality decisions, above and beyond their influence on responses or accuracy. This suggests that, lacking access to the true basis of their decisions, participants attributed their responses to the most salient feature available: the repetitions. Thus, we find evidence that our conscious experience can misrepresent not only the external world but also our own unconsciously learned representations.</w:t>
      </w:r>
    </w:p>
    <w:p>
      <w:pPr>
        <w:spacing w:before="120" w:after="120"/>
      </w:pPr>
      <w:r>
        <w:rPr>
          <w:sz w:val="18"/>
        </w:rPr>
        <w:t>——————————————————————————————————————————————————————————————————————</w:t>
      </w:r>
    </w:p>
    <w:p>
      <w:pPr>
        <w:spacing w:before="160" w:after="40" w:line="240" w:lineRule="auto"/>
      </w:pPr>
      <w:r>
        <w:rPr>
          <w:b/>
        </w:rPr>
        <w:t xml:space="preserve">[344] </w:t>
      </w:r>
      <w:hyperlink r:id="rId795">
        <w:r>
          <w:rPr>
            <w:color w:val="1155CC"/>
            <w:u w:val="single"/>
          </w:rPr>
          <w:t>细胞外血红素:DNA复合物在狼疮相关溶血期间促进氧化应激和炎症</w:t>
        </w:r>
      </w:hyperlink>
    </w:p>
    <w:p>
      <w:pPr>
        <w:spacing w:before="0" w:after="80"/>
      </w:pPr>
      <w:r>
        <w:rPr>
          <w:i/>
          <w:sz w:val="20"/>
        </w:rPr>
        <w:t>EN: Extracellular heme:DNA complexes promote oxidative stress and inflammation during lupus-associated hemolysis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96">
        <w:r>
          <w:rPr>
            <w:color w:val="1155CC"/>
            <w:u w:val="single"/>
          </w:rPr>
          <w:t>10.1073/pnas.2526577123</w:t>
        </w:r>
      </w:hyperlink>
    </w:p>
    <w:p>
      <w:pPr>
        <w:spacing w:before="0" w:after="120"/>
      </w:pPr>
      <w:r>
        <w:rPr>
          <w:b/>
        </w:rPr>
        <w:t xml:space="preserve">Notes: </w:t>
      </w:r>
      <w:r>
        <w:t>abstract_source=crossref</w:t>
      </w:r>
    </w:p>
    <w:p>
      <w:pPr>
        <w:spacing w:before="0" w:after="80" w:lineRule="auto" w:line="276"/>
      </w:pPr>
      <w:r>
        <w:rPr>
          <w:b/>
        </w:rPr>
        <w:t xml:space="preserve">摘要（ZH）: </w:t>
      </w:r>
      <w:r>
        <w:t>溶血与损伤相关分子模式的释放有关，包括游离血红素和细胞外DNA（ecDNA）。使用几种出血性贫血和溶血的小鼠模型，我们证明了血浆中ecDNA的显著增加，这与中性粒细胞胞外诱捕网的形成无关。这些ecDNA形成G-四联体（G4）结构，我们在系统性红斑狼疮的小鼠和患者中检测到了这种结构。由G4 ecDNA和血红素形成的催化复合物（DNAzymes）驱动氧化应激、组织损伤和炎症。在缺乏脱氧核糖核酸酶1L3（DNase1l3−/−）的贫血小鼠中，我们发现血浆中多核小体ecDNA升高，巨噬细胞中血红素降解酶1的表达减少</w:t>
      </w:r>
    </w:p>
    <w:p>
      <w:pPr>
        <w:spacing w:before="0" w:after="200" w:lineRule="auto" w:line="276"/>
      </w:pPr>
      <w:r>
        <w:rPr>
          <w:b/>
        </w:rPr>
        <w:t xml:space="preserve">Abstract (EN): </w:t>
      </w:r>
      <w:r>
        <w:t>Hemolysis is associated with the release of damage-associated molecular patterns, including free heme and extracellular DNA (ecDNA). Using several mouse models of bleeding anemia and hemolysis, we demonstrate a significant increase in plasma ecDNA, independent of neutrophil extracellular trap formation. This ecDNA forms G-quadruplex (G4) structures, which we detected in both mice and patients with systemic lupus erythematosus. Catalytic complexes (DNAzymes) formed by G4 ecDNA and heme drive oxidative stress, tissue injury, and inflammation. In anemic mice lacking deoxyribonuclease 1L3 (</w:t>
      </w:r>
      <w:r>
        <w:t xml:space="preserve"> </w:t>
      </w:r>
      <w:r>
        <w:t>DNase1l3</w:t>
      </w:r>
      <w:r>
        <w:t xml:space="preserve"> </w:t>
      </w:r>
      <w:r>
        <w:t>−/−</w:t>
      </w:r>
      <w:r>
        <w:t>), we found elevated polynucleosomal ecDNA in the plasma, reduced expression of the heme-degrading enzyme heme oxygenase-1 in macrophages, but also increased plasma creatinine, renal iron accumulation, and complement C3 deposition along elevated apoptosis and DNA damage. ecDNA isolated from these mice also triggered toll-like receptor 9-dependent inflammatory responses in vitro and in vivo. In summary, these findings suggest that concurrent release of heme and ecDNA during hemolysis promotes inflammation and tissue damage, contributing to lupus pathogenesis.</w:t>
      </w:r>
    </w:p>
    <w:p>
      <w:pPr>
        <w:spacing w:before="120" w:after="120"/>
      </w:pPr>
      <w:r>
        <w:rPr>
          <w:sz w:val="18"/>
        </w:rPr>
        <w:t>——————————————————————————————————————————————————————————————————————</w:t>
      </w:r>
    </w:p>
    <w:p>
      <w:pPr>
        <w:spacing w:before="160" w:after="40" w:line="240" w:lineRule="auto"/>
      </w:pPr>
      <w:r>
        <w:rPr>
          <w:b/>
        </w:rPr>
        <w:t xml:space="preserve">[345] </w:t>
      </w:r>
      <w:hyperlink r:id="rId797">
        <w:r>
          <w:rPr>
            <w:color w:val="1155CC"/>
            <w:u w:val="single"/>
          </w:rPr>
          <w:t>EIF4H和YBX1是丙型肝炎病毒复制和致病性的重要宿主因子</w:t>
        </w:r>
      </w:hyperlink>
    </w:p>
    <w:p>
      <w:pPr>
        <w:spacing w:before="0" w:after="80"/>
      </w:pPr>
      <w:r>
        <w:rPr>
          <w:i/>
          <w:sz w:val="20"/>
        </w:rPr>
        <w:t>EN: EIF4H and YBX1 are essential host factors for hepatitis E virus replication and pathogenesis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798">
        <w:r>
          <w:rPr>
            <w:color w:val="1155CC"/>
            <w:u w:val="single"/>
          </w:rPr>
          <w:t>10.1073/pnas.2529289123</w:t>
        </w:r>
      </w:hyperlink>
    </w:p>
    <w:p>
      <w:pPr>
        <w:spacing w:before="0" w:after="120"/>
      </w:pPr>
      <w:r>
        <w:rPr>
          <w:b/>
        </w:rPr>
        <w:t xml:space="preserve">Notes: </w:t>
      </w:r>
      <w:r>
        <w:t>abstract_source=crossref</w:t>
      </w:r>
    </w:p>
    <w:p>
      <w:pPr>
        <w:spacing w:before="0" w:after="80" w:lineRule="auto" w:line="276"/>
      </w:pPr>
      <w:r>
        <w:rPr>
          <w:b/>
        </w:rPr>
        <w:t xml:space="preserve">摘要（ZH）: </w:t>
      </w:r>
      <w:r>
        <w:t>戊型肝炎病毒（HEV）是全球急性病毒性肝炎的主要病因，每年导致约2000万例感染。尽管中国已有疫苗可用，但尚无直接作用的抗病毒药物获批，HEV复制所需的宿主因子仍未明确。在此，我们利用基因组范围的CRISPR/Cas9敲除筛选在复制子系统中，鉴定出真核翻译起始因子4H（EIF4H）和Y-Box结合蛋白1（YBX1）是HEV复制和致病性所必需的宿主因子。敲除任一因子显著削弱了HEV基因型1、3和4的复制，以及在肝细胞癌细胞和人诱导多能干细胞衍生的肝细胞样细胞中的HEV感染和生产，同时不影响SARS-CoV-2，he</w:t>
      </w:r>
    </w:p>
    <w:p>
      <w:pPr>
        <w:spacing w:before="0" w:after="200" w:lineRule="auto" w:line="276"/>
      </w:pPr>
      <w:r>
        <w:rPr>
          <w:b/>
        </w:rPr>
        <w:t xml:space="preserve">Abstract (EN): </w:t>
      </w:r>
      <w:r>
        <w:t>Hepatitis E virus (HEV) is a leading cause of acute viral hepatitis worldwide, responsible for approximately 20 million infections annually. Despite the availability of a vaccine in China, no direct-acting antivirals are approved, and host factors required for HEV replication remain poorly defined. Here, using a genome-wide CRISPR/Cas9 knockout screen in a replicon system, we identified Eukaryotic Translation Initiation Factor 4H (EIF4H) and Y-Box Binding Protein 1 (YBX1) as essential host factors for HEV replication and pathogenesis. Knockout of either factor markedly impaired replication of HEV genotypes 1, 3, and 4, as well as HEV infection and production in hepatocellular carcinoma cells and human induced pluripotent stem cell-derived hepatocyte-like cells, while leaving SARS-CoV-2, hepatitis B virus, hepatitis C virus, and Zika virus unaffected, underscoring their HEV-specific roles. Mechanistically, EIF4H interacts with ORF1 via its methyltransferase-Y-papain-like protease region, and EIF4H deficiency alters the composition of the ORF1-associated replication complex. By contrast, YBX1 is dispensable for ORF1 translation and RNA binding but is specifically required for ORF1 proteolytic processing, a prerequisite for assembling a functional replication machinery. EIF4H knockout rats and liver-specific YBX1 knockout rats were largely resistant to rat HEV-C1 infection, showing profound reductions in viral shedding, suppressed hepatic and intestinal viral loads, and protection from liver pathology. Together, our findings establish EIF4H and YBX1 as essential host factors for HEV infection and pathogenesis and reveal potential targets for antiviral intervention.</w:t>
      </w:r>
    </w:p>
    <w:p>
      <w:pPr>
        <w:spacing w:before="120" w:after="120"/>
      </w:pPr>
      <w:r>
        <w:rPr>
          <w:sz w:val="18"/>
        </w:rPr>
        <w:t>——————————————————————————————————————————————————————————————————————</w:t>
      </w:r>
    </w:p>
    <w:p>
      <w:pPr>
        <w:spacing w:before="160" w:after="40" w:line="240" w:lineRule="auto"/>
      </w:pPr>
      <w:r>
        <w:rPr>
          <w:b/>
        </w:rPr>
        <w:t xml:space="preserve">[346] </w:t>
      </w:r>
      <w:hyperlink r:id="rId799">
        <w:r>
          <w:rPr>
            <w:color w:val="1155CC"/>
            <w:u w:val="single"/>
          </w:rPr>
          <w:t>N6-甲基腺嘌呤DNA修饰调节线虫中的病原体毒力</w:t>
        </w:r>
      </w:hyperlink>
    </w:p>
    <w:p>
      <w:pPr>
        <w:spacing w:before="0" w:after="80"/>
      </w:pPr>
      <w:r>
        <w:rPr>
          <w:i/>
          <w:sz w:val="20"/>
        </w:rPr>
        <w:t>EN: N6-methyladenine DNA modification modulates pathogen virulence in nematodes</w:t>
      </w:r>
    </w:p>
    <w:p>
      <w:pPr>
        <w:spacing w:before="0" w:after="120"/>
      </w:pPr>
      <w:r>
        <w:rPr>
          <w:b/>
        </w:rPr>
        <w:t xml:space="preserve">Source: </w:t>
      </w:r>
      <w:r>
        <w:t>Proceedings of the National Academy of Sciences: Keyword search for query</w:t>
      </w:r>
      <w:r>
        <w:t xml:space="preserve">    </w:t>
      </w:r>
      <w:r>
        <w:rPr>
          <w:b/>
        </w:rPr>
        <w:t xml:space="preserve">Pub date: </w:t>
      </w:r>
      <w:r>
        <w:t>2026-03-04 08:00:00+00:00</w:t>
      </w:r>
      <w:r>
        <w:t xml:space="preserve">    </w:t>
      </w:r>
      <w:r>
        <w:rPr>
          <w:b/>
        </w:rPr>
        <w:t xml:space="preserve">DOI: </w:t>
      </w:r>
      <w:hyperlink r:id="rId800">
        <w:r>
          <w:rPr>
            <w:color w:val="1155CC"/>
            <w:u w:val="single"/>
          </w:rPr>
          <w:t>10.1073/pnas.2525035123</w:t>
        </w:r>
      </w:hyperlink>
    </w:p>
    <w:p>
      <w:pPr>
        <w:spacing w:before="0" w:after="120"/>
      </w:pPr>
      <w:r>
        <w:rPr>
          <w:b/>
        </w:rPr>
        <w:t xml:space="preserve">Notes: </w:t>
      </w:r>
      <w:r>
        <w:t>abstract_source=crossref</w:t>
      </w:r>
    </w:p>
    <w:p>
      <w:pPr>
        <w:spacing w:before="0" w:after="80" w:lineRule="auto" w:line="276"/>
      </w:pPr>
      <w:r>
        <w:rPr>
          <w:b/>
        </w:rPr>
        <w:t xml:space="preserve">摘要（ZH）: </w:t>
      </w:r>
      <w:r>
        <w:t>理解控制病原体毒力基因表达的全球调控机制对于阐明病原性分子基础至关重要。N6-甲基腺嘌呤（6 mA）在响应各种环境压力时在基因表达调控中起关键作用；然而，其在病原体毒力中的作用仍然很少被探索。在此，我们报告了6 mA在17种线虫分离株中的广泛存在，并绘制了其在六种重要农业病原根结线虫（RKNs）中的基因组分布图。我们证明了6 mA在线虫中以保守的GAG基序为特征，但表现出物种特异性的分布模式和对基因表达的不同影响。特别是，其在转座元件（TEs）中的富集在多</w:t>
      </w:r>
    </w:p>
    <w:p>
      <w:pPr>
        <w:spacing w:before="0" w:after="200" w:lineRule="auto" w:line="276"/>
      </w:pPr>
      <w:r>
        <w:rPr>
          <w:b/>
        </w:rPr>
        <w:t xml:space="preserve">Abstract (EN): </w:t>
      </w:r>
      <w:r>
        <w:t>Understanding the global regulatory mechanisms that control pathogen virulence gene expression is essential for elucidating the molecular basis of pathogenicity. N6-methyladenine (6 mA) plays a crucial role in regulating gene expression in response to various environmental stresses; however, its role in pathogen virulence remains largely unexplored. Here, we report the widespread occurrence of 6 mA across 17 nematode isolates and map its genomic landscape in six notorious agriculturally important pathogen root-knot nematodes (RKNs). We demonstrated that 6 mA is characterized by a conserved GAG motif across nematodes, but exhibits species-specific distribution patterns and distinct effects on gene expression. In particular, its enrichment in transposable elements (TEs) differs between polyploid and diploid nematodes, suggesting lineage-specific epigenetic regulation potentially associated with polyploidy. We further identified two functional 6 mA demethylases, MiNMAD-1 and MiNMAD-2, and confirmed their catalytic activity and active sites. Host-induced gene silencing (HIGS) of</w:t>
      </w:r>
      <w:r>
        <w:t xml:space="preserve"> </w:t>
      </w:r>
      <w:r>
        <w:t>minmad-1</w:t>
      </w:r>
      <w:r>
        <w:t xml:space="preserve"> </w:t>
      </w:r>
      <w:r>
        <w:t>significantly increased plant resistance to three polyploid RKN species. A detailed functional analysis revealed that</w:t>
      </w:r>
      <w:r>
        <w:t xml:space="preserve"> </w:t>
      </w:r>
      <w:r>
        <w:t>minmad-1</w:t>
      </w:r>
      <w:r>
        <w:t xml:space="preserve"> </w:t>
      </w:r>
      <w:r>
        <w:t>knockdown broadly affected gene expression during the parasitic stage, including genes involved in virulence, thereby reducing nematode infectivity. Together, our findings suggest 6 mA demethylase as a key epigenetic regulator of RKNs’ virulence, providing new insights into nematode biology and offering promising targets for the development of sustainable control strategies.</w:t>
      </w:r>
    </w:p>
    <w:p>
      <w:pPr>
        <w:spacing w:before="120" w:after="120"/>
      </w:pPr>
      <w:r>
        <w:rPr>
          <w:sz w:val="18"/>
        </w:rPr>
        <w:t>——————————————————————————————————————————————————————————————————————</w:t>
      </w:r>
    </w:p>
    <w:p>
      <w:pPr>
        <w:spacing w:before="160" w:after="40" w:line="240" w:lineRule="auto"/>
      </w:pPr>
      <w:r>
        <w:rPr>
          <w:b/>
        </w:rPr>
        <w:t xml:space="preserve">[347] </w:t>
      </w:r>
      <w:hyperlink r:id="rId801">
        <w:r>
          <w:rPr>
            <w:color w:val="1155CC"/>
            <w:u w:val="single"/>
          </w:rPr>
          <w:t>[ASAP] 通过NMR和EPR揭示HER2跨膜和膜邻域区域的细胞外结构域和抗体结合的不同效应</w:t>
        </w:r>
      </w:hyperlink>
    </w:p>
    <w:p>
      <w:pPr>
        <w:spacing w:before="0" w:after="80"/>
      </w:pPr>
      <w:r>
        <w:rPr>
          <w:i/>
          <w:sz w:val="20"/>
        </w:rPr>
        <w:t>EN: [ASAP] Distinct Effects of the Extracellular Domain and Antibody Binding on HER2 Transmembrane and Juxtamembrane Regions Unveiled by NMR and EPR</w:t>
      </w:r>
    </w:p>
    <w:p>
      <w:pPr>
        <w:spacing w:before="0" w:after="120"/>
      </w:pPr>
      <w:r>
        <w:rPr>
          <w:b/>
        </w:rPr>
        <w:t xml:space="preserve">Source: </w:t>
      </w:r>
      <w:r>
        <w:t>Journal of the American Chemical Society: Latest Articles (ACS Publications)</w:t>
      </w:r>
      <w:r>
        <w:t xml:space="preserve">    </w:t>
      </w:r>
      <w:r>
        <w:rPr>
          <w:b/>
        </w:rPr>
        <w:t xml:space="preserve">Pub date: </w:t>
      </w:r>
      <w:r>
        <w:t>2026-03-04 11:32:13+00:00</w:t>
      </w:r>
      <w:r>
        <w:t xml:space="preserve">    </w:t>
      </w:r>
      <w:r>
        <w:rPr>
          <w:b/>
        </w:rPr>
        <w:t xml:space="preserve">DOI: </w:t>
      </w:r>
      <w:hyperlink r:id="rId802">
        <w:r>
          <w:rPr>
            <w:color w:val="1155CC"/>
            <w:u w:val="single"/>
          </w:rPr>
          <w:t>10.1021/jacs.5c11966</w:t>
        </w:r>
      </w:hyperlink>
    </w:p>
    <w:p>
      <w:pPr>
        <w:spacing w:before="0" w:after="120"/>
      </w:pPr>
      <w:r>
        <w:rPr>
          <w:b/>
        </w:rPr>
        <w:t xml:space="preserve">Notes: </w:t>
      </w:r>
      <w:r>
        <w:t>abstract_source=pubmed</w:t>
      </w:r>
    </w:p>
    <w:p>
      <w:pPr>
        <w:spacing w:before="0" w:after="80" w:lineRule="auto" w:line="276"/>
      </w:pPr>
      <w:r>
        <w:rPr>
          <w:b/>
        </w:rPr>
        <w:t xml:space="preserve">摘要（ZH）: </w:t>
      </w:r>
      <w:r>
        <w:t>HER2受体是人类表皮生长因子受体（EGFR）家族的关键成员，在癌症进展中起着重要作用。其跨膜区域包含细胞外膜邻区（EJM）、跨膜域（TMD）和细胞内膜邻区（IJM），经历复杂的构象动态变化，这对于其功能活动至关重要。然而，这些在脂质双层中的动态特性仍然知之甚少。本研究结合氟核磁共振（19F NMR）、脉冲偶极电子顺磁共振（PD-EPR）和带有膜近端化学报告器（NMPCR）的纳米盘策略，阐明了HER2 EJM-TMD-IJM在细胞外域（ECD）结合和t引起的构象变化。</w:t>
      </w:r>
    </w:p>
    <w:p>
      <w:pPr>
        <w:spacing w:before="0" w:after="200" w:lineRule="auto" w:line="276"/>
      </w:pPr>
      <w:r>
        <w:rPr>
          <w:b/>
        </w:rPr>
        <w:t xml:space="preserve">Abstract (EN): </w:t>
      </w:r>
      <w:r>
        <w:t>The HER2 receptor, a critical member of the human epidermal growth factor receptor (EGFR) family, plays a crucial role in cancer progression. Its transmembrane region, containing the extracellular juxtamembrane (EJM) region, transmembrane domain (TMD), and intracellular juxtamembrane (IJM) region, undergoes complex conformational dynamics that are essential for its functional activities. However, these dynamic properties within lipid bilayers remain poorly understood. This study employs a combination of fluorine nuclear magnetic resonance (19F NMR), pulsed dipolar electron paramagnetic resonance (PD-EPR), and a nanodisc strategy with a membrane-proximal chemical reporter (NMPCR) to elucidate HER2 EJM-TMD-IJM's conformational changes induced by extracellular domain (ECD) incorporation and therapeutic single-domain antibody (sdAb) binding in a near-native membrane environment. Our results demonstrate that the ECD incorporation greatly restricts the conformation flexibility or heterogeneity of both TMD and IJM in HER2. Furthermore, binding of sdAb to HER2 ECD introduces large conformational rearrangements of the EJM region. These insights enhance our understanding of HER2's molecular behavior within lipid bilayers, provide significant implications for targeted cancer therapies, and establish a generalizable workflow for studying transmembrane dynamics in near-native lipid environments.</w:t>
      </w:r>
    </w:p>
    <w:p>
      <w:pPr>
        <w:spacing w:before="120" w:after="120"/>
      </w:pPr>
      <w:r>
        <w:rPr>
          <w:sz w:val="18"/>
        </w:rPr>
        <w:t>——————————————————————————————————————————————————————————————————————</w:t>
      </w:r>
    </w:p>
    <w:p>
      <w:pPr>
        <w:spacing w:before="160" w:after="40" w:line="240" w:lineRule="auto"/>
      </w:pPr>
      <w:r>
        <w:rPr>
          <w:b/>
        </w:rPr>
        <w:t xml:space="preserve">[348] </w:t>
      </w:r>
      <w:hyperlink r:id="rId803">
        <w:r>
          <w:rPr>
            <w:color w:val="1155CC"/>
            <w:u w:val="single"/>
          </w:rPr>
          <w:t>[ASAP] 铜(I)介导的碳硼烷阴离子直接C–H官能化：在C1顶点一锅安装氨基、羟基、碳和其他杂原子官能团</w:t>
        </w:r>
      </w:hyperlink>
    </w:p>
    <w:p>
      <w:pPr>
        <w:spacing w:before="0" w:after="80"/>
      </w:pPr>
      <w:r>
        <w:rPr>
          <w:i/>
          <w:sz w:val="20"/>
        </w:rPr>
        <w:t>EN: [ASAP] Copper(I)-Mediated Direct C–H Functionalization of Carborane Anion: One-Pot Installation of Amino, Hydroxyl, Carbon, and Other Heteroatom Functional Groups at the C1 Vertex</w:t>
      </w:r>
    </w:p>
    <w:p>
      <w:pPr>
        <w:spacing w:before="0" w:after="120"/>
      </w:pPr>
      <w:r>
        <w:rPr>
          <w:b/>
        </w:rPr>
        <w:t xml:space="preserve">Source: </w:t>
      </w:r>
      <w:r>
        <w:t>Journal of the American Chemical Society: Latest Articles (ACS Publications)</w:t>
      </w:r>
      <w:r>
        <w:t xml:space="preserve">    </w:t>
      </w:r>
      <w:r>
        <w:rPr>
          <w:b/>
        </w:rPr>
        <w:t xml:space="preserve">Pub date: </w:t>
      </w:r>
      <w:r>
        <w:t>2026-03-04 11:53:15+00:00</w:t>
      </w:r>
      <w:r>
        <w:t xml:space="preserve">    </w:t>
      </w:r>
      <w:r>
        <w:rPr>
          <w:b/>
        </w:rPr>
        <w:t xml:space="preserve">DOI: </w:t>
      </w:r>
      <w:hyperlink r:id="rId804">
        <w:r>
          <w:rPr>
            <w:color w:val="1155CC"/>
            <w:u w:val="single"/>
          </w:rPr>
          <w:t>10.1021/jacs.5c18673</w:t>
        </w:r>
      </w:hyperlink>
    </w:p>
    <w:p>
      <w:pPr>
        <w:spacing w:before="0" w:after="120"/>
      </w:pPr>
      <w:r>
        <w:rPr>
          <w:b/>
        </w:rPr>
        <w:t xml:space="preserve">Notes: </w:t>
      </w:r>
      <w:r>
        <w:t>abstract_source=pubmed</w:t>
      </w:r>
    </w:p>
    <w:p>
      <w:pPr>
        <w:spacing w:before="0" w:after="80" w:lineRule="auto" w:line="276"/>
      </w:pPr>
      <w:r>
        <w:rPr>
          <w:b/>
        </w:rPr>
        <w:t xml:space="preserve">摘要（ZH）: </w:t>
      </w:r>
      <w:r>
        <w:t>在此，我们首次展示了通过单羧基-closododecaborate 阴离子 (1) 的 C-H 键的去质子化铜化反应进行一锅 C-H 氨化反应，生成 Cu(I)-ate 复合物 [1-Cu-CB11H11-] (1a)，然后用羟胺衍生物 (RONH2) 氧化。DFT 计算表明，O-N 键对碳硼烷铜(I)物种的氧化加成是引入氨基的关键步骤，而铜的这种独特氧化还原特性也使得在 C 顶点一锅安装各种取代基成为可能，包括羟基、氰基、芳基、炔基、硫族元素和二氮烯基，从而为基于碳硼烷阴离子的功能化材料和药物提供了基本结构。</w:t>
      </w:r>
    </w:p>
    <w:p>
      <w:pPr>
        <w:spacing w:before="0" w:after="200" w:lineRule="auto" w:line="276"/>
      </w:pPr>
      <w:r>
        <w:rPr>
          <w:b/>
        </w:rPr>
        <w:t xml:space="preserve">Abstract (EN): </w:t>
      </w:r>
      <w:r>
        <w:t>Herein we present the first one-pot C-H amination of the monocarba-closo-dodecaborate anion (1) via deprotonative cupration of the C-H bond of 1 to afford the Cu(I)-ate complex [1-Cu-CB11H11-] (1a), followed by oxidation with hydroxylamine derivatives (RONH2). DFT calculation indicated that oxidative addition of the O-N bond to the carboranyl copper(I) species is the key step for introduction of the amino group, and this unique redox characteristic of copper also enables the one-pot installation of various substituents at the C vertex, including hydroxyl, cyano, aryl, alkynyl, chalcogen, and diazene groups, thereby providing the basic architecture for carborane anion-based functionalized materials and pharmaceuticals.</w:t>
      </w:r>
    </w:p>
    <w:p>
      <w:pPr>
        <w:spacing w:before="120" w:after="120"/>
      </w:pPr>
      <w:r>
        <w:rPr>
          <w:sz w:val="18"/>
        </w:rPr>
        <w:t>——————————————————————————————————————————————————————————————————————</w:t>
      </w:r>
    </w:p>
    <w:p>
      <w:pPr>
        <w:spacing w:before="160" w:after="40" w:line="240" w:lineRule="auto"/>
      </w:pPr>
      <w:r>
        <w:rPr>
          <w:b/>
        </w:rPr>
        <w:t xml:space="preserve">[349] </w:t>
      </w:r>
      <w:hyperlink r:id="rId805">
        <w:r>
          <w:rPr>
            <w:color w:val="1155CC"/>
            <w:u w:val="single"/>
          </w:rPr>
          <w:t>[ASAP] 2D混合钙钛矿中手性光学性质的相变启用切换</w:t>
        </w:r>
      </w:hyperlink>
    </w:p>
    <w:p>
      <w:pPr>
        <w:spacing w:before="0" w:after="80"/>
      </w:pPr>
      <w:r>
        <w:rPr>
          <w:i/>
          <w:sz w:val="20"/>
        </w:rPr>
        <w:t>EN: [ASAP] Phase-Transition-Enabled Switching of Chiroptical Properties in 2D Hybrid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2026-03-04 12:15:09+00:00</w:t>
      </w:r>
      <w:r>
        <w:t xml:space="preserve">    </w:t>
      </w:r>
      <w:r>
        <w:rPr>
          <w:b/>
        </w:rPr>
        <w:t xml:space="preserve">DOI: </w:t>
      </w:r>
      <w:hyperlink r:id="rId806">
        <w:r>
          <w:rPr>
            <w:color w:val="1155CC"/>
            <w:u w:val="single"/>
          </w:rPr>
          <w:t>10.1021/jacs.5c20803</w:t>
        </w:r>
      </w:hyperlink>
    </w:p>
    <w:p>
      <w:pPr>
        <w:spacing w:before="0" w:after="120"/>
      </w:pPr>
      <w:r>
        <w:rPr>
          <w:b/>
        </w:rPr>
        <w:t xml:space="preserve">Notes: </w:t>
      </w:r>
      <w:r>
        <w:t>abstract_source=pubmed</w:t>
      </w:r>
    </w:p>
    <w:p>
      <w:pPr>
        <w:spacing w:before="0" w:after="80" w:lineRule="auto" w:line="276"/>
      </w:pPr>
      <w:r>
        <w:rPr>
          <w:b/>
        </w:rPr>
        <w:t xml:space="preserve">摘要（ZH）: </w:t>
      </w:r>
      <w:r>
        <w:t>手性材料通常具有在制造或合成时固定的手性光学性质。然而，能够按需可逆调节这些性质可能会在传感、光子学和信息存储方面开启新的机会。在这项工作中，我们利用手性二维杂化钙钛矿 (2DHPs) 中的固-固相变来实现单一材料系统内动态可切换的手性光学性质。通过将手性添加剂 S/R-[1,1'-联萘]-2,2'-二基双(三氟甲磺酸酯) (S/R-BTS) 引入 n-戊基铵铅碘 (PA2PbI4) 和 n-己基铵铅碘 (HA2PbI4)，我们在原本非手性的 2DHPs 中引发了显著的手性光学响应，如圆二色性 (CD) 光谱所揭示。重要的是，包含</w:t>
      </w:r>
    </w:p>
    <w:p>
      <w:pPr>
        <w:spacing w:before="0" w:after="200" w:lineRule="auto" w:line="276"/>
      </w:pPr>
      <w:r>
        <w:rPr>
          <w:b/>
        </w:rPr>
        <w:t xml:space="preserve">Abstract (EN): </w:t>
      </w:r>
      <w:r>
        <w:t>Chiral materials typically possess chiroptical properties that are fixed upon fabrication or synthesis. However, the ability to reversibly modulate these properties on demand could unlock new opportunities in sensing, photonics, and information storage. In this work, we exploit solid-solid phase transitions in chiral two-dimensional hybrid perovskites (2DHPs) to achieve dynamically switchable chiroptical properties within a single material system. By incorporating the chiral additive S/R-[1,1'-binaphthalene]-2,2'-diyl bis(trifluoromethansulfonate) (S/R-BTS) into n-pentylammonium lead iodide (PA2PbI4) and n-hexylammonium lead iodide (HA2PbI4), we induce a large chiroptical response in otherwise achiral 2DHPs, as revealed by circular dichroism (CD) spectroscopy. Importantly, the inclusion of S/R-BTS preserves the characteristic solid-solid phase transitions of the parent 2DHPs. These phase transitions drive pronounced shifts in the CD spectra, including a region in the CD spectrum that reversibly inverts across the transition. Together, these results establish control of 2DHP phase behavior as a powerful strategy for creating dynamically tunable chiral materials.</w:t>
      </w:r>
    </w:p>
    <w:p>
      <w:pPr>
        <w:spacing w:before="120" w:after="120"/>
      </w:pPr>
      <w:r>
        <w:rPr>
          <w:sz w:val="18"/>
        </w:rPr>
        <w:t>——————————————————————————————————————————————————————————————————————</w:t>
      </w:r>
    </w:p>
    <w:p>
      <w:pPr>
        <w:spacing w:before="160" w:after="40" w:line="240" w:lineRule="auto"/>
      </w:pPr>
      <w:r>
        <w:rPr>
          <w:b/>
        </w:rPr>
        <w:t xml:space="preserve">[350] </w:t>
      </w:r>
      <w:hyperlink r:id="rId807">
        <w:r>
          <w:rPr>
            <w:color w:val="1155CC"/>
            <w:u w:val="single"/>
          </w:rPr>
          <w:t>[ASAP] 具有原子精确单铜位点的异金属有机框架用于光催化</w:t>
        </w:r>
      </w:hyperlink>
    </w:p>
    <w:p>
      <w:pPr>
        <w:spacing w:before="0" w:after="80"/>
      </w:pPr>
      <w:r>
        <w:rPr>
          <w:i/>
          <w:sz w:val="20"/>
        </w:rPr>
        <w:t>EN: [ASAP] A Heterometallic Metal–Organic Framework with Atomically Precise Single-Cu Sites for Photocatalysis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2026-03-04 13:33:20+00:00</w:t>
      </w:r>
      <w:r>
        <w:t xml:space="preserve">    </w:t>
      </w:r>
      <w:r>
        <w:rPr>
          <w:b/>
        </w:rPr>
        <w:t xml:space="preserve">DOI: </w:t>
      </w:r>
      <w:hyperlink r:id="rId808">
        <w:r>
          <w:rPr>
            <w:color w:val="1155CC"/>
            <w:u w:val="single"/>
          </w:rPr>
          <w:t>10.1021/jacs.5c22008</w:t>
        </w:r>
      </w:hyperlink>
    </w:p>
    <w:p>
      <w:pPr>
        <w:spacing w:before="0" w:after="120"/>
      </w:pPr>
      <w:r>
        <w:rPr>
          <w:b/>
        </w:rPr>
        <w:t xml:space="preserve">Notes: </w:t>
      </w:r>
      <w:r>
        <w:t>abstract_source=pubmed</w:t>
      </w:r>
    </w:p>
    <w:p>
      <w:pPr>
        <w:spacing w:before="0" w:after="80" w:lineRule="auto" w:line="276"/>
      </w:pPr>
      <w:r>
        <w:rPr>
          <w:b/>
        </w:rPr>
        <w:t xml:space="preserve">摘要（ZH）: </w:t>
      </w:r>
      <w:r>
        <w:t>原子精确的单原子催化剂 (SACs) 对于建立可靠的结构-活性关系至关重要，但合成出具有完全解析配位微环境的 SACs 的合成路线仍然是一个重大挑战。在此，我们报告了一种次级构建单元 (SBU) 解构-重组策略，通过引入 Y3+ 和 2-氟苯甲酸调节剂，将 Cu2(TCA)4/3 (H3TCA = 4,4',4″-三羧基三苯胺) 框架中的二铜 Cu2(COO)4 簇转化为 Y4(μ3-OH)4Cu2(COO)12 异金属簇。单晶 X 射线衍射明确捕捉到了这种重组，扩展了 Cu···Cu 距离从 2.6 到 10.3 Å，生成了两个孤立的方形 CuO4 位点，并保留了所有 TCA 键的空间排列，最小</w:t>
      </w:r>
    </w:p>
    <w:p>
      <w:pPr>
        <w:spacing w:before="0" w:after="200" w:lineRule="auto" w:line="276"/>
      </w:pPr>
      <w:r>
        <w:rPr>
          <w:b/>
        </w:rPr>
        <w:t xml:space="preserve">Abstract (EN): </w:t>
      </w:r>
      <w:r>
        <w:t>Atomically precise single-atom catalysts (SACs) are essential for establishing reliable structure-activity relationships, yet synthetic routes that afford SACs with fully resolved coordination microenvironments remain a significant challenge. Here we report a secondary building unit (SBU) deconstruction-reorganization strategy that converts the dicopper Cu2(COO)4 cluster in Cu2(TCA)4/3 (H3TCA = 4,4',4″-tricarboxytriphenylamine) framework into a Y4(μ3-OH)4Cu2(COO)12 heterometallic cluster through the introduction of Y3+ and 2-fluorobenzoic acid modulator. Single-crystal X-ray diffraction unambiguously captures this reorganization, which expands the Cu···Cu distance from 2.6 to 10.3 Å, generates two isolated square CuO4 sites, and preserves the spatial arrangement of all TCA linkers with minimal lattice perturbation. The resulting framework, CCNUF-51, adopts a (3,8)-connected the topology arising from merging two adjacent 4-connected paddlewheel nodes of the parent pto net into a single 8-connected node. CCNUF-51 exhibits good chemical stability (pH 2-12), attributed to the synergistic coordination of hard Y3+ and soft Cu2+ within the heterometallic SBU. The atomically dispersed Cu sites are intimately coupled to photoactive TCA linkers, enabling highly efficient photocatalytic benzylic C(sp3)-H functionalization─including esterification, sulfonamidation, and methoxylation─that outperforms CuI, Cu(OAc)2, Cu2(TCA)4/3, and benchmark Cu/UiO-66 SAC. This work establishes SBU deconstruction-reorganization as an effective route for accessing SACs with atomically well-defined active sites.</w:t>
      </w:r>
    </w:p>
    <w:p>
      <w:pPr>
        <w:spacing w:before="120" w:after="120"/>
      </w:pPr>
      <w:r>
        <w:rPr>
          <w:sz w:val="18"/>
        </w:rPr>
        <w:t>——————————————————————————————————————————————————————————————————————</w:t>
      </w:r>
    </w:p>
    <w:p>
      <w:pPr>
        <w:spacing w:before="160" w:after="40" w:line="240" w:lineRule="auto"/>
      </w:pPr>
      <w:r>
        <w:rPr>
          <w:b/>
        </w:rPr>
        <w:t xml:space="preserve">[351] </w:t>
      </w:r>
      <w:hyperlink r:id="rId809">
        <w:r>
          <w:rPr>
            <w:color w:val="1155CC"/>
            <w:u w:val="single"/>
          </w:rPr>
          <w:t>[ASAP] 机器学习驱动的体相和界面水系统分子动力学进展</w:t>
        </w:r>
      </w:hyperlink>
    </w:p>
    <w:p>
      <w:pPr>
        <w:spacing w:before="0" w:after="80"/>
      </w:pPr>
      <w:r>
        <w:rPr>
          <w:i/>
          <w:sz w:val="20"/>
        </w:rPr>
        <w:t>EN: [ASAP] Machine Learning Driven Advances in Molecular Dynamics of Bulk and Interfacial Aqueous Systems</w:t>
      </w:r>
    </w:p>
    <w:p>
      <w:pPr>
        <w:spacing w:before="0" w:after="120"/>
      </w:pPr>
      <w:r>
        <w:rPr>
          <w:b/>
        </w:rPr>
        <w:t xml:space="preserve">Source: </w:t>
      </w:r>
      <w:r>
        <w:t>Chemical Reviews: Latest Articles (ACS Publications)</w:t>
      </w:r>
      <w:r>
        <w:t xml:space="preserve">    </w:t>
      </w:r>
      <w:r>
        <w:rPr>
          <w:b/>
        </w:rPr>
        <w:t xml:space="preserve">Pub date: </w:t>
      </w:r>
      <w:r>
        <w:t>2026-03-04 20:00:00+00:00</w:t>
      </w:r>
      <w:r>
        <w:t xml:space="preserve">    </w:t>
      </w:r>
      <w:r>
        <w:rPr>
          <w:b/>
        </w:rPr>
        <w:t xml:space="preserve">DOI: </w:t>
      </w:r>
      <w:hyperlink r:id="rId810">
        <w:r>
          <w:rPr>
            <w:color w:val="1155CC"/>
            <w:u w:val="single"/>
          </w:rPr>
          <w:t>10.1021/acs.chemrev.5c00708</w:t>
        </w:r>
      </w:hyperlink>
    </w:p>
    <w:p>
      <w:pPr>
        <w:spacing w:before="0" w:after="120"/>
      </w:pPr>
      <w:r>
        <w:rPr>
          <w:b/>
        </w:rPr>
        <w:t xml:space="preserve">Notes: </w:t>
      </w:r>
      <w:r>
        <w:t>abstract_source=pubmed</w:t>
      </w:r>
    </w:p>
    <w:p>
      <w:pPr>
        <w:spacing w:before="0" w:after="80" w:lineRule="auto" w:line="276"/>
      </w:pPr>
      <w:r>
        <w:rPr>
          <w:b/>
        </w:rPr>
        <w:t xml:space="preserve">摘要（ZH）: </w:t>
      </w:r>
      <w:r>
        <w:t>分子动力学（MD）模拟已被广泛应用于研究水相和界面环境中的各种物理和化学过程，这对于能源材料的设计以及理解生命核心的若干化学过程至关重要。然而，MD模拟的适用性受到若干固有挑战的限制，包括力场的准确性、模拟规模和时间尺度的限制。一个有前景的解决方案是整合机器学习（ML）方法，以改善对水系统中相互作用性质的描述以及增强采样。在这篇综述中，我们讨论了ML力场（MLFFs）和ML增强的原理、实施和应用。</w:t>
      </w:r>
    </w:p>
    <w:p>
      <w:pPr>
        <w:spacing w:before="0" w:after="200" w:lineRule="auto" w:line="276"/>
      </w:pPr>
      <w:r>
        <w:rPr>
          <w:b/>
        </w:rPr>
        <w:t xml:space="preserve">Abstract (EN): </w:t>
      </w:r>
      <w:r>
        <w:t>Molecular dynamics (MD) simulations have been widely applied to investigate various physical and chemical processes in aqueous and interfacial environments, which are crucial for the design of energy materials and for understanding several chemical processes at the heart of life itself. However, the applicability of MD simulations has been constrained by several inherent challenges, including the accuracy of force fields, limitations in simulation size and time scales. One promising solution to these challenges is the integration of machine learning (ML) methods, both for improved description of the nature of interactions in aqueous systems as well as for enhanced sampling. In this review, we discuss the principles, implementation, and applications of ML force fields (MLFFs) and ML enhanced sampling methods to the study of aqueous, interfacial systems. We discuss five key categories of applications that use MLFFs, ML-enhanced sampling, and ML-driven data analytics. We first discuss how MLFFs are enabling quantum level accuracy at classical level cost for large scale simulations of complex aqueous and interfacial systems, and then we highlight how coupling them with enhanced sampling and advanced data analytics, especially graph based approaches for featurizing such systems, can be used both for enhancing simulations and for understanding them by yielding reliable low dimensional reaction coordinates that improve the interpretation of high dimensional MD data. The discussed applications include investigations into the structure and dynamics of bulk water and aqueous interfaces, proton transfer, catalysis, phase transitions, and the prediction of vibrational spectra. In each case, we highlight how ML-based methods enable simulations that were previously computationally prohibitive and provide new physical insights into aqueous solutions and interfaces. For instance, MLFFs allow nanosecond-scale simulations with thousands of atoms while maintaining quantum chemistry accuracy. Additionally, ML-enhanced sampling facilitates the crossing of large reaction barriers and enables the exploration of extensive configuration spaces. Moreover, ML models trained on simulation data uncover previously overlooked factors, such as the role of solvent dynamics in phase transitions. The combination of MLFFs with enhanced sampling techniques makes the calculation of high-dimensional free energy surfaces feasible, significantly improving our understanding of chemical reactions. Finally, we discuss the current challenges in this field and outline potential future research directions to further advance the integration of ML in MD simulations.</w:t>
      </w:r>
    </w:p>
    <w:p>
      <w:pPr>
        <w:spacing w:before="120" w:after="120"/>
      </w:pPr>
      <w:r>
        <w:rPr>
          <w:sz w:val="18"/>
        </w:rPr>
        <w:t>——————————————————————————————————————————————————————————————————————</w:t>
      </w:r>
    </w:p>
    <w:p>
      <w:pPr>
        <w:spacing w:before="160" w:after="40" w:line="240" w:lineRule="auto"/>
      </w:pPr>
      <w:r>
        <w:rPr>
          <w:b/>
        </w:rPr>
        <w:t xml:space="preserve">[352] </w:t>
      </w:r>
      <w:hyperlink r:id="rId811">
        <w:r>
          <w:rPr>
            <w:color w:val="1155CC"/>
            <w:u w:val="single"/>
          </w:rPr>
          <w:t>[ASAP] 人工智能预测的OSDAs实现了层间扩展沸石的直接合成</w:t>
        </w:r>
      </w:hyperlink>
    </w:p>
    <w:p>
      <w:pPr>
        <w:spacing w:before="0" w:after="80"/>
      </w:pPr>
      <w:r>
        <w:rPr>
          <w:i/>
          <w:sz w:val="20"/>
        </w:rPr>
        <w:t>EN: [ASAP] Artificial Intelligence Predicted OSDAs Enable Direct Synthesis of Interlayer-Expanded Zeolites</w:t>
      </w:r>
    </w:p>
    <w:p>
      <w:pPr>
        <w:spacing w:before="0" w:after="120"/>
      </w:pPr>
      <w:r>
        <w:rPr>
          <w:b/>
        </w:rPr>
        <w:t xml:space="preserve">Source: </w:t>
      </w:r>
      <w:r>
        <w:t>Journal of the American Chemical Society: Latest Articles (ACS Publications)</w:t>
      </w:r>
      <w:r>
        <w:t xml:space="preserve">    </w:t>
      </w:r>
      <w:r>
        <w:rPr>
          <w:b/>
        </w:rPr>
        <w:t xml:space="preserve">Pub date: </w:t>
      </w:r>
      <w:r>
        <w:t>2026-03-04 20:40:55+00:00</w:t>
      </w:r>
      <w:r>
        <w:t xml:space="preserve">    </w:t>
      </w:r>
      <w:r>
        <w:rPr>
          <w:b/>
        </w:rPr>
        <w:t xml:space="preserve">DOI: </w:t>
      </w:r>
      <w:hyperlink r:id="rId812">
        <w:r>
          <w:rPr>
            <w:color w:val="1155CC"/>
            <w:u w:val="single"/>
          </w:rPr>
          <w:t>10.1021/jacs.5c22724</w:t>
        </w:r>
      </w:hyperlink>
    </w:p>
    <w:p>
      <w:pPr>
        <w:spacing w:before="0" w:after="120"/>
      </w:pPr>
      <w:r>
        <w:rPr>
          <w:b/>
        </w:rPr>
        <w:t xml:space="preserve">Notes: </w:t>
      </w:r>
      <w:r>
        <w:t>abstract_source=pubmed</w:t>
      </w:r>
    </w:p>
    <w:p>
      <w:pPr>
        <w:spacing w:before="0" w:after="80" w:lineRule="auto" w:line="276"/>
      </w:pPr>
      <w:r>
        <w:rPr>
          <w:b/>
        </w:rPr>
        <w:t xml:space="preserve">摘要（ZH）: </w:t>
      </w:r>
      <w:r>
        <w:t>沸石结晶是在苛刻条件下的亚稳态过程，其机制尚不清楚，使得特定框架的定向合成具有挑战性。有机结构导向剂（OSDAs）是框架控制的关键，但其发现仍然主要依赖于试错筛选。在此，我们开发了一个基于领域知识的机器学习模型来预测OSDAs，从而成功合成了三种新型沸石，即ECNU-30、ECNU-34和ECNU-40（以华东师范大学命名），验证了该模型的有效性。传统的基于描述符的机器学习模型在筛选未知沸石框架的OSDAs时表现出有限的预测性能。结合端到端架构和主动学习，ECNU-Zeofor</w:t>
      </w:r>
    </w:p>
    <w:p>
      <w:pPr>
        <w:spacing w:before="0" w:after="200" w:lineRule="auto" w:line="276"/>
      </w:pPr>
      <w:r>
        <w:rPr>
          <w:b/>
        </w:rPr>
        <w:t xml:space="preserve">Abstract (EN): </w:t>
      </w:r>
      <w:r>
        <w:t>Zeolite crystallization is a metastable process under harsh conditions with poorly understood mechanisms, making the directed synthesis of specific frameworks challenging. Organic structure-directing agents (OSDAs) are key to framework control, but their discovery remains dominated by trial-and-error screening. Here, we develop a domain knowledge-informed machine learning model to predict OSDAs, which enables the successful synthesis of three novel zeolites, namely, ECNU-30, ECNU-34, and ECNU-40 (named after East China Normal University), validating the efficacy of the model. Traditional descriptor-based machine learning models exhibit limited predictive performance in screening OSDAs for unknown zeolite frameworks. Combining an end-to-end architecture with active learning, the ECNU-Zeoformer effectively overcomes this limitation, enabling more accurate prediction of OSDA-zeolite binding energies for selecting suitable OSDAs and superior generalizability to different framework topologies.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1868?dgcid=rss_sd_all" TargetMode="External"/><Relationship Id="rId10" Type="http://schemas.openxmlformats.org/officeDocument/2006/relationships/hyperlink" Target="https://www.sciencedirect.com/science/article/pii/S0306261926002072?dgcid=rss_sd_all" TargetMode="External"/><Relationship Id="rId11" Type="http://schemas.openxmlformats.org/officeDocument/2006/relationships/hyperlink" Target="http://pubs.rsc.org/en/Content/ArticleLanding/2026/CS/D5CS00636H" TargetMode="External"/><Relationship Id="rId12" Type="http://schemas.openxmlformats.org/officeDocument/2006/relationships/hyperlink" Target="https://www.cell.com/joule/fulltext/S2542-4351(25)00491-X?rss=yes" TargetMode="External"/><Relationship Id="rId13" Type="http://schemas.openxmlformats.org/officeDocument/2006/relationships/hyperlink" Target="https://doi.org/10.1016/j.joule.2025.102310" TargetMode="External"/><Relationship Id="rId14" Type="http://schemas.openxmlformats.org/officeDocument/2006/relationships/hyperlink" Target="https://www.pnas.org/doi/abs/10.1073/pnas.2603130123?mi=eymic2&amp;af=R&amp;access=on&amp;content=articlesChapters&amp;publication=pnas&amp;sortBy=Earliest&amp;target=default" TargetMode="External"/><Relationship Id="rId15" Type="http://schemas.openxmlformats.org/officeDocument/2006/relationships/hyperlink" Target="https://doi.org/10.1073/pnas.2603130123" TargetMode="External"/><Relationship Id="rId16" Type="http://schemas.openxmlformats.org/officeDocument/2006/relationships/hyperlink" Target="https://www.pnas.org/doi/abs/10.1073/pnas.2601509123?mi=eymic2&amp;af=R&amp;access=on&amp;content=articlesChapters&amp;publication=pnas&amp;sortBy=Earliest&amp;target=default" TargetMode="External"/><Relationship Id="rId17" Type="http://schemas.openxmlformats.org/officeDocument/2006/relationships/hyperlink" Target="https://doi.org/10.1073/pnas.2601509123" TargetMode="External"/><Relationship Id="rId18" Type="http://schemas.openxmlformats.org/officeDocument/2006/relationships/hyperlink" Target="https://www.pnas.org/doi/abs/10.1073/pnas.2514380123?mi=eymic2&amp;af=R&amp;access=on&amp;content=articlesChapters&amp;publication=pnas&amp;sortBy=Earliest&amp;target=default" TargetMode="External"/><Relationship Id="rId19" Type="http://schemas.openxmlformats.org/officeDocument/2006/relationships/hyperlink" Target="https://doi.org/10.1073/pnas.2514380123" TargetMode="External"/><Relationship Id="rId20" Type="http://schemas.openxmlformats.org/officeDocument/2006/relationships/hyperlink" Target="http://dx.doi.org/10.1021/jacs.5c22889" TargetMode="External"/><Relationship Id="rId21" Type="http://schemas.openxmlformats.org/officeDocument/2006/relationships/hyperlink" Target="https://doi.org/10.1021/jacs.5c22889" TargetMode="External"/><Relationship Id="rId22" Type="http://schemas.openxmlformats.org/officeDocument/2006/relationships/hyperlink" Target="http://dx.doi.org/10.1021/jacs.5c20384" TargetMode="External"/><Relationship Id="rId23" Type="http://schemas.openxmlformats.org/officeDocument/2006/relationships/hyperlink" Target="https://doi.org/10.1021/jacs.5c20384" TargetMode="External"/><Relationship Id="rId24" Type="http://schemas.openxmlformats.org/officeDocument/2006/relationships/hyperlink" Target="https://www.cell.com/joule/fulltext/S2542-4351(25)00494-5?rss=yes" TargetMode="External"/><Relationship Id="rId25" Type="http://schemas.openxmlformats.org/officeDocument/2006/relationships/hyperlink" Target="https://doi.org/10.1016/j.joule.2025.102313" TargetMode="External"/><Relationship Id="rId26" Type="http://schemas.openxmlformats.org/officeDocument/2006/relationships/hyperlink" Target="https://www.sciencedirect.com/science/article/pii/S030626192600262X?dgcid=rss_sd_all" TargetMode="External"/><Relationship Id="rId27" Type="http://schemas.openxmlformats.org/officeDocument/2006/relationships/hyperlink" Target="http://pubs.rsc.org/en/Content/ArticleLanding/2026/EE/D5EE06815K" TargetMode="External"/><Relationship Id="rId28" Type="http://schemas.openxmlformats.org/officeDocument/2006/relationships/hyperlink" Target="https://www.sciencedirect.com/science/article/pii/S0306261926002898?dgcid=rss_sd_all" TargetMode="External"/><Relationship Id="rId29" Type="http://schemas.openxmlformats.org/officeDocument/2006/relationships/hyperlink" Target="https://www.sciencedirect.com/science/article/pii/S0306261926002394?dgcid=rss_sd_all" TargetMode="External"/><Relationship Id="rId30" Type="http://schemas.openxmlformats.org/officeDocument/2006/relationships/hyperlink" Target="https://www.cell.com/joule/fulltext/S2542-4351(25)00497-0?rss=yes" TargetMode="External"/><Relationship Id="rId31" Type="http://schemas.openxmlformats.org/officeDocument/2006/relationships/hyperlink" Target="https://doi.org/10.1016/j.joule.2025.102316" TargetMode="External"/><Relationship Id="rId32" Type="http://schemas.openxmlformats.org/officeDocument/2006/relationships/hyperlink" Target="https://www.cell.com/joule/fulltext/S2542-4351(25)00496-9?rss=yes" TargetMode="External"/><Relationship Id="rId33" Type="http://schemas.openxmlformats.org/officeDocument/2006/relationships/hyperlink" Target="https://doi.org/10.1016/j.joule.2025.102315" TargetMode="External"/><Relationship Id="rId34" Type="http://schemas.openxmlformats.org/officeDocument/2006/relationships/hyperlink" Target="https://advanced.onlinelibrary.wiley.com/doi/10.1002/adma.202523666?af=R" TargetMode="External"/><Relationship Id="rId35" Type="http://schemas.openxmlformats.org/officeDocument/2006/relationships/hyperlink" Target="https://doi.org/10.1002/adma.202523666" TargetMode="External"/><Relationship Id="rId36" Type="http://schemas.openxmlformats.org/officeDocument/2006/relationships/hyperlink" Target="https://advanced.onlinelibrary.wiley.com/doi/10.1002/adma.202521800?af=R" TargetMode="External"/><Relationship Id="rId37" Type="http://schemas.openxmlformats.org/officeDocument/2006/relationships/hyperlink" Target="https://doi.org/10.1002/adma.202521800" TargetMode="External"/><Relationship Id="rId38" Type="http://schemas.openxmlformats.org/officeDocument/2006/relationships/hyperlink" Target="https://www.science.org/doi/abs/10.1126/sciadv.aeb3559?af=R" TargetMode="External"/><Relationship Id="rId39" Type="http://schemas.openxmlformats.org/officeDocument/2006/relationships/hyperlink" Target="https://doi.org/10.1126/sciadv.aeb3559" TargetMode="External"/><Relationship Id="rId40" Type="http://schemas.openxmlformats.org/officeDocument/2006/relationships/hyperlink" Target="https://onlinelibrary.wiley.com/doi/10.1002/anie.202522507?af=R" TargetMode="External"/><Relationship Id="rId41" Type="http://schemas.openxmlformats.org/officeDocument/2006/relationships/hyperlink" Target="https://doi.org/10.1002/anie.202522507" TargetMode="External"/><Relationship Id="rId42" Type="http://schemas.openxmlformats.org/officeDocument/2006/relationships/hyperlink" Target="https://www.nature.com/articles/s41560-026-01988-w" TargetMode="External"/><Relationship Id="rId43" Type="http://schemas.openxmlformats.org/officeDocument/2006/relationships/hyperlink" Target="https://doi.org/10.1038/s41560-026-01988-w" TargetMode="External"/><Relationship Id="rId44" Type="http://schemas.openxmlformats.org/officeDocument/2006/relationships/hyperlink" Target="https://www.cell.com/joule/fulltext/S2542-4351(25)00493-3?rss=yes" TargetMode="External"/><Relationship Id="rId45" Type="http://schemas.openxmlformats.org/officeDocument/2006/relationships/hyperlink" Target="https://doi.org/10.1016/j.joule.2025.102312" TargetMode="External"/><Relationship Id="rId46" Type="http://schemas.openxmlformats.org/officeDocument/2006/relationships/hyperlink" Target="https://onlinelibrary.wiley.com/doi/10.1002/anie.5713677?af=R" TargetMode="External"/><Relationship Id="rId47" Type="http://schemas.openxmlformats.org/officeDocument/2006/relationships/hyperlink" Target="https://doi.org/10.1002/anie.5713677" TargetMode="External"/><Relationship Id="rId48" Type="http://schemas.openxmlformats.org/officeDocument/2006/relationships/hyperlink" Target="https://advanced.onlinelibrary.wiley.com/doi/10.1002/aenm.202506142?af=R" TargetMode="External"/><Relationship Id="rId49" Type="http://schemas.openxmlformats.org/officeDocument/2006/relationships/hyperlink" Target="https://doi.org/10.1002/aenm.202506142" TargetMode="External"/><Relationship Id="rId50" Type="http://schemas.openxmlformats.org/officeDocument/2006/relationships/hyperlink" Target="http://pubs.rsc.org/en/Content/ArticleLanding/2026/EE/D5EE06024A" TargetMode="External"/><Relationship Id="rId51" Type="http://schemas.openxmlformats.org/officeDocument/2006/relationships/hyperlink" Target="https://www.sciencedirect.com/science/article/pii/S0306261926001819?dgcid=rss_sd_all" TargetMode="External"/><Relationship Id="rId52" Type="http://schemas.openxmlformats.org/officeDocument/2006/relationships/hyperlink" Target="http://dx.doi.org/10.1021/acsenergylett.5c03861" TargetMode="External"/><Relationship Id="rId53" Type="http://schemas.openxmlformats.org/officeDocument/2006/relationships/hyperlink" Target="https://doi.org/10.1021/acsenergylett.5c03861" TargetMode="External"/><Relationship Id="rId54" Type="http://schemas.openxmlformats.org/officeDocument/2006/relationships/hyperlink" Target="https://www.cell.com/joule/fulltext/S2542-4351(25)00492-1?rss=yes" TargetMode="External"/><Relationship Id="rId55" Type="http://schemas.openxmlformats.org/officeDocument/2006/relationships/hyperlink" Target="https://doi.org/10.1016/j.joule.2025.102311" TargetMode="External"/><Relationship Id="rId56" Type="http://schemas.openxmlformats.org/officeDocument/2006/relationships/hyperlink" Target="http://dx.doi.org/10.1021/acsenergylett.6c00140" TargetMode="External"/><Relationship Id="rId57" Type="http://schemas.openxmlformats.org/officeDocument/2006/relationships/hyperlink" Target="https://doi.org/10.1021/acsenergylett.6c00140" TargetMode="External"/><Relationship Id="rId58" Type="http://schemas.openxmlformats.org/officeDocument/2006/relationships/hyperlink" Target="https://www.pnas.org/doi/abs/10.1073/pnas.2531794123?mi=eymic2&amp;af=R&amp;access=on&amp;content=articlesChapters&amp;publication=pnas&amp;sortBy=Earliest&amp;target=default" TargetMode="External"/><Relationship Id="rId59" Type="http://schemas.openxmlformats.org/officeDocument/2006/relationships/hyperlink" Target="https://doi.org/10.1073/pnas.2531794123" TargetMode="External"/><Relationship Id="rId60" Type="http://schemas.openxmlformats.org/officeDocument/2006/relationships/hyperlink" Target="http://dx.doi.org/10.1021/jacs.5c22053" TargetMode="External"/><Relationship Id="rId61" Type="http://schemas.openxmlformats.org/officeDocument/2006/relationships/hyperlink" Target="https://doi.org/10.1021/jacs.5c22053" TargetMode="External"/><Relationship Id="rId62" Type="http://schemas.openxmlformats.org/officeDocument/2006/relationships/hyperlink" Target="https://www.nature.com/articles/s41467-026-69737-x" TargetMode="External"/><Relationship Id="rId63" Type="http://schemas.openxmlformats.org/officeDocument/2006/relationships/hyperlink" Target="https://doi.org/10.1038/s41467-026-69737-x" TargetMode="External"/><Relationship Id="rId64" Type="http://schemas.openxmlformats.org/officeDocument/2006/relationships/hyperlink" Target="https://www.sciencedirect.com/science/article/pii/S0306261926002321?dgcid=rss_sd_all" TargetMode="External"/><Relationship Id="rId65" Type="http://schemas.openxmlformats.org/officeDocument/2006/relationships/hyperlink" Target="https://academic.oup.com/nsr/advance-article/doi/10.1093/nsr/nwag122/8504122?rss=1" TargetMode="External"/><Relationship Id="rId66" Type="http://schemas.openxmlformats.org/officeDocument/2006/relationships/hyperlink" Target="https://doi.org/10.1093/nsr/nwag122" TargetMode="External"/><Relationship Id="rId67" Type="http://schemas.openxmlformats.org/officeDocument/2006/relationships/hyperlink" Target="https://www.sciencedirect.com/science/article/pii/S0306261926002709?dgcid=rss_sd_all" TargetMode="External"/><Relationship Id="rId68" Type="http://schemas.openxmlformats.org/officeDocument/2006/relationships/hyperlink" Target="http://pubs.rsc.org/en/Content/ArticleLanding/2026/EE/D5EE07782F" TargetMode="External"/><Relationship Id="rId69" Type="http://schemas.openxmlformats.org/officeDocument/2006/relationships/hyperlink" Target="http://dx.doi.org/10.1021/jacs.5c22753" TargetMode="External"/><Relationship Id="rId70" Type="http://schemas.openxmlformats.org/officeDocument/2006/relationships/hyperlink" Target="https://doi.org/10.1021/jacs.5c22753" TargetMode="External"/><Relationship Id="rId71" Type="http://schemas.openxmlformats.org/officeDocument/2006/relationships/hyperlink" Target="https://advanced.onlinelibrary.wiley.com/doi/10.1002/adma.72519?af=R" TargetMode="External"/><Relationship Id="rId72" Type="http://schemas.openxmlformats.org/officeDocument/2006/relationships/hyperlink" Target="https://doi.org/10.1002/adma.72519" TargetMode="External"/><Relationship Id="rId73" Type="http://schemas.openxmlformats.org/officeDocument/2006/relationships/hyperlink" Target="https://www.sciencedirect.com/science/article/pii/S0306261926002722?dgcid=rss_sd_all" TargetMode="External"/><Relationship Id="rId74" Type="http://schemas.openxmlformats.org/officeDocument/2006/relationships/hyperlink" Target="https://www.sciencedirect.com/science/article/pii/S0306261926002333?dgcid=rss_sd_all" TargetMode="External"/><Relationship Id="rId75" Type="http://schemas.openxmlformats.org/officeDocument/2006/relationships/hyperlink" Target="https://www.nature.com/articles/s41467-026-70089-9" TargetMode="External"/><Relationship Id="rId76" Type="http://schemas.openxmlformats.org/officeDocument/2006/relationships/hyperlink" Target="https://doi.org/10.1038/s41467-026-70089-9" TargetMode="External"/><Relationship Id="rId77" Type="http://schemas.openxmlformats.org/officeDocument/2006/relationships/hyperlink" Target="https://www.sciencedirect.com/science/article/pii/S030626192600200X?dgcid=rss_sd_all" TargetMode="External"/><Relationship Id="rId78" Type="http://schemas.openxmlformats.org/officeDocument/2006/relationships/hyperlink" Target="https://advanced.onlinelibrary.wiley.com/doi/10.1002/adma.202520257?af=R" TargetMode="External"/><Relationship Id="rId79" Type="http://schemas.openxmlformats.org/officeDocument/2006/relationships/hyperlink" Target="https://doi.org/10.1002/adma.202520257" TargetMode="External"/><Relationship Id="rId80" Type="http://schemas.openxmlformats.org/officeDocument/2006/relationships/hyperlink" Target="https://www.sciencedirect.com/science/article/pii/S0306261926002047?dgcid=rss_sd_all" TargetMode="External"/><Relationship Id="rId81" Type="http://schemas.openxmlformats.org/officeDocument/2006/relationships/hyperlink" Target="https://onlinelibrary.wiley.com/doi/10.1002/anie.8371981?af=R" TargetMode="External"/><Relationship Id="rId82" Type="http://schemas.openxmlformats.org/officeDocument/2006/relationships/hyperlink" Target="https://doi.org/10.1002/anie.8371981" TargetMode="External"/><Relationship Id="rId83" Type="http://schemas.openxmlformats.org/officeDocument/2006/relationships/hyperlink" Target="http://dx.doi.org/10.1021/jacs.5c22732" TargetMode="External"/><Relationship Id="rId84" Type="http://schemas.openxmlformats.org/officeDocument/2006/relationships/hyperlink" Target="https://doi.org/10.1021/jacs.5c22732" TargetMode="External"/><Relationship Id="rId85" Type="http://schemas.openxmlformats.org/officeDocument/2006/relationships/hyperlink" Target="http://dx.doi.org/10.1021/jacs.5c21190" TargetMode="External"/><Relationship Id="rId86" Type="http://schemas.openxmlformats.org/officeDocument/2006/relationships/hyperlink" Target="https://doi.org/10.1021/jacs.5c21190" TargetMode="External"/><Relationship Id="rId87" Type="http://schemas.openxmlformats.org/officeDocument/2006/relationships/hyperlink" Target="https://www.sciencedirect.com/science/article/pii/S0306261926002746?dgcid=rss_sd_all" TargetMode="External"/><Relationship Id="rId88" Type="http://schemas.openxmlformats.org/officeDocument/2006/relationships/hyperlink" Target="https://advanced.onlinelibrary.wiley.com/doi/10.1002/adma.202520582?af=R" TargetMode="External"/><Relationship Id="rId89" Type="http://schemas.openxmlformats.org/officeDocument/2006/relationships/hyperlink" Target="https://doi.org/10.1002/adma.202520582" TargetMode="External"/><Relationship Id="rId90" Type="http://schemas.openxmlformats.org/officeDocument/2006/relationships/hyperlink" Target="https://www.sciencedirect.com/science/article/pii/S0306261926002254?dgcid=rss_sd_all" TargetMode="External"/><Relationship Id="rId91" Type="http://schemas.openxmlformats.org/officeDocument/2006/relationships/hyperlink" Target="https://www.cell.com/matter/fulltext/S2590-2385(26)00016-0?rss=yes" TargetMode="External"/><Relationship Id="rId92" Type="http://schemas.openxmlformats.org/officeDocument/2006/relationships/hyperlink" Target="https://doi.org/10.1016/j.matt.2026.102653" TargetMode="External"/><Relationship Id="rId93" Type="http://schemas.openxmlformats.org/officeDocument/2006/relationships/hyperlink" Target="https://www.cell.com/matter/fulltext/S2590-2385(26)00033-0?rss=yes" TargetMode="External"/><Relationship Id="rId94" Type="http://schemas.openxmlformats.org/officeDocument/2006/relationships/hyperlink" Target="https://doi.org/10.1016/j.matt.2026.102670" TargetMode="External"/><Relationship Id="rId95" Type="http://schemas.openxmlformats.org/officeDocument/2006/relationships/hyperlink" Target="https://www.sciencedirect.com/science/article/pii/S0306261926001510?dgcid=rss_sd_all" TargetMode="External"/><Relationship Id="rId96" Type="http://schemas.openxmlformats.org/officeDocument/2006/relationships/hyperlink" Target="https://www.sciencedirect.com/science/article/pii/S0301421526000844?dgcid=rss_sd_all" TargetMode="External"/><Relationship Id="rId97" Type="http://schemas.openxmlformats.org/officeDocument/2006/relationships/hyperlink" Target="https://www.sciencedirect.com/science/article/pii/S0301421526001138?dgcid=rss_sd_all" TargetMode="External"/><Relationship Id="rId98" Type="http://schemas.openxmlformats.org/officeDocument/2006/relationships/hyperlink" Target="https://www.sciencedirect.com/science/article/pii/S0306261926002710?dgcid=rss_sd_all" TargetMode="External"/><Relationship Id="rId99" Type="http://schemas.openxmlformats.org/officeDocument/2006/relationships/hyperlink" Target="https://www.sciencedirect.com/science/article/pii/S0306261926002655?dgcid=rss_sd_all" TargetMode="External"/><Relationship Id="rId100" Type="http://schemas.openxmlformats.org/officeDocument/2006/relationships/hyperlink" Target="https://www.sciencedirect.com/science/article/pii/S0306261926002369?dgcid=rss_sd_all" TargetMode="External"/><Relationship Id="rId101" Type="http://schemas.openxmlformats.org/officeDocument/2006/relationships/hyperlink" Target="https://www.sciencedirect.com/science/article/pii/S0306261926002485?dgcid=rss_sd_all" TargetMode="External"/><Relationship Id="rId102" Type="http://schemas.openxmlformats.org/officeDocument/2006/relationships/hyperlink" Target="https://www.cell.com/joule/fulltext/S2542-4351(25)00490-8?rss=yes" TargetMode="External"/><Relationship Id="rId103" Type="http://schemas.openxmlformats.org/officeDocument/2006/relationships/hyperlink" Target="https://doi.org/10.1016/j.joule.2025.102309" TargetMode="External"/><Relationship Id="rId104" Type="http://schemas.openxmlformats.org/officeDocument/2006/relationships/hyperlink" Target="https://www.nature.com/articles/s41565-026-02135-y" TargetMode="External"/><Relationship Id="rId105" Type="http://schemas.openxmlformats.org/officeDocument/2006/relationships/hyperlink" Target="https://doi.org/10.1038/s41565-026-02135-y" TargetMode="External"/><Relationship Id="rId106" Type="http://schemas.openxmlformats.org/officeDocument/2006/relationships/hyperlink" Target="https://onlinelibrary.wiley.com/doi/10.1002/anie.4598330?af=R" TargetMode="External"/><Relationship Id="rId107" Type="http://schemas.openxmlformats.org/officeDocument/2006/relationships/hyperlink" Target="https://doi.org/10.1002/anie.4598330" TargetMode="External"/><Relationship Id="rId108" Type="http://schemas.openxmlformats.org/officeDocument/2006/relationships/hyperlink" Target="http://dx.doi.org/10.1021/jacs.5c14829" TargetMode="External"/><Relationship Id="rId109" Type="http://schemas.openxmlformats.org/officeDocument/2006/relationships/hyperlink" Target="https://doi.org/10.1021/jacs.5c14829" TargetMode="External"/><Relationship Id="rId110" Type="http://schemas.openxmlformats.org/officeDocument/2006/relationships/hyperlink" Target="https://www.sciencedirect.com/science/article/pii/S0301421526001461?dgcid=rss_sd_all" TargetMode="External"/><Relationship Id="rId111" Type="http://schemas.openxmlformats.org/officeDocument/2006/relationships/hyperlink" Target="http://dx.doi.org/10.1021/acsenergylett.5c03664" TargetMode="External"/><Relationship Id="rId112" Type="http://schemas.openxmlformats.org/officeDocument/2006/relationships/hyperlink" Target="https://doi.org/10.1021/acsenergylett.5c03664" TargetMode="External"/><Relationship Id="rId113" Type="http://schemas.openxmlformats.org/officeDocument/2006/relationships/hyperlink" Target="https://www.sciencedirect.com/science/article/pii/S0306261926002825?dgcid=rss_sd_all" TargetMode="External"/><Relationship Id="rId114" Type="http://schemas.openxmlformats.org/officeDocument/2006/relationships/hyperlink" Target="http://pubs.rsc.org/en/Content/ArticleLanding/2026/EE/D5EE07453C" TargetMode="External"/><Relationship Id="rId115" Type="http://schemas.openxmlformats.org/officeDocument/2006/relationships/hyperlink" Target="https://www.sciencedirect.com/science/article/pii/S0306261926002539?dgcid=rss_sd_all" TargetMode="External"/><Relationship Id="rId116" Type="http://schemas.openxmlformats.org/officeDocument/2006/relationships/hyperlink" Target="https://advanced.onlinelibrary.wiley.com/doi/10.1002/adma.72644?af=R" TargetMode="External"/><Relationship Id="rId117" Type="http://schemas.openxmlformats.org/officeDocument/2006/relationships/hyperlink" Target="https://doi.org/10.1002/adma.72644" TargetMode="External"/><Relationship Id="rId118" Type="http://schemas.openxmlformats.org/officeDocument/2006/relationships/hyperlink" Target="https://advanced.onlinelibrary.wiley.com/doi/10.1002/aenm.70795?af=R" TargetMode="External"/><Relationship Id="rId119" Type="http://schemas.openxmlformats.org/officeDocument/2006/relationships/hyperlink" Target="https://doi.org/10.1002/aenm.70795" TargetMode="External"/><Relationship Id="rId120" Type="http://schemas.openxmlformats.org/officeDocument/2006/relationships/hyperlink" Target="https://www.sciencedirect.com/science/article/pii/S0306261926002308?dgcid=rss_sd_all" TargetMode="External"/><Relationship Id="rId121" Type="http://schemas.openxmlformats.org/officeDocument/2006/relationships/hyperlink" Target="https://www.nature.com/articles/s41467-026-70046-6" TargetMode="External"/><Relationship Id="rId122" Type="http://schemas.openxmlformats.org/officeDocument/2006/relationships/hyperlink" Target="https://doi.org/10.1038/s41467-026-70046-6" TargetMode="External"/><Relationship Id="rId123" Type="http://schemas.openxmlformats.org/officeDocument/2006/relationships/hyperlink" Target="https://onlinelibrary.wiley.com/doi/10.1002/anie.202521624?af=R" TargetMode="External"/><Relationship Id="rId124" Type="http://schemas.openxmlformats.org/officeDocument/2006/relationships/hyperlink" Target="https://doi.org/10.1002/anie.202521624" TargetMode="External"/><Relationship Id="rId125" Type="http://schemas.openxmlformats.org/officeDocument/2006/relationships/hyperlink" Target="https://onlinelibrary.wiley.com/doi/10.1002/anie.202524816?af=R" TargetMode="External"/><Relationship Id="rId126" Type="http://schemas.openxmlformats.org/officeDocument/2006/relationships/hyperlink" Target="https://doi.org/10.1002/anie.202524816" TargetMode="External"/><Relationship Id="rId127" Type="http://schemas.openxmlformats.org/officeDocument/2006/relationships/hyperlink" Target="https://advanced.onlinelibrary.wiley.com/doi/10.1002/adma.202520767?af=R" TargetMode="External"/><Relationship Id="rId128" Type="http://schemas.openxmlformats.org/officeDocument/2006/relationships/hyperlink" Target="https://doi.org/10.1002/adma.202520767" TargetMode="External"/><Relationship Id="rId129" Type="http://schemas.openxmlformats.org/officeDocument/2006/relationships/hyperlink" Target="http://dx.doi.org/10.1021/acsenergylett.5c04126" TargetMode="External"/><Relationship Id="rId130" Type="http://schemas.openxmlformats.org/officeDocument/2006/relationships/hyperlink" Target="https://doi.org/10.1021/acsenergylett.5c04126" TargetMode="External"/><Relationship Id="rId131" Type="http://schemas.openxmlformats.org/officeDocument/2006/relationships/hyperlink" Target="http://dx.doi.org/10.1021/jacs.6c00420" TargetMode="External"/><Relationship Id="rId132" Type="http://schemas.openxmlformats.org/officeDocument/2006/relationships/hyperlink" Target="https://doi.org/10.1021/jacs.6c00420" TargetMode="External"/><Relationship Id="rId133" Type="http://schemas.openxmlformats.org/officeDocument/2006/relationships/hyperlink" Target="https://www.nature.com/articles/s41578-026-00899-2" TargetMode="External"/><Relationship Id="rId134" Type="http://schemas.openxmlformats.org/officeDocument/2006/relationships/hyperlink" Target="https://doi.org/10.1038/s41578-026-00899-2" TargetMode="External"/><Relationship Id="rId135" Type="http://schemas.openxmlformats.org/officeDocument/2006/relationships/hyperlink" Target="https://www.nature.com/articles/s41893-025-01765-9" TargetMode="External"/><Relationship Id="rId136" Type="http://schemas.openxmlformats.org/officeDocument/2006/relationships/hyperlink" Target="https://doi.org/10.1038/s41893-025-01765-9" TargetMode="External"/><Relationship Id="rId137" Type="http://schemas.openxmlformats.org/officeDocument/2006/relationships/hyperlink" Target="http://dx.doi.org/10.1021/jacs.5c20808" TargetMode="External"/><Relationship Id="rId138" Type="http://schemas.openxmlformats.org/officeDocument/2006/relationships/hyperlink" Target="https://doi.org/10.1021/jacs.5c20808" TargetMode="External"/><Relationship Id="rId139" Type="http://schemas.openxmlformats.org/officeDocument/2006/relationships/hyperlink" Target="http://dx.doi.org/10.1021/jacs.5c20016" TargetMode="External"/><Relationship Id="rId140" Type="http://schemas.openxmlformats.org/officeDocument/2006/relationships/hyperlink" Target="https://doi.org/10.1021/jacs.5c20016" TargetMode="External"/><Relationship Id="rId141" Type="http://schemas.openxmlformats.org/officeDocument/2006/relationships/hyperlink" Target="https://www.nature.com/articles/s41467-026-70164-1" TargetMode="External"/><Relationship Id="rId142" Type="http://schemas.openxmlformats.org/officeDocument/2006/relationships/hyperlink" Target="https://doi.org/10.1038/s41467-026-70164-1" TargetMode="External"/><Relationship Id="rId143" Type="http://schemas.openxmlformats.org/officeDocument/2006/relationships/hyperlink" Target="https://www.sciencedirect.com/science/article/pii/S0306261926002515?dgcid=rss_sd_all" TargetMode="External"/><Relationship Id="rId144" Type="http://schemas.openxmlformats.org/officeDocument/2006/relationships/hyperlink" Target="https://www.sciencedirect.com/science/article/pii/S0306261926002643?dgcid=rss_sd_all" TargetMode="External"/><Relationship Id="rId145" Type="http://schemas.openxmlformats.org/officeDocument/2006/relationships/hyperlink" Target="https://www.sciencedirect.com/science/article/pii/S0301421526001485?dgcid=rss_sd_all" TargetMode="External"/><Relationship Id="rId146" Type="http://schemas.openxmlformats.org/officeDocument/2006/relationships/hyperlink" Target="https://www.nature.com/articles/s41467-026-70171-2" TargetMode="External"/><Relationship Id="rId147" Type="http://schemas.openxmlformats.org/officeDocument/2006/relationships/hyperlink" Target="https://doi.org/10.1038/s41467-026-70171-2" TargetMode="External"/><Relationship Id="rId148" Type="http://schemas.openxmlformats.org/officeDocument/2006/relationships/hyperlink" Target="https://www.nature.com/articles/s41467-026-69845-8" TargetMode="External"/><Relationship Id="rId149" Type="http://schemas.openxmlformats.org/officeDocument/2006/relationships/hyperlink" Target="https://doi.org/10.1038/s41467-026-69845-8" TargetMode="External"/><Relationship Id="rId150" Type="http://schemas.openxmlformats.org/officeDocument/2006/relationships/hyperlink" Target="https://www.sciencedirect.com/science/article/pii/S0306261926002606?dgcid=rss_sd_all" TargetMode="External"/><Relationship Id="rId151" Type="http://schemas.openxmlformats.org/officeDocument/2006/relationships/hyperlink" Target="https://www.nature.com/articles/s41467-026-69127-3" TargetMode="External"/><Relationship Id="rId152" Type="http://schemas.openxmlformats.org/officeDocument/2006/relationships/hyperlink" Target="https://doi.org/10.1038/s41467-026-69127-3" TargetMode="External"/><Relationship Id="rId153" Type="http://schemas.openxmlformats.org/officeDocument/2006/relationships/hyperlink" Target="https://www.sciencedirect.com/science/article/pii/S0306261926002023?dgcid=rss_sd_all" TargetMode="External"/><Relationship Id="rId154" Type="http://schemas.openxmlformats.org/officeDocument/2006/relationships/hyperlink" Target="https://www.sciencedirect.com/science/article/pii/S0306261926002758?dgcid=rss_sd_all" TargetMode="External"/><Relationship Id="rId155" Type="http://schemas.openxmlformats.org/officeDocument/2006/relationships/hyperlink" Target="https://www.sciencedirect.com/science/article/pii/S0306261926002138?dgcid=rss_sd_all" TargetMode="External"/><Relationship Id="rId156" Type="http://schemas.openxmlformats.org/officeDocument/2006/relationships/hyperlink" Target="https://www.sciencedirect.com/science/article/pii/S0306261926002114?dgcid=rss_sd_all" TargetMode="External"/><Relationship Id="rId157" Type="http://schemas.openxmlformats.org/officeDocument/2006/relationships/hyperlink" Target="https://www.nature.com/articles/s41467-026-70129-4" TargetMode="External"/><Relationship Id="rId158" Type="http://schemas.openxmlformats.org/officeDocument/2006/relationships/hyperlink" Target="https://doi.org/10.1038/s41467-026-70129-4" TargetMode="External"/><Relationship Id="rId159" Type="http://schemas.openxmlformats.org/officeDocument/2006/relationships/hyperlink" Target="https://www.sciencedirect.com/science/article/pii/S030626192600187X?dgcid=rss_sd_all" TargetMode="External"/><Relationship Id="rId160" Type="http://schemas.openxmlformats.org/officeDocument/2006/relationships/hyperlink" Target="https://www.nature.com/articles/s41467-026-69954-4" TargetMode="External"/><Relationship Id="rId161" Type="http://schemas.openxmlformats.org/officeDocument/2006/relationships/hyperlink" Target="https://doi.org/10.1038/s41467-026-69954-4" TargetMode="External"/><Relationship Id="rId162" Type="http://schemas.openxmlformats.org/officeDocument/2006/relationships/hyperlink" Target="https://www.sciencedirect.com/science/article/pii/S0306261926002631?dgcid=rss_sd_all" TargetMode="External"/><Relationship Id="rId163" Type="http://schemas.openxmlformats.org/officeDocument/2006/relationships/hyperlink" Target="https://advanced.onlinelibrary.wiley.com/doi/10.1002/adma.202522942?af=R" TargetMode="External"/><Relationship Id="rId164" Type="http://schemas.openxmlformats.org/officeDocument/2006/relationships/hyperlink" Target="https://doi.org/10.1002/adma.202522942" TargetMode="External"/><Relationship Id="rId165" Type="http://schemas.openxmlformats.org/officeDocument/2006/relationships/hyperlink" Target="https://advanced.onlinelibrary.wiley.com/doi/10.1002/adma.202518268?af=R" TargetMode="External"/><Relationship Id="rId166" Type="http://schemas.openxmlformats.org/officeDocument/2006/relationships/hyperlink" Target="https://doi.org/10.1002/adma.202518268" TargetMode="External"/><Relationship Id="rId167" Type="http://schemas.openxmlformats.org/officeDocument/2006/relationships/hyperlink" Target="https://advanced.onlinelibrary.wiley.com/doi/10.1002/adma.72684?af=R" TargetMode="External"/><Relationship Id="rId168" Type="http://schemas.openxmlformats.org/officeDocument/2006/relationships/hyperlink" Target="https://doi.org/10.1002/adma.72684" TargetMode="External"/><Relationship Id="rId169" Type="http://schemas.openxmlformats.org/officeDocument/2006/relationships/hyperlink" Target="https://onlinelibrary.wiley.com/doi/10.1002/anie.202524329?af=R" TargetMode="External"/><Relationship Id="rId170" Type="http://schemas.openxmlformats.org/officeDocument/2006/relationships/hyperlink" Target="https://doi.org/10.1002/anie.202524329" TargetMode="External"/><Relationship Id="rId171" Type="http://schemas.openxmlformats.org/officeDocument/2006/relationships/hyperlink" Target="https://onlinelibrary.wiley.com/doi/10.1002/anie.202523751?af=R" TargetMode="External"/><Relationship Id="rId172" Type="http://schemas.openxmlformats.org/officeDocument/2006/relationships/hyperlink" Target="https://doi.org/10.1002/anie.202523751" TargetMode="External"/><Relationship Id="rId173" Type="http://schemas.openxmlformats.org/officeDocument/2006/relationships/hyperlink" Target="https://onlinelibrary.wiley.com/doi/10.1002/anie.3751232?af=R" TargetMode="External"/><Relationship Id="rId174" Type="http://schemas.openxmlformats.org/officeDocument/2006/relationships/hyperlink" Target="https://doi.org/10.1002/anie.3751232" TargetMode="External"/><Relationship Id="rId175" Type="http://schemas.openxmlformats.org/officeDocument/2006/relationships/hyperlink" Target="https://onlinelibrary.wiley.com/doi/10.1002/anie.7876181?af=R" TargetMode="External"/><Relationship Id="rId176" Type="http://schemas.openxmlformats.org/officeDocument/2006/relationships/hyperlink" Target="https://doi.org/10.1002/anie.7876181" TargetMode="External"/><Relationship Id="rId177" Type="http://schemas.openxmlformats.org/officeDocument/2006/relationships/hyperlink" Target="https://onlinelibrary.wiley.com/doi/10.1002/anie.6439677?af=R" TargetMode="External"/><Relationship Id="rId178" Type="http://schemas.openxmlformats.org/officeDocument/2006/relationships/hyperlink" Target="https://doi.org/10.1002/anie.6439677" TargetMode="External"/><Relationship Id="rId179" Type="http://schemas.openxmlformats.org/officeDocument/2006/relationships/hyperlink" Target="https://onlinelibrary.wiley.com/doi/10.1002/anie.202526039?af=R" TargetMode="External"/><Relationship Id="rId180" Type="http://schemas.openxmlformats.org/officeDocument/2006/relationships/hyperlink" Target="https://doi.org/10.1002/anie.202526039" TargetMode="External"/><Relationship Id="rId181" Type="http://schemas.openxmlformats.org/officeDocument/2006/relationships/hyperlink" Target="https://advanced.onlinelibrary.wiley.com/doi/10.1002/adma.72666?af=R" TargetMode="External"/><Relationship Id="rId182" Type="http://schemas.openxmlformats.org/officeDocument/2006/relationships/hyperlink" Target="https://doi.org/10.1002/adma.72666" TargetMode="External"/><Relationship Id="rId183" Type="http://schemas.openxmlformats.org/officeDocument/2006/relationships/hyperlink" Target="https://advanced.onlinelibrary.wiley.com/doi/10.1002/adma.72655?af=R" TargetMode="External"/><Relationship Id="rId184" Type="http://schemas.openxmlformats.org/officeDocument/2006/relationships/hyperlink" Target="https://doi.org/10.1002/adma.72655" TargetMode="External"/><Relationship Id="rId185" Type="http://schemas.openxmlformats.org/officeDocument/2006/relationships/hyperlink" Target="https://advanced.onlinelibrary.wiley.com/doi/10.1002/adma.202522270?af=R" TargetMode="External"/><Relationship Id="rId186" Type="http://schemas.openxmlformats.org/officeDocument/2006/relationships/hyperlink" Target="https://doi.org/10.1002/adma.202522270" TargetMode="External"/><Relationship Id="rId187" Type="http://schemas.openxmlformats.org/officeDocument/2006/relationships/hyperlink" Target="https://advanced.onlinelibrary.wiley.com/doi/10.1002/adma.202520447?af=R" TargetMode="External"/><Relationship Id="rId188" Type="http://schemas.openxmlformats.org/officeDocument/2006/relationships/hyperlink" Target="https://doi.org/10.1002/adma.202520447" TargetMode="External"/><Relationship Id="rId189" Type="http://schemas.openxmlformats.org/officeDocument/2006/relationships/hyperlink" Target="https://onlinelibrary.wiley.com/doi/10.1002/anie.3968771?af=R" TargetMode="External"/><Relationship Id="rId190" Type="http://schemas.openxmlformats.org/officeDocument/2006/relationships/hyperlink" Target="https://doi.org/10.1002/anie.3968771" TargetMode="External"/><Relationship Id="rId191" Type="http://schemas.openxmlformats.org/officeDocument/2006/relationships/hyperlink" Target="https://onlinelibrary.wiley.com/doi/10.1002/anie.202523661?af=R" TargetMode="External"/><Relationship Id="rId192" Type="http://schemas.openxmlformats.org/officeDocument/2006/relationships/hyperlink" Target="https://doi.org/10.1002/anie.202523661" TargetMode="External"/><Relationship Id="rId193" Type="http://schemas.openxmlformats.org/officeDocument/2006/relationships/hyperlink" Target="https://onlinelibrary.wiley.com/doi/10.1002/anie.1762884?af=R" TargetMode="External"/><Relationship Id="rId194" Type="http://schemas.openxmlformats.org/officeDocument/2006/relationships/hyperlink" Target="https://doi.org/10.1002/anie.1762884" TargetMode="External"/><Relationship Id="rId195" Type="http://schemas.openxmlformats.org/officeDocument/2006/relationships/hyperlink" Target="https://onlinelibrary.wiley.com/doi/10.1002/anie.4157706?af=R" TargetMode="External"/><Relationship Id="rId196" Type="http://schemas.openxmlformats.org/officeDocument/2006/relationships/hyperlink" Target="https://doi.org/10.1002/anie.4157706" TargetMode="External"/><Relationship Id="rId197" Type="http://schemas.openxmlformats.org/officeDocument/2006/relationships/hyperlink" Target="https://advanced.onlinelibrary.wiley.com/doi/10.1002/adma.202523239?af=R" TargetMode="External"/><Relationship Id="rId198" Type="http://schemas.openxmlformats.org/officeDocument/2006/relationships/hyperlink" Target="https://doi.org/10.1002/adma.202523239" TargetMode="External"/><Relationship Id="rId199" Type="http://schemas.openxmlformats.org/officeDocument/2006/relationships/hyperlink" Target="http://dx.doi.org/10.1021/jacs.6c00335" TargetMode="External"/><Relationship Id="rId200" Type="http://schemas.openxmlformats.org/officeDocument/2006/relationships/hyperlink" Target="https://doi.org/10.1021/jacs.6c00335" TargetMode="External"/><Relationship Id="rId201" Type="http://schemas.openxmlformats.org/officeDocument/2006/relationships/hyperlink" Target="http://dx.doi.org/10.1021/jacs.5c20238" TargetMode="External"/><Relationship Id="rId202" Type="http://schemas.openxmlformats.org/officeDocument/2006/relationships/hyperlink" Target="https://doi.org/10.1021/jacs.5c20238" TargetMode="External"/><Relationship Id="rId203" Type="http://schemas.openxmlformats.org/officeDocument/2006/relationships/hyperlink" Target="https://www.sciencedirect.com/science/article/pii/S0301421526001357?dgcid=rss_sd_all" TargetMode="External"/><Relationship Id="rId204" Type="http://schemas.openxmlformats.org/officeDocument/2006/relationships/hyperlink" Target="https://www.sciencedirect.com/science/article/pii/S0306261926002473?dgcid=rss_sd_all" TargetMode="External"/><Relationship Id="rId205" Type="http://schemas.openxmlformats.org/officeDocument/2006/relationships/hyperlink" Target="https://www.sciencedirect.com/science/article/pii/S0306261926002552?dgcid=rss_sd_all" TargetMode="External"/><Relationship Id="rId206" Type="http://schemas.openxmlformats.org/officeDocument/2006/relationships/hyperlink" Target="https://www.sciencedirect.com/science/article/pii/S0306261926002576?dgcid=rss_sd_all" TargetMode="External"/><Relationship Id="rId207" Type="http://schemas.openxmlformats.org/officeDocument/2006/relationships/hyperlink" Target="https://www.sciencedirect.com/science/article/pii/S0306261926002345?dgcid=rss_sd_all" TargetMode="External"/><Relationship Id="rId208" Type="http://schemas.openxmlformats.org/officeDocument/2006/relationships/hyperlink" Target="https://www.nature.com/articles/s41467-026-70220-w" TargetMode="External"/><Relationship Id="rId209" Type="http://schemas.openxmlformats.org/officeDocument/2006/relationships/hyperlink" Target="https://doi.org/10.1038/s41467-026-70220-w" TargetMode="External"/><Relationship Id="rId210" Type="http://schemas.openxmlformats.org/officeDocument/2006/relationships/hyperlink" Target="https://www.sciencedirect.com/science/article/pii/S0306261926002199?dgcid=rss_sd_all" TargetMode="External"/><Relationship Id="rId211" Type="http://schemas.openxmlformats.org/officeDocument/2006/relationships/hyperlink" Target="https://www.sciencedirect.com/science/article/pii/S0306261926002503?dgcid=rss_sd_all" TargetMode="External"/><Relationship Id="rId212" Type="http://schemas.openxmlformats.org/officeDocument/2006/relationships/hyperlink" Target="https://www.sciencedirect.com/science/article/pii/S0301421526001291?dgcid=rss_sd_all" TargetMode="External"/><Relationship Id="rId213" Type="http://schemas.openxmlformats.org/officeDocument/2006/relationships/hyperlink" Target="https://www.sciencedirect.com/science/article/pii/S030142152600131X?dgcid=rss_sd_all" TargetMode="External"/><Relationship Id="rId214" Type="http://schemas.openxmlformats.org/officeDocument/2006/relationships/hyperlink" Target="https://www.sciencedirect.com/science/article/pii/S0306261926001613?dgcid=rss_sd_all" TargetMode="External"/><Relationship Id="rId215" Type="http://schemas.openxmlformats.org/officeDocument/2006/relationships/hyperlink" Target="https://www.sciencedirect.com/science/article/pii/S0301421525005300?dgcid=rss_sd_all" TargetMode="External"/><Relationship Id="rId216" Type="http://schemas.openxmlformats.org/officeDocument/2006/relationships/hyperlink" Target="http://dx.doi.org/10.1021/acs.chemrev.5c00689" TargetMode="External"/><Relationship Id="rId217" Type="http://schemas.openxmlformats.org/officeDocument/2006/relationships/hyperlink" Target="https://doi.org/10.1021/acs.chemrev.5c00689" TargetMode="External"/><Relationship Id="rId218" Type="http://schemas.openxmlformats.org/officeDocument/2006/relationships/hyperlink" Target="http://dx.doi.org/10.1021/jacs.5c22914" TargetMode="External"/><Relationship Id="rId219" Type="http://schemas.openxmlformats.org/officeDocument/2006/relationships/hyperlink" Target="https://doi.org/10.1021/jacs.5c22914" TargetMode="External"/><Relationship Id="rId220" Type="http://schemas.openxmlformats.org/officeDocument/2006/relationships/hyperlink" Target="http://dx.doi.org/10.1021/jacs.5c13062" TargetMode="External"/><Relationship Id="rId221" Type="http://schemas.openxmlformats.org/officeDocument/2006/relationships/hyperlink" Target="https://doi.org/10.1021/jacs.5c13062" TargetMode="External"/><Relationship Id="rId222" Type="http://schemas.openxmlformats.org/officeDocument/2006/relationships/hyperlink" Target="https://www.nature.com/articles/s41467-026-69313-3" TargetMode="External"/><Relationship Id="rId223" Type="http://schemas.openxmlformats.org/officeDocument/2006/relationships/hyperlink" Target="https://doi.org/10.1038/s41467-026-69313-3" TargetMode="External"/><Relationship Id="rId224" Type="http://schemas.openxmlformats.org/officeDocument/2006/relationships/hyperlink" Target="https://www.nature.com/articles/d41586-026-00626-5" TargetMode="External"/><Relationship Id="rId225" Type="http://schemas.openxmlformats.org/officeDocument/2006/relationships/hyperlink" Target="https://doi.org/10.1038/d41586-026-00626-5" TargetMode="External"/><Relationship Id="rId226" Type="http://schemas.openxmlformats.org/officeDocument/2006/relationships/hyperlink" Target="https://www.nature.com/articles/s41563-026-02523-8" TargetMode="External"/><Relationship Id="rId227" Type="http://schemas.openxmlformats.org/officeDocument/2006/relationships/hyperlink" Target="https://doi.org/10.1038/s41563-026-02523-8" TargetMode="External"/><Relationship Id="rId228" Type="http://schemas.openxmlformats.org/officeDocument/2006/relationships/hyperlink" Target="https://www.nature.com/articles/s41563-026-02527-4" TargetMode="External"/><Relationship Id="rId229" Type="http://schemas.openxmlformats.org/officeDocument/2006/relationships/hyperlink" Target="https://doi.org/10.1038/s41563-026-02527-4" TargetMode="External"/><Relationship Id="rId230" Type="http://schemas.openxmlformats.org/officeDocument/2006/relationships/hyperlink" Target="https://www.nature.com/articles/s41563-026-02489-7" TargetMode="External"/><Relationship Id="rId231" Type="http://schemas.openxmlformats.org/officeDocument/2006/relationships/hyperlink" Target="https://doi.org/10.1038/s41563-026-02489-7" TargetMode="External"/><Relationship Id="rId232" Type="http://schemas.openxmlformats.org/officeDocument/2006/relationships/hyperlink" Target="https://www.nature.com/articles/s41586-026-10314-z" TargetMode="External"/><Relationship Id="rId233" Type="http://schemas.openxmlformats.org/officeDocument/2006/relationships/hyperlink" Target="https://doi.org/10.1038/s41586-026-10314-z" TargetMode="External"/><Relationship Id="rId234" Type="http://schemas.openxmlformats.org/officeDocument/2006/relationships/hyperlink" Target="http://pubs.rsc.org/en/Content/ArticleLanding/2026/CS/D5CS00473J" TargetMode="External"/><Relationship Id="rId235" Type="http://schemas.openxmlformats.org/officeDocument/2006/relationships/hyperlink" Target="https://www.nature.com/articles/s41565-026-02129-w" TargetMode="External"/><Relationship Id="rId236" Type="http://schemas.openxmlformats.org/officeDocument/2006/relationships/hyperlink" Target="https://doi.org/10.1038/s41565-026-02129-w" TargetMode="External"/><Relationship Id="rId237" Type="http://schemas.openxmlformats.org/officeDocument/2006/relationships/hyperlink" Target="https://www.nature.com/articles/s41586-026-10320-1" TargetMode="External"/><Relationship Id="rId238" Type="http://schemas.openxmlformats.org/officeDocument/2006/relationships/hyperlink" Target="https://doi.org/10.1038/s41586-026-10320-1" TargetMode="External"/><Relationship Id="rId239" Type="http://schemas.openxmlformats.org/officeDocument/2006/relationships/hyperlink" Target="https://www.nature.com/articles/s41563-026-02499-5" TargetMode="External"/><Relationship Id="rId240" Type="http://schemas.openxmlformats.org/officeDocument/2006/relationships/hyperlink" Target="https://doi.org/10.1038/s41563-026-02499-5" TargetMode="External"/><Relationship Id="rId241" Type="http://schemas.openxmlformats.org/officeDocument/2006/relationships/hyperlink" Target="https://www.nature.com/articles/s41563-026-02522-9" TargetMode="External"/><Relationship Id="rId242" Type="http://schemas.openxmlformats.org/officeDocument/2006/relationships/hyperlink" Target="https://doi.org/10.1038/s41563-026-02522-9" TargetMode="External"/><Relationship Id="rId243" Type="http://schemas.openxmlformats.org/officeDocument/2006/relationships/hyperlink" Target="https://www.nature.com/articles/d41586-026-00516-w" TargetMode="External"/><Relationship Id="rId244" Type="http://schemas.openxmlformats.org/officeDocument/2006/relationships/hyperlink" Target="https://doi.org/10.1038/d41586-026-00516-w" TargetMode="External"/><Relationship Id="rId245" Type="http://schemas.openxmlformats.org/officeDocument/2006/relationships/hyperlink" Target="https://www.nature.com/articles/d41586-026-00664-z" TargetMode="External"/><Relationship Id="rId246" Type="http://schemas.openxmlformats.org/officeDocument/2006/relationships/hyperlink" Target="https://doi.org/10.1038/d41586-026-00664-z" TargetMode="External"/><Relationship Id="rId247" Type="http://schemas.openxmlformats.org/officeDocument/2006/relationships/hyperlink" Target="https://www.nature.com/articles/d41586-026-00628-3" TargetMode="External"/><Relationship Id="rId248" Type="http://schemas.openxmlformats.org/officeDocument/2006/relationships/hyperlink" Target="https://doi.org/10.1038/d41586-026-00628-3" TargetMode="External"/><Relationship Id="rId249" Type="http://schemas.openxmlformats.org/officeDocument/2006/relationships/hyperlink" Target="https://www.nature.com/articles/s41578-026-00901-x" TargetMode="External"/><Relationship Id="rId250" Type="http://schemas.openxmlformats.org/officeDocument/2006/relationships/hyperlink" Target="https://doi.org/10.1038/s41578-026-00901-x" TargetMode="External"/><Relationship Id="rId251" Type="http://schemas.openxmlformats.org/officeDocument/2006/relationships/hyperlink" Target="https://academic.oup.com/nsr/advance-article/doi/10.1093/nsr/nwag126/8503499?rss=1" TargetMode="External"/><Relationship Id="rId252" Type="http://schemas.openxmlformats.org/officeDocument/2006/relationships/hyperlink" Target="https://doi.org/10.1093/nsr/nwag126" TargetMode="External"/><Relationship Id="rId253" Type="http://schemas.openxmlformats.org/officeDocument/2006/relationships/hyperlink" Target="https://academic.oup.com/nsr/advance-article/doi/10.1093/nsr/nwag121/8503495?rss=1" TargetMode="External"/><Relationship Id="rId254" Type="http://schemas.openxmlformats.org/officeDocument/2006/relationships/hyperlink" Target="https://doi.org/10.1093/nsr/nwag121" TargetMode="External"/><Relationship Id="rId255" Type="http://schemas.openxmlformats.org/officeDocument/2006/relationships/hyperlink" Target="https://www.nature.com/articles/d41586-026-00666-x" TargetMode="External"/><Relationship Id="rId256" Type="http://schemas.openxmlformats.org/officeDocument/2006/relationships/hyperlink" Target="https://doi.org/10.1038/d41586-026-00666-x" TargetMode="External"/><Relationship Id="rId257" Type="http://schemas.openxmlformats.org/officeDocument/2006/relationships/hyperlink" Target="https://www.nature.com/articles/s41565-025-02114-9" TargetMode="External"/><Relationship Id="rId258" Type="http://schemas.openxmlformats.org/officeDocument/2006/relationships/hyperlink" Target="https://doi.org/10.1038/s41565-025-02114-9" TargetMode="External"/><Relationship Id="rId259" Type="http://schemas.openxmlformats.org/officeDocument/2006/relationships/hyperlink" Target="https://academic.oup.com/nsr/advance-article/doi/10.1093/nsr/nwag124/8503488?rss=1" TargetMode="External"/><Relationship Id="rId260" Type="http://schemas.openxmlformats.org/officeDocument/2006/relationships/hyperlink" Target="https://doi.org/10.1093/nsr/nwag124" TargetMode="External"/><Relationship Id="rId261" Type="http://schemas.openxmlformats.org/officeDocument/2006/relationships/hyperlink" Target="https://www.cell.com/matter/fulltext/S2590-2385(26)00061-5?rss=yes" TargetMode="External"/><Relationship Id="rId262" Type="http://schemas.openxmlformats.org/officeDocument/2006/relationships/hyperlink" Target="https://doi.org/10.1016/j.matt.2026.102698" TargetMode="External"/><Relationship Id="rId263" Type="http://schemas.openxmlformats.org/officeDocument/2006/relationships/hyperlink" Target="https://www.cell.com/one-earth/fulltext/S2590-3322(26)00021-7?rss=yes" TargetMode="External"/><Relationship Id="rId264" Type="http://schemas.openxmlformats.org/officeDocument/2006/relationships/hyperlink" Target="https://doi.org/10.1016/j.oneear.2026.101620" TargetMode="External"/><Relationship Id="rId265" Type="http://schemas.openxmlformats.org/officeDocument/2006/relationships/hyperlink" Target="https://www.nature.com/articles/d41586-026-00665-y" TargetMode="External"/><Relationship Id="rId266" Type="http://schemas.openxmlformats.org/officeDocument/2006/relationships/hyperlink" Target="https://doi.org/10.1038/d41586-026-00665-y" TargetMode="External"/><Relationship Id="rId267" Type="http://schemas.openxmlformats.org/officeDocument/2006/relationships/hyperlink" Target="https://www.cell.com/matter/fulltext/S2590-2385(25)00678-2?rss=yes" TargetMode="External"/><Relationship Id="rId268" Type="http://schemas.openxmlformats.org/officeDocument/2006/relationships/hyperlink" Target="https://doi.org/10.1016/j.matt.2025.102635" TargetMode="External"/><Relationship Id="rId269" Type="http://schemas.openxmlformats.org/officeDocument/2006/relationships/hyperlink" Target="https://onlinelibrary.wiley.com/doi/10.1002/anie.1708637?af=R" TargetMode="External"/><Relationship Id="rId270" Type="http://schemas.openxmlformats.org/officeDocument/2006/relationships/hyperlink" Target="https://doi.org/10.1002/anie.1708637" TargetMode="External"/><Relationship Id="rId271" Type="http://schemas.openxmlformats.org/officeDocument/2006/relationships/hyperlink" Target="https://advanced.onlinelibrary.wiley.com/doi/10.1002/adma.202522163?af=R" TargetMode="External"/><Relationship Id="rId272" Type="http://schemas.openxmlformats.org/officeDocument/2006/relationships/hyperlink" Target="https://doi.org/10.1002/adma.202522163" TargetMode="External"/><Relationship Id="rId273" Type="http://schemas.openxmlformats.org/officeDocument/2006/relationships/hyperlink" Target="https://onlinelibrary.wiley.com/doi/10.1002/anie.4978376?af=R" TargetMode="External"/><Relationship Id="rId274" Type="http://schemas.openxmlformats.org/officeDocument/2006/relationships/hyperlink" Target="https://doi.org/10.1002/anie.4978376" TargetMode="External"/><Relationship Id="rId275" Type="http://schemas.openxmlformats.org/officeDocument/2006/relationships/hyperlink" Target="https://onlinelibrary.wiley.com/doi/10.1002/anie.202520412?af=R" TargetMode="External"/><Relationship Id="rId276" Type="http://schemas.openxmlformats.org/officeDocument/2006/relationships/hyperlink" Target="https://doi.org/10.1002/anie.202520412" TargetMode="External"/><Relationship Id="rId277" Type="http://schemas.openxmlformats.org/officeDocument/2006/relationships/hyperlink" Target="https://onlinelibrary.wiley.com/doi/10.1002/anie.202523357?af=R" TargetMode="External"/><Relationship Id="rId278" Type="http://schemas.openxmlformats.org/officeDocument/2006/relationships/hyperlink" Target="https://doi.org/10.1002/anie.202523357" TargetMode="External"/><Relationship Id="rId279" Type="http://schemas.openxmlformats.org/officeDocument/2006/relationships/hyperlink" Target="https://onlinelibrary.wiley.com/doi/10.1002/anie.4411241?af=R" TargetMode="External"/><Relationship Id="rId280" Type="http://schemas.openxmlformats.org/officeDocument/2006/relationships/hyperlink" Target="https://doi.org/10.1002/anie.4411241" TargetMode="External"/><Relationship Id="rId281" Type="http://schemas.openxmlformats.org/officeDocument/2006/relationships/hyperlink" Target="https://onlinelibrary.wiley.com/doi/10.1002/anie.8486876?af=R" TargetMode="External"/><Relationship Id="rId282" Type="http://schemas.openxmlformats.org/officeDocument/2006/relationships/hyperlink" Target="https://doi.org/10.1002/anie.8486876" TargetMode="External"/><Relationship Id="rId283" Type="http://schemas.openxmlformats.org/officeDocument/2006/relationships/hyperlink" Target="https://onlinelibrary.wiley.com/doi/10.1002/anie.202522665?af=R" TargetMode="External"/><Relationship Id="rId284" Type="http://schemas.openxmlformats.org/officeDocument/2006/relationships/hyperlink" Target="https://doi.org/10.1002/anie.202522665" TargetMode="External"/><Relationship Id="rId285" Type="http://schemas.openxmlformats.org/officeDocument/2006/relationships/hyperlink" Target="https://onlinelibrary.wiley.com/doi/10.1002/anie.4720181?af=R" TargetMode="External"/><Relationship Id="rId286" Type="http://schemas.openxmlformats.org/officeDocument/2006/relationships/hyperlink" Target="https://doi.org/10.1002/anie.4720181" TargetMode="External"/><Relationship Id="rId287" Type="http://schemas.openxmlformats.org/officeDocument/2006/relationships/hyperlink" Target="https://onlinelibrary.wiley.com/doi/10.1002/anie.202524223?af=R" TargetMode="External"/><Relationship Id="rId288" Type="http://schemas.openxmlformats.org/officeDocument/2006/relationships/hyperlink" Target="https://doi.org/10.1002/anie.202524223" TargetMode="External"/><Relationship Id="rId289" Type="http://schemas.openxmlformats.org/officeDocument/2006/relationships/hyperlink" Target="https://advanced.onlinelibrary.wiley.com/doi/10.1002/adma.202522443?af=R" TargetMode="External"/><Relationship Id="rId290" Type="http://schemas.openxmlformats.org/officeDocument/2006/relationships/hyperlink" Target="https://doi.org/10.1002/adma.202522443" TargetMode="External"/><Relationship Id="rId291" Type="http://schemas.openxmlformats.org/officeDocument/2006/relationships/hyperlink" Target="https://www.pnas.org/doi/abs/10.1073/pnas.2537201123?mi=eymic2&amp;af=R&amp;access=on&amp;content=articlesChapters&amp;publication=pnas&amp;sortBy=Earliest&amp;target=default" TargetMode="External"/><Relationship Id="rId292" Type="http://schemas.openxmlformats.org/officeDocument/2006/relationships/hyperlink" Target="https://doi.org/10.1073/pnas.2537201123" TargetMode="External"/><Relationship Id="rId293" Type="http://schemas.openxmlformats.org/officeDocument/2006/relationships/hyperlink" Target="https://www.pnas.org/doi/abs/10.1073/pnas.2523877123?mi=eymic2&amp;af=R&amp;access=on&amp;content=articlesChapters&amp;publication=pnas&amp;sortBy=Earliest&amp;target=default" TargetMode="External"/><Relationship Id="rId294" Type="http://schemas.openxmlformats.org/officeDocument/2006/relationships/hyperlink" Target="https://doi.org/10.1073/pnas.2523877123" TargetMode="External"/><Relationship Id="rId295" Type="http://schemas.openxmlformats.org/officeDocument/2006/relationships/hyperlink" Target="https://www.pnas.org/doi/abs/10.1073/pnas.2524380123?mi=eymic2&amp;af=R&amp;access=on&amp;content=articlesChapters&amp;publication=pnas&amp;sortBy=Earliest&amp;target=default" TargetMode="External"/><Relationship Id="rId296" Type="http://schemas.openxmlformats.org/officeDocument/2006/relationships/hyperlink" Target="https://doi.org/10.1073/pnas.2524380123" TargetMode="External"/><Relationship Id="rId297" Type="http://schemas.openxmlformats.org/officeDocument/2006/relationships/hyperlink" Target="https://www.pnas.org/doi/abs/10.1073/pnas.2523195123?mi=eymic2&amp;af=R&amp;access=on&amp;content=articlesChapters&amp;publication=pnas&amp;sortBy=Earliest&amp;target=default" TargetMode="External"/><Relationship Id="rId298" Type="http://schemas.openxmlformats.org/officeDocument/2006/relationships/hyperlink" Target="https://doi.org/10.1073/pnas.2523195123" TargetMode="External"/><Relationship Id="rId299" Type="http://schemas.openxmlformats.org/officeDocument/2006/relationships/hyperlink" Target="https://www.pnas.org/doi/abs/10.1073/pnas.2527236123?mi=eymic2&amp;af=R&amp;access=on&amp;content=articlesChapters&amp;publication=pnas&amp;sortBy=Earliest&amp;target=default" TargetMode="External"/><Relationship Id="rId300" Type="http://schemas.openxmlformats.org/officeDocument/2006/relationships/hyperlink" Target="https://doi.org/10.1073/pnas.2527236123" TargetMode="External"/><Relationship Id="rId301" Type="http://schemas.openxmlformats.org/officeDocument/2006/relationships/hyperlink" Target="https://www.pnas.org/doi/abs/10.1073/pnas.2531032123?mi=eymic2&amp;af=R&amp;access=on&amp;content=articlesChapters&amp;publication=pnas&amp;sortBy=Earliest&amp;target=default" TargetMode="External"/><Relationship Id="rId302" Type="http://schemas.openxmlformats.org/officeDocument/2006/relationships/hyperlink" Target="https://doi.org/10.1073/pnas.2531032123" TargetMode="External"/><Relationship Id="rId303" Type="http://schemas.openxmlformats.org/officeDocument/2006/relationships/hyperlink" Target="https://www.pnas.org/doi/abs/10.1073/pnas.2530340123?mi=eymic2&amp;af=R&amp;access=on&amp;content=articlesChapters&amp;publication=pnas&amp;sortBy=Earliest&amp;target=default" TargetMode="External"/><Relationship Id="rId304" Type="http://schemas.openxmlformats.org/officeDocument/2006/relationships/hyperlink" Target="https://doi.org/10.1073/pnas.2530340123" TargetMode="External"/><Relationship Id="rId305" Type="http://schemas.openxmlformats.org/officeDocument/2006/relationships/hyperlink" Target="https://www.pnas.org/doi/abs/10.1073/pnas.2518495123?mi=eymic2&amp;af=R&amp;access=on&amp;content=articlesChapters&amp;publication=pnas&amp;sortBy=Earliest&amp;target=default" TargetMode="External"/><Relationship Id="rId306" Type="http://schemas.openxmlformats.org/officeDocument/2006/relationships/hyperlink" Target="https://doi.org/10.1073/pnas.2518495123" TargetMode="External"/><Relationship Id="rId307" Type="http://schemas.openxmlformats.org/officeDocument/2006/relationships/hyperlink" Target="https://www.pnas.org/doi/abs/10.1073/pnas.2525047123?mi=eymic2&amp;af=R&amp;access=on&amp;content=articlesChapters&amp;publication=pnas&amp;sortBy=Earliest&amp;target=default" TargetMode="External"/><Relationship Id="rId308" Type="http://schemas.openxmlformats.org/officeDocument/2006/relationships/hyperlink" Target="https://doi.org/10.1073/pnas.2525047123" TargetMode="External"/><Relationship Id="rId309" Type="http://schemas.openxmlformats.org/officeDocument/2006/relationships/hyperlink" Target="https://www.pnas.org/doi/abs/10.1073/pnas.2526752123?mi=eymic2&amp;af=R&amp;access=on&amp;content=articlesChapters&amp;publication=pnas&amp;sortBy=Earliest&amp;target=default" TargetMode="External"/><Relationship Id="rId310" Type="http://schemas.openxmlformats.org/officeDocument/2006/relationships/hyperlink" Target="https://doi.org/10.1073/pnas.2526752123" TargetMode="External"/><Relationship Id="rId311" Type="http://schemas.openxmlformats.org/officeDocument/2006/relationships/hyperlink" Target="https://www.pnas.org/doi/abs/10.1073/pnas.2526398123?mi=eymic2&amp;af=R&amp;access=on&amp;content=articlesChapters&amp;publication=pnas&amp;sortBy=Earliest&amp;target=default" TargetMode="External"/><Relationship Id="rId312" Type="http://schemas.openxmlformats.org/officeDocument/2006/relationships/hyperlink" Target="https://doi.org/10.1073/pnas.2526398123" TargetMode="External"/><Relationship Id="rId313" Type="http://schemas.openxmlformats.org/officeDocument/2006/relationships/hyperlink" Target="https://www.pnas.org/doi/abs/10.1073/pnas.2522779123?mi=eymic2&amp;af=R&amp;access=on&amp;content=articlesChapters&amp;publication=pnas&amp;sortBy=Earliest&amp;target=default" TargetMode="External"/><Relationship Id="rId314" Type="http://schemas.openxmlformats.org/officeDocument/2006/relationships/hyperlink" Target="https://doi.org/10.1073/pnas.2522779123" TargetMode="External"/><Relationship Id="rId315" Type="http://schemas.openxmlformats.org/officeDocument/2006/relationships/hyperlink" Target="https://www.pnas.org/doi/abs/10.1073/pnas.2525466123?mi=eymic2&amp;af=R&amp;access=on&amp;content=articlesChapters&amp;publication=pnas&amp;sortBy=Earliest&amp;target=default" TargetMode="External"/><Relationship Id="rId316" Type="http://schemas.openxmlformats.org/officeDocument/2006/relationships/hyperlink" Target="https://doi.org/10.1073/pnas.2525466123" TargetMode="External"/><Relationship Id="rId317" Type="http://schemas.openxmlformats.org/officeDocument/2006/relationships/hyperlink" Target="https://www.pnas.org/doi/abs/10.1073/pnas.2526263123?mi=eymic2&amp;af=R&amp;access=on&amp;content=articlesChapters&amp;publication=pnas&amp;sortBy=Earliest&amp;target=default" TargetMode="External"/><Relationship Id="rId318" Type="http://schemas.openxmlformats.org/officeDocument/2006/relationships/hyperlink" Target="https://doi.org/10.1073/pnas.2526263123" TargetMode="External"/><Relationship Id="rId319" Type="http://schemas.openxmlformats.org/officeDocument/2006/relationships/hyperlink" Target="https://www.pnas.org/doi/abs/10.1073/pnas.2527749123?mi=eymic2&amp;af=R&amp;access=on&amp;content=articlesChapters&amp;publication=pnas&amp;sortBy=Earliest&amp;target=default" TargetMode="External"/><Relationship Id="rId320" Type="http://schemas.openxmlformats.org/officeDocument/2006/relationships/hyperlink" Target="https://doi.org/10.1073/pnas.2527749123" TargetMode="External"/><Relationship Id="rId321" Type="http://schemas.openxmlformats.org/officeDocument/2006/relationships/hyperlink" Target="https://www.pnas.org/doi/abs/10.1073/pnas.2521892123?mi=eymic2&amp;af=R&amp;access=on&amp;content=articlesChapters&amp;publication=pnas&amp;sortBy=Earliest&amp;target=default" TargetMode="External"/><Relationship Id="rId322" Type="http://schemas.openxmlformats.org/officeDocument/2006/relationships/hyperlink" Target="https://doi.org/10.1073/pnas.2521892123" TargetMode="External"/><Relationship Id="rId323" Type="http://schemas.openxmlformats.org/officeDocument/2006/relationships/hyperlink" Target="https://www.pnas.org/doi/abs/10.1073/pnas.2518854123?mi=eymic2&amp;af=R&amp;access=on&amp;content=articlesChapters&amp;publication=pnas&amp;sortBy=Earliest&amp;target=default" TargetMode="External"/><Relationship Id="rId324" Type="http://schemas.openxmlformats.org/officeDocument/2006/relationships/hyperlink" Target="https://doi.org/10.1073/pnas.2518854123" TargetMode="External"/><Relationship Id="rId325" Type="http://schemas.openxmlformats.org/officeDocument/2006/relationships/hyperlink" Target="https://www.pnas.org/doi/abs/10.1073/pnas.2537202123?mi=eymic2&amp;af=R&amp;access=on&amp;content=articlesChapters&amp;publication=pnas&amp;sortBy=Earliest&amp;target=default" TargetMode="External"/><Relationship Id="rId326" Type="http://schemas.openxmlformats.org/officeDocument/2006/relationships/hyperlink" Target="https://doi.org/10.1073/pnas.2537202123" TargetMode="External"/><Relationship Id="rId327" Type="http://schemas.openxmlformats.org/officeDocument/2006/relationships/hyperlink" Target="https://www.pnas.org/doi/abs/10.1073/pnas.2600465123?mi=eymic2&amp;af=R&amp;access=on&amp;content=articlesChapters&amp;publication=pnas&amp;sortBy=Earliest&amp;target=default" TargetMode="External"/><Relationship Id="rId328" Type="http://schemas.openxmlformats.org/officeDocument/2006/relationships/hyperlink" Target="https://doi.org/10.1073/pnas.2600465123" TargetMode="External"/><Relationship Id="rId329" Type="http://schemas.openxmlformats.org/officeDocument/2006/relationships/hyperlink" Target="https://www.pnas.org/doi/abs/10.1073/pnas.2600791123?mi=eymic2&amp;af=R&amp;access=on&amp;content=articlesChapters&amp;publication=pnas&amp;sortBy=Earliest&amp;target=default" TargetMode="External"/><Relationship Id="rId330" Type="http://schemas.openxmlformats.org/officeDocument/2006/relationships/hyperlink" Target="https://doi.org/10.1073/pnas.2600791123" TargetMode="External"/><Relationship Id="rId331" Type="http://schemas.openxmlformats.org/officeDocument/2006/relationships/hyperlink" Target="https://www.pnas.org/doi/abs/10.1073/pnas.2520724123?mi=eymic2&amp;af=R&amp;access=on&amp;content=articlesChapters&amp;publication=pnas&amp;sortBy=Earliest&amp;target=default" TargetMode="External"/><Relationship Id="rId332" Type="http://schemas.openxmlformats.org/officeDocument/2006/relationships/hyperlink" Target="https://doi.org/10.1073/pnas.2520724123" TargetMode="External"/><Relationship Id="rId333" Type="http://schemas.openxmlformats.org/officeDocument/2006/relationships/hyperlink" Target="https://www.pnas.org/doi/abs/10.1073/pnas.2536792123?mi=eymic2&amp;af=R&amp;access=on&amp;content=articlesChapters&amp;publication=pnas&amp;sortBy=Earliest&amp;target=default" TargetMode="External"/><Relationship Id="rId334" Type="http://schemas.openxmlformats.org/officeDocument/2006/relationships/hyperlink" Target="https://doi.org/10.1073/pnas.2536792123" TargetMode="External"/><Relationship Id="rId335" Type="http://schemas.openxmlformats.org/officeDocument/2006/relationships/hyperlink" Target="https://www.pnas.org/doi/abs/10.1073/pnas.2520089123?mi=eymic2&amp;af=R&amp;access=on&amp;content=articlesChapters&amp;publication=pnas&amp;sortBy=Earliest&amp;target=default" TargetMode="External"/><Relationship Id="rId336" Type="http://schemas.openxmlformats.org/officeDocument/2006/relationships/hyperlink" Target="https://doi.org/10.1073/pnas.2520089123" TargetMode="External"/><Relationship Id="rId337" Type="http://schemas.openxmlformats.org/officeDocument/2006/relationships/hyperlink" Target="https://www.pnas.org/doi/abs/10.1073/pnas.2509303123?mi=eymic2&amp;af=R&amp;access=on&amp;content=articlesChapters&amp;publication=pnas&amp;sortBy=Earliest&amp;target=default" TargetMode="External"/><Relationship Id="rId338" Type="http://schemas.openxmlformats.org/officeDocument/2006/relationships/hyperlink" Target="https://doi.org/10.1073/pnas.2509303123" TargetMode="External"/><Relationship Id="rId339" Type="http://schemas.openxmlformats.org/officeDocument/2006/relationships/hyperlink" Target="https://www.pnas.org/doi/abs/10.1073/pnas.2511125123?mi=eymic2&amp;af=R&amp;access=on&amp;content=articlesChapters&amp;publication=pnas&amp;sortBy=Earliest&amp;target=default" TargetMode="External"/><Relationship Id="rId340" Type="http://schemas.openxmlformats.org/officeDocument/2006/relationships/hyperlink" Target="https://doi.org/10.1073/pnas.2511125123" TargetMode="External"/><Relationship Id="rId341" Type="http://schemas.openxmlformats.org/officeDocument/2006/relationships/hyperlink" Target="https://www.pnas.org/doi/abs/10.1073/pnas.2511138123?mi=eymic2&amp;af=R&amp;access=on&amp;content=articlesChapters&amp;publication=pnas&amp;sortBy=Earliest&amp;target=default" TargetMode="External"/><Relationship Id="rId342" Type="http://schemas.openxmlformats.org/officeDocument/2006/relationships/hyperlink" Target="https://doi.org/10.1073/pnas.2511138123" TargetMode="External"/><Relationship Id="rId343" Type="http://schemas.openxmlformats.org/officeDocument/2006/relationships/hyperlink" Target="https://www.pnas.org/doi/abs/10.1073/pnas.2516579123?mi=eymic2&amp;af=R&amp;access=on&amp;content=articlesChapters&amp;publication=pnas&amp;sortBy=Earliest&amp;target=default" TargetMode="External"/><Relationship Id="rId344" Type="http://schemas.openxmlformats.org/officeDocument/2006/relationships/hyperlink" Target="https://doi.org/10.1073/pnas.2516579123" TargetMode="External"/><Relationship Id="rId345" Type="http://schemas.openxmlformats.org/officeDocument/2006/relationships/hyperlink" Target="https://www.pnas.org/doi/abs/10.1073/pnas.2516774123?mi=eymic2&amp;af=R&amp;access=on&amp;content=articlesChapters&amp;publication=pnas&amp;sortBy=Earliest&amp;target=default" TargetMode="External"/><Relationship Id="rId346" Type="http://schemas.openxmlformats.org/officeDocument/2006/relationships/hyperlink" Target="https://doi.org/10.1073/pnas.2516774123" TargetMode="External"/><Relationship Id="rId347" Type="http://schemas.openxmlformats.org/officeDocument/2006/relationships/hyperlink" Target="https://www.pnas.org/doi/abs/10.1073/pnas.2427234123?mi=eymic2&amp;af=R&amp;access=on&amp;content=articlesChapters&amp;publication=pnas&amp;sortBy=Earliest&amp;target=default" TargetMode="External"/><Relationship Id="rId348" Type="http://schemas.openxmlformats.org/officeDocument/2006/relationships/hyperlink" Target="https://doi.org/10.1073/pnas.2427234123" TargetMode="External"/><Relationship Id="rId349" Type="http://schemas.openxmlformats.org/officeDocument/2006/relationships/hyperlink" Target="https://advanced.onlinelibrary.wiley.com/doi/10.1002/aenm.202506761?af=R" TargetMode="External"/><Relationship Id="rId350" Type="http://schemas.openxmlformats.org/officeDocument/2006/relationships/hyperlink" Target="https://doi.org/10.1002/aenm.202506761" TargetMode="External"/><Relationship Id="rId351" Type="http://schemas.openxmlformats.org/officeDocument/2006/relationships/hyperlink" Target="https://onlinelibrary.wiley.com/doi/10.1002/anie.8266335?af=R" TargetMode="External"/><Relationship Id="rId352" Type="http://schemas.openxmlformats.org/officeDocument/2006/relationships/hyperlink" Target="https://doi.org/10.1002/anie.8266335" TargetMode="External"/><Relationship Id="rId353" Type="http://schemas.openxmlformats.org/officeDocument/2006/relationships/hyperlink" Target="https://onlinelibrary.wiley.com/doi/10.1002/anie.202525515?af=R" TargetMode="External"/><Relationship Id="rId354" Type="http://schemas.openxmlformats.org/officeDocument/2006/relationships/hyperlink" Target="https://doi.org/10.1002/anie.202525515" TargetMode="External"/><Relationship Id="rId355" Type="http://schemas.openxmlformats.org/officeDocument/2006/relationships/hyperlink" Target="https://advanced.onlinelibrary.wiley.com/doi/10.1002/adma.72590?af=R" TargetMode="External"/><Relationship Id="rId356" Type="http://schemas.openxmlformats.org/officeDocument/2006/relationships/hyperlink" Target="https://doi.org/10.1002/adma.72590" TargetMode="External"/><Relationship Id="rId357" Type="http://schemas.openxmlformats.org/officeDocument/2006/relationships/hyperlink" Target="https://onlinelibrary.wiley.com/doi/10.1002/anie.8641245?af=R" TargetMode="External"/><Relationship Id="rId358" Type="http://schemas.openxmlformats.org/officeDocument/2006/relationships/hyperlink" Target="https://doi.org/10.1002/anie.8641245" TargetMode="External"/><Relationship Id="rId359" Type="http://schemas.openxmlformats.org/officeDocument/2006/relationships/hyperlink" Target="http://dx.doi.org/10.1021/jacs.5c22856" TargetMode="External"/><Relationship Id="rId360" Type="http://schemas.openxmlformats.org/officeDocument/2006/relationships/hyperlink" Target="https://doi.org/10.1021/jacs.5c22856" TargetMode="External"/><Relationship Id="rId361" Type="http://schemas.openxmlformats.org/officeDocument/2006/relationships/hyperlink" Target="https://advanced.onlinelibrary.wiley.com/doi/10.1002/adma.202522240?af=R" TargetMode="External"/><Relationship Id="rId362" Type="http://schemas.openxmlformats.org/officeDocument/2006/relationships/hyperlink" Target="https://doi.org/10.1002/adma.202522240" TargetMode="External"/><Relationship Id="rId363" Type="http://schemas.openxmlformats.org/officeDocument/2006/relationships/hyperlink" Target="https://advanced.onlinelibrary.wiley.com/doi/10.1002/adma.202521189?af=R" TargetMode="External"/><Relationship Id="rId364" Type="http://schemas.openxmlformats.org/officeDocument/2006/relationships/hyperlink" Target="https://doi.org/10.1002/adma.202521189" TargetMode="External"/><Relationship Id="rId365" Type="http://schemas.openxmlformats.org/officeDocument/2006/relationships/hyperlink" Target="http://dx.doi.org/10.1021/jacs.5c17824" TargetMode="External"/><Relationship Id="rId366" Type="http://schemas.openxmlformats.org/officeDocument/2006/relationships/hyperlink" Target="https://doi.org/10.1021/jacs.5c17824" TargetMode="External"/><Relationship Id="rId367" Type="http://schemas.openxmlformats.org/officeDocument/2006/relationships/hyperlink" Target="http://dx.doi.org/10.1021/jacs.5c23113" TargetMode="External"/><Relationship Id="rId368" Type="http://schemas.openxmlformats.org/officeDocument/2006/relationships/hyperlink" Target="https://doi.org/10.1021/jacs.5c23113" TargetMode="External"/><Relationship Id="rId369" Type="http://schemas.openxmlformats.org/officeDocument/2006/relationships/hyperlink" Target="https://advanced.onlinelibrary.wiley.com/doi/10.1002/adma.202508639?af=R" TargetMode="External"/><Relationship Id="rId370" Type="http://schemas.openxmlformats.org/officeDocument/2006/relationships/hyperlink" Target="https://doi.org/10.1002/adma.202508639" TargetMode="External"/><Relationship Id="rId371" Type="http://schemas.openxmlformats.org/officeDocument/2006/relationships/hyperlink" Target="http://dx.doi.org/10.1021/jacs.5c20979" TargetMode="External"/><Relationship Id="rId372" Type="http://schemas.openxmlformats.org/officeDocument/2006/relationships/hyperlink" Target="https://doi.org/10.1021/jacs.5c20979" TargetMode="External"/><Relationship Id="rId373" Type="http://schemas.openxmlformats.org/officeDocument/2006/relationships/hyperlink" Target="https://advanced.onlinelibrary.wiley.com/doi/10.1002/adma.202523588?af=R" TargetMode="External"/><Relationship Id="rId374" Type="http://schemas.openxmlformats.org/officeDocument/2006/relationships/hyperlink" Target="https://doi.org/10.1002/adma.202523588" TargetMode="External"/><Relationship Id="rId375" Type="http://schemas.openxmlformats.org/officeDocument/2006/relationships/hyperlink" Target="http://dx.doi.org/10.1021/jacs.5c21919" TargetMode="External"/><Relationship Id="rId376" Type="http://schemas.openxmlformats.org/officeDocument/2006/relationships/hyperlink" Target="https://doi.org/10.1021/jacs.5c21919" TargetMode="External"/><Relationship Id="rId377" Type="http://schemas.openxmlformats.org/officeDocument/2006/relationships/hyperlink" Target="http://dx.doi.org/10.1021/jacs.6c00036" TargetMode="External"/><Relationship Id="rId378" Type="http://schemas.openxmlformats.org/officeDocument/2006/relationships/hyperlink" Target="https://doi.org/10.1021/jacs.6c00036" TargetMode="External"/><Relationship Id="rId379" Type="http://schemas.openxmlformats.org/officeDocument/2006/relationships/hyperlink" Target="http://dx.doi.org/10.1021/jacs.5c21739" TargetMode="External"/><Relationship Id="rId380" Type="http://schemas.openxmlformats.org/officeDocument/2006/relationships/hyperlink" Target="https://doi.org/10.1021/jacs.5c21739" TargetMode="External"/><Relationship Id="rId381" Type="http://schemas.openxmlformats.org/officeDocument/2006/relationships/hyperlink" Target="http://dx.doi.org/10.1021/jacs.5c19443" TargetMode="External"/><Relationship Id="rId382" Type="http://schemas.openxmlformats.org/officeDocument/2006/relationships/hyperlink" Target="https://doi.org/10.1021/jacs.5c19443" TargetMode="External"/><Relationship Id="rId383" Type="http://schemas.openxmlformats.org/officeDocument/2006/relationships/hyperlink" Target="http://dx.doi.org/10.1021/jacs.5c21293" TargetMode="External"/><Relationship Id="rId384" Type="http://schemas.openxmlformats.org/officeDocument/2006/relationships/hyperlink" Target="https://doi.org/10.1021/jacs.5c21293" TargetMode="External"/><Relationship Id="rId385" Type="http://schemas.openxmlformats.org/officeDocument/2006/relationships/hyperlink" Target="http://dx.doi.org/10.1021/jacs.5c20173" TargetMode="External"/><Relationship Id="rId386" Type="http://schemas.openxmlformats.org/officeDocument/2006/relationships/hyperlink" Target="https://doi.org/10.1021/jacs.5c20173" TargetMode="External"/><Relationship Id="rId387" Type="http://schemas.openxmlformats.org/officeDocument/2006/relationships/hyperlink" Target="http://dx.doi.org/10.1021/jacs.5c17561" TargetMode="External"/><Relationship Id="rId388" Type="http://schemas.openxmlformats.org/officeDocument/2006/relationships/hyperlink" Target="https://doi.org/10.1021/jacs.5c17561" TargetMode="External"/><Relationship Id="rId389" Type="http://schemas.openxmlformats.org/officeDocument/2006/relationships/hyperlink" Target="http://dx.doi.org/10.1021/jacs.5c21866" TargetMode="External"/><Relationship Id="rId390" Type="http://schemas.openxmlformats.org/officeDocument/2006/relationships/hyperlink" Target="https://doi.org/10.1021/jacs.5c21866" TargetMode="External"/><Relationship Id="rId391" Type="http://schemas.openxmlformats.org/officeDocument/2006/relationships/hyperlink" Target="http://dx.doi.org/10.1021/jacs.5c22249" TargetMode="External"/><Relationship Id="rId392" Type="http://schemas.openxmlformats.org/officeDocument/2006/relationships/hyperlink" Target="https://doi.org/10.1021/jacs.5c22249" TargetMode="External"/><Relationship Id="rId393" Type="http://schemas.openxmlformats.org/officeDocument/2006/relationships/hyperlink" Target="http://dx.doi.org/10.1021/jacs.5c21851" TargetMode="External"/><Relationship Id="rId394" Type="http://schemas.openxmlformats.org/officeDocument/2006/relationships/hyperlink" Target="https://doi.org/10.1021/jacs.5c21851" TargetMode="External"/><Relationship Id="rId395" Type="http://schemas.openxmlformats.org/officeDocument/2006/relationships/hyperlink" Target="http://dx.doi.org/10.1021/jacs.5c22860" TargetMode="External"/><Relationship Id="rId396" Type="http://schemas.openxmlformats.org/officeDocument/2006/relationships/hyperlink" Target="https://doi.org/10.1021/jacs.5c22860" TargetMode="External"/><Relationship Id="rId397" Type="http://schemas.openxmlformats.org/officeDocument/2006/relationships/hyperlink" Target="http://dx.doi.org/10.1021/jacs.6c00735" TargetMode="External"/><Relationship Id="rId398" Type="http://schemas.openxmlformats.org/officeDocument/2006/relationships/hyperlink" Target="https://doi.org/10.1021/jacs.6c00735" TargetMode="External"/><Relationship Id="rId399" Type="http://schemas.openxmlformats.org/officeDocument/2006/relationships/hyperlink" Target="http://dx.doi.org/10.1021/jacs.5c20438" TargetMode="External"/><Relationship Id="rId400" Type="http://schemas.openxmlformats.org/officeDocument/2006/relationships/hyperlink" Target="https://doi.org/10.1021/jacs.5c20438" TargetMode="External"/><Relationship Id="rId401" Type="http://schemas.openxmlformats.org/officeDocument/2006/relationships/hyperlink" Target="http://dx.doi.org/10.1021/jacs.5c22657" TargetMode="External"/><Relationship Id="rId402" Type="http://schemas.openxmlformats.org/officeDocument/2006/relationships/hyperlink" Target="https://doi.org/10.1021/jacs.5c22657" TargetMode="External"/><Relationship Id="rId403" Type="http://schemas.openxmlformats.org/officeDocument/2006/relationships/hyperlink" Target="http://dx.doi.org/10.1021/jacs.6c00023" TargetMode="External"/><Relationship Id="rId404" Type="http://schemas.openxmlformats.org/officeDocument/2006/relationships/hyperlink" Target="https://doi.org/10.1021/jacs.6c00023" TargetMode="External"/><Relationship Id="rId405" Type="http://schemas.openxmlformats.org/officeDocument/2006/relationships/hyperlink" Target="http://dx.doi.org/10.1021/jacs.5c23084" TargetMode="External"/><Relationship Id="rId406" Type="http://schemas.openxmlformats.org/officeDocument/2006/relationships/hyperlink" Target="https://doi.org/10.1021/jacs.5c23084" TargetMode="External"/><Relationship Id="rId407" Type="http://schemas.openxmlformats.org/officeDocument/2006/relationships/hyperlink" Target="https://www.nature.com/articles/s41557-026-02064-2" TargetMode="External"/><Relationship Id="rId408" Type="http://schemas.openxmlformats.org/officeDocument/2006/relationships/hyperlink" Target="https://doi.org/10.1038/s41557-026-02064-2" TargetMode="External"/><Relationship Id="rId409" Type="http://schemas.openxmlformats.org/officeDocument/2006/relationships/hyperlink" Target="https://www.nature.com/articles/d41586-026-00678-7" TargetMode="External"/><Relationship Id="rId410" Type="http://schemas.openxmlformats.org/officeDocument/2006/relationships/hyperlink" Target="https://doi.org/10.1038/d41586-026-00678-7" TargetMode="External"/><Relationship Id="rId411" Type="http://schemas.openxmlformats.org/officeDocument/2006/relationships/hyperlink" Target="https://www.nature.com/articles/d41586-026-00641-6" TargetMode="External"/><Relationship Id="rId412" Type="http://schemas.openxmlformats.org/officeDocument/2006/relationships/hyperlink" Target="https://doi.org/10.1038/d41586-026-00641-6" TargetMode="External"/><Relationship Id="rId413" Type="http://schemas.openxmlformats.org/officeDocument/2006/relationships/hyperlink" Target="https://www.nature.com/articles/d41586-026-00679-6" TargetMode="External"/><Relationship Id="rId414" Type="http://schemas.openxmlformats.org/officeDocument/2006/relationships/hyperlink" Target="https://doi.org/10.1038/d41586-026-00679-6" TargetMode="External"/><Relationship Id="rId415" Type="http://schemas.openxmlformats.org/officeDocument/2006/relationships/hyperlink" Target="https://www.nature.com/articles/d41586-026-00667-w" TargetMode="External"/><Relationship Id="rId416" Type="http://schemas.openxmlformats.org/officeDocument/2006/relationships/hyperlink" Target="https://doi.org/10.1038/d41586-026-00667-w" TargetMode="External"/><Relationship Id="rId417" Type="http://schemas.openxmlformats.org/officeDocument/2006/relationships/hyperlink" Target="https://academic.oup.com/nsr/advance-article/doi/10.1093/nsr/nwag131/8504127?rss=1" TargetMode="External"/><Relationship Id="rId418" Type="http://schemas.openxmlformats.org/officeDocument/2006/relationships/hyperlink" Target="https://doi.org/10.1093/nsr/nwag131" TargetMode="External"/><Relationship Id="rId419" Type="http://schemas.openxmlformats.org/officeDocument/2006/relationships/hyperlink" Target="https://www.nature.com/articles/s41467-026-70336-z" TargetMode="External"/><Relationship Id="rId420" Type="http://schemas.openxmlformats.org/officeDocument/2006/relationships/hyperlink" Target="https://doi.org/10.1038/s41467-026-70336-z" TargetMode="External"/><Relationship Id="rId421" Type="http://schemas.openxmlformats.org/officeDocument/2006/relationships/hyperlink" Target="https://academic.oup.com/nsr/advance-article/doi/10.1093/nsr/nwag133/8504123?rss=1" TargetMode="External"/><Relationship Id="rId422" Type="http://schemas.openxmlformats.org/officeDocument/2006/relationships/hyperlink" Target="https://doi.org/10.1093/nsr/nwag133" TargetMode="External"/><Relationship Id="rId423" Type="http://schemas.openxmlformats.org/officeDocument/2006/relationships/hyperlink" Target="https://www.nature.com/articles/s41467-026-70201-z" TargetMode="External"/><Relationship Id="rId424" Type="http://schemas.openxmlformats.org/officeDocument/2006/relationships/hyperlink" Target="https://doi.org/10.1038/s41467-026-70201-z" TargetMode="External"/><Relationship Id="rId425" Type="http://schemas.openxmlformats.org/officeDocument/2006/relationships/hyperlink" Target="https://www.nature.com/articles/s41467-026-70086-y" TargetMode="External"/><Relationship Id="rId426" Type="http://schemas.openxmlformats.org/officeDocument/2006/relationships/hyperlink" Target="https://doi.org/10.1038/s41467-026-70086-y" TargetMode="External"/><Relationship Id="rId427" Type="http://schemas.openxmlformats.org/officeDocument/2006/relationships/hyperlink" Target="https://www.nature.com/articles/s41467-026-69918-8" TargetMode="External"/><Relationship Id="rId428" Type="http://schemas.openxmlformats.org/officeDocument/2006/relationships/hyperlink" Target="https://doi.org/10.1038/s41467-026-69918-8" TargetMode="External"/><Relationship Id="rId429" Type="http://schemas.openxmlformats.org/officeDocument/2006/relationships/hyperlink" Target="https://www.cell.com/joule/fulltext/S2542-4351(25)00495-7?rss=yes" TargetMode="External"/><Relationship Id="rId430" Type="http://schemas.openxmlformats.org/officeDocument/2006/relationships/hyperlink" Target="https://doi.org/10.1016/j.joule.2025.102314" TargetMode="External"/><Relationship Id="rId431" Type="http://schemas.openxmlformats.org/officeDocument/2006/relationships/hyperlink" Target="https://www.nature.com/articles/s41557-026-02078-w" TargetMode="External"/><Relationship Id="rId432" Type="http://schemas.openxmlformats.org/officeDocument/2006/relationships/hyperlink" Target="https://doi.org/10.1038/s41557-026-02078-w" TargetMode="External"/><Relationship Id="rId433" Type="http://schemas.openxmlformats.org/officeDocument/2006/relationships/hyperlink" Target="http://pubs.rsc.org/en/Content/ArticleLanding/2026/CS/D5CS01220A" TargetMode="External"/><Relationship Id="rId434" Type="http://schemas.openxmlformats.org/officeDocument/2006/relationships/hyperlink" Target="http://pubs.rsc.org/en/Content/ArticleLanding/2026/CS/D5CS00947B" TargetMode="External"/><Relationship Id="rId435" Type="http://schemas.openxmlformats.org/officeDocument/2006/relationships/hyperlink" Target="https://www.cell.com/chem/fulltext/S2451-9294(25)00511-X?rss=yes" TargetMode="External"/><Relationship Id="rId436" Type="http://schemas.openxmlformats.org/officeDocument/2006/relationships/hyperlink" Target="https://doi.org/10.1016/j.chempr.2025.102920" TargetMode="External"/><Relationship Id="rId437" Type="http://schemas.openxmlformats.org/officeDocument/2006/relationships/hyperlink" Target="https://www.cell.com/chem/fulltext/S2451-9294(25)00510-8?rss=yes" TargetMode="External"/><Relationship Id="rId438" Type="http://schemas.openxmlformats.org/officeDocument/2006/relationships/hyperlink" Target="https://doi.org/10.1016/j.chempr.2025.102919" TargetMode="External"/><Relationship Id="rId439" Type="http://schemas.openxmlformats.org/officeDocument/2006/relationships/hyperlink" Target="https://www.nature.com/articles/s41586-026-10332-x" TargetMode="External"/><Relationship Id="rId440" Type="http://schemas.openxmlformats.org/officeDocument/2006/relationships/hyperlink" Target="https://doi.org/10.1038/s41586-026-10332-x" TargetMode="External"/><Relationship Id="rId441" Type="http://schemas.openxmlformats.org/officeDocument/2006/relationships/hyperlink" Target="https://www.nature.com/articles/s41586-026-10323-y" TargetMode="External"/><Relationship Id="rId442" Type="http://schemas.openxmlformats.org/officeDocument/2006/relationships/hyperlink" Target="https://doi.org/10.1038/s41586-026-10323-y" TargetMode="External"/><Relationship Id="rId443" Type="http://schemas.openxmlformats.org/officeDocument/2006/relationships/hyperlink" Target="http://pubs.rsc.org/en/Content/ArticleLanding/2026/CS/D5CS00678C" TargetMode="External"/><Relationship Id="rId444" Type="http://schemas.openxmlformats.org/officeDocument/2006/relationships/hyperlink" Target="https://www.nature.com/articles/s41467-026-70084-0" TargetMode="External"/><Relationship Id="rId445" Type="http://schemas.openxmlformats.org/officeDocument/2006/relationships/hyperlink" Target="https://doi.org/10.1038/s41467-026-70084-0" TargetMode="External"/><Relationship Id="rId446" Type="http://schemas.openxmlformats.org/officeDocument/2006/relationships/hyperlink" Target="https://www.nature.com/articles/s41557-026-02097-7" TargetMode="External"/><Relationship Id="rId447" Type="http://schemas.openxmlformats.org/officeDocument/2006/relationships/hyperlink" Target="https://doi.org/10.1038/s41557-026-02097-7" TargetMode="External"/><Relationship Id="rId448" Type="http://schemas.openxmlformats.org/officeDocument/2006/relationships/hyperlink" Target="https://www.nature.com/articles/d41586-026-00657-y" TargetMode="External"/><Relationship Id="rId449" Type="http://schemas.openxmlformats.org/officeDocument/2006/relationships/hyperlink" Target="https://doi.org/10.1038/d41586-026-00657-y" TargetMode="External"/><Relationship Id="rId450" Type="http://schemas.openxmlformats.org/officeDocument/2006/relationships/hyperlink" Target="http://pubs.rsc.org/en/Content/ArticleLanding/2026/EE/D6EE00231E" TargetMode="External"/><Relationship Id="rId451" Type="http://schemas.openxmlformats.org/officeDocument/2006/relationships/hyperlink" Target="https://www.sciencedirect.com/science/article/pii/S0301421526001515?dgcid=rss_sd_all" TargetMode="External"/><Relationship Id="rId452" Type="http://schemas.openxmlformats.org/officeDocument/2006/relationships/hyperlink" Target="https://www.sciencedirect.com/science/article/pii/S0306261926002266?dgcid=rss_sd_all" TargetMode="External"/><Relationship Id="rId453" Type="http://schemas.openxmlformats.org/officeDocument/2006/relationships/hyperlink" Target="https://www.cell.com/matter/fulltext/S2590-2385(25)00679-4?rss=yes" TargetMode="External"/><Relationship Id="rId454" Type="http://schemas.openxmlformats.org/officeDocument/2006/relationships/hyperlink" Target="https://doi.org/10.1016/j.matt.2025.102636" TargetMode="External"/><Relationship Id="rId455" Type="http://schemas.openxmlformats.org/officeDocument/2006/relationships/hyperlink" Target="https://www.nature.com/articles/s41563-026-02515-8" TargetMode="External"/><Relationship Id="rId456" Type="http://schemas.openxmlformats.org/officeDocument/2006/relationships/hyperlink" Target="https://doi.org/10.1038/s41563-026-02515-8" TargetMode="External"/><Relationship Id="rId457" Type="http://schemas.openxmlformats.org/officeDocument/2006/relationships/hyperlink" Target="https://www.nature.com/articles/s41563-026-02506-9" TargetMode="External"/><Relationship Id="rId458" Type="http://schemas.openxmlformats.org/officeDocument/2006/relationships/hyperlink" Target="https://doi.org/10.1038/s41563-026-02506-9" TargetMode="External"/><Relationship Id="rId459" Type="http://schemas.openxmlformats.org/officeDocument/2006/relationships/hyperlink" Target="https://www.sciencedirect.com/science/article/pii/S0306261926002588?dgcid=rss_sd_all" TargetMode="External"/><Relationship Id="rId460" Type="http://schemas.openxmlformats.org/officeDocument/2006/relationships/hyperlink" Target="https://www.cell.com/matter/fulltext/S2590-2385(26)00014-7?rss=yes" TargetMode="External"/><Relationship Id="rId461" Type="http://schemas.openxmlformats.org/officeDocument/2006/relationships/hyperlink" Target="https://doi.org/10.1016/j.matt.2026.102651" TargetMode="External"/><Relationship Id="rId462" Type="http://schemas.openxmlformats.org/officeDocument/2006/relationships/hyperlink" Target="https://academic.oup.com/nsr/advance-article/doi/10.1093/nsr/nwag132/8504132?rss=1" TargetMode="External"/><Relationship Id="rId463" Type="http://schemas.openxmlformats.org/officeDocument/2006/relationships/hyperlink" Target="https://doi.org/10.1093/nsr/nwag132" TargetMode="External"/><Relationship Id="rId464" Type="http://schemas.openxmlformats.org/officeDocument/2006/relationships/hyperlink" Target="https://www.sciencedirect.com/science/article/pii/S0306261926002734?dgcid=rss_sd_all" TargetMode="External"/><Relationship Id="rId465" Type="http://schemas.openxmlformats.org/officeDocument/2006/relationships/hyperlink" Target="https://academic.oup.com/nsr/advance-article/doi/10.1093/nsr/nwag127/8504114?rss=1" TargetMode="External"/><Relationship Id="rId466" Type="http://schemas.openxmlformats.org/officeDocument/2006/relationships/hyperlink" Target="https://doi.org/10.1093/nsr/nwag127" TargetMode="External"/><Relationship Id="rId467" Type="http://schemas.openxmlformats.org/officeDocument/2006/relationships/hyperlink" Target="https://www.nature.com/articles/d41586-026-00680-z" TargetMode="External"/><Relationship Id="rId468" Type="http://schemas.openxmlformats.org/officeDocument/2006/relationships/hyperlink" Target="https://doi.org/10.1038/d41586-026-00680-z" TargetMode="External"/><Relationship Id="rId469" Type="http://schemas.openxmlformats.org/officeDocument/2006/relationships/hyperlink" Target="https://www.nature.com/articles/d41586-026-00629-2" TargetMode="External"/><Relationship Id="rId470" Type="http://schemas.openxmlformats.org/officeDocument/2006/relationships/hyperlink" Target="https://doi.org/10.1038/d41586-026-00629-2" TargetMode="External"/><Relationship Id="rId471" Type="http://schemas.openxmlformats.org/officeDocument/2006/relationships/hyperlink" Target="https://www.nature.com/articles/d41586-026-00491-2" TargetMode="External"/><Relationship Id="rId472" Type="http://schemas.openxmlformats.org/officeDocument/2006/relationships/hyperlink" Target="https://doi.org/10.1038/d41586-026-00491-2" TargetMode="External"/><Relationship Id="rId473" Type="http://schemas.openxmlformats.org/officeDocument/2006/relationships/hyperlink" Target="https://www.nature.com/articles/d41586-026-00595-9" TargetMode="External"/><Relationship Id="rId474" Type="http://schemas.openxmlformats.org/officeDocument/2006/relationships/hyperlink" Target="https://doi.org/10.1038/d41586-026-00595-9" TargetMode="External"/><Relationship Id="rId475" Type="http://schemas.openxmlformats.org/officeDocument/2006/relationships/hyperlink" Target="https://www.nature.com/articles/d41586-026-00597-7" TargetMode="External"/><Relationship Id="rId476" Type="http://schemas.openxmlformats.org/officeDocument/2006/relationships/hyperlink" Target="https://doi.org/10.1038/d41586-026-00597-7" TargetMode="External"/><Relationship Id="rId477" Type="http://schemas.openxmlformats.org/officeDocument/2006/relationships/hyperlink" Target="https://www.nature.com/articles/d41586-026-00663-0" TargetMode="External"/><Relationship Id="rId478" Type="http://schemas.openxmlformats.org/officeDocument/2006/relationships/hyperlink" Target="https://doi.org/10.1038/d41586-026-00663-0" TargetMode="External"/><Relationship Id="rId479" Type="http://schemas.openxmlformats.org/officeDocument/2006/relationships/hyperlink" Target="https://www.nature.com/articles/d41586-025-04126-w" TargetMode="External"/><Relationship Id="rId480" Type="http://schemas.openxmlformats.org/officeDocument/2006/relationships/hyperlink" Target="https://doi.org/10.1038/d41586-025-04126-w" TargetMode="External"/><Relationship Id="rId481" Type="http://schemas.openxmlformats.org/officeDocument/2006/relationships/hyperlink" Target="https://www.nature.com/articles/d41586-026-00660-3" TargetMode="External"/><Relationship Id="rId482" Type="http://schemas.openxmlformats.org/officeDocument/2006/relationships/hyperlink" Target="https://doi.org/10.1038/d41586-026-00660-3" TargetMode="External"/><Relationship Id="rId483" Type="http://schemas.openxmlformats.org/officeDocument/2006/relationships/hyperlink" Target="https://www.nature.com/articles/d41586-026-00662-1" TargetMode="External"/><Relationship Id="rId484" Type="http://schemas.openxmlformats.org/officeDocument/2006/relationships/hyperlink" Target="https://doi.org/10.1038/d41586-026-00662-1" TargetMode="External"/><Relationship Id="rId485" Type="http://schemas.openxmlformats.org/officeDocument/2006/relationships/hyperlink" Target="https://www.pnas.org/doi/abs/10.1073/pnas.2516278123?mi=eymic2&amp;af=R&amp;access=on&amp;content=articlesChapters&amp;publication=pnas&amp;sortBy=Earliest&amp;target=default" TargetMode="External"/><Relationship Id="rId486" Type="http://schemas.openxmlformats.org/officeDocument/2006/relationships/hyperlink" Target="https://doi.org/10.1073/pnas.2516278123" TargetMode="External"/><Relationship Id="rId487" Type="http://schemas.openxmlformats.org/officeDocument/2006/relationships/hyperlink" Target="https://www.pnas.org/doi/abs/10.1073/iti0926123?mi=eymic2&amp;af=R&amp;access=on&amp;content=articlesChapters&amp;publication=pnas&amp;sortBy=Earliest&amp;target=default" TargetMode="External"/><Relationship Id="rId488" Type="http://schemas.openxmlformats.org/officeDocument/2006/relationships/hyperlink" Target="https://doi.org/10.1073/iti0926123" TargetMode="External"/><Relationship Id="rId489" Type="http://schemas.openxmlformats.org/officeDocument/2006/relationships/hyperlink" Target="https://www.pnas.org/doi/abs/10.1073/pnas.2516572123?mi=eymic2&amp;af=R&amp;access=on&amp;content=articlesChapters&amp;publication=pnas&amp;sortBy=Earliest&amp;target=default" TargetMode="External"/><Relationship Id="rId490" Type="http://schemas.openxmlformats.org/officeDocument/2006/relationships/hyperlink" Target="https://doi.org/10.1073/pnas.2516572123" TargetMode="External"/><Relationship Id="rId491" Type="http://schemas.openxmlformats.org/officeDocument/2006/relationships/hyperlink" Target="https://www.pnas.org/doi/abs/10.1073/pnas.2516372123?mi=eymic2&amp;af=R&amp;access=on&amp;content=articlesChapters&amp;publication=pnas&amp;sortBy=Earliest&amp;target=default" TargetMode="External"/><Relationship Id="rId492" Type="http://schemas.openxmlformats.org/officeDocument/2006/relationships/hyperlink" Target="https://doi.org/10.1073/pnas.2516372123" TargetMode="External"/><Relationship Id="rId493" Type="http://schemas.openxmlformats.org/officeDocument/2006/relationships/hyperlink" Target="https://www.pnas.org/doi/abs/10.1073/pnas.2522722123?mi=eymic2&amp;af=R&amp;access=on&amp;content=articlesChapters&amp;publication=pnas&amp;sortBy=Earliest&amp;target=default" TargetMode="External"/><Relationship Id="rId494" Type="http://schemas.openxmlformats.org/officeDocument/2006/relationships/hyperlink" Target="https://doi.org/10.1073/pnas.2522722123" TargetMode="External"/><Relationship Id="rId495" Type="http://schemas.openxmlformats.org/officeDocument/2006/relationships/hyperlink" Target="https://www.pnas.org/doi/abs/10.1073/pnas.2515265123?mi=eymic2&amp;af=R&amp;access=on&amp;content=articlesChapters&amp;publication=pnas&amp;sortBy=Earliest&amp;target=default" TargetMode="External"/><Relationship Id="rId496" Type="http://schemas.openxmlformats.org/officeDocument/2006/relationships/hyperlink" Target="https://doi.org/10.1073/pnas.2515265123" TargetMode="External"/><Relationship Id="rId497" Type="http://schemas.openxmlformats.org/officeDocument/2006/relationships/hyperlink" Target="https://www.pnas.org/doi/abs/10.1073/pnas.2514297123?mi=eymic2&amp;af=R&amp;access=on&amp;content=articlesChapters&amp;publication=pnas&amp;sortBy=Earliest&amp;target=default" TargetMode="External"/><Relationship Id="rId498" Type="http://schemas.openxmlformats.org/officeDocument/2006/relationships/hyperlink" Target="https://doi.org/10.1073/pnas.2514297123" TargetMode="External"/><Relationship Id="rId499" Type="http://schemas.openxmlformats.org/officeDocument/2006/relationships/hyperlink" Target="https://www.pnas.org/doi/abs/10.1073/pnas.2517709123?mi=eymic2&amp;af=R&amp;access=on&amp;content=articlesChapters&amp;publication=pnas&amp;sortBy=Earliest&amp;target=default" TargetMode="External"/><Relationship Id="rId500" Type="http://schemas.openxmlformats.org/officeDocument/2006/relationships/hyperlink" Target="https://doi.org/10.1073/pnas.2517709123" TargetMode="External"/><Relationship Id="rId501" Type="http://schemas.openxmlformats.org/officeDocument/2006/relationships/hyperlink" Target="https://www.pnas.org/doi/abs/10.1073/pnas.2510444123?mi=eymic2&amp;af=R&amp;access=on&amp;content=articlesChapters&amp;publication=pnas&amp;sortBy=Earliest&amp;target=default" TargetMode="External"/><Relationship Id="rId502" Type="http://schemas.openxmlformats.org/officeDocument/2006/relationships/hyperlink" Target="https://doi.org/10.1073/pnas.2510444123" TargetMode="External"/><Relationship Id="rId503" Type="http://schemas.openxmlformats.org/officeDocument/2006/relationships/hyperlink" Target="https://www.pnas.org/doi/abs/10.1073/pnas.2508669123?mi=eymic2&amp;af=R&amp;access=on&amp;content=articlesChapters&amp;publication=pnas&amp;sortBy=Earliest&amp;target=default" TargetMode="External"/><Relationship Id="rId504" Type="http://schemas.openxmlformats.org/officeDocument/2006/relationships/hyperlink" Target="https://doi.org/10.1073/pnas.2508669123" TargetMode="External"/><Relationship Id="rId505" Type="http://schemas.openxmlformats.org/officeDocument/2006/relationships/hyperlink" Target="https://www.pnas.org/doi/abs/10.1073/pnas.2503728123?mi=eymic2&amp;af=R&amp;access=on&amp;content=articlesChapters&amp;publication=pnas&amp;sortBy=Earliest&amp;target=default" TargetMode="External"/><Relationship Id="rId506" Type="http://schemas.openxmlformats.org/officeDocument/2006/relationships/hyperlink" Target="https://doi.org/10.1073/pnas.2503728123" TargetMode="External"/><Relationship Id="rId507" Type="http://schemas.openxmlformats.org/officeDocument/2006/relationships/hyperlink" Target="https://www.pnas.org/doi/abs/10.1073/pnas.2524790123?mi=eymic2&amp;af=R&amp;access=on&amp;content=articlesChapters&amp;publication=pnas&amp;sortBy=Earliest&amp;target=default" TargetMode="External"/><Relationship Id="rId508" Type="http://schemas.openxmlformats.org/officeDocument/2006/relationships/hyperlink" Target="https://doi.org/10.1073/pnas.2524790123" TargetMode="External"/><Relationship Id="rId509" Type="http://schemas.openxmlformats.org/officeDocument/2006/relationships/hyperlink" Target="https://www.pnas.org/doi/abs/10.1073/pnas.2514483123?mi=eymic2&amp;af=R&amp;access=on&amp;content=articlesChapters&amp;publication=pnas&amp;sortBy=Earliest&amp;target=default" TargetMode="External"/><Relationship Id="rId510" Type="http://schemas.openxmlformats.org/officeDocument/2006/relationships/hyperlink" Target="https://doi.org/10.1073/pnas.2514483123" TargetMode="External"/><Relationship Id="rId511" Type="http://schemas.openxmlformats.org/officeDocument/2006/relationships/hyperlink" Target="https://www.pnas.org/doi/abs/10.1073/pnas.2524913123?mi=eymic2&amp;af=R&amp;access=on&amp;content=articlesChapters&amp;publication=pnas&amp;sortBy=Earliest&amp;target=default" TargetMode="External"/><Relationship Id="rId512" Type="http://schemas.openxmlformats.org/officeDocument/2006/relationships/hyperlink" Target="https://doi.org/10.1073/pnas.2524913123" TargetMode="External"/><Relationship Id="rId513" Type="http://schemas.openxmlformats.org/officeDocument/2006/relationships/hyperlink" Target="https://www.pnas.org/doi/abs/10.1073/pnas.2511950123?mi=eymic2&amp;af=R&amp;access=on&amp;content=articlesChapters&amp;publication=pnas&amp;sortBy=Earliest&amp;target=default" TargetMode="External"/><Relationship Id="rId514" Type="http://schemas.openxmlformats.org/officeDocument/2006/relationships/hyperlink" Target="https://doi.org/10.1073/pnas.2511950123" TargetMode="External"/><Relationship Id="rId515" Type="http://schemas.openxmlformats.org/officeDocument/2006/relationships/hyperlink" Target="https://www.pnas.org/doi/abs/10.1073/pnas.2525502123?mi=eymic2&amp;af=R&amp;access=on&amp;content=articlesChapters&amp;publication=pnas&amp;sortBy=Earliest&amp;target=default" TargetMode="External"/><Relationship Id="rId516" Type="http://schemas.openxmlformats.org/officeDocument/2006/relationships/hyperlink" Target="https://doi.org/10.1073/pnas.2525502123" TargetMode="External"/><Relationship Id="rId517" Type="http://schemas.openxmlformats.org/officeDocument/2006/relationships/hyperlink" Target="https://www.pnas.org/doi/abs/10.1073/pnas.2528367123?mi=eymic2&amp;af=R&amp;access=on&amp;content=articlesChapters&amp;publication=pnas&amp;sortBy=Earliest&amp;target=default" TargetMode="External"/><Relationship Id="rId518" Type="http://schemas.openxmlformats.org/officeDocument/2006/relationships/hyperlink" Target="https://doi.org/10.1073/pnas.2528367123" TargetMode="External"/><Relationship Id="rId519" Type="http://schemas.openxmlformats.org/officeDocument/2006/relationships/hyperlink" Target="https://www.pnas.org/doi/abs/10.1073/pnas.2529187123?mi=eymic2&amp;af=R&amp;access=on&amp;content=articlesChapters&amp;publication=pnas&amp;sortBy=Earliest&amp;target=default" TargetMode="External"/><Relationship Id="rId520" Type="http://schemas.openxmlformats.org/officeDocument/2006/relationships/hyperlink" Target="https://doi.org/10.1073/pnas.2529187123" TargetMode="External"/><Relationship Id="rId521" Type="http://schemas.openxmlformats.org/officeDocument/2006/relationships/hyperlink" Target="https://www.pnas.org/doi/abs/10.1073/pnas.2531162123?mi=eymic2&amp;af=R&amp;access=on&amp;content=articlesChapters&amp;publication=pnas&amp;sortBy=Earliest&amp;target=default" TargetMode="External"/><Relationship Id="rId522" Type="http://schemas.openxmlformats.org/officeDocument/2006/relationships/hyperlink" Target="https://doi.org/10.1073/pnas.2531162123" TargetMode="External"/><Relationship Id="rId523" Type="http://schemas.openxmlformats.org/officeDocument/2006/relationships/hyperlink" Target="https://www.pnas.org/doi/abs/10.1073/pnas.2520645123?mi=eymic2&amp;af=R&amp;access=on&amp;content=articlesChapters&amp;publication=pnas&amp;sortBy=Earliest&amp;target=default" TargetMode="External"/><Relationship Id="rId524" Type="http://schemas.openxmlformats.org/officeDocument/2006/relationships/hyperlink" Target="https://doi.org/10.1073/pnas.2520645123" TargetMode="External"/><Relationship Id="rId525" Type="http://schemas.openxmlformats.org/officeDocument/2006/relationships/hyperlink" Target="https://www.pnas.org/doi/abs/10.1073/pnas.2525308123?mi=eymic2&amp;af=R&amp;access=on&amp;content=articlesChapters&amp;publication=pnas&amp;sortBy=Earliest&amp;target=default" TargetMode="External"/><Relationship Id="rId526" Type="http://schemas.openxmlformats.org/officeDocument/2006/relationships/hyperlink" Target="https://doi.org/10.1073/pnas.2525308123" TargetMode="External"/><Relationship Id="rId527" Type="http://schemas.openxmlformats.org/officeDocument/2006/relationships/hyperlink" Target="http://dx.doi.org/10.1021/jacs.5c21282" TargetMode="External"/><Relationship Id="rId528" Type="http://schemas.openxmlformats.org/officeDocument/2006/relationships/hyperlink" Target="https://doi.org/10.1021/jacs.5c21282" TargetMode="External"/><Relationship Id="rId529" Type="http://schemas.openxmlformats.org/officeDocument/2006/relationships/hyperlink" Target="http://dx.doi.org/10.1021/jacs.5c20802" TargetMode="External"/><Relationship Id="rId530" Type="http://schemas.openxmlformats.org/officeDocument/2006/relationships/hyperlink" Target="https://doi.org/10.1021/jacs.5c20802" TargetMode="External"/><Relationship Id="rId531" Type="http://schemas.openxmlformats.org/officeDocument/2006/relationships/hyperlink" Target="http://dx.doi.org/10.1021/jacs.5c22242" TargetMode="External"/><Relationship Id="rId532" Type="http://schemas.openxmlformats.org/officeDocument/2006/relationships/hyperlink" Target="https://doi.org/10.1021/jacs.5c22242" TargetMode="External"/><Relationship Id="rId533" Type="http://schemas.openxmlformats.org/officeDocument/2006/relationships/hyperlink" Target="http://dx.doi.org/10.1021/jacs.5c23215" TargetMode="External"/><Relationship Id="rId534" Type="http://schemas.openxmlformats.org/officeDocument/2006/relationships/hyperlink" Target="https://doi.org/10.1021/jacs.5c23215" TargetMode="External"/><Relationship Id="rId535" Type="http://schemas.openxmlformats.org/officeDocument/2006/relationships/hyperlink" Target="https://onlinelibrary.wiley.com/doi/10.1002/anie.2026-m0402124300?af=R" TargetMode="External"/><Relationship Id="rId536" Type="http://schemas.openxmlformats.org/officeDocument/2006/relationships/hyperlink" Target="https://doi.org/10.1002/anie.2026-m0402124300" TargetMode="External"/><Relationship Id="rId537" Type="http://schemas.openxmlformats.org/officeDocument/2006/relationships/hyperlink" Target="https://onlinelibrary.wiley.com/doi/10.1002/anie.2026-m0802011600?af=R" TargetMode="External"/><Relationship Id="rId538" Type="http://schemas.openxmlformats.org/officeDocument/2006/relationships/hyperlink" Target="https://doi.org/10.1002/anie.2026-m0802011600" TargetMode="External"/><Relationship Id="rId539" Type="http://schemas.openxmlformats.org/officeDocument/2006/relationships/hyperlink" Target="http://dx.doi.org/10.1021/jacs.6c00643" TargetMode="External"/><Relationship Id="rId540" Type="http://schemas.openxmlformats.org/officeDocument/2006/relationships/hyperlink" Target="https://doi.org/10.1021/jacs.6c00643" TargetMode="External"/><Relationship Id="rId541" Type="http://schemas.openxmlformats.org/officeDocument/2006/relationships/hyperlink" Target="http://dx.doi.org/10.1021/jacs.5c22945" TargetMode="External"/><Relationship Id="rId542" Type="http://schemas.openxmlformats.org/officeDocument/2006/relationships/hyperlink" Target="https://doi.org/10.1021/jacs.5c22945" TargetMode="External"/><Relationship Id="rId543" Type="http://schemas.openxmlformats.org/officeDocument/2006/relationships/hyperlink" Target="http://dx.doi.org/10.1021/jacs.5c20836" TargetMode="External"/><Relationship Id="rId544" Type="http://schemas.openxmlformats.org/officeDocument/2006/relationships/hyperlink" Target="https://doi.org/10.1021/jacs.5c20836" TargetMode="External"/><Relationship Id="rId545" Type="http://schemas.openxmlformats.org/officeDocument/2006/relationships/hyperlink" Target="http://dx.doi.org/10.1021/jacs.6c03055" TargetMode="External"/><Relationship Id="rId546" Type="http://schemas.openxmlformats.org/officeDocument/2006/relationships/hyperlink" Target="https://doi.org/10.1021/jacs.6c03055" TargetMode="External"/><Relationship Id="rId547" Type="http://schemas.openxmlformats.org/officeDocument/2006/relationships/hyperlink" Target="http://dx.doi.org/10.1021/jacs.6c00267" TargetMode="External"/><Relationship Id="rId548" Type="http://schemas.openxmlformats.org/officeDocument/2006/relationships/hyperlink" Target="https://doi.org/10.1021/jacs.6c00267" TargetMode="External"/><Relationship Id="rId549" Type="http://schemas.openxmlformats.org/officeDocument/2006/relationships/hyperlink" Target="http://dx.doi.org/10.1021/jacs.5c22991" TargetMode="External"/><Relationship Id="rId550" Type="http://schemas.openxmlformats.org/officeDocument/2006/relationships/hyperlink" Target="https://doi.org/10.1021/jacs.5c22991" TargetMode="External"/><Relationship Id="rId551" Type="http://schemas.openxmlformats.org/officeDocument/2006/relationships/hyperlink" Target="http://dx.doi.org/10.1021/jacs.5c18826" TargetMode="External"/><Relationship Id="rId552" Type="http://schemas.openxmlformats.org/officeDocument/2006/relationships/hyperlink" Target="https://doi.org/10.1021/jacs.5c18826" TargetMode="External"/><Relationship Id="rId553" Type="http://schemas.openxmlformats.org/officeDocument/2006/relationships/hyperlink" Target="https://www.nature.com/articles/d41586-026-00299-0" TargetMode="External"/><Relationship Id="rId554" Type="http://schemas.openxmlformats.org/officeDocument/2006/relationships/hyperlink" Target="https://doi.org/10.1038/d41586-026-00299-0" TargetMode="External"/><Relationship Id="rId555" Type="http://schemas.openxmlformats.org/officeDocument/2006/relationships/hyperlink" Target="https://www.nature.com/articles/d41586-026-00442-x" TargetMode="External"/><Relationship Id="rId556" Type="http://schemas.openxmlformats.org/officeDocument/2006/relationships/hyperlink" Target="https://doi.org/10.1038/d41586-026-00442-x" TargetMode="External"/><Relationship Id="rId557" Type="http://schemas.openxmlformats.org/officeDocument/2006/relationships/hyperlink" Target="https://www.nature.com/articles/d41586-026-00645-2" TargetMode="External"/><Relationship Id="rId558" Type="http://schemas.openxmlformats.org/officeDocument/2006/relationships/hyperlink" Target="https://doi.org/10.1038/d41586-026-00645-2" TargetMode="External"/><Relationship Id="rId559" Type="http://schemas.openxmlformats.org/officeDocument/2006/relationships/hyperlink" Target="https://www.nature.com/articles/d41586-026-00131-9" TargetMode="External"/><Relationship Id="rId560" Type="http://schemas.openxmlformats.org/officeDocument/2006/relationships/hyperlink" Target="https://doi.org/10.1038/d41586-026-00131-9" TargetMode="External"/><Relationship Id="rId561" Type="http://schemas.openxmlformats.org/officeDocument/2006/relationships/hyperlink" Target="https://www.nature.com/articles/d41586-026-00656-z" TargetMode="External"/><Relationship Id="rId562" Type="http://schemas.openxmlformats.org/officeDocument/2006/relationships/hyperlink" Target="https://doi.org/10.1038/d41586-026-00656-z" TargetMode="External"/><Relationship Id="rId563" Type="http://schemas.openxmlformats.org/officeDocument/2006/relationships/hyperlink" Target="https://www.nature.com/articles/d41586-026-00658-x" TargetMode="External"/><Relationship Id="rId564" Type="http://schemas.openxmlformats.org/officeDocument/2006/relationships/hyperlink" Target="https://doi.org/10.1038/d41586-026-00658-x" TargetMode="External"/><Relationship Id="rId565" Type="http://schemas.openxmlformats.org/officeDocument/2006/relationships/hyperlink" Target="https://www.nature.com/articles/d41586-026-00379-1" TargetMode="External"/><Relationship Id="rId566" Type="http://schemas.openxmlformats.org/officeDocument/2006/relationships/hyperlink" Target="https://doi.org/10.1038/d41586-026-00379-1" TargetMode="External"/><Relationship Id="rId567" Type="http://schemas.openxmlformats.org/officeDocument/2006/relationships/hyperlink" Target="https://www.nature.com/articles/s41586-026-10166-7" TargetMode="External"/><Relationship Id="rId568" Type="http://schemas.openxmlformats.org/officeDocument/2006/relationships/hyperlink" Target="https://doi.org/10.1038/s41586-026-10166-7" TargetMode="External"/><Relationship Id="rId569" Type="http://schemas.openxmlformats.org/officeDocument/2006/relationships/hyperlink" Target="https://www.nature.com/articles/d41586-026-00377-3" TargetMode="External"/><Relationship Id="rId570" Type="http://schemas.openxmlformats.org/officeDocument/2006/relationships/hyperlink" Target="https://doi.org/10.1038/d41586-026-00377-3" TargetMode="External"/><Relationship Id="rId571" Type="http://schemas.openxmlformats.org/officeDocument/2006/relationships/hyperlink" Target="https://www.nature.com/articles/d41586-026-00681-y" TargetMode="External"/><Relationship Id="rId572" Type="http://schemas.openxmlformats.org/officeDocument/2006/relationships/hyperlink" Target="https://doi.org/10.1038/d41586-026-00681-y" TargetMode="External"/><Relationship Id="rId573" Type="http://schemas.openxmlformats.org/officeDocument/2006/relationships/hyperlink" Target="https://www.nature.com/articles/d41586-026-00650-5" TargetMode="External"/><Relationship Id="rId574" Type="http://schemas.openxmlformats.org/officeDocument/2006/relationships/hyperlink" Target="https://doi.org/10.1038/d41586-026-00650-5" TargetMode="External"/><Relationship Id="rId575" Type="http://schemas.openxmlformats.org/officeDocument/2006/relationships/hyperlink" Target="https://www.nature.com/articles/d41586-026-00711-9" TargetMode="External"/><Relationship Id="rId576" Type="http://schemas.openxmlformats.org/officeDocument/2006/relationships/hyperlink" Target="https://doi.org/10.1038/d41586-026-00711-9" TargetMode="External"/><Relationship Id="rId577" Type="http://schemas.openxmlformats.org/officeDocument/2006/relationships/hyperlink" Target="https://www.nature.com/articles/s41586-026-10234-y" TargetMode="External"/><Relationship Id="rId578" Type="http://schemas.openxmlformats.org/officeDocument/2006/relationships/hyperlink" Target="https://doi.org/10.1038/s41586-026-10234-y" TargetMode="External"/><Relationship Id="rId579" Type="http://schemas.openxmlformats.org/officeDocument/2006/relationships/hyperlink" Target="https://www.nature.com/articles/s41557-026-02065-1" TargetMode="External"/><Relationship Id="rId580" Type="http://schemas.openxmlformats.org/officeDocument/2006/relationships/hyperlink" Target="https://doi.org/10.1038/s41557-026-02065-1" TargetMode="External"/><Relationship Id="rId581" Type="http://schemas.openxmlformats.org/officeDocument/2006/relationships/hyperlink" Target="https://www.nature.com/articles/d41586-026-00661-2" TargetMode="External"/><Relationship Id="rId582" Type="http://schemas.openxmlformats.org/officeDocument/2006/relationships/hyperlink" Target="https://doi.org/10.1038/d41586-026-00661-2" TargetMode="External"/><Relationship Id="rId583" Type="http://schemas.openxmlformats.org/officeDocument/2006/relationships/hyperlink" Target="https://www.nature.com/articles/d41586-026-00376-4" TargetMode="External"/><Relationship Id="rId584" Type="http://schemas.openxmlformats.org/officeDocument/2006/relationships/hyperlink" Target="https://doi.org/10.1038/d41586-026-00376-4" TargetMode="External"/><Relationship Id="rId585" Type="http://schemas.openxmlformats.org/officeDocument/2006/relationships/hyperlink" Target="https://www.nature.com/articles/s41586-026-10157-8" TargetMode="External"/><Relationship Id="rId586" Type="http://schemas.openxmlformats.org/officeDocument/2006/relationships/hyperlink" Target="https://doi.org/10.1038/s41586-026-10157-8" TargetMode="External"/><Relationship Id="rId587" Type="http://schemas.openxmlformats.org/officeDocument/2006/relationships/hyperlink" Target="https://www.nature.com/articles/s41586-026-10182-7" TargetMode="External"/><Relationship Id="rId588" Type="http://schemas.openxmlformats.org/officeDocument/2006/relationships/hyperlink" Target="https://doi.org/10.1038/s41586-026-10182-7" TargetMode="External"/><Relationship Id="rId589" Type="http://schemas.openxmlformats.org/officeDocument/2006/relationships/hyperlink" Target="https://www.nature.com/articles/s41586-026-10222-2" TargetMode="External"/><Relationship Id="rId590" Type="http://schemas.openxmlformats.org/officeDocument/2006/relationships/hyperlink" Target="https://doi.org/10.1038/s41586-026-10222-2" TargetMode="External"/><Relationship Id="rId591" Type="http://schemas.openxmlformats.org/officeDocument/2006/relationships/hyperlink" Target="https://www.nature.com/articles/s41586-026-10196-1" TargetMode="External"/><Relationship Id="rId592" Type="http://schemas.openxmlformats.org/officeDocument/2006/relationships/hyperlink" Target="https://doi.org/10.1038/s41586-026-10196-1" TargetMode="External"/><Relationship Id="rId593" Type="http://schemas.openxmlformats.org/officeDocument/2006/relationships/hyperlink" Target="https://www.nature.com/articles/s41586-026-10212-4" TargetMode="External"/><Relationship Id="rId594" Type="http://schemas.openxmlformats.org/officeDocument/2006/relationships/hyperlink" Target="https://doi.org/10.1038/s41586-026-10212-4" TargetMode="External"/><Relationship Id="rId595" Type="http://schemas.openxmlformats.org/officeDocument/2006/relationships/hyperlink" Target="https://www.nature.com/articles/s41586-026-10178-3" TargetMode="External"/><Relationship Id="rId596" Type="http://schemas.openxmlformats.org/officeDocument/2006/relationships/hyperlink" Target="https://doi.org/10.1038/s41586-026-10178-3" TargetMode="External"/><Relationship Id="rId597" Type="http://schemas.openxmlformats.org/officeDocument/2006/relationships/hyperlink" Target="https://www.sciencedirect.com/science/article/pii/S0306261926002217?dgcid=rss_sd_all" TargetMode="External"/><Relationship Id="rId598" Type="http://schemas.openxmlformats.org/officeDocument/2006/relationships/hyperlink" Target="https://www.nature.com/articles/d41586-026-00375-5" TargetMode="External"/><Relationship Id="rId599" Type="http://schemas.openxmlformats.org/officeDocument/2006/relationships/hyperlink" Target="https://doi.org/10.1038/d41586-026-00375-5" TargetMode="External"/><Relationship Id="rId600" Type="http://schemas.openxmlformats.org/officeDocument/2006/relationships/hyperlink" Target="https://www.sciencedirect.com/science/article/pii/S0306261926001686?dgcid=rss_sd_all" TargetMode="External"/><Relationship Id="rId601" Type="http://schemas.openxmlformats.org/officeDocument/2006/relationships/hyperlink" Target="https://www.sciencedirect.com/science/article/pii/S030626192600259X?dgcid=rss_sd_all" TargetMode="External"/><Relationship Id="rId602" Type="http://schemas.openxmlformats.org/officeDocument/2006/relationships/hyperlink" Target="https://www.sciencedirect.com/science/article/pii/S0306261926002618?dgcid=rss_sd_all" TargetMode="External"/><Relationship Id="rId603" Type="http://schemas.openxmlformats.org/officeDocument/2006/relationships/hyperlink" Target="https://www.nature.com/articles/s41586-025-10045-7" TargetMode="External"/><Relationship Id="rId604" Type="http://schemas.openxmlformats.org/officeDocument/2006/relationships/hyperlink" Target="https://doi.org/10.1038/s41586-025-10045-7" TargetMode="External"/><Relationship Id="rId605" Type="http://schemas.openxmlformats.org/officeDocument/2006/relationships/hyperlink" Target="https://www.nature.com/articles/s41586-026-10197-0" TargetMode="External"/><Relationship Id="rId606" Type="http://schemas.openxmlformats.org/officeDocument/2006/relationships/hyperlink" Target="https://doi.org/10.1038/s41586-026-10197-0" TargetMode="External"/><Relationship Id="rId607" Type="http://schemas.openxmlformats.org/officeDocument/2006/relationships/hyperlink" Target="https://www.nature.com/articles/s41586-025-10008-y" TargetMode="External"/><Relationship Id="rId608" Type="http://schemas.openxmlformats.org/officeDocument/2006/relationships/hyperlink" Target="https://doi.org/10.1038/s41586-025-10008-y" TargetMode="External"/><Relationship Id="rId609" Type="http://schemas.openxmlformats.org/officeDocument/2006/relationships/hyperlink" Target="https://www.nature.com/articles/d41586-026-00659-w" TargetMode="External"/><Relationship Id="rId610" Type="http://schemas.openxmlformats.org/officeDocument/2006/relationships/hyperlink" Target="https://doi.org/10.1038/d41586-026-00659-w" TargetMode="External"/><Relationship Id="rId611" Type="http://schemas.openxmlformats.org/officeDocument/2006/relationships/hyperlink" Target="https://www.nature.com/articles/s41586-026-10125-2" TargetMode="External"/><Relationship Id="rId612" Type="http://schemas.openxmlformats.org/officeDocument/2006/relationships/hyperlink" Target="https://doi.org/10.1038/s41586-026-10125-2" TargetMode="External"/><Relationship Id="rId613" Type="http://schemas.openxmlformats.org/officeDocument/2006/relationships/hyperlink" Target="https://www.nature.com/articles/s41586-026-10224-0" TargetMode="External"/><Relationship Id="rId614" Type="http://schemas.openxmlformats.org/officeDocument/2006/relationships/hyperlink" Target="https://doi.org/10.1038/s41586-026-10224-0" TargetMode="External"/><Relationship Id="rId615" Type="http://schemas.openxmlformats.org/officeDocument/2006/relationships/hyperlink" Target="https://www.cell.com/matter/fulltext/S2590-2385(26)00017-2?rss=yes" TargetMode="External"/><Relationship Id="rId616" Type="http://schemas.openxmlformats.org/officeDocument/2006/relationships/hyperlink" Target="https://doi.org/10.1016/j.matt.2026.102654" TargetMode="External"/><Relationship Id="rId617" Type="http://schemas.openxmlformats.org/officeDocument/2006/relationships/hyperlink" Target="https://www.cell.com/matter/fulltext/S2590-2385(26)00021-4?rss=yes" TargetMode="External"/><Relationship Id="rId618" Type="http://schemas.openxmlformats.org/officeDocument/2006/relationships/hyperlink" Target="https://doi.org/10.1016/j.matt.2026.102658" TargetMode="External"/><Relationship Id="rId619" Type="http://schemas.openxmlformats.org/officeDocument/2006/relationships/hyperlink" Target="https://www.nature.com/articles/s41586-026-10189-0" TargetMode="External"/><Relationship Id="rId620" Type="http://schemas.openxmlformats.org/officeDocument/2006/relationships/hyperlink" Target="https://doi.org/10.1038/s41586-026-10189-0" TargetMode="External"/><Relationship Id="rId621" Type="http://schemas.openxmlformats.org/officeDocument/2006/relationships/hyperlink" Target="https://www.cell.com/matter/fulltext/S2590-2385(26)00022-6?rss=yes" TargetMode="External"/><Relationship Id="rId622" Type="http://schemas.openxmlformats.org/officeDocument/2006/relationships/hyperlink" Target="https://doi.org/10.1016/j.matt.2026.102659" TargetMode="External"/><Relationship Id="rId623" Type="http://schemas.openxmlformats.org/officeDocument/2006/relationships/hyperlink" Target="https://www.nature.com/articles/s41586-026-10205-3" TargetMode="External"/><Relationship Id="rId624" Type="http://schemas.openxmlformats.org/officeDocument/2006/relationships/hyperlink" Target="https://doi.org/10.1038/s41586-026-10205-3" TargetMode="External"/><Relationship Id="rId625" Type="http://schemas.openxmlformats.org/officeDocument/2006/relationships/hyperlink" Target="https://www.nature.com/articles/s41586-026-10181-8" TargetMode="External"/><Relationship Id="rId626" Type="http://schemas.openxmlformats.org/officeDocument/2006/relationships/hyperlink" Target="https://doi.org/10.1038/s41586-026-10181-8" TargetMode="External"/><Relationship Id="rId627" Type="http://schemas.openxmlformats.org/officeDocument/2006/relationships/hyperlink" Target="https://www.nature.com/articles/s41586-026-10193-4" TargetMode="External"/><Relationship Id="rId628" Type="http://schemas.openxmlformats.org/officeDocument/2006/relationships/hyperlink" Target="https://doi.org/10.1038/s41586-026-10193-4" TargetMode="External"/><Relationship Id="rId629" Type="http://schemas.openxmlformats.org/officeDocument/2006/relationships/hyperlink" Target="https://www.nature.com/articles/s41586-025-10091-1" TargetMode="External"/><Relationship Id="rId630" Type="http://schemas.openxmlformats.org/officeDocument/2006/relationships/hyperlink" Target="https://doi.org/10.1038/s41586-025-10091-1" TargetMode="External"/><Relationship Id="rId631" Type="http://schemas.openxmlformats.org/officeDocument/2006/relationships/hyperlink" Target="https://www.nature.com/articles/s41586-026-10167-6" TargetMode="External"/><Relationship Id="rId632" Type="http://schemas.openxmlformats.org/officeDocument/2006/relationships/hyperlink" Target="https://doi.org/10.1038/s41586-026-10167-6" TargetMode="External"/><Relationship Id="rId633" Type="http://schemas.openxmlformats.org/officeDocument/2006/relationships/hyperlink" Target="https://www.nature.com/articles/s41586-026-10155-w" TargetMode="External"/><Relationship Id="rId634" Type="http://schemas.openxmlformats.org/officeDocument/2006/relationships/hyperlink" Target="https://doi.org/10.1038/s41586-026-10155-w" TargetMode="External"/><Relationship Id="rId635" Type="http://schemas.openxmlformats.org/officeDocument/2006/relationships/hyperlink" Target="https://www.nature.com/articles/s41586-026-10211-5" TargetMode="External"/><Relationship Id="rId636" Type="http://schemas.openxmlformats.org/officeDocument/2006/relationships/hyperlink" Target="https://doi.org/10.1038/s41586-026-10211-5" TargetMode="External"/><Relationship Id="rId637" Type="http://schemas.openxmlformats.org/officeDocument/2006/relationships/hyperlink" Target="https://www.nature.com/articles/s41586-026-10176-5" TargetMode="External"/><Relationship Id="rId638" Type="http://schemas.openxmlformats.org/officeDocument/2006/relationships/hyperlink" Target="https://doi.org/10.1038/s41586-026-10176-5" TargetMode="External"/><Relationship Id="rId639" Type="http://schemas.openxmlformats.org/officeDocument/2006/relationships/hyperlink" Target="https://www.nature.com/articles/s41586-026-10218-y" TargetMode="External"/><Relationship Id="rId640" Type="http://schemas.openxmlformats.org/officeDocument/2006/relationships/hyperlink" Target="https://doi.org/10.1038/s41586-026-10218-y" TargetMode="External"/><Relationship Id="rId641" Type="http://schemas.openxmlformats.org/officeDocument/2006/relationships/hyperlink" Target="https://www.nature.com/articles/d41586-026-00740-4" TargetMode="External"/><Relationship Id="rId642" Type="http://schemas.openxmlformats.org/officeDocument/2006/relationships/hyperlink" Target="https://doi.org/10.1038/d41586-026-00740-4" TargetMode="External"/><Relationship Id="rId643" Type="http://schemas.openxmlformats.org/officeDocument/2006/relationships/hyperlink" Target="https://www.nature.com/articles/d41586-026-00742-2" TargetMode="External"/><Relationship Id="rId644" Type="http://schemas.openxmlformats.org/officeDocument/2006/relationships/hyperlink" Target="https://doi.org/10.1038/d41586-026-00742-2" TargetMode="External"/><Relationship Id="rId645" Type="http://schemas.openxmlformats.org/officeDocument/2006/relationships/hyperlink" Target="https://www.cell.com/matter/fulltext/S2590-2385(26)00023-8?rss=yes" TargetMode="External"/><Relationship Id="rId646" Type="http://schemas.openxmlformats.org/officeDocument/2006/relationships/hyperlink" Target="https://doi.org/10.1016/j.matt.2026.102660" TargetMode="External"/><Relationship Id="rId647" Type="http://schemas.openxmlformats.org/officeDocument/2006/relationships/hyperlink" Target="https://www.cell.com/chem/fulltext/S2451-9294(25)00499-1?rss=yes" TargetMode="External"/><Relationship Id="rId648" Type="http://schemas.openxmlformats.org/officeDocument/2006/relationships/hyperlink" Target="https://doi.org/10.1016/j.chempr.2025.102908" TargetMode="External"/><Relationship Id="rId649" Type="http://schemas.openxmlformats.org/officeDocument/2006/relationships/hyperlink" Target="https://www.nature.com/articles/s41586-026-10327-8" TargetMode="External"/><Relationship Id="rId650" Type="http://schemas.openxmlformats.org/officeDocument/2006/relationships/hyperlink" Target="https://doi.org/10.1038/s41586-026-10327-8" TargetMode="External"/><Relationship Id="rId651" Type="http://schemas.openxmlformats.org/officeDocument/2006/relationships/hyperlink" Target="https://www.cell.com/matter/fulltext/S2590-2385(26)00028-7?rss=yes" TargetMode="External"/><Relationship Id="rId652" Type="http://schemas.openxmlformats.org/officeDocument/2006/relationships/hyperlink" Target="https://doi.org/10.1016/j.matt.2026.102665" TargetMode="External"/><Relationship Id="rId653" Type="http://schemas.openxmlformats.org/officeDocument/2006/relationships/hyperlink" Target="https://www.nature.com/articles/s41563-026-02510-z" TargetMode="External"/><Relationship Id="rId654" Type="http://schemas.openxmlformats.org/officeDocument/2006/relationships/hyperlink" Target="https://doi.org/10.1038/s41563-026-02510-z" TargetMode="External"/><Relationship Id="rId655" Type="http://schemas.openxmlformats.org/officeDocument/2006/relationships/hyperlink" Target="https://www.nature.com/articles/s41563-026-02545-2" TargetMode="External"/><Relationship Id="rId656" Type="http://schemas.openxmlformats.org/officeDocument/2006/relationships/hyperlink" Target="https://doi.org/10.1038/s41563-026-02545-2" TargetMode="External"/><Relationship Id="rId657" Type="http://schemas.openxmlformats.org/officeDocument/2006/relationships/hyperlink" Target="https://www.nature.com/articles/s41467-026-68401-8" TargetMode="External"/><Relationship Id="rId658" Type="http://schemas.openxmlformats.org/officeDocument/2006/relationships/hyperlink" Target="https://doi.org/10.1038/s41467-026-68401-8" TargetMode="External"/><Relationship Id="rId659" Type="http://schemas.openxmlformats.org/officeDocument/2006/relationships/hyperlink" Target="https://www.cell.com/matter/fulltext/S2590-2385(26)00029-9?rss=yes" TargetMode="External"/><Relationship Id="rId660" Type="http://schemas.openxmlformats.org/officeDocument/2006/relationships/hyperlink" Target="https://doi.org/10.1016/j.matt.2026.102666" TargetMode="External"/><Relationship Id="rId661" Type="http://schemas.openxmlformats.org/officeDocument/2006/relationships/hyperlink" Target="https://www.nature.com/articles/s41467-026-70163-2" TargetMode="External"/><Relationship Id="rId662" Type="http://schemas.openxmlformats.org/officeDocument/2006/relationships/hyperlink" Target="https://doi.org/10.1038/s41467-026-70163-2" TargetMode="External"/><Relationship Id="rId663" Type="http://schemas.openxmlformats.org/officeDocument/2006/relationships/hyperlink" Target="https://www.nature.com/articles/s41467-026-70253-1" TargetMode="External"/><Relationship Id="rId664" Type="http://schemas.openxmlformats.org/officeDocument/2006/relationships/hyperlink" Target="https://doi.org/10.1038/s41467-026-70253-1" TargetMode="External"/><Relationship Id="rId665" Type="http://schemas.openxmlformats.org/officeDocument/2006/relationships/hyperlink" Target="https://www.nature.com/articles/s41467-026-69762-w" TargetMode="External"/><Relationship Id="rId666" Type="http://schemas.openxmlformats.org/officeDocument/2006/relationships/hyperlink" Target="https://doi.org/10.1038/s41467-026-69762-w" TargetMode="External"/><Relationship Id="rId667" Type="http://schemas.openxmlformats.org/officeDocument/2006/relationships/hyperlink" Target="https://www.nature.com/articles/s41467-026-70151-6" TargetMode="External"/><Relationship Id="rId668" Type="http://schemas.openxmlformats.org/officeDocument/2006/relationships/hyperlink" Target="https://doi.org/10.1038/s41467-026-70151-6" TargetMode="External"/><Relationship Id="rId669" Type="http://schemas.openxmlformats.org/officeDocument/2006/relationships/hyperlink" Target="https://www.nature.com/articles/s41467-026-70226-4" TargetMode="External"/><Relationship Id="rId670" Type="http://schemas.openxmlformats.org/officeDocument/2006/relationships/hyperlink" Target="https://doi.org/10.1038/s41467-026-70226-4" TargetMode="External"/><Relationship Id="rId671" Type="http://schemas.openxmlformats.org/officeDocument/2006/relationships/hyperlink" Target="https://www.nature.com/articles/s41467-026-70294-6" TargetMode="External"/><Relationship Id="rId672" Type="http://schemas.openxmlformats.org/officeDocument/2006/relationships/hyperlink" Target="https://doi.org/10.1038/s41467-026-70294-6" TargetMode="External"/><Relationship Id="rId673" Type="http://schemas.openxmlformats.org/officeDocument/2006/relationships/hyperlink" Target="https://www.nature.com/articles/s41467-026-70242-4" TargetMode="External"/><Relationship Id="rId674" Type="http://schemas.openxmlformats.org/officeDocument/2006/relationships/hyperlink" Target="https://doi.org/10.1038/s41467-026-70242-4" TargetMode="External"/><Relationship Id="rId675" Type="http://schemas.openxmlformats.org/officeDocument/2006/relationships/hyperlink" Target="https://advanced.onlinelibrary.wiley.com/doi/10.1002/adma.72520?af=R" TargetMode="External"/><Relationship Id="rId676" Type="http://schemas.openxmlformats.org/officeDocument/2006/relationships/hyperlink" Target="https://doi.org/10.1002/adma.72520" TargetMode="External"/><Relationship Id="rId677" Type="http://schemas.openxmlformats.org/officeDocument/2006/relationships/hyperlink" Target="https://advanced.onlinelibrary.wiley.com/doi/10.1002/adma.72523?af=R" TargetMode="External"/><Relationship Id="rId678" Type="http://schemas.openxmlformats.org/officeDocument/2006/relationships/hyperlink" Target="https://doi.org/10.1002/adma.72523" TargetMode="External"/><Relationship Id="rId679" Type="http://schemas.openxmlformats.org/officeDocument/2006/relationships/hyperlink" Target="https://advanced.onlinelibrary.wiley.com/doi/10.1002/adma.72521?af=R" TargetMode="External"/><Relationship Id="rId680" Type="http://schemas.openxmlformats.org/officeDocument/2006/relationships/hyperlink" Target="https://doi.org/10.1002/adma.72521" TargetMode="External"/><Relationship Id="rId681" Type="http://schemas.openxmlformats.org/officeDocument/2006/relationships/hyperlink" Target="https://www.science.org/doi/abs/10.1126/sciadv.aeb8037?af=R" TargetMode="External"/><Relationship Id="rId682" Type="http://schemas.openxmlformats.org/officeDocument/2006/relationships/hyperlink" Target="https://doi.org/10.1126/sciadv.aeb8037" TargetMode="External"/><Relationship Id="rId683" Type="http://schemas.openxmlformats.org/officeDocument/2006/relationships/hyperlink" Target="https://www.pnas.org/doi/abs/10.1073/pnas.2508689123?mi=eymic2&amp;af=R&amp;access=on&amp;content=articlesChapters&amp;publication=pnas&amp;sortBy=Earliest&amp;target=default" TargetMode="External"/><Relationship Id="rId684" Type="http://schemas.openxmlformats.org/officeDocument/2006/relationships/hyperlink" Target="https://doi.org/10.1073/pnas.2508689123" TargetMode="External"/><Relationship Id="rId685" Type="http://schemas.openxmlformats.org/officeDocument/2006/relationships/hyperlink" Target="https://www.science.org/doi/abs/10.1126/sciadv.aec0008?af=R" TargetMode="External"/><Relationship Id="rId686" Type="http://schemas.openxmlformats.org/officeDocument/2006/relationships/hyperlink" Target="https://doi.org/10.1126/sciadv.aec0008" TargetMode="External"/><Relationship Id="rId687" Type="http://schemas.openxmlformats.org/officeDocument/2006/relationships/hyperlink" Target="https://www.science.org/doi/abs/10.1126/sciadv.aec3263?af=R" TargetMode="External"/><Relationship Id="rId688" Type="http://schemas.openxmlformats.org/officeDocument/2006/relationships/hyperlink" Target="https://doi.org/10.1126/sciadv.aec3263" TargetMode="External"/><Relationship Id="rId689" Type="http://schemas.openxmlformats.org/officeDocument/2006/relationships/hyperlink" Target="https://www.science.org/doi/abs/10.1126/sciadv.aeb9403?af=R" TargetMode="External"/><Relationship Id="rId690" Type="http://schemas.openxmlformats.org/officeDocument/2006/relationships/hyperlink" Target="https://doi.org/10.1126/sciadv.aeb9403" TargetMode="External"/><Relationship Id="rId691" Type="http://schemas.openxmlformats.org/officeDocument/2006/relationships/hyperlink" Target="https://www.science.org/doi/abs/10.1126/sciadv.aed3579?af=R" TargetMode="External"/><Relationship Id="rId692" Type="http://schemas.openxmlformats.org/officeDocument/2006/relationships/hyperlink" Target="https://doi.org/10.1126/sciadv.aed3579" TargetMode="External"/><Relationship Id="rId693" Type="http://schemas.openxmlformats.org/officeDocument/2006/relationships/hyperlink" Target="https://www.science.org/doi/abs/10.1126/sciadv.adw9222?af=R" TargetMode="External"/><Relationship Id="rId694" Type="http://schemas.openxmlformats.org/officeDocument/2006/relationships/hyperlink" Target="https://doi.org/10.1126/sciadv.adw9222" TargetMode="External"/><Relationship Id="rId695" Type="http://schemas.openxmlformats.org/officeDocument/2006/relationships/hyperlink" Target="https://www.pnas.org/doi/abs/10.1073/pnas.2605301123?mi=eymic2&amp;af=R&amp;access=on&amp;content=articlesChapters&amp;publication=pnas&amp;sortBy=Earliest&amp;target=default" TargetMode="External"/><Relationship Id="rId696" Type="http://schemas.openxmlformats.org/officeDocument/2006/relationships/hyperlink" Target="https://doi.org/10.1073/pnas.2605301123" TargetMode="External"/><Relationship Id="rId697" Type="http://schemas.openxmlformats.org/officeDocument/2006/relationships/hyperlink" Target="https://www.pnas.org/doi/abs/10.1073/pnas.2605006123?mi=eymic2&amp;af=R&amp;access=on&amp;content=articlesChapters&amp;publication=pnas&amp;sortBy=Earliest&amp;target=default" TargetMode="External"/><Relationship Id="rId698" Type="http://schemas.openxmlformats.org/officeDocument/2006/relationships/hyperlink" Target="https://doi.org/10.1073/pnas.2605006123" TargetMode="External"/><Relationship Id="rId699" Type="http://schemas.openxmlformats.org/officeDocument/2006/relationships/hyperlink" Target="https://www.pnas.org/doi/abs/10.1073/pnas.2605008123?mi=eymic2&amp;af=R&amp;access=on&amp;content=articlesChapters&amp;publication=pnas&amp;sortBy=Earliest&amp;target=default" TargetMode="External"/><Relationship Id="rId700" Type="http://schemas.openxmlformats.org/officeDocument/2006/relationships/hyperlink" Target="https://doi.org/10.1073/pnas.2605008123" TargetMode="External"/><Relationship Id="rId701" Type="http://schemas.openxmlformats.org/officeDocument/2006/relationships/hyperlink" Target="https://www.science.org/doi/abs/10.1126/sciadv.aeb1598?af=R" TargetMode="External"/><Relationship Id="rId702" Type="http://schemas.openxmlformats.org/officeDocument/2006/relationships/hyperlink" Target="https://doi.org/10.1126/sciadv.aeb1598" TargetMode="External"/><Relationship Id="rId703" Type="http://schemas.openxmlformats.org/officeDocument/2006/relationships/hyperlink" Target="https://www.science.org/doi/abs/10.1126/sciadv.adv8173?af=R" TargetMode="External"/><Relationship Id="rId704" Type="http://schemas.openxmlformats.org/officeDocument/2006/relationships/hyperlink" Target="https://doi.org/10.1126/sciadv.adv8173" TargetMode="External"/><Relationship Id="rId705" Type="http://schemas.openxmlformats.org/officeDocument/2006/relationships/hyperlink" Target="https://www.pnas.org/doi/abs/10.1073/pnas.2605132123?mi=eymic2&amp;af=R&amp;access=on&amp;content=articlesChapters&amp;publication=pnas&amp;sortBy=Earliest&amp;target=default" TargetMode="External"/><Relationship Id="rId706" Type="http://schemas.openxmlformats.org/officeDocument/2006/relationships/hyperlink" Target="https://doi.org/10.1073/pnas.2605132123" TargetMode="External"/><Relationship Id="rId707" Type="http://schemas.openxmlformats.org/officeDocument/2006/relationships/hyperlink" Target="https://www.science.org/doi/abs/10.1126/sciadv.adv1236?af=R" TargetMode="External"/><Relationship Id="rId708" Type="http://schemas.openxmlformats.org/officeDocument/2006/relationships/hyperlink" Target="https://doi.org/10.1126/sciadv.adv1236" TargetMode="External"/><Relationship Id="rId709" Type="http://schemas.openxmlformats.org/officeDocument/2006/relationships/hyperlink" Target="https://www.science.org/doi/abs/10.1126/sciadv.aeb1271?af=R" TargetMode="External"/><Relationship Id="rId710" Type="http://schemas.openxmlformats.org/officeDocument/2006/relationships/hyperlink" Target="https://doi.org/10.1126/sciadv.aeb1271" TargetMode="External"/><Relationship Id="rId711" Type="http://schemas.openxmlformats.org/officeDocument/2006/relationships/hyperlink" Target="https://www.science.org/doi/abs/10.1126/sciadv.aeb3345?af=R" TargetMode="External"/><Relationship Id="rId712" Type="http://schemas.openxmlformats.org/officeDocument/2006/relationships/hyperlink" Target="https://doi.org/10.1126/sciadv.aeb3345" TargetMode="External"/><Relationship Id="rId713" Type="http://schemas.openxmlformats.org/officeDocument/2006/relationships/hyperlink" Target="https://www.science.org/doi/abs/10.1126/sciadv.aeb0460?af=R" TargetMode="External"/><Relationship Id="rId714" Type="http://schemas.openxmlformats.org/officeDocument/2006/relationships/hyperlink" Target="https://doi.org/10.1126/sciadv.aeb0460" TargetMode="External"/><Relationship Id="rId715" Type="http://schemas.openxmlformats.org/officeDocument/2006/relationships/hyperlink" Target="https://www.science.org/doi/abs/10.1126/sciadv.aea8374?af=R" TargetMode="External"/><Relationship Id="rId716" Type="http://schemas.openxmlformats.org/officeDocument/2006/relationships/hyperlink" Target="https://doi.org/10.1126/sciadv.aea8374" TargetMode="External"/><Relationship Id="rId717" Type="http://schemas.openxmlformats.org/officeDocument/2006/relationships/hyperlink" Target="https://www.science.org/doi/abs/10.1126/sciadv.aea7017?af=R" TargetMode="External"/><Relationship Id="rId718" Type="http://schemas.openxmlformats.org/officeDocument/2006/relationships/hyperlink" Target="https://doi.org/10.1126/sciadv.aea7017" TargetMode="External"/><Relationship Id="rId719" Type="http://schemas.openxmlformats.org/officeDocument/2006/relationships/hyperlink" Target="https://www.science.org/doi/abs/10.1126/sciadv.aea6811?af=R" TargetMode="External"/><Relationship Id="rId720" Type="http://schemas.openxmlformats.org/officeDocument/2006/relationships/hyperlink" Target="https://doi.org/10.1126/sciadv.aea6811" TargetMode="External"/><Relationship Id="rId721" Type="http://schemas.openxmlformats.org/officeDocument/2006/relationships/hyperlink" Target="https://www.science.org/doi/abs/10.1126/sciadv.aea6000?af=R" TargetMode="External"/><Relationship Id="rId722" Type="http://schemas.openxmlformats.org/officeDocument/2006/relationships/hyperlink" Target="https://doi.org/10.1126/sciadv.aea6000" TargetMode="External"/><Relationship Id="rId723" Type="http://schemas.openxmlformats.org/officeDocument/2006/relationships/hyperlink" Target="https://www.science.org/doi/abs/10.1126/sciadv.aea4945?af=R" TargetMode="External"/><Relationship Id="rId724" Type="http://schemas.openxmlformats.org/officeDocument/2006/relationships/hyperlink" Target="https://doi.org/10.1126/sciadv.aea4945" TargetMode="External"/><Relationship Id="rId725" Type="http://schemas.openxmlformats.org/officeDocument/2006/relationships/hyperlink" Target="https://www.science.org/doi/abs/10.1126/sciadv.aea4369?af=R" TargetMode="External"/><Relationship Id="rId726" Type="http://schemas.openxmlformats.org/officeDocument/2006/relationships/hyperlink" Target="https://doi.org/10.1126/sciadv.aea4369" TargetMode="External"/><Relationship Id="rId727" Type="http://schemas.openxmlformats.org/officeDocument/2006/relationships/hyperlink" Target="https://www.science.org/doi/abs/10.1126/sciadv.aeb0618?af=R" TargetMode="External"/><Relationship Id="rId728" Type="http://schemas.openxmlformats.org/officeDocument/2006/relationships/hyperlink" Target="https://doi.org/10.1126/sciadv.aeb0618" TargetMode="External"/><Relationship Id="rId729" Type="http://schemas.openxmlformats.org/officeDocument/2006/relationships/hyperlink" Target="https://www.science.org/doi/abs/10.1126/sciadv.adz9563?af=R" TargetMode="External"/><Relationship Id="rId730" Type="http://schemas.openxmlformats.org/officeDocument/2006/relationships/hyperlink" Target="https://doi.org/10.1126/sciadv.adz9563" TargetMode="External"/><Relationship Id="rId731" Type="http://schemas.openxmlformats.org/officeDocument/2006/relationships/hyperlink" Target="https://www.science.org/doi/abs/10.1126/sciadv.adz4758?af=R" TargetMode="External"/><Relationship Id="rId732" Type="http://schemas.openxmlformats.org/officeDocument/2006/relationships/hyperlink" Target="https://doi.org/10.1126/sciadv.adz4758" TargetMode="External"/><Relationship Id="rId733" Type="http://schemas.openxmlformats.org/officeDocument/2006/relationships/hyperlink" Target="https://www.pnas.org/doi/abs/10.1073/pnas.2511535123?mi=eymic2&amp;af=R&amp;access=on&amp;content=articlesChapters&amp;publication=pnas&amp;sortBy=Earliest&amp;target=default" TargetMode="External"/><Relationship Id="rId734" Type="http://schemas.openxmlformats.org/officeDocument/2006/relationships/hyperlink" Target="https://doi.org/10.1073/pnas.2511535123" TargetMode="External"/><Relationship Id="rId735" Type="http://schemas.openxmlformats.org/officeDocument/2006/relationships/hyperlink" Target="https://www.science.org/doi/abs/10.1126/sciadv.aeb2628?af=R" TargetMode="External"/><Relationship Id="rId736" Type="http://schemas.openxmlformats.org/officeDocument/2006/relationships/hyperlink" Target="https://doi.org/10.1126/sciadv.aeb2628" TargetMode="External"/><Relationship Id="rId737" Type="http://schemas.openxmlformats.org/officeDocument/2006/relationships/hyperlink" Target="https://www.pnas.org/doi/abs/10.1073/pnas.2514520123?mi=eymic2&amp;af=R&amp;access=on&amp;content=articlesChapters&amp;publication=pnas&amp;sortBy=Earliest&amp;target=default" TargetMode="External"/><Relationship Id="rId738" Type="http://schemas.openxmlformats.org/officeDocument/2006/relationships/hyperlink" Target="https://doi.org/10.1073/pnas.2514520123" TargetMode="External"/><Relationship Id="rId739" Type="http://schemas.openxmlformats.org/officeDocument/2006/relationships/hyperlink" Target="https://www.pnas.org/doi/abs/10.1073/pnas.2536297123?mi=eymic2&amp;af=R&amp;access=on&amp;content=articlesChapters&amp;publication=pnas&amp;sortBy=Earliest&amp;target=default" TargetMode="External"/><Relationship Id="rId740" Type="http://schemas.openxmlformats.org/officeDocument/2006/relationships/hyperlink" Target="https://doi.org/10.1073/pnas.2536297123" TargetMode="External"/><Relationship Id="rId741" Type="http://schemas.openxmlformats.org/officeDocument/2006/relationships/hyperlink" Target="https://www.pnas.org/doi/abs/10.1073/pnas.2519345123?mi=eymic2&amp;af=R&amp;access=on&amp;content=articlesChapters&amp;publication=pnas&amp;sortBy=Earliest&amp;target=default" TargetMode="External"/><Relationship Id="rId742" Type="http://schemas.openxmlformats.org/officeDocument/2006/relationships/hyperlink" Target="https://doi.org/10.1073/pnas.2519345123" TargetMode="External"/><Relationship Id="rId743" Type="http://schemas.openxmlformats.org/officeDocument/2006/relationships/hyperlink" Target="https://www.science.org/doi/abs/10.1126/sciadv.aea1712?af=R" TargetMode="External"/><Relationship Id="rId744" Type="http://schemas.openxmlformats.org/officeDocument/2006/relationships/hyperlink" Target="https://doi.org/10.1126/sciadv.aea1712" TargetMode="External"/><Relationship Id="rId745" Type="http://schemas.openxmlformats.org/officeDocument/2006/relationships/hyperlink" Target="https://www.science.org/doi/abs/10.1126/sciadv.adu8802?af=R" TargetMode="External"/><Relationship Id="rId746" Type="http://schemas.openxmlformats.org/officeDocument/2006/relationships/hyperlink" Target="https://doi.org/10.1126/sciadv.adu8802" TargetMode="External"/><Relationship Id="rId747" Type="http://schemas.openxmlformats.org/officeDocument/2006/relationships/hyperlink" Target="https://www.science.org/doi/abs/10.1126/sciadv.adz9172?af=R" TargetMode="External"/><Relationship Id="rId748" Type="http://schemas.openxmlformats.org/officeDocument/2006/relationships/hyperlink" Target="https://doi.org/10.1126/sciadv.adz9172" TargetMode="External"/><Relationship Id="rId749" Type="http://schemas.openxmlformats.org/officeDocument/2006/relationships/hyperlink" Target="https://www.science.org/doi/abs/10.1126/sciadv.adw8163?af=R" TargetMode="External"/><Relationship Id="rId750" Type="http://schemas.openxmlformats.org/officeDocument/2006/relationships/hyperlink" Target="https://doi.org/10.1126/sciadv.adw8163" TargetMode="External"/><Relationship Id="rId751" Type="http://schemas.openxmlformats.org/officeDocument/2006/relationships/hyperlink" Target="https://www.science.org/doi/abs/10.1126/sciadv.aea2646?af=R" TargetMode="External"/><Relationship Id="rId752" Type="http://schemas.openxmlformats.org/officeDocument/2006/relationships/hyperlink" Target="https://doi.org/10.1126/sciadv.aea2646" TargetMode="External"/><Relationship Id="rId753" Type="http://schemas.openxmlformats.org/officeDocument/2006/relationships/hyperlink" Target="https://www.pnas.org/doi/abs/10.1073/pnas.2605137123?mi=eymic2&amp;af=R&amp;access=on&amp;content=articlesChapters&amp;publication=pnas&amp;sortBy=Earliest&amp;target=default" TargetMode="External"/><Relationship Id="rId754" Type="http://schemas.openxmlformats.org/officeDocument/2006/relationships/hyperlink" Target="https://doi.org/10.1073/pnas.2605137123" TargetMode="External"/><Relationship Id="rId755" Type="http://schemas.openxmlformats.org/officeDocument/2006/relationships/hyperlink" Target="https://www.science.org/doi/abs/10.1126/sciadv.aea8399?af=R" TargetMode="External"/><Relationship Id="rId756" Type="http://schemas.openxmlformats.org/officeDocument/2006/relationships/hyperlink" Target="https://doi.org/10.1126/sciadv.aea8399" TargetMode="External"/><Relationship Id="rId757" Type="http://schemas.openxmlformats.org/officeDocument/2006/relationships/hyperlink" Target="https://www.pnas.org/doi/abs/10.1073/pnas.2604984123?mi=eymic2&amp;af=R&amp;access=on&amp;content=articlesChapters&amp;publication=pnas&amp;sortBy=Earliest&amp;target=default" TargetMode="External"/><Relationship Id="rId758" Type="http://schemas.openxmlformats.org/officeDocument/2006/relationships/hyperlink" Target="https://doi.org/10.1073/pnas.2604984123" TargetMode="External"/><Relationship Id="rId759" Type="http://schemas.openxmlformats.org/officeDocument/2006/relationships/hyperlink" Target="https://www.pnas.org/doi/abs/10.1073/pnas.2604435123?mi=eymic2&amp;af=R&amp;access=on&amp;content=articlesChapters&amp;publication=pnas&amp;sortBy=Earliest&amp;target=default" TargetMode="External"/><Relationship Id="rId760" Type="http://schemas.openxmlformats.org/officeDocument/2006/relationships/hyperlink" Target="https://doi.org/10.1073/pnas.2604435123" TargetMode="External"/><Relationship Id="rId761" Type="http://schemas.openxmlformats.org/officeDocument/2006/relationships/hyperlink" Target="https://www.pnas.org/doi/abs/10.1073/pnas.2604411123?mi=eymic2&amp;af=R&amp;access=on&amp;content=articlesChapters&amp;publication=pnas&amp;sortBy=Earliest&amp;target=default" TargetMode="External"/><Relationship Id="rId762" Type="http://schemas.openxmlformats.org/officeDocument/2006/relationships/hyperlink" Target="https://doi.org/10.1073/pnas.2604411123" TargetMode="External"/><Relationship Id="rId763" Type="http://schemas.openxmlformats.org/officeDocument/2006/relationships/hyperlink" Target="https://www.pnas.org/doi/abs/10.1073/pnas.2536772123?mi=eymic2&amp;af=R&amp;access=on&amp;content=articlesChapters&amp;publication=pnas&amp;sortBy=Earliest&amp;target=default" TargetMode="External"/><Relationship Id="rId764" Type="http://schemas.openxmlformats.org/officeDocument/2006/relationships/hyperlink" Target="https://doi.org/10.1073/pnas.2536772123" TargetMode="External"/><Relationship Id="rId765" Type="http://schemas.openxmlformats.org/officeDocument/2006/relationships/hyperlink" Target="https://www.pnas.org/doi/abs/10.1073/pnas.2518983123?mi=eymic2&amp;af=R&amp;access=on&amp;content=articlesChapters&amp;publication=pnas&amp;sortBy=Earliest&amp;target=default" TargetMode="External"/><Relationship Id="rId766" Type="http://schemas.openxmlformats.org/officeDocument/2006/relationships/hyperlink" Target="https://doi.org/10.1073/pnas.2518983123" TargetMode="External"/><Relationship Id="rId767" Type="http://schemas.openxmlformats.org/officeDocument/2006/relationships/hyperlink" Target="https://www.pnas.org/doi/abs/10.1073/pnas.2533102123?mi=eymic2&amp;af=R&amp;access=on&amp;content=articlesChapters&amp;publication=pnas&amp;sortBy=Earliest&amp;target=default" TargetMode="External"/><Relationship Id="rId768" Type="http://schemas.openxmlformats.org/officeDocument/2006/relationships/hyperlink" Target="https://doi.org/10.1073/pnas.2533102123" TargetMode="External"/><Relationship Id="rId769" Type="http://schemas.openxmlformats.org/officeDocument/2006/relationships/hyperlink" Target="https://www.pnas.org/doi/abs/10.1073/pnas.2533066123?mi=eymic2&amp;af=R&amp;access=on&amp;content=articlesChapters&amp;publication=pnas&amp;sortBy=Earliest&amp;target=default" TargetMode="External"/><Relationship Id="rId770" Type="http://schemas.openxmlformats.org/officeDocument/2006/relationships/hyperlink" Target="https://doi.org/10.1073/pnas.2533066123" TargetMode="External"/><Relationship Id="rId771" Type="http://schemas.openxmlformats.org/officeDocument/2006/relationships/hyperlink" Target="https://www.pnas.org/doi/abs/10.1073/pnas.2533457123?mi=eymic2&amp;af=R&amp;access=on&amp;content=articlesChapters&amp;publication=pnas&amp;sortBy=Earliest&amp;target=default" TargetMode="External"/><Relationship Id="rId772" Type="http://schemas.openxmlformats.org/officeDocument/2006/relationships/hyperlink" Target="https://doi.org/10.1073/pnas.2533457123" TargetMode="External"/><Relationship Id="rId773" Type="http://schemas.openxmlformats.org/officeDocument/2006/relationships/hyperlink" Target="https://www.pnas.org/doi/abs/10.1073/pnas.2530175123?mi=eymic2&amp;af=R&amp;access=on&amp;content=articlesChapters&amp;publication=pnas&amp;sortBy=Earliest&amp;target=default" TargetMode="External"/><Relationship Id="rId774" Type="http://schemas.openxmlformats.org/officeDocument/2006/relationships/hyperlink" Target="https://doi.org/10.1073/pnas.2530175123" TargetMode="External"/><Relationship Id="rId775" Type="http://schemas.openxmlformats.org/officeDocument/2006/relationships/hyperlink" Target="https://www.pnas.org/doi/abs/10.1073/pnas.2519347123?mi=eymic2&amp;af=R&amp;access=on&amp;content=articlesChapters&amp;publication=pnas&amp;sortBy=Earliest&amp;target=default" TargetMode="External"/><Relationship Id="rId776" Type="http://schemas.openxmlformats.org/officeDocument/2006/relationships/hyperlink" Target="https://doi.org/10.1073/pnas.2519347123" TargetMode="External"/><Relationship Id="rId777" Type="http://schemas.openxmlformats.org/officeDocument/2006/relationships/hyperlink" Target="https://www.pnas.org/doi/abs/10.1073/pnas.2519941123?mi=eymic2&amp;af=R&amp;access=on&amp;content=articlesChapters&amp;publication=pnas&amp;sortBy=Earliest&amp;target=default" TargetMode="External"/><Relationship Id="rId778" Type="http://schemas.openxmlformats.org/officeDocument/2006/relationships/hyperlink" Target="https://doi.org/10.1073/pnas.2519941123" TargetMode="External"/><Relationship Id="rId779" Type="http://schemas.openxmlformats.org/officeDocument/2006/relationships/hyperlink" Target="https://www.pnas.org/doi/abs/10.1073/pnas.2522157123?mi=eymic2&amp;af=R&amp;access=on&amp;content=articlesChapters&amp;publication=pnas&amp;sortBy=Earliest&amp;target=default" TargetMode="External"/><Relationship Id="rId780" Type="http://schemas.openxmlformats.org/officeDocument/2006/relationships/hyperlink" Target="https://doi.org/10.1073/pnas.2522157123" TargetMode="External"/><Relationship Id="rId781" Type="http://schemas.openxmlformats.org/officeDocument/2006/relationships/hyperlink" Target="https://www.pnas.org/doi/abs/10.1073/pnas.2530709123?mi=eymic2&amp;af=R&amp;access=on&amp;content=articlesChapters&amp;publication=pnas&amp;sortBy=Earliest&amp;target=default" TargetMode="External"/><Relationship Id="rId782" Type="http://schemas.openxmlformats.org/officeDocument/2006/relationships/hyperlink" Target="https://doi.org/10.1073/pnas.2530709123" TargetMode="External"/><Relationship Id="rId783" Type="http://schemas.openxmlformats.org/officeDocument/2006/relationships/hyperlink" Target="https://www.pnas.org/doi/abs/10.1073/pnas.2524659123?mi=eymic2&amp;af=R&amp;access=on&amp;content=articlesChapters&amp;publication=pnas&amp;sortBy=Earliest&amp;target=default" TargetMode="External"/><Relationship Id="rId784" Type="http://schemas.openxmlformats.org/officeDocument/2006/relationships/hyperlink" Target="https://doi.org/10.1073/pnas.2524659123" TargetMode="External"/><Relationship Id="rId785" Type="http://schemas.openxmlformats.org/officeDocument/2006/relationships/hyperlink" Target="https://www.pnas.org/doi/abs/10.1073/pnas.2524808123?mi=eymic2&amp;af=R&amp;access=on&amp;content=articlesChapters&amp;publication=pnas&amp;sortBy=Earliest&amp;target=default" TargetMode="External"/><Relationship Id="rId786" Type="http://schemas.openxmlformats.org/officeDocument/2006/relationships/hyperlink" Target="https://doi.org/10.1073/pnas.2524808123" TargetMode="External"/><Relationship Id="rId787" Type="http://schemas.openxmlformats.org/officeDocument/2006/relationships/hyperlink" Target="https://www.pnas.org/doi/abs/10.1073/pnas.2523159123?mi=eymic2&amp;af=R&amp;access=on&amp;content=articlesChapters&amp;publication=pnas&amp;sortBy=Earliest&amp;target=default" TargetMode="External"/><Relationship Id="rId788" Type="http://schemas.openxmlformats.org/officeDocument/2006/relationships/hyperlink" Target="https://doi.org/10.1073/pnas.2523159123" TargetMode="External"/><Relationship Id="rId789" Type="http://schemas.openxmlformats.org/officeDocument/2006/relationships/hyperlink" Target="https://www.pnas.org/doi/abs/10.1073/pnas.2525274123?mi=eymic2&amp;af=R&amp;access=on&amp;content=articlesChapters&amp;publication=pnas&amp;sortBy=Earliest&amp;target=default" TargetMode="External"/><Relationship Id="rId790" Type="http://schemas.openxmlformats.org/officeDocument/2006/relationships/hyperlink" Target="https://doi.org/10.1073/pnas.2525274123" TargetMode="External"/><Relationship Id="rId791" Type="http://schemas.openxmlformats.org/officeDocument/2006/relationships/hyperlink" Target="https://www.pnas.org/doi/abs/10.1073/pnas.2525619123?mi=eymic2&amp;af=R&amp;access=on&amp;content=articlesChapters&amp;publication=pnas&amp;sortBy=Earliest&amp;target=default" TargetMode="External"/><Relationship Id="rId792" Type="http://schemas.openxmlformats.org/officeDocument/2006/relationships/hyperlink" Target="https://doi.org/10.1073/pnas.2525619123" TargetMode="External"/><Relationship Id="rId793" Type="http://schemas.openxmlformats.org/officeDocument/2006/relationships/hyperlink" Target="https://www.pnas.org/doi/abs/10.1073/pnas.2526432123?mi=eymic2&amp;af=R&amp;access=on&amp;content=articlesChapters&amp;publication=pnas&amp;sortBy=Earliest&amp;target=default" TargetMode="External"/><Relationship Id="rId794" Type="http://schemas.openxmlformats.org/officeDocument/2006/relationships/hyperlink" Target="https://doi.org/10.1073/pnas.2526432123" TargetMode="External"/><Relationship Id="rId795" Type="http://schemas.openxmlformats.org/officeDocument/2006/relationships/hyperlink" Target="https://www.pnas.org/doi/abs/10.1073/pnas.2526577123?mi=eymic2&amp;af=R&amp;access=on&amp;content=articlesChapters&amp;publication=pnas&amp;sortBy=Earliest&amp;target=default" TargetMode="External"/><Relationship Id="rId796" Type="http://schemas.openxmlformats.org/officeDocument/2006/relationships/hyperlink" Target="https://doi.org/10.1073/pnas.2526577123" TargetMode="External"/><Relationship Id="rId797" Type="http://schemas.openxmlformats.org/officeDocument/2006/relationships/hyperlink" Target="https://www.pnas.org/doi/abs/10.1073/pnas.2529289123?mi=eymic2&amp;af=R&amp;access=on&amp;content=articlesChapters&amp;publication=pnas&amp;sortBy=Earliest&amp;target=default" TargetMode="External"/><Relationship Id="rId798" Type="http://schemas.openxmlformats.org/officeDocument/2006/relationships/hyperlink" Target="https://doi.org/10.1073/pnas.2529289123" TargetMode="External"/><Relationship Id="rId799" Type="http://schemas.openxmlformats.org/officeDocument/2006/relationships/hyperlink" Target="https://www.pnas.org/doi/abs/10.1073/pnas.2525035123?mi=eymic2&amp;af=R&amp;access=on&amp;content=articlesChapters&amp;publication=pnas&amp;sortBy=Earliest&amp;target=default" TargetMode="External"/><Relationship Id="rId800" Type="http://schemas.openxmlformats.org/officeDocument/2006/relationships/hyperlink" Target="https://doi.org/10.1073/pnas.2525035123" TargetMode="External"/><Relationship Id="rId801" Type="http://schemas.openxmlformats.org/officeDocument/2006/relationships/hyperlink" Target="http://dx.doi.org/10.1021/jacs.5c11966" TargetMode="External"/><Relationship Id="rId802" Type="http://schemas.openxmlformats.org/officeDocument/2006/relationships/hyperlink" Target="https://doi.org/10.1021/jacs.5c11966" TargetMode="External"/><Relationship Id="rId803" Type="http://schemas.openxmlformats.org/officeDocument/2006/relationships/hyperlink" Target="http://dx.doi.org/10.1021/jacs.5c18673" TargetMode="External"/><Relationship Id="rId804" Type="http://schemas.openxmlformats.org/officeDocument/2006/relationships/hyperlink" Target="https://doi.org/10.1021/jacs.5c18673" TargetMode="External"/><Relationship Id="rId805" Type="http://schemas.openxmlformats.org/officeDocument/2006/relationships/hyperlink" Target="http://dx.doi.org/10.1021/jacs.5c20803" TargetMode="External"/><Relationship Id="rId806" Type="http://schemas.openxmlformats.org/officeDocument/2006/relationships/hyperlink" Target="https://doi.org/10.1021/jacs.5c20803" TargetMode="External"/><Relationship Id="rId807" Type="http://schemas.openxmlformats.org/officeDocument/2006/relationships/hyperlink" Target="http://dx.doi.org/10.1021/jacs.5c22008" TargetMode="External"/><Relationship Id="rId808" Type="http://schemas.openxmlformats.org/officeDocument/2006/relationships/hyperlink" Target="https://doi.org/10.1021/jacs.5c22008" TargetMode="External"/><Relationship Id="rId809" Type="http://schemas.openxmlformats.org/officeDocument/2006/relationships/hyperlink" Target="http://dx.doi.org/10.1021/acs.chemrev.5c00708" TargetMode="External"/><Relationship Id="rId810" Type="http://schemas.openxmlformats.org/officeDocument/2006/relationships/hyperlink" Target="https://doi.org/10.1021/acs.chemrev.5c00708" TargetMode="External"/><Relationship Id="rId811" Type="http://schemas.openxmlformats.org/officeDocument/2006/relationships/hyperlink" Target="http://dx.doi.org/10.1021/jacs.5c22724" TargetMode="External"/><Relationship Id="rId812" Type="http://schemas.openxmlformats.org/officeDocument/2006/relationships/hyperlink" Target="https://doi.org/10.1021/jacs.5c227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