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2026-03-27</w:t>
      </w:r>
    </w:p>
    <w:p>
      <w:pPr>
        <w:spacing w:before="160" w:after="120"/>
      </w:pPr>
      <w:r>
        <w:rPr>
          <w:b/>
          <w:sz w:val="28"/>
        </w:rPr>
        <w:t>【光伏】</w:t>
      </w:r>
    </w:p>
    <w:p>
      <w:pPr>
        <w:spacing w:before="160" w:after="40" w:line="240" w:lineRule="auto"/>
      </w:pPr>
      <w:r>
        <w:rPr>
          <w:b/>
        </w:rPr>
        <w:t xml:space="preserve">[1] </w:t>
      </w:r>
      <w:hyperlink r:id="rId9">
        <w:r>
          <w:rPr>
            <w:color w:val="1155CC"/>
            <w:u w:val="single"/>
          </w:rPr>
          <w:t>用于太阳光驱动能量转换的功能性金属配合物</w:t>
        </w:r>
      </w:hyperlink>
    </w:p>
    <w:p>
      <w:pPr>
        <w:spacing w:before="0" w:after="80"/>
      </w:pPr>
      <w:r>
        <w:rPr>
          <w:i/>
          <w:sz w:val="20"/>
        </w:rPr>
        <w:t>EN: Functional Metal Complexes for Solar–Light‐Driven Energy Conversion</w:t>
      </w:r>
    </w:p>
    <w:p>
      <w:pPr>
        <w:spacing w:before="0" w:after="120"/>
      </w:pPr>
      <w:r>
        <w:rPr>
          <w:b/>
        </w:rPr>
        <w:t xml:space="preserve">Source: </w:t>
      </w:r>
      <w:r>
        <w:t>Wiley: Advanced Materials: Table of Contents</w:t>
      </w:r>
      <w:r>
        <w:t xml:space="preserve">    </w:t>
      </w:r>
      <w:r>
        <w:rPr>
          <w:b/>
        </w:rPr>
        <w:t xml:space="preserve">Pub date: </w:t>
      </w:r>
      <w:r>
        <w:t>2026-03-21 10:54:26+00:00</w:t>
      </w:r>
      <w:r>
        <w:t xml:space="preserve">    </w:t>
      </w:r>
      <w:r>
        <w:rPr>
          <w:b/>
        </w:rPr>
        <w:t xml:space="preserve">DOI: </w:t>
      </w:r>
      <w:hyperlink r:id="rId10">
        <w:r>
          <w:rPr>
            <w:color w:val="1155CC"/>
            <w:u w:val="single"/>
          </w:rPr>
          <w:t>10.1002/adma.202518393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太阳能转换相比于核能或化石燃料的使用具有更环保的优势。近年来，金属配合物作为功能材料受到了广泛关注，并在能量存储和转换方面取得了重大进展。由于有机配体和金属中心的多样性，它们通常具有可调的光电化学性质。此外，金属配合物的光物理性质，特别是其捕获可见光和实现长三重态寿命的强能力，对于这些配合物在实际应用中的有效利用至关重要。在这篇综述中，我们审视了最先进的金属配合物设计的最新进展。</w:t>
      </w:r>
    </w:p>
    <w:p>
      <w:pPr>
        <w:spacing w:before="0" w:after="200" w:lineRule="auto" w:line="276"/>
      </w:pPr>
      <w:r>
        <w:rPr>
          <w:b/>
        </w:rPr>
        <w:t xml:space="preserve">Abstract (EN): </w:t>
      </w:r>
      <w:r>
        <w:t>Solar energy conversion offers the advantage of being more environmentally friendly compared to the use of nuclear or fossil fuels. In recent years, metal complexes as functional materials have received extensive attention, and great progress has been made in energy storage and conversion. They usually possess tunable photoelectrochemical properties due to the diversity of organic ligands and metal centers. Moreover, the photophysical properties of metal complexes, particularly their strong ability to capture visible light and achieve long triplet state lifetimes, are essential for the effective utilization of these complexes in their practical applications. In this review, we examine the latest advancements in the design of the state‐of‐the art metal complexes and highlight key breakthroughs of these complexes, particularly in solar‐to‐electrical, ‐chemical, and ‐thermal energy conversion applications. We also address the current challenges and outline future directions for the development of functional metal complexes in the field of solar‐light‐driven energy conversion.</w:t>
      </w:r>
    </w:p>
    <w:p>
      <w:pPr>
        <w:spacing w:before="120" w:after="120"/>
      </w:pPr>
      <w:r>
        <w:rPr>
          <w:sz w:val="18"/>
        </w:rPr>
        <w:t>——————————————————————————————————————————————————————————————————————</w:t>
      </w:r>
    </w:p>
    <w:p>
      <w:pPr>
        <w:spacing w:before="160" w:after="40" w:line="240" w:lineRule="auto"/>
      </w:pPr>
      <w:r>
        <w:rPr>
          <w:b/>
        </w:rPr>
        <w:t xml:space="preserve">[2] </w:t>
      </w:r>
      <w:hyperlink r:id="rId11">
        <w:r>
          <w:rPr>
            <w:color w:val="1155CC"/>
            <w:u w:val="single"/>
          </w:rPr>
          <w:t>[ASAP] 含有集成微生物和酶的有机半导体水凝胶用于选择性太阳能CO2转化</w:t>
        </w:r>
      </w:hyperlink>
    </w:p>
    <w:p>
      <w:pPr>
        <w:spacing w:before="0" w:after="80"/>
      </w:pPr>
      <w:r>
        <w:rPr>
          <w:i/>
          <w:sz w:val="20"/>
        </w:rPr>
        <w:t>EN: [ASAP] Organic Semiconducting Hydrogel with Integrated Microbes and Enzymes for Selective Solar CO2 Conversion</w:t>
      </w:r>
    </w:p>
    <w:p>
      <w:pPr>
        <w:spacing w:before="0" w:after="120"/>
      </w:pPr>
      <w:r>
        <w:rPr>
          <w:b/>
        </w:rPr>
        <w:t xml:space="preserve">Source: </w:t>
      </w:r>
      <w:r>
        <w:t>Journal of the American Chemical Society: Latest Articles (ACS Publications)</w:t>
      </w:r>
      <w:r>
        <w:t xml:space="preserve">    </w:t>
      </w:r>
      <w:r>
        <w:rPr>
          <w:b/>
        </w:rPr>
        <w:t xml:space="preserve">Pub date: </w:t>
      </w:r>
      <w:r>
        <w:t>2026-03-21 12:57:54+00:00</w:t>
      </w:r>
      <w:r>
        <w:t xml:space="preserve">    </w:t>
      </w:r>
      <w:r>
        <w:rPr>
          <w:b/>
        </w:rPr>
        <w:t xml:space="preserve">DOI: </w:t>
      </w:r>
      <w:hyperlink r:id="rId12">
        <w:r>
          <w:rPr>
            <w:color w:val="1155CC"/>
            <w:u w:val="single"/>
          </w:rPr>
          <w:t>10.1021/jacs.6c00205</w:t>
        </w:r>
      </w:hyperlink>
    </w:p>
    <w:p>
      <w:pPr>
        <w:spacing w:before="0" w:after="120"/>
      </w:pPr>
      <w:r>
        <w:rPr>
          <w:b/>
        </w:rPr>
        <w:t xml:space="preserve">Notes: </w:t>
      </w:r>
      <w:r>
        <w:t>abstract_source=openalex</w:t>
      </w:r>
    </w:p>
    <w:p>
      <w:pPr>
        <w:spacing w:before="0" w:after="80" w:lineRule="auto" w:line="276"/>
      </w:pPr>
      <w:r>
        <w:rPr>
          <w:b/>
        </w:rPr>
        <w:t xml:space="preserve">摘要（ZH）: </w:t>
      </w:r>
      <w:r>
        <w:t>将合成光捕获材料与生物CO2固定催化剂结合，为在温和条件下实现高效和选择性的太阳能到化学能转换提供了一条有前途的途径。然而，由于缺乏能够结合生物相容性、与生物催化剂强电子耦合、高生物催化剂负载能力和易于产品分离的光催化材料，进展仍然有限。在此，我们介绍了一种有机半导体水凝胶，该水凝胶由合理设计的共轭聚电解质合成，具有可见光吸收、水加工性和共价交联性。所得的多孔、带正电荷的水凝胶支架固定了微生物和酶，促进了整个三维结构中的亲无机-生物相互作用。</w:t>
      </w:r>
    </w:p>
    <w:p>
      <w:pPr>
        <w:spacing w:before="0" w:after="200" w:lineRule="auto" w:line="276"/>
      </w:pPr>
      <w:r>
        <w:rPr>
          <w:b/>
        </w:rPr>
        <w:t xml:space="preserve">Abstract (EN): </w:t>
      </w:r>
      <w:r>
        <w:t>Integrating synthetic light-harvesting materials with biological CO2-fixing catalysts offers a promising route to efficient and selective solar-to-chemical conversion under mild conditions. However, progress remains limited by the lack of photocatalytic materials that combine biocompatibility, strong electronic coupling with biocatalysts, high biocatalyst loading capacity, and facile product separation. Here we introduce an organic semiconducting hydrogel synthesized from a rationally designed conjugated polyelectrolyte featuring visible-light absorption, water-processability, and covalent cross-linkability. The resulting macroporous, positively charged hydrogel scaffold immobilizes both microbes and enzymes, promoting intimate abiotic–biotic interactions throughout the three-dimensional hydrogel matrix. This platform supports two distinct modes of sacrificial CO2 reduction: mediated electron transfer via photogenerated H2 to drive acetate synthesis in the microbe Clostridium ljungdahlii, and direct electron transfer from photoexcited polymer domains to the isolated enzyme formate dehydrogenase for formate synthesis. By coupling the molecular programmability of organic semiconductors with the selectivity of biocatalysts, this work establishes a versatile class of soft biohybrid materials for solar fuel production through semiartificial photosynthesis.</w:t>
      </w:r>
    </w:p>
    <w:p>
      <w:pPr>
        <w:spacing w:before="120" w:after="120"/>
      </w:pPr>
      <w:r>
        <w:rPr>
          <w:sz w:val="18"/>
        </w:rPr>
        <w:t>——————————————————————————————————————————————————————————————————————</w:t>
      </w:r>
    </w:p>
    <w:p>
      <w:pPr>
        <w:spacing w:before="160" w:after="40" w:line="240" w:lineRule="auto"/>
      </w:pPr>
      <w:r>
        <w:rPr>
          <w:b/>
        </w:rPr>
        <w:t xml:space="preserve">[3] </w:t>
      </w:r>
      <w:hyperlink r:id="rId13">
        <w:r>
          <w:rPr>
            <w:color w:val="1155CC"/>
            <w:u w:val="single"/>
          </w:rPr>
          <w:t>基于光伏预测的太阳能微电网电池储能决策支持</w:t>
        </w:r>
      </w:hyperlink>
    </w:p>
    <w:p>
      <w:pPr>
        <w:spacing w:before="0" w:after="80"/>
      </w:pPr>
      <w:r>
        <w:rPr>
          <w:i/>
          <w:sz w:val="20"/>
        </w:rPr>
        <w:t>EN: PV forecasting-driven decision-support for solar microgrids with battery storage</w:t>
      </w:r>
    </w:p>
    <w:p>
      <w:pPr>
        <w:spacing w:before="0" w:after="120"/>
      </w:pPr>
      <w:r>
        <w:rPr>
          <w:b/>
        </w:rPr>
        <w:t xml:space="preserve">Source: </w:t>
      </w:r>
      <w:r>
        <w:t>ScienceDirect Publication: Applied Energy</w:t>
      </w:r>
      <w:r>
        <w:t xml:space="preserve">    </w:t>
      </w:r>
      <w:r>
        <w:rPr>
          <w:b/>
        </w:rPr>
        <w:t xml:space="preserve">Pub date: </w:t>
      </w:r>
      <w:r>
        <w:t>2026-03-22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4">
        <w:r>
          <w:rPr>
            <w:color w:val="1155CC"/>
            <w:u w:val="single"/>
          </w:rPr>
          <w:t>钙钛矿-有机串联太阳能电池具有优越的反向偏压稳定性</w:t>
        </w:r>
      </w:hyperlink>
    </w:p>
    <w:p>
      <w:pPr>
        <w:spacing w:before="0" w:after="80"/>
      </w:pPr>
      <w:r>
        <w:rPr>
          <w:i/>
          <w:sz w:val="20"/>
        </w:rPr>
        <w:t>EN: Perovskite–organic tandem solar cells with superior reverse-bias stability</w:t>
      </w:r>
    </w:p>
    <w:p>
      <w:pPr>
        <w:spacing w:before="0" w:after="120"/>
      </w:pPr>
      <w:r>
        <w:rPr>
          <w:b/>
        </w:rPr>
        <w:t xml:space="preserve">Source: </w:t>
      </w:r>
      <w:r>
        <w:t>Nature Materials</w:t>
      </w:r>
      <w:r>
        <w:t xml:space="preserve">    </w:t>
      </w:r>
      <w:r>
        <w:rPr>
          <w:b/>
        </w:rPr>
        <w:t xml:space="preserve">Pub date: </w:t>
      </w:r>
      <w:r>
        <w:t>2026-03-23 00:00:00+00:00</w:t>
      </w:r>
      <w:r>
        <w:t xml:space="preserve">    </w:t>
      </w:r>
      <w:r>
        <w:rPr>
          <w:b/>
        </w:rPr>
        <w:t xml:space="preserve">DOI: </w:t>
      </w:r>
      <w:hyperlink r:id="rId15">
        <w:r>
          <w:rPr>
            <w:color w:val="1155CC"/>
            <w:u w:val="single"/>
          </w:rPr>
          <w:t>10.1038/s41563-026-02541-6</w:t>
        </w:r>
      </w:hyperlink>
    </w:p>
    <w:p>
      <w:pPr>
        <w:spacing w:before="0" w:after="120"/>
      </w:pPr>
      <w:r>
        <w:rPr>
          <w:b/>
        </w:rPr>
        <w:t xml:space="preserve">Notes: </w:t>
      </w:r>
      <w:r>
        <w:t>abstract_source=nature_html</w:t>
      </w:r>
    </w:p>
    <w:p>
      <w:pPr>
        <w:spacing w:before="0" w:after="80" w:lineRule="auto" w:line="276"/>
      </w:pPr>
      <w:r>
        <w:rPr>
          <w:b/>
        </w:rPr>
        <w:t xml:space="preserve">摘要（ZH）: </w:t>
      </w:r>
      <w:r>
        <w:t>薄膜太阳能电池的工业应用在反向偏压下面临挑战，特别是关于反向偏压稳定性差的钙钛矿材料。同时，有机太阳能电池（OSCs）的反向偏压特性仍未被充分探索。本研究首次阐明了OSCs中反向隧道的机制，主要由体异质结内的深陷阱态主导，在反向偏压下触发可逆/不可逆击穿。在此基础上，我们通过抑制供体-受体混合区域中的孤立受体簇，调节深陷阱态，展示了具有优异不可逆击穿电压超过-35 V的高性能OSCs。此外，通过战略性地用抑制反向偏压的OSCs屏蔽钙钛矿，</w:t>
      </w:r>
    </w:p>
    <w:p>
      <w:pPr>
        <w:spacing w:before="0" w:after="200" w:lineRule="auto" w:line="276"/>
      </w:pPr>
      <w:r>
        <w:rPr>
          <w:b/>
        </w:rPr>
        <w:t xml:space="preserve">Abstract (EN): </w:t>
      </w:r>
      <w:r>
        <w:t>The industrial deployment of thin-film solar cells faces challenges under reverse bias, particularly concerning perovskite materials with poor reverse-bias stability. Meanwhile, the reverse-bias characteristics of organic solar cells (OSCs) remain underexplored. This study first elucidates the mechanism that reverse tunnelling in OSCs, fundamentally dominated by deep trap state within a bulk heterojunction, triggering reversible/irreversible breakdowns under reverse bias. Building on this, we demonstrated high-performance OSCs with superior irreversible breakdown voltage exceeding –35 V by modulating the deep trap state through suppressing an isolated acceptor cluster in the donor–acceptor intermix region. Moreover, through strategically shielding perovskite by OSC with suppressed reverse tunnelling, n–i–p perovskite–organic tandem solar cells maintain over 90% of the initial efficiency when subjected to –40 V. These tandem devices retain 90% and 97% of the initial efficiency after stressing at –20 V for 12 h and –4.5 V for 2,000 h, respectively, outperforming all existing thin-film solar technologies. The exceptional reverse-bias stability under shadowing conditions was further demonstrated in scalable perovskite–organic tandem solar cell minimodules.</w:t>
      </w:r>
    </w:p>
    <w:p>
      <w:pPr>
        <w:spacing w:before="120" w:after="120"/>
      </w:pPr>
      <w:r>
        <w:rPr>
          <w:sz w:val="18"/>
        </w:rPr>
        <w:t>——————————————————————————————————————————————————————————————————————</w:t>
      </w:r>
    </w:p>
    <w:p>
      <w:pPr>
        <w:spacing w:before="160" w:after="40" w:line="240" w:lineRule="auto"/>
      </w:pPr>
      <w:r>
        <w:rPr>
          <w:b/>
        </w:rPr>
        <w:t xml:space="preserve">[5] </w:t>
      </w:r>
      <w:hyperlink r:id="rId16">
        <w:r>
          <w:rPr>
            <w:color w:val="1155CC"/>
            <w:u w:val="single"/>
          </w:rPr>
          <w:t>用于粮食安全的光伏技术</w:t>
        </w:r>
      </w:hyperlink>
    </w:p>
    <w:p>
      <w:pPr>
        <w:spacing w:before="0" w:after="80"/>
      </w:pPr>
      <w:r>
        <w:rPr>
          <w:i/>
          <w:sz w:val="20"/>
        </w:rPr>
        <w:t>EN: Photovoltaics for food security</w:t>
      </w:r>
    </w:p>
    <w:p>
      <w:pPr>
        <w:spacing w:before="0" w:after="120"/>
      </w:pPr>
      <w:r>
        <w:rPr>
          <w:b/>
        </w:rPr>
        <w:t xml:space="preserve">Source: </w:t>
      </w:r>
      <w:r>
        <w:t>Nature Sustainability</w:t>
      </w:r>
      <w:r>
        <w:t xml:space="preserve">    </w:t>
      </w:r>
      <w:r>
        <w:rPr>
          <w:b/>
        </w:rPr>
        <w:t xml:space="preserve">Pub date: </w:t>
      </w:r>
      <w:r>
        <w:t>2026-03-23 00:00:00+00:00</w:t>
      </w:r>
      <w:r>
        <w:t xml:space="preserve">    </w:t>
      </w:r>
      <w:r>
        <w:rPr>
          <w:b/>
        </w:rPr>
        <w:t xml:space="preserve">DOI: </w:t>
      </w:r>
      <w:hyperlink r:id="rId17">
        <w:r>
          <w:rPr>
            <w:color w:val="1155CC"/>
            <w:u w:val="single"/>
          </w:rPr>
          <w:t>10.1038/s41893-026-01792-0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8">
        <w:r>
          <w:rPr>
            <w:color w:val="1155CC"/>
            <w:u w:val="single"/>
          </w:rPr>
          <w:t>在高温操作条件下，甲脒-铯金属卤化物钙钛矿太阳能电池中阳离子偏析和挥发损失的解耦</w:t>
        </w:r>
      </w:hyperlink>
    </w:p>
    <w:p>
      <w:pPr>
        <w:spacing w:before="0" w:after="80"/>
      </w:pPr>
      <w:r>
        <w:rPr>
          <w:i/>
          <w:sz w:val="20"/>
        </w:rPr>
        <w:t>EN: Decoupling cation segregation and volatile loss in formamidinium–caesium metal halide perovskite solar cells under high-temperature operating conditions</w:t>
      </w:r>
    </w:p>
    <w:p>
      <w:pPr>
        <w:spacing w:before="0" w:after="120"/>
      </w:pPr>
      <w:r>
        <w:rPr>
          <w:b/>
        </w:rPr>
        <w:t xml:space="preserve">Source: </w:t>
      </w:r>
      <w:r>
        <w:t>Nature Energy</w:t>
      </w:r>
      <w:r>
        <w:t xml:space="preserve">    </w:t>
      </w:r>
      <w:r>
        <w:rPr>
          <w:b/>
        </w:rPr>
        <w:t xml:space="preserve">Pub date: </w:t>
      </w:r>
      <w:r>
        <w:t>2026-03-23 00:00:00+00:00</w:t>
      </w:r>
      <w:r>
        <w:t xml:space="preserve">    </w:t>
      </w:r>
      <w:r>
        <w:rPr>
          <w:b/>
        </w:rPr>
        <w:t xml:space="preserve">DOI: </w:t>
      </w:r>
      <w:hyperlink r:id="rId19">
        <w:r>
          <w:rPr>
            <w:color w:val="1155CC"/>
            <w:u w:val="single"/>
          </w:rPr>
          <w:t>10.1038/s41560-026-02011-y</w:t>
        </w:r>
      </w:hyperlink>
    </w:p>
    <w:p>
      <w:pPr>
        <w:spacing w:before="0" w:after="120"/>
      </w:pPr>
      <w:r>
        <w:rPr>
          <w:b/>
        </w:rPr>
        <w:t xml:space="preserve">Notes: </w:t>
      </w:r>
      <w:r>
        <w:t>abstract_source=nature_html</w:t>
      </w:r>
    </w:p>
    <w:p>
      <w:pPr>
        <w:spacing w:before="0" w:after="80" w:lineRule="auto" w:line="276"/>
      </w:pPr>
      <w:r>
        <w:rPr>
          <w:b/>
        </w:rPr>
        <w:t xml:space="preserve">摘要（ZH）: </w:t>
      </w:r>
      <w:r>
        <w:t>甲脒–铯铅碘化物（FAXCs1-XPbI3, 0 x 2）层有效抑制FAI损失，在超过106°C的情况下保持阳离子分离主导的降解。此外，在钙钛矿前驱体中引入微量CsI3可增强制备膜中的阳离子均匀性，在85°C下连续1-sun光照（1.0% UV）下，设备的T90（达到最大效率的90%时间）显著延长至约2,700小时。假设相同的降解路径，45°C下外推的T90超过50年。这些发现阐明了甲脒–铯钙钛矿的温度依赖性降解路径，并提供了提高其操作稳定性的实用策略。</w:t>
      </w:r>
    </w:p>
    <w:p>
      <w:pPr>
        <w:spacing w:before="0" w:after="200" w:lineRule="auto" w:line="276"/>
      </w:pPr>
      <w:r>
        <w:rPr>
          <w:b/>
        </w:rPr>
        <w:t xml:space="preserve">Abstract (EN): </w:t>
      </w:r>
      <w:r>
        <w:t>Formamidinium–caesium lead iodide (FAXCs1-XPbI3, 0 x 2) layer effectively suppresses FAI loss, maintaining cation-segregation-dominated degradation beyond 106 °C. Moreover, introducing trace CsI3 in perovskite precursor enhances cation homogeneity in as-prepared films, dramatically extending the device T90 (time to 90% of maximum efficiency) to ~2,700 h under continuous 1-sun illumination (1.0% UV) at 85 °C. The extrapolated T90 at 45 °C exceeds 50 years by assuming a same degradation pathway. These findings elucidate the temperature-dependent degradation pathways in formamidinium–caesium perovskites and provide practical strategies to enhance their operational stability.</w:t>
      </w:r>
    </w:p>
    <w:p>
      <w:pPr>
        <w:spacing w:before="120" w:after="120"/>
      </w:pPr>
      <w:r>
        <w:rPr>
          <w:sz w:val="18"/>
        </w:rPr>
        <w:t>——————————————————————————————————————————————————————————————————————</w:t>
      </w:r>
    </w:p>
    <w:p>
      <w:pPr>
        <w:spacing w:before="160" w:after="40" w:line="240" w:lineRule="auto"/>
      </w:pPr>
      <w:r>
        <w:rPr>
          <w:b/>
        </w:rPr>
        <w:t xml:space="preserve">[7] </w:t>
      </w:r>
      <w:hyperlink r:id="rId20">
        <w:r>
          <w:rPr>
            <w:color w:val="1155CC"/>
            <w:u w:val="single"/>
          </w:rPr>
          <w:t>[ASAP] 通过AI辅助性能分析快速预测钙钛矿太阳能电池参数</w:t>
        </w:r>
      </w:hyperlink>
    </w:p>
    <w:p>
      <w:pPr>
        <w:spacing w:before="0" w:after="80"/>
      </w:pPr>
      <w:r>
        <w:rPr>
          <w:i/>
          <w:sz w:val="20"/>
        </w:rPr>
        <w:t>EN: [ASAP] Rapid Parameter Prediction in Perovskite Solar Cells via AI-Assisted Performance Analysis</w:t>
      </w:r>
    </w:p>
    <w:p>
      <w:pPr>
        <w:spacing w:before="0" w:after="120"/>
      </w:pPr>
      <w:r>
        <w:rPr>
          <w:b/>
        </w:rPr>
        <w:t xml:space="preserve">Source: </w:t>
      </w:r>
      <w:r>
        <w:t>ACS Energy Letters: Latest Articles (ACS Publications)</w:t>
      </w:r>
      <w:r>
        <w:t xml:space="preserve">    </w:t>
      </w:r>
      <w:r>
        <w:rPr>
          <w:b/>
        </w:rPr>
        <w:t xml:space="preserve">Pub date: </w:t>
      </w:r>
      <w:r>
        <w:t>2026-03-23 09:10:04+00:00</w:t>
      </w:r>
      <w:r>
        <w:t xml:space="preserve">    </w:t>
      </w:r>
      <w:r>
        <w:rPr>
          <w:b/>
        </w:rPr>
        <w:t xml:space="preserve">DOI: </w:t>
      </w:r>
      <w:hyperlink r:id="rId21">
        <w:r>
          <w:rPr>
            <w:color w:val="1155CC"/>
            <w:u w:val="single"/>
          </w:rPr>
          <w:t>10.1021/acsenergylett.6c00075</w:t>
        </w:r>
      </w:hyperlink>
    </w:p>
    <w:p>
      <w:pPr>
        <w:spacing w:before="0" w:after="120"/>
      </w:pPr>
      <w:r>
        <w:rPr>
          <w:b/>
        </w:rPr>
        <w:t xml:space="preserve">Notes: </w:t>
      </w:r>
      <w:r>
        <w:t>abstract_source=openalex</w:t>
      </w:r>
    </w:p>
    <w:p>
      <w:pPr>
        <w:spacing w:before="0" w:after="80" w:lineRule="auto" w:line="276"/>
      </w:pPr>
      <w:r>
        <w:rPr>
          <w:b/>
        </w:rPr>
        <w:t xml:space="preserve">摘要（ZH）: </w:t>
      </w:r>
      <w:r>
        <w:t>金属卤化物钙钛矿在光伏领域具有很高的前景，但其复杂的物理特性使得全面的器件表征具有挑战性。在此，我们引入了一种机器学习方法，可以从阻抗（EIS）测量中实现钙钛矿太阳能电池的整体高精度表征。通过在超过50,000次漂移扩散模拟上训练随机森林中位叶值模型，我们的模型能够同时高精度（R2 &gt; 0.99）预测12个关键器件参数，包括离子动力学和密度、载流子迁移率和复合特性。该方法通过信息丰富的EIS输入特征提取更完整的参数集，同时缓解了非唯一性问题，推进了先前的工作。我们严格验证了该模型</w:t>
      </w:r>
    </w:p>
    <w:p>
      <w:pPr>
        <w:spacing w:before="0" w:after="200" w:lineRule="auto" w:line="276"/>
      </w:pPr>
      <w:r>
        <w:rPr>
          <w:b/>
        </w:rPr>
        <w:t xml:space="preserve">Abstract (EN): </w:t>
      </w:r>
      <w:r>
        <w:t>Metal halide perovskites are highly promising for photovoltaics, yet their complex physics makes comprehensive device characterization challenging. Here, we introduce a machine learning approach that enables holistic, high-precision characterization of perovskite solar cells from an impedance (EIS) measurement. By training a Random Forests Median Leaf Value model on over 50,000 drift-diffusion simulations, our model simultaneously predicts 12 critical device parameters, including ion dynamics and densities, carrier mobilities, and recombination properties, with high accuracy (R2 &gt; 0.99). This approach advances prior work by extracting a more complete parameter set while alleviating the nonuniqueness problem through information-rich EIS input features. We rigorously validate the model against experimental values and closed-loop verification. Applying this technique to triple-cation perovskites with varying compositions reveals intriguing underlying trends, demonstrating its power to uncover complex structure–property relationships. This work establishes ML-driven frameworks for rapid, reliable device analysis to accelerate photovoltaic optimization.</w:t>
      </w:r>
    </w:p>
    <w:p>
      <w:pPr>
        <w:spacing w:before="120" w:after="120"/>
      </w:pPr>
      <w:r>
        <w:rPr>
          <w:sz w:val="18"/>
        </w:rPr>
        <w:t>——————————————————————————————————————————————————————————————————————</w:t>
      </w:r>
    </w:p>
    <w:p>
      <w:pPr>
        <w:spacing w:before="160" w:after="40" w:line="240" w:lineRule="auto"/>
      </w:pPr>
      <w:r>
        <w:rPr>
          <w:b/>
        </w:rPr>
        <w:t xml:space="preserve">[8] </w:t>
      </w:r>
      <w:hyperlink r:id="rId22">
        <w:r>
          <w:rPr>
            <w:color w:val="1155CC"/>
            <w:u w:val="single"/>
          </w:rPr>
          <w:t>基于A.I.E.发光体的大规模、高效且可见透明的发光太阳能聚光器</w:t>
        </w:r>
      </w:hyperlink>
    </w:p>
    <w:p>
      <w:pPr>
        <w:spacing w:before="0" w:after="80"/>
      </w:pPr>
      <w:r>
        <w:rPr>
          <w:i/>
          <w:sz w:val="20"/>
        </w:rPr>
        <w:t>EN: Large‐Scale, Highly Efficient, and Visibly Transparent Luminescent Solar Concentrators Based on A.I.E. Luminogens</w:t>
      </w:r>
    </w:p>
    <w:p>
      <w:pPr>
        <w:spacing w:before="0" w:after="120"/>
      </w:pPr>
      <w:r>
        <w:rPr>
          <w:b/>
        </w:rPr>
        <w:t xml:space="preserve">Source: </w:t>
      </w:r>
      <w:r>
        <w:t>Wiley: Advanced Materials: Table of Contents</w:t>
      </w:r>
      <w:r>
        <w:t xml:space="preserve">    </w:t>
      </w:r>
      <w:r>
        <w:rPr>
          <w:b/>
        </w:rPr>
        <w:t xml:space="preserve">Pub date: </w:t>
      </w:r>
      <w:r>
        <w:t>2026-03-23 13:03:27+00:00</w:t>
      </w:r>
      <w:r>
        <w:t xml:space="preserve">    </w:t>
      </w:r>
      <w:r>
        <w:rPr>
          <w:b/>
        </w:rPr>
        <w:t xml:space="preserve">DOI: </w:t>
      </w:r>
      <w:hyperlink r:id="rId23">
        <w:r>
          <w:rPr>
            <w:color w:val="1155CC"/>
            <w:u w:val="single"/>
          </w:rPr>
          <w:t>10.1002/adma.202523640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发光太阳能聚光器（LSCs）是传统光伏系统的有前景且具有成本效益的补充。在本研究中，合成了具有激发态分子内质子转移（ESIPT）特性的聚集诱导发光发光体（AIEgens），以抑制再吸收并最大化聚集态的光致发光量子产率（PLQY）。光谱研究和理论模拟阐明了潜在的发光机制。因此，基于优化的AIEgen，3ANT-HBT的无色LSCs实现了0.5%的光电转换效率（PCE）和99%的平均可见光透过率（AVT）。这一性能接近理论限值</w:t>
      </w:r>
    </w:p>
    <w:p>
      <w:pPr>
        <w:spacing w:before="0" w:after="200" w:lineRule="auto" w:line="276"/>
      </w:pPr>
      <w:r>
        <w:rPr>
          <w:b/>
        </w:rPr>
        <w:t xml:space="preserve">Abstract (EN): </w:t>
      </w:r>
      <w:r>
        <w:t>Luminescent solar concentrators (LSCs) represent a promising, cost‐effective complement to traditional photovoltaic systems. In this study, aggregation‐induced emission luminogens (AIEgens) exhibiting excited‐state intramolecular proton transfer (ESIPT) characteristics were synthesized to suppress reabsorption and maximize photoluminescence quantum yields (PLQY) in the aggregated state. Spectroscopic investigations and theoretical simulations elucidated the underlying luminescence mechanism. Consequently, colorless LSCs based on the optimized AIEgen,</w:t>
      </w:r>
      <w:r>
        <w:t xml:space="preserve"> </w:t>
      </w:r>
      <w:r>
        <w:t>3ANT‐HBT</w:t>
      </w:r>
      <w:r>
        <w:t xml:space="preserve"> </w:t>
      </w:r>
      <w:r>
        <w:t>, achieved a power conversion efficiency (PCE) of 0.5% with 99% average visible transmittance (AVT). This performance approaches the theoretical limit (PCE = 0.68%) for an ideal UV‐harvesting device. More importantly, high efficiency was preserved over large areas (&amp;gt;400 cm</w:t>
      </w:r>
      <w:r>
        <w:rPr>
          <w:vertAlign w:val="subscript"/>
        </w:rPr>
        <w:t>2</w:t>
      </w:r>
      <w:r>
        <w:t>) with negligible self‐absorption. This study demonstrates that integrating AIE and ESIPT is a promising strategy for developing efficient, scalable, and visually transparent solar harvesting technologies.</w:t>
      </w:r>
    </w:p>
    <w:p>
      <w:pPr>
        <w:spacing w:before="120" w:after="120"/>
      </w:pPr>
      <w:r>
        <w:rPr>
          <w:sz w:val="18"/>
        </w:rPr>
        <w:t>——————————————————————————————————————————————————————————————————————</w:t>
      </w:r>
    </w:p>
    <w:p>
      <w:pPr>
        <w:spacing w:before="160" w:after="40" w:line="240" w:lineRule="auto"/>
      </w:pPr>
      <w:r>
        <w:rPr>
          <w:b/>
        </w:rPr>
        <w:t xml:space="preserve">[9] </w:t>
      </w:r>
      <w:hyperlink r:id="rId24">
        <w:r>
          <w:rPr>
            <w:color w:val="1155CC"/>
            <w:u w:val="single"/>
          </w:rPr>
          <w:t>通过中间相工程在潮湿空气中可扩展制造高效FAPbI3钙钛矿太阳能组件</w:t>
        </w:r>
      </w:hyperlink>
    </w:p>
    <w:p>
      <w:pPr>
        <w:spacing w:before="0" w:after="80"/>
      </w:pPr>
      <w:r>
        <w:rPr>
          <w:i/>
          <w:sz w:val="20"/>
        </w:rPr>
        <w:t>EN: Scalable fabrication of high-efficiency FAPbI3 perovskite solar modules in humid air via intermediate-phase engineering</w:t>
      </w:r>
    </w:p>
    <w:p>
      <w:pPr>
        <w:spacing w:before="0" w:after="120"/>
      </w:pPr>
      <w:r>
        <w:rPr>
          <w:b/>
        </w:rPr>
        <w:t xml:space="preserve">Source: </w:t>
      </w:r>
      <w:r>
        <w:t>Joule</w:t>
      </w:r>
      <w:r>
        <w:t xml:space="preserve">    </w:t>
      </w:r>
      <w:r>
        <w:rPr>
          <w:b/>
        </w:rPr>
        <w:t xml:space="preserve">Pub date: </w:t>
      </w:r>
      <w:r>
        <w:t>2026-03-24 00:00:00+00:00</w:t>
      </w:r>
      <w:r>
        <w:t xml:space="preserve">    </w:t>
      </w:r>
      <w:r>
        <w:rPr>
          <w:b/>
        </w:rPr>
        <w:t xml:space="preserve">DOI: </w:t>
      </w:r>
      <w:hyperlink r:id="rId25">
        <w:r>
          <w:rPr>
            <w:color w:val="1155CC"/>
            <w:u w:val="single"/>
          </w:rPr>
          <w:t>10.1016/j.joule.2026.102391</w:t>
        </w:r>
      </w:hyperlink>
    </w:p>
    <w:p>
      <w:pPr>
        <w:spacing w:before="0" w:after="120"/>
      </w:pPr>
      <w:r>
        <w:rPr>
          <w:b/>
        </w:rPr>
        <w:t xml:space="preserve">Notes: </w:t>
      </w:r>
      <w:r>
        <w:t>abstract_source=rss_cell</w:t>
      </w:r>
    </w:p>
    <w:p>
      <w:pPr>
        <w:spacing w:before="0" w:after="80" w:lineRule="auto" w:line="276"/>
      </w:pPr>
      <w:r>
        <w:rPr>
          <w:b/>
        </w:rPr>
        <w:t xml:space="preserve">摘要（ZH）: </w:t>
      </w:r>
      <w:r>
        <w:t>通过引入2-氯苯甲脒乙酸盐（CBAc）形成稳定的PbI2·DMSO--CBAc中间体，有效抑制了高湿度条件下PbI2·DMSO的水合，从而实现了室温下相纯α-FAPbI₃的可控结晶。采用这一策略，在潮湿空气中制造的小尺寸n-i-p和p-i-n PSCs分别实现了26.06%和26.52%（认证26.29%）的效率。此外，槽模涂布的大面积模块（100.8 cm2）实现了21.10%的效率。该策略显示出大规模和环境兼容制造的巨大潜力。</w:t>
      </w:r>
    </w:p>
    <w:p>
      <w:pPr>
        <w:spacing w:before="0" w:after="200" w:lineRule="auto" w:line="276"/>
      </w:pPr>
      <w:r>
        <w:rPr>
          <w:b/>
        </w:rPr>
        <w:t xml:space="preserve">Abstract (EN): </w:t>
      </w:r>
      <w:r>
        <w:t>By introducing 2-chlorobenzamidine acetate (CBAc) to form a stable PbI2·DMSO--CBAc intermediate, the hydration of PbI2·DMSO under high-humidity conditions is effectively inhibited, thereby achieving the controllable crystallization of phase-pure α-FAPbI₃ at room temperature. With this strategy, small-sized n-i-p and p-i-n PSCs, fabricated in humid air, achieved efficiencies of 26.06% and 26.52% (certified 26.29%), respectively. Moreover, slot-die-coated large-area modules (100.8 cm2) achieved 21.10% efficiency. This strategy shows great potential for large-scale and environment-compatible manufacturing.</w:t>
      </w:r>
    </w:p>
    <w:p>
      <w:pPr>
        <w:spacing w:before="120" w:after="120"/>
      </w:pPr>
      <w:r>
        <w:rPr>
          <w:sz w:val="18"/>
        </w:rPr>
        <w:t>——————————————————————————————————————————————————————————————————————</w:t>
      </w:r>
    </w:p>
    <w:p>
      <w:pPr>
        <w:spacing w:before="160" w:after="40" w:line="240" w:lineRule="auto"/>
      </w:pPr>
      <w:r>
        <w:rPr>
          <w:b/>
        </w:rPr>
        <w:t xml:space="preserve">[10] </w:t>
      </w:r>
      <w:hyperlink r:id="rId26">
        <w:r>
          <w:rPr>
            <w:color w:val="1155CC"/>
            <w:u w:val="single"/>
          </w:rPr>
          <w:t>揭示锡基卤化物钙钛矿前驱体溶液中的内在反应性和胶体不稳定性</w:t>
        </w:r>
      </w:hyperlink>
    </w:p>
    <w:p>
      <w:pPr>
        <w:spacing w:before="0" w:after="80"/>
      </w:pPr>
      <w:r>
        <w:rPr>
          <w:i/>
          <w:sz w:val="20"/>
        </w:rPr>
        <w:t>EN: Unravelling the Intrinsic Reactivity and Colloidal Instability in Tin‐Based Halide Perovskite Precursor Solutions</w:t>
      </w:r>
    </w:p>
    <w:p>
      <w:pPr>
        <w:spacing w:before="0" w:after="120"/>
      </w:pPr>
      <w:r>
        <w:rPr>
          <w:b/>
        </w:rPr>
        <w:t xml:space="preserve">Source: </w:t>
      </w:r>
      <w:r>
        <w:t>Wiley: Angewandte Chemie International Edition: Table of Contents</w:t>
      </w:r>
      <w:r>
        <w:t xml:space="preserve">    </w:t>
      </w:r>
      <w:r>
        <w:rPr>
          <w:b/>
        </w:rPr>
        <w:t xml:space="preserve">Pub date: </w:t>
      </w:r>
      <w:r>
        <w:t>2026-03-24 05:20:57+00:00</w:t>
      </w:r>
      <w:r>
        <w:t xml:space="preserve">    </w:t>
      </w:r>
      <w:r>
        <w:rPr>
          <w:b/>
        </w:rPr>
        <w:t xml:space="preserve">DOI: </w:t>
      </w:r>
      <w:hyperlink r:id="rId27">
        <w:r>
          <w:rPr>
            <w:color w:val="1155CC"/>
            <w:u w:val="single"/>
          </w:rPr>
          <w:t>10.1002/anie.7703450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窄带隙锡和混合锡-铅卤化物钙钛矿因其在光电应用中的潜力而受到越来越多的关注，但难以控制的结晶过程阻碍了其发展。尽管添加剂工程有效改善了薄膜的形成，但其独特结晶行为的基本起源仍未得到充分探索。在此，通过与Pb对比，我们通过互补的结构表征研究了基于Sn的钙钛矿前驱体溶液的预结晶阶段。我们发现，Sn前驱体本质上更具反应性，对其化学环境更为敏感，表现出比Pb更差的胶体稳定性和强烈的内在聚集倾向。这些</w:t>
      </w:r>
    </w:p>
    <w:p>
      <w:pPr>
        <w:spacing w:before="0" w:after="200" w:lineRule="auto" w:line="276"/>
      </w:pPr>
      <w:r>
        <w:rPr>
          <w:b/>
        </w:rPr>
        <w:t xml:space="preserve">Abstract (EN): </w:t>
      </w:r>
      <w:r>
        <w:t>Narrow‐bandgap tin and mixed tin–lead halide perovskites are attracting growing interest for optoelectronic applications, yet the difficult‐to‐control crystallization process has hindered their development. Although additive engineering has effectively improved film formation, the fundamental origins of their distinct crystallization behavior remain less explored. Here, through direct comparison with Pb counterparts, we investigate the pre‐crystallization stages of Sn‐based perovskite precursor solutions through complementary structural characterizations. We show that Sn precursors are intrinsically more reactive and sensitive to their chemical environment, exhibiting poorer colloidal stability compared to Pb and a strong inherent tendency to agglomerate. These findings explain their narrower processing window, where small variations in solution chemistry strongly affect nucleation and crystallization dynamics. To fabricate high‐quality tin‐based perovskite through solution methods, we highlight the importance of controlling the often‐overlooked pre‐crystallization stages, though, for example, rational solvent and additive designs. Overall, we provide fundamental insights into precursor solution chemistry and establish pre‐crystallization engineering as a key strategy for overcoming long‐standing limitations in thin‐film fabrication, particularly in light of the field's rapid progression toward large‐scale, sustainable, and solvent‐conscious manufacturing.</w:t>
      </w:r>
    </w:p>
    <w:p>
      <w:pPr>
        <w:spacing w:before="120" w:after="120"/>
      </w:pPr>
      <w:r>
        <w:rPr>
          <w:sz w:val="18"/>
        </w:rPr>
        <w:t>——————————————————————————————————————————————————————————————————————</w:t>
      </w:r>
    </w:p>
    <w:p>
      <w:pPr>
        <w:spacing w:before="160" w:after="40" w:line="240" w:lineRule="auto"/>
      </w:pPr>
      <w:r>
        <w:rPr>
          <w:b/>
        </w:rPr>
        <w:t xml:space="preserve">[11] </w:t>
      </w:r>
      <w:hyperlink r:id="rId28">
        <w:r>
          <w:rPr>
            <w:color w:val="1155CC"/>
            <w:u w:val="single"/>
          </w:rPr>
          <w:t>自我调节的双模式太阳能收集</w:t>
        </w:r>
      </w:hyperlink>
    </w:p>
    <w:p>
      <w:pPr>
        <w:spacing w:before="0" w:after="80"/>
      </w:pPr>
      <w:r>
        <w:rPr>
          <w:i/>
          <w:sz w:val="20"/>
        </w:rPr>
        <w:t>EN: Self-regulated dual-mode solar energy harvesting</w:t>
      </w:r>
    </w:p>
    <w:p>
      <w:pPr>
        <w:spacing w:before="0" w:after="120"/>
      </w:pPr>
      <w:r>
        <w:rPr>
          <w:b/>
        </w:rPr>
        <w:t xml:space="preserve">Source: </w:t>
      </w:r>
      <w:r>
        <w:t>Proceedings of the National Academy of Sciences: Keyword search for query</w:t>
      </w:r>
      <w:r>
        <w:t xml:space="preserve">    </w:t>
      </w:r>
      <w:r>
        <w:rPr>
          <w:b/>
        </w:rPr>
        <w:t xml:space="preserve">Pub date: </w:t>
      </w:r>
      <w:r>
        <w:t>2026-03-24 07:00:00+00:00</w:t>
      </w:r>
      <w:r>
        <w:t xml:space="preserve">    </w:t>
      </w:r>
      <w:r>
        <w:rPr>
          <w:b/>
        </w:rPr>
        <w:t xml:space="preserve">DOI: </w:t>
      </w:r>
      <w:hyperlink r:id="rId29">
        <w:r>
          <w:rPr>
            <w:color w:val="1155CC"/>
            <w:u w:val="single"/>
          </w:rPr>
          <w:t>10.1073/pnas.2534717123</w:t>
        </w:r>
      </w:hyperlink>
    </w:p>
    <w:p>
      <w:pPr>
        <w:spacing w:before="0" w:after="120"/>
      </w:pPr>
      <w:r>
        <w:rPr>
          <w:b/>
        </w:rPr>
        <w:t xml:space="preserve">Notes: </w:t>
      </w:r>
      <w:r>
        <w:t>abstract_source=crossref</w:t>
      </w:r>
    </w:p>
    <w:p>
      <w:pPr>
        <w:spacing w:before="0" w:after="80" w:lineRule="auto" w:line="276"/>
      </w:pPr>
      <w:r>
        <w:rPr>
          <w:b/>
        </w:rPr>
        <w:t xml:space="preserve">摘要（ZH）: </w:t>
      </w:r>
      <w:r>
        <w:t>传统的太阳能收集器是单模式的——通常设计用于将可用的阳光转化为热能或电能。然而，这两种能量形式都不是持续有用的，理想的变体应能够根据需要自主切换相对的热和电产量。在此，我们通过使用困在菲涅尔透镜上方的流体层作为太阳波导中的相变开关，引入被动的双模式室内太阳能收集。当外界温暖且需要电力时，流体处于其蒸汽相，与其下方的微结构透镜产生折射率差异，将阳光集中到太阳能电池上。当外界寒冷且需要热量时，流体凝结在菲涅尔结构顶部以减少折射</w:t>
      </w:r>
    </w:p>
    <w:p>
      <w:pPr>
        <w:spacing w:before="0" w:after="200" w:lineRule="auto" w:line="276"/>
      </w:pPr>
      <w:r>
        <w:rPr>
          <w:b/>
        </w:rPr>
        <w:t xml:space="preserve">Abstract (EN): </w:t>
      </w:r>
      <w:r>
        <w:t>Traditional solar energy harvesters are single-mode—typically designed to convert available sunlight either into heat or electricity. However, neither energy form is continuously useful, and an optimal variant should instead be capable of autonomously toggling relative thermal and electrical yield based on need. Here, we introduce passive, dual-mode indoor solar energy harvesting by using a fluid layer trapped above a Fresnel lens as a phase-changing switch within a solar waveguide. When warm out and electricity is desired, the fluid is in its vapor phase, causing a refractive index difference with the microstructured lens beneath it to concentrate sunlight toward a solar cell. When cold out and heat is instead desired, the fluid condenses atop the Fresnel structure to reduce refractive index differences, causing sunlight to refract past the solar cell and convert to heat when absorbed indoors. Using water as a phase-changing switch, we built an exemplary system that self-regulates indoor temperature and solar cell light exposure over ambient heating and cooling cycles. Our approach is general across everyday materials and manufacturing methods and may be deployed on the surfaces of vehicles, greenhouses, and residential or commercial buildings.</w:t>
      </w:r>
    </w:p>
    <w:p>
      <w:pPr>
        <w:spacing w:before="120" w:after="120"/>
      </w:pPr>
      <w:r>
        <w:rPr>
          <w:sz w:val="18"/>
        </w:rPr>
        <w:t>——————————————————————————————————————————————————————————————————————</w:t>
      </w:r>
    </w:p>
    <w:p>
      <w:pPr>
        <w:spacing w:before="160" w:after="40" w:line="240" w:lineRule="auto"/>
      </w:pPr>
      <w:r>
        <w:rPr>
          <w:b/>
        </w:rPr>
        <w:t xml:space="preserve">[12] </w:t>
      </w:r>
      <w:hyperlink r:id="rId30">
        <w:r>
          <w:rPr>
            <w:color w:val="1155CC"/>
            <w:u w:val="single"/>
          </w:rPr>
          <w:t>[ASAP] 超薄全真空加工钙钛矿太阳能电池，吸收层厚度低至10 nm</w:t>
        </w:r>
      </w:hyperlink>
    </w:p>
    <w:p>
      <w:pPr>
        <w:spacing w:before="0" w:after="80"/>
      </w:pPr>
      <w:r>
        <w:rPr>
          <w:i/>
          <w:sz w:val="20"/>
        </w:rPr>
        <w:t>EN: [ASAP] Ultrathin Fully Vacuum-Processed Perovskite Solar Cells with Absorbers Down to 10 nm</w:t>
      </w:r>
    </w:p>
    <w:p>
      <w:pPr>
        <w:spacing w:before="0" w:after="120"/>
      </w:pPr>
      <w:r>
        <w:rPr>
          <w:b/>
        </w:rPr>
        <w:t xml:space="preserve">Source: </w:t>
      </w:r>
      <w:r>
        <w:t>ACS Energy Letters: Latest Articles (ACS Publications)</w:t>
      </w:r>
      <w:r>
        <w:t xml:space="preserve">    </w:t>
      </w:r>
      <w:r>
        <w:rPr>
          <w:b/>
        </w:rPr>
        <w:t xml:space="preserve">Pub date: </w:t>
      </w:r>
      <w:r>
        <w:t>2026-03-24 16:18:57+00:00</w:t>
      </w:r>
      <w:r>
        <w:t xml:space="preserve">    </w:t>
      </w:r>
      <w:r>
        <w:rPr>
          <w:b/>
        </w:rPr>
        <w:t xml:space="preserve">DOI: </w:t>
      </w:r>
      <w:hyperlink r:id="rId31">
        <w:r>
          <w:rPr>
            <w:color w:val="1155CC"/>
            <w:u w:val="single"/>
          </w:rPr>
          <w:t>10.1021/acsenergylett.5c04261</w:t>
        </w:r>
      </w:hyperlink>
    </w:p>
    <w:p>
      <w:pPr>
        <w:spacing w:before="0" w:after="120"/>
      </w:pPr>
      <w:r>
        <w:rPr>
          <w:b/>
        </w:rPr>
        <w:t xml:space="preserve">Notes: </w:t>
      </w:r>
      <w:r>
        <w:t>abstract_source=openalex</w:t>
      </w:r>
    </w:p>
    <w:p>
      <w:pPr>
        <w:spacing w:before="0" w:after="80" w:lineRule="auto" w:line="276"/>
      </w:pPr>
      <w:r>
        <w:rPr>
          <w:b/>
        </w:rPr>
        <w:t xml:space="preserve">摘要（ZH）: </w:t>
      </w:r>
      <w:r>
        <w:t>卤化物钙钛矿提供了卓越的结构和成分可调性，使其能够满足对高半透明性和美学集成要求的下一代光伏技术。在此，我们利用热蒸发的精确过程控制来生长高质量的超薄钙钛矿吸收层，厚度可达 10 nm。完全蒸发的 p.i.n. 钙钛矿太阳能电池（PSCs）使用厚度为 10、30 和 60 nm 的 MAPbI3 吸收层，分别实现了约 7%、约 11% 和约 12% 的创纪录功率转换效率（PCEs）。开路电压（Voc）和填充因子（FF）与具有体吸收层（300–900 nm）的 PSCs 基本相当，表明共蒸发薄膜具有高光电质量和低陷阱密度。此外，半透明 PSCs 显示出平均可见光透过率（AVT）高</w:t>
      </w:r>
    </w:p>
    <w:p>
      <w:pPr>
        <w:spacing w:before="0" w:after="200" w:lineRule="auto" w:line="276"/>
      </w:pPr>
      <w:r>
        <w:rPr>
          <w:b/>
        </w:rPr>
        <w:t xml:space="preserve">Abstract (EN): </w:t>
      </w:r>
      <w:r>
        <w:t>Halide perovskites offer exceptional structural and compositional tunability, enabling next-generation photovoltaic technologies that demand high semitransparency and aesthetic integration. Here, we exploit the precise process control of thermal evaporation to grow high-quality ultrathin perovskite absorbers down to 10 nm. Fully evaporated p.i.n. perovskite solar cells (PSCs) with MAPbI3 absorbers as thin as 10, 30, and 60 nm deliver record power conversion efficiencies (PCEs) of ∼7%, ∼11%, and ∼12%, respectively. Open-circuit voltage (Voc) and fill factor (FF) remain largely comparable to PSCs with bulk absorbers (300–900 nm), indicating high optoelectronic quality and low trap density in coevaporated films. Moreover, semitransparent PSCs exhibited an average visible transparency (AVT) up to 65%, while maintaining high PCE. Indeed, ST-PSCs with a 60 nm absorber achieved a light-utilization efficiency (LUE) of 3.13% (41.24% AVT, 7.6% PCE), while a 30 nm absorber possess the highest potential LUE of 5.15%. These results mark an important step toward scalable, design-flexible, ultrathin photovoltaic systems suited for building integration and aesthetic applications.</w:t>
      </w:r>
    </w:p>
    <w:p>
      <w:pPr>
        <w:spacing w:before="120" w:after="120"/>
      </w:pPr>
      <w:r>
        <w:rPr>
          <w:sz w:val="18"/>
        </w:rPr>
        <w:t>——————————————————————————————————————————————————————————————————————</w:t>
      </w:r>
    </w:p>
    <w:p>
      <w:pPr>
        <w:spacing w:before="160" w:after="40" w:line="240" w:lineRule="auto"/>
      </w:pPr>
      <w:r>
        <w:rPr>
          <w:b/>
        </w:rPr>
        <w:t xml:space="preserve">[13] </w:t>
      </w:r>
      <w:hyperlink r:id="rId32">
        <w:r>
          <w:rPr>
            <w:color w:val="1155CC"/>
            <w:u w:val="single"/>
          </w:rPr>
          <w:t>接触触发的分子相互作用使钙钛矿层在太阳能电池中结构精炼</w:t>
        </w:r>
      </w:hyperlink>
    </w:p>
    <w:p>
      <w:pPr>
        <w:spacing w:before="0" w:after="80"/>
      </w:pPr>
      <w:r>
        <w:rPr>
          <w:i/>
          <w:sz w:val="20"/>
        </w:rPr>
        <w:t>EN: Contact-triggered molecular interactions enable structural refinement of perovskite layers in solar cells</w:t>
      </w:r>
    </w:p>
    <w:p>
      <w:pPr>
        <w:spacing w:before="0" w:after="120"/>
      </w:pPr>
      <w:r>
        <w:rPr>
          <w:b/>
        </w:rPr>
        <w:t xml:space="preserve">Source: </w:t>
      </w:r>
      <w:r>
        <w:t>Nature Energy</w:t>
      </w:r>
      <w:r>
        <w:t xml:space="preserve">    </w:t>
      </w:r>
      <w:r>
        <w:rPr>
          <w:b/>
        </w:rPr>
        <w:t xml:space="preserve">Pub date: </w:t>
      </w:r>
      <w:r>
        <w:t>2026-03-25 00:00:00+00:00</w:t>
      </w:r>
      <w:r>
        <w:t xml:space="preserve">    </w:t>
      </w:r>
      <w:r>
        <w:rPr>
          <w:b/>
        </w:rPr>
        <w:t xml:space="preserve">DOI: </w:t>
      </w:r>
      <w:hyperlink r:id="rId33">
        <w:r>
          <w:rPr>
            <w:color w:val="1155CC"/>
            <w:u w:val="single"/>
          </w:rPr>
          <w:t>10.1038/s41560-026-02027-4</w:t>
        </w:r>
      </w:hyperlink>
    </w:p>
    <w:p>
      <w:pPr>
        <w:spacing w:before="0" w:after="120"/>
      </w:pPr>
      <w:r>
        <w:rPr>
          <w:b/>
        </w:rPr>
        <w:t xml:space="preserve">Notes: </w:t>
      </w:r>
      <w:r>
        <w:t>abstract_source=nature_html</w:t>
      </w:r>
    </w:p>
    <w:p>
      <w:pPr>
        <w:spacing w:before="0" w:after="80" w:lineRule="auto" w:line="276"/>
      </w:pPr>
      <w:r>
        <w:rPr>
          <w:b/>
        </w:rPr>
        <w:t xml:space="preserve">摘要（ZH）: </w:t>
      </w:r>
      <w:r>
        <w:t>分子相互作用对于提高钙钛矿太阳能电池的效率和稳定性至关重要，但目前基于溶液的方法依赖于分子掺入或表面钝化，在单独控制这些相互作用方面显示出固有的局限性。在此，我们揭示了一种内在的界面相互作用，这种相互作用源于单独结晶的二维和三维钙钛矿之间的简单接触，而无需混合或永久结合。我们定义了这种接触触发的阳离子相互作用（CCI），它可逆地限制了分子的自由度，抑制了相变，延长了载流子寿命，并诱导了三维框架的独特再结晶。这种CCI驱动的再结晶产生了精细的FAPbI3，改进了</w:t>
      </w:r>
    </w:p>
    <w:p>
      <w:pPr>
        <w:spacing w:before="0" w:after="200" w:lineRule="auto" w:line="276"/>
      </w:pPr>
      <w:r>
        <w:rPr>
          <w:b/>
        </w:rPr>
        <w:t xml:space="preserve">Abstract (EN): </w:t>
      </w:r>
      <w:r>
        <w:t>Molecular interactions are crucial to improving the efficiency and stability of perovskite solar cells, yet current solution-based approaches relying on molecular incorporation or surface passivation show inherent limitations in separately controlling these interactions. Here we reveal an intrinsic interfacial interaction that arises from simple contact between individually crystallized two-dimensional and three-dimensional perovskites without mixing or permanent bonding. We define this contact-triggered cationic interaction (CCI), which reversibly constrains molecular degrees of freedom, suppresses phase transitions, enhances carrier lifetimes and induces a unique recrystallization of the three-dimensional framework. This CCI-driven recrystallization produces refined FAPbI3 with improved cation homogeneity, reduced lattice disorder and superior optoelectronic properties. Devices using CCI-driven FAPbI3 achieve 26.25% efficiency (25.61% certified) and retain a projected operational lifetime exceeding 20,000 h. Our findings provide the first quantitative evidence that intrinsic interfacial cationic interactions can directly influence perovskite material quality and device performance.</w:t>
      </w:r>
    </w:p>
    <w:p>
      <w:pPr>
        <w:spacing w:before="120" w:after="120"/>
      </w:pPr>
      <w:r>
        <w:rPr>
          <w:sz w:val="18"/>
        </w:rPr>
        <w:t>——————————————————————————————————————————————————————————————————————</w:t>
      </w:r>
    </w:p>
    <w:p>
      <w:pPr>
        <w:spacing w:before="160" w:after="40" w:line="240" w:lineRule="auto"/>
      </w:pPr>
      <w:r>
        <w:rPr>
          <w:b/>
        </w:rPr>
        <w:t xml:space="preserve">[14] </w:t>
      </w:r>
      <w:hyperlink r:id="rId34">
        <w:r>
          <w:rPr>
            <w:color w:val="1155CC"/>
            <w:u w:val="single"/>
          </w:rPr>
          <w:t>作者更正：光开关异构体提高晶界弹性和钙钛矿太阳能电池在光循环下的稳定性</w:t>
        </w:r>
      </w:hyperlink>
    </w:p>
    <w:p>
      <w:pPr>
        <w:spacing w:before="0" w:after="80"/>
      </w:pPr>
      <w:r>
        <w:rPr>
          <w:i/>
          <w:sz w:val="20"/>
        </w:rPr>
        <w:t>EN: Author Correction: Photoswitchable isomers to improve grain boundary resilience and perovskite solar cells stability under light cycling</w:t>
      </w:r>
    </w:p>
    <w:p>
      <w:pPr>
        <w:spacing w:before="0" w:after="120"/>
      </w:pPr>
      <w:r>
        <w:rPr>
          <w:b/>
        </w:rPr>
        <w:t xml:space="preserve">Source: </w:t>
      </w:r>
      <w:r>
        <w:t>Nature Energy</w:t>
      </w:r>
      <w:r>
        <w:t xml:space="preserve">    </w:t>
      </w:r>
      <w:r>
        <w:rPr>
          <w:b/>
        </w:rPr>
        <w:t xml:space="preserve">Pub date: </w:t>
      </w:r>
      <w:r>
        <w:t>2026-03-25 00:00:00+00:00</w:t>
      </w:r>
      <w:r>
        <w:t xml:space="preserve">    </w:t>
      </w:r>
      <w:r>
        <w:rPr>
          <w:b/>
        </w:rPr>
        <w:t xml:space="preserve">DOI: </w:t>
      </w:r>
      <w:hyperlink r:id="rId35">
        <w:r>
          <w:rPr>
            <w:color w:val="1155CC"/>
            <w:u w:val="single"/>
          </w:rPr>
          <w:t>10.1038/s41560-026-02041-6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36">
        <w:r>
          <w:rPr>
            <w:color w:val="1155CC"/>
            <w:u w:val="single"/>
          </w:rPr>
          <w:t>化学钝化的聚合物电荷复合层用于高效串联有机太阳能电池（Adv. Energy Mater. 12/2026）</w:t>
        </w:r>
      </w:hyperlink>
    </w:p>
    <w:p>
      <w:pPr>
        <w:spacing w:before="0" w:after="80"/>
      </w:pPr>
      <w:r>
        <w:rPr>
          <w:i/>
          <w:sz w:val="20"/>
        </w:rPr>
        <w:t>EN: Chemically Passivated Polymeric Charge Recombination Layer for Efficient Tandem Organic Solar Cells (Adv. Energy Mater. 12/2026)</w:t>
      </w:r>
    </w:p>
    <w:p>
      <w:pPr>
        <w:spacing w:before="0" w:after="120"/>
      </w:pPr>
      <w:r>
        <w:rPr>
          <w:b/>
        </w:rPr>
        <w:t xml:space="preserve">Source: </w:t>
      </w:r>
      <w:r>
        <w:t>Wiley: Advanced Energy Materials: Table of Contents</w:t>
      </w:r>
      <w:r>
        <w:t xml:space="preserve">    </w:t>
      </w:r>
      <w:r>
        <w:rPr>
          <w:b/>
        </w:rPr>
        <w:t xml:space="preserve">Pub date: </w:t>
      </w:r>
      <w:r>
        <w:t>2026-03-25 14:00:22+00:00</w:t>
      </w:r>
      <w:r>
        <w:t xml:space="preserve">    </w:t>
      </w:r>
      <w:r>
        <w:rPr>
          <w:b/>
        </w:rPr>
        <w:t xml:space="preserve">DOI: </w:t>
      </w:r>
      <w:hyperlink r:id="rId37">
        <w:r>
          <w:rPr>
            <w:color w:val="1155CC"/>
            <w:u w:val="single"/>
          </w:rPr>
          <w:t>10.1002/aenm.70765</w:t>
        </w:r>
      </w:hyperlink>
    </w:p>
    <w:p>
      <w:pPr>
        <w:spacing w:before="0" w:after="120"/>
      </w:pPr>
      <w:r>
        <w:rPr>
          <w:b/>
        </w:rPr>
        <w:t xml:space="preserve">Notes: </w:t>
      </w:r>
      <w:r>
        <w:t>abstract_source=openalex</w:t>
      </w:r>
    </w:p>
    <w:p>
      <w:pPr>
        <w:spacing w:before="0" w:after="80" w:lineRule="auto" w:line="276"/>
      </w:pPr>
      <w:r>
        <w:rPr>
          <w:b/>
        </w:rPr>
        <w:t xml:space="preserve">摘要（ZH）: </w:t>
      </w:r>
      <w:r>
        <w:t>串联有机太阳能电池 富含胺的聚电解质在PEDOT:PSS上的自发原位质子化驱动离子自组装成对齐的偶极层，降低了功函数，同时化学淬灭了胺的反应性。由此产生的聚合物电荷复合层促进了隧道主导的欧姆复合，具有接近零/负的有效势垒高度，使得串联有机太阳能电池具有创纪录的高效率和卓越的稳定性。更多内容见文章编号e04940，Jinho Lee及其合作者。</w:t>
      </w:r>
    </w:p>
    <w:p>
      <w:pPr>
        <w:spacing w:before="0" w:after="200" w:lineRule="auto" w:line="276"/>
      </w:pPr>
      <w:r>
        <w:rPr>
          <w:b/>
        </w:rPr>
        <w:t xml:space="preserve">Abstract (EN): </w:t>
      </w:r>
      <w:r>
        <w:t>Tandem Organic Solar Cells Spontaneous in-situ protonation of amine-rich polyelectrolytes on PEDOT:PSS drives ionic self-assembly into an aligned dipole layer, lowering the work function while chemically quenching amine reactivity. The resulting polymeric charge recombination layer facilitates tunnelling-dominated ohmic recombination with a near-zero/negative effective barrier height, enabling tandem organic solar cells with record-high efficiency and exceptional stability. More in article number e04940, Jinho Lee and co-workers.</w:t>
      </w:r>
    </w:p>
    <w:p>
      <w:pPr>
        <w:spacing w:before="120" w:after="120"/>
      </w:pPr>
      <w:r>
        <w:rPr>
          <w:sz w:val="18"/>
        </w:rPr>
        <w:t>——————————————————————————————————————————————————————————————————————</w:t>
      </w:r>
    </w:p>
    <w:p>
      <w:pPr>
        <w:spacing w:before="160" w:after="40" w:line="240" w:lineRule="auto"/>
      </w:pPr>
      <w:r>
        <w:rPr>
          <w:b/>
        </w:rPr>
        <w:t xml:space="preserve">[16] </w:t>
      </w:r>
      <w:hyperlink r:id="rId38">
        <w:r>
          <w:rPr>
            <w:color w:val="1155CC"/>
            <w:u w:val="single"/>
          </w:rPr>
          <w:t>[ASAP] 确定卤化物钙钛矿中快速载流子迁移的瞬态状态</w:t>
        </w:r>
      </w:hyperlink>
    </w:p>
    <w:p>
      <w:pPr>
        <w:spacing w:before="0" w:after="80"/>
      </w:pPr>
      <w:r>
        <w:rPr>
          <w:i/>
          <w:sz w:val="20"/>
        </w:rPr>
        <w:t>EN: [ASAP] Ascertaining the Transient State Pivotal for Fast Carrier Migration in Halide Perovskites</w:t>
      </w:r>
    </w:p>
    <w:p>
      <w:pPr>
        <w:spacing w:before="0" w:after="120"/>
      </w:pPr>
      <w:r>
        <w:rPr>
          <w:b/>
        </w:rPr>
        <w:t xml:space="preserve">Source: </w:t>
      </w:r>
      <w:r>
        <w:t>Journal of the American Chemical Society: Latest Articles (ACS Publications)</w:t>
      </w:r>
      <w:r>
        <w:t xml:space="preserve">    </w:t>
      </w:r>
      <w:r>
        <w:rPr>
          <w:b/>
        </w:rPr>
        <w:t xml:space="preserve">Pub date: </w:t>
      </w:r>
      <w:r>
        <w:t>2026-03-25 16:53:43+00:00</w:t>
      </w:r>
      <w:r>
        <w:t xml:space="preserve">    </w:t>
      </w:r>
      <w:r>
        <w:rPr>
          <w:b/>
        </w:rPr>
        <w:t xml:space="preserve">DOI: </w:t>
      </w:r>
      <w:hyperlink r:id="rId39">
        <w:r>
          <w:rPr>
            <w:color w:val="1155CC"/>
            <w:u w:val="single"/>
          </w:rPr>
          <w:t>10.1021/jacs.6c00044</w:t>
        </w:r>
      </w:hyperlink>
    </w:p>
    <w:p>
      <w:pPr>
        <w:spacing w:before="0" w:after="120"/>
      </w:pPr>
      <w:r>
        <w:rPr>
          <w:b/>
        </w:rPr>
        <w:t xml:space="preserve">Notes: </w:t>
      </w:r>
      <w:r>
        <w:t>abstract_source=pubmed</w:t>
      </w:r>
    </w:p>
    <w:p>
      <w:pPr>
        <w:spacing w:before="0" w:after="80" w:lineRule="auto" w:line="276"/>
      </w:pPr>
      <w:r>
        <w:rPr>
          <w:b/>
        </w:rPr>
        <w:t xml:space="preserve">摘要（ZH）: </w:t>
      </w:r>
      <w:r>
        <w:t>钙钛矿晶格以其柔软的性质和动态无序而闻名。然而，晶格无序如何本质上影响钙钛矿的光电特性仍然难以捉摸。在这项工作中，通过我们新开发的搜索算法对测量的对分布函数进行精细化处理，获得了原子尺度上钙钛矿无序模式的清晰图像。在此基础上，我们发现了晶格取向交换过程中的瞬态状态。这些瞬态状态导致强烈的声子耦合，使钙钛矿晶格变软并导致低热导率。更重要的是，这些瞬态状态具有窄带隙，与稳定状态的带隙很好地匹配，使其成为有效的内在载流子传输层。</w:t>
      </w:r>
    </w:p>
    <w:p>
      <w:pPr>
        <w:spacing w:before="0" w:after="200" w:lineRule="auto" w:line="276"/>
      </w:pPr>
      <w:r>
        <w:rPr>
          <w:b/>
        </w:rPr>
        <w:t xml:space="preserve">Abstract (EN): </w:t>
      </w:r>
      <w:r>
        <w:t>The perovskite lattice is well known for its soft nature and dynamic disorder. However, it remains elusive as to how the lattice disorder essentially affects the optoelectrical properties of perovskite. In this work, clear pictures of perovskite disorder patterns at the atomic scale are obtained through the refinement of measured pair distribution functions with our newly developed search algorithm. On this basis, we discovered transient states amid the exchange of the lattice orientation. The transient states cause strong phonon couplings, which soften the perovskite lattice and lead to a low thermal conductivity. More importantly, the transient states have narrow bandgaps that fit well into the gap of the stable state, which makes them intrinsic carrier transportation layers that effectively promote the separation and migration of carriers.</w:t>
      </w:r>
    </w:p>
    <w:p>
      <w:pPr>
        <w:spacing w:before="120" w:after="120"/>
      </w:pPr>
      <w:r>
        <w:rPr>
          <w:sz w:val="18"/>
        </w:rPr>
        <w:t>——————————————————————————————————————————————————————————————————————</w:t>
      </w:r>
    </w:p>
    <w:p>
      <w:pPr>
        <w:spacing w:before="160" w:after="40" w:line="240" w:lineRule="auto"/>
      </w:pPr>
      <w:r>
        <w:rPr>
          <w:b/>
        </w:rPr>
        <w:t xml:space="preserve">[17] </w:t>
      </w:r>
      <w:hyperlink r:id="rId40">
        <w:r>
          <w:rPr>
            <w:color w:val="1155CC"/>
            <w:u w:val="single"/>
          </w:rPr>
          <w:t>提高体异质结有机光伏中活性层材料高速加工性的机制</w:t>
        </w:r>
      </w:hyperlink>
    </w:p>
    <w:p>
      <w:pPr>
        <w:spacing w:before="0" w:after="80"/>
      </w:pPr>
      <w:r>
        <w:rPr>
          <w:i/>
          <w:sz w:val="20"/>
        </w:rPr>
        <w:t>EN: Mechanisms for improved high-speed processability of active layer materials in bulk-heterojunction organic photovoltaics</w:t>
      </w:r>
    </w:p>
    <w:p>
      <w:pPr>
        <w:spacing w:before="0" w:after="120"/>
      </w:pPr>
      <w:r>
        <w:rPr>
          <w:b/>
        </w:rPr>
        <w:t xml:space="preserve">Source: </w:t>
      </w:r>
      <w:r>
        <w:t>Joule</w:t>
      </w:r>
      <w:r>
        <w:t xml:space="preserve">    </w:t>
      </w:r>
      <w:r>
        <w:rPr>
          <w:b/>
        </w:rPr>
        <w:t xml:space="preserve">Pub date: </w:t>
      </w:r>
      <w:r>
        <w:t>2026-03-26 00:00:00+00:00</w:t>
      </w:r>
      <w:r>
        <w:t xml:space="preserve">    </w:t>
      </w:r>
      <w:r>
        <w:rPr>
          <w:b/>
        </w:rPr>
        <w:t xml:space="preserve">DOI: </w:t>
      </w:r>
      <w:hyperlink r:id="rId41">
        <w:r>
          <w:rPr>
            <w:color w:val="1155CC"/>
            <w:u w:val="single"/>
          </w:rPr>
          <w:t>10.1016/j.joule.2026.102379</w:t>
        </w:r>
      </w:hyperlink>
    </w:p>
    <w:p>
      <w:pPr>
        <w:spacing w:before="0" w:after="120"/>
      </w:pPr>
      <w:r>
        <w:rPr>
          <w:b/>
        </w:rPr>
        <w:t xml:space="preserve">Notes: </w:t>
      </w:r>
      <w:r>
        <w:t>abstract_source=rss_cell</w:t>
      </w:r>
    </w:p>
    <w:p>
      <w:pPr>
        <w:spacing w:before="0" w:after="80" w:lineRule="auto" w:line="276"/>
      </w:pPr>
      <w:r>
        <w:rPr>
          <w:b/>
        </w:rPr>
        <w:t xml:space="preserve">摘要（ZH）: </w:t>
      </w:r>
      <w:r>
        <w:t>弥合实验室研究与工业化大规模生产之间的差距对于有机光伏（OPVs）的商业化至关重要。这项工作系统地分析了26种活性层系统的高速涂覆能力，识别出控制薄膜质量的关键流体动力学和结晶动力学。通过引入Ah指标并揭示“供体结晶滞后”机制，本研究为开发与低成本、高通量制造兼容的下一代OPV材料提供了基本设计原则和预测工具。</w:t>
      </w:r>
    </w:p>
    <w:p>
      <w:pPr>
        <w:spacing w:before="0" w:after="200" w:lineRule="auto" w:line="276"/>
      </w:pPr>
      <w:r>
        <w:rPr>
          <w:b/>
        </w:rPr>
        <w:t xml:space="preserve">Abstract (EN): </w:t>
      </w:r>
      <w:r>
        <w:t>Bridging the gap between laboratory research and industrial mass production is essential for the commercialization of organic photovoltaics (OPVs). This work systematically analyzes the high-speed coating capabilities of 26 active layer systems, identifying the critical fluid dynamics and crystallization kinetics that govern film quality. By introducing the Ah metric and uncovering the mechanism of “donor crystallization lag,” this study provides essential design principles and predictive tools for developing next-generation OPV materials compatible with low-cost, high-throughput manufacturing.</w:t>
      </w:r>
    </w:p>
    <w:p>
      <w:pPr>
        <w:spacing w:before="120" w:after="120"/>
      </w:pPr>
      <w:r>
        <w:rPr>
          <w:sz w:val="18"/>
        </w:rPr>
        <w:t>——————————————————————————————————————————————————————————————————————</w:t>
      </w:r>
    </w:p>
    <w:p>
      <w:pPr>
        <w:spacing w:before="160" w:after="40" w:line="240" w:lineRule="auto"/>
      </w:pPr>
      <w:r>
        <w:rPr>
          <w:b/>
        </w:rPr>
        <w:t xml:space="preserve">[18] </w:t>
      </w:r>
      <w:hyperlink r:id="rId42">
        <w:r>
          <w:rPr>
            <w:color w:val="1155CC"/>
            <w:u w:val="single"/>
          </w:rPr>
          <w:t>通过平衡溶剂-PbX2相互作用实现混合卤化物钙钛矿相的同步成核以提高空气中太阳能电池的效率</w:t>
        </w:r>
      </w:hyperlink>
    </w:p>
    <w:p>
      <w:pPr>
        <w:spacing w:before="0" w:after="80"/>
      </w:pPr>
      <w:r>
        <w:rPr>
          <w:i/>
          <w:sz w:val="20"/>
        </w:rPr>
        <w:t>EN: Concurrent Nucleation of Mixed‐Halide Perovskite Phase via Balancing Solvent‐PbX2 Interaction for Efficient Solar Cells in Air</w:t>
      </w:r>
    </w:p>
    <w:p>
      <w:pPr>
        <w:spacing w:before="0" w:after="120"/>
      </w:pPr>
      <w:r>
        <w:rPr>
          <w:b/>
        </w:rPr>
        <w:t xml:space="preserve">Source: </w:t>
      </w:r>
      <w:r>
        <w:t>Wiley: Angewandte Chemie International Edition: Table of Contents</w:t>
      </w:r>
      <w:r>
        <w:t xml:space="preserve">    </w:t>
      </w:r>
      <w:r>
        <w:rPr>
          <w:b/>
        </w:rPr>
        <w:t xml:space="preserve">Pub date: </w:t>
      </w:r>
      <w:r>
        <w:t>2026-03-26 04:59:05+00:00</w:t>
      </w:r>
      <w:r>
        <w:t xml:space="preserve">    </w:t>
      </w:r>
      <w:r>
        <w:rPr>
          <w:b/>
        </w:rPr>
        <w:t xml:space="preserve">DOI: </w:t>
      </w:r>
      <w:hyperlink r:id="rId43">
        <w:r>
          <w:rPr>
            <w:color w:val="1155CC"/>
            <w:u w:val="single"/>
          </w:rPr>
          <w:t>10.1002/anie.5296449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宽带隙混合卤化物钙钛矿通常用作前电池吸收体，对于制造高性能串联钙钛矿太阳能电池具有重要意义。然而，溶剂分子与卤化铅之间配位强度的偏差总是导致卤素相的不均匀结晶和分布，这不可避免地降低了器件的效率和耐久性。在此，我们提出了一种策略，通过引入水分子精确调节常用的二甲基亚砜（DMSO）的介电常数（</w:t>
      </w:r>
      <w:r>
        <w:t xml:space="preserve"> </w:t>
      </w:r>
      <w:r>
        <w:t>ε</w:t>
      </w:r>
      <w:r>
        <w:t xml:space="preserve"> </w:t>
      </w:r>
      <w:r>
        <w:t>r</w:t>
      </w:r>
      <w:r>
        <w:t xml:space="preserve"> </w:t>
      </w:r>
      <w:r>
        <w:t>）和Gutmann供体数（</w:t>
      </w:r>
      <w:r>
        <w:t xml:space="preserve"> </w:t>
      </w:r>
      <w:r>
        <w:t>D</w:t>
      </w:r>
      <w:r>
        <w:t xml:space="preserve"> </w:t>
      </w:r>
      <w:r>
        <w:t>N</w:t>
      </w:r>
      <w:r>
        <w:t xml:space="preserve"> </w:t>
      </w:r>
      <w:r>
        <w:t>），这显著削弱了结合</w:t>
      </w:r>
    </w:p>
    <w:p>
      <w:pPr>
        <w:spacing w:before="0" w:after="200" w:lineRule="auto" w:line="276"/>
      </w:pPr>
      <w:r>
        <w:rPr>
          <w:b/>
        </w:rPr>
        <w:t xml:space="preserve">Abstract (EN): </w:t>
      </w:r>
      <w:r>
        <w:t>Wide‐bandgap mixed‐halide perovskites generally used as front cell absorber play great importance for manufacturing high‐performance tandem perovskite solar cells. However, the deviation in coordination strength between solvent molecule and lead halide always induces inhomogeneous halogen‐phase crystallization and distribution, which inevitably degrades the device efficiency and durability. Herein, we propose a strategy to precisely regulate the dielectric constant (</w:t>
      </w:r>
      <w:r>
        <w:t xml:space="preserve"> </w:t>
      </w:r>
      <w:r>
        <w:t>ε</w:t>
      </w:r>
      <w:r>
        <w:t xml:space="preserve"> </w:t>
      </w:r>
      <w:r>
        <w:t>r</w:t>
      </w:r>
      <w:r>
        <w:t xml:space="preserve"> </w:t>
      </w:r>
      <w:r>
        <w:t>) and Gutmann donor number (</w:t>
      </w:r>
      <w:r>
        <w:t xml:space="preserve"> </w:t>
      </w:r>
      <w:r>
        <w:t>D</w:t>
      </w:r>
      <w:r>
        <w:t xml:space="preserve"> </w:t>
      </w:r>
      <w:r>
        <w:t>N</w:t>
      </w:r>
      <w:r>
        <w:t xml:space="preserve"> </w:t>
      </w:r>
      <w:r>
        <w:t>) of popularly‐used dimethylsulfoxide (DMSO) by incorporation of water molecule, which significantly weakens the binding energy of DMSO‐PbI</w:t>
      </w:r>
      <w:r>
        <w:rPr>
          <w:vertAlign w:val="subscript"/>
        </w:rPr>
        <w:t>2</w:t>
      </w:r>
      <w:r>
        <w:t>, i.e., the solubility, and improves the PbBr</w:t>
      </w:r>
      <w:r>
        <w:rPr>
          <w:vertAlign w:val="subscript"/>
        </w:rPr>
        <w:t>2</w:t>
      </w:r>
      <w:r>
        <w:t>counterpart. With the balance of interaction energies between DMSO and PbI</w:t>
      </w:r>
      <w:r>
        <w:rPr>
          <w:vertAlign w:val="subscript"/>
        </w:rPr>
        <w:t>2</w:t>
      </w:r>
      <w:r>
        <w:t>or PbBr</w:t>
      </w:r>
      <w:r>
        <w:rPr>
          <w:vertAlign w:val="subscript"/>
        </w:rPr>
        <w:t>2</w:t>
      </w:r>
      <w:r>
        <w:t>, concurrent nucleation of mixed‐halide perovskite phase is realized, benefiting the fabrication of high‐quality wide‐bandgap perovskite film with homogeneous halogen distribution. Consequently, a champion efficiency of 15.42% for all‐air‐processed carbon‐based all‐inorganic CsPbI</w:t>
      </w:r>
      <w:r>
        <w:rPr>
          <w:vertAlign w:val="subscript"/>
        </w:rPr>
        <w:t>2</w:t>
      </w:r>
      <w:r>
        <w:t>Br cell is achieved, one cutting‐edge value among congeneric devices, with excellent reproducibility by controlling the water dosage via a hydrophobic solvent encapsulation strategy. Together with the enhanced stability, this work provides a new path for engineering perovskite solution and promoting the scalable photovoltaics in air.</w:t>
      </w:r>
    </w:p>
    <w:p>
      <w:pPr>
        <w:spacing w:before="120" w:after="120"/>
      </w:pPr>
      <w:r>
        <w:rPr>
          <w:sz w:val="18"/>
        </w:rPr>
        <w:t>——————————————————————————————————————————————————————————————————————</w:t>
      </w:r>
    </w:p>
    <w:p>
      <w:pPr>
        <w:spacing w:before="160" w:after="40" w:line="240" w:lineRule="auto"/>
      </w:pPr>
      <w:r>
        <w:rPr>
          <w:b/>
        </w:rPr>
        <w:t xml:space="preserve">[19] </w:t>
      </w:r>
      <w:hyperlink r:id="rId44">
        <w:r>
          <w:rPr>
            <w:color w:val="1155CC"/>
            <w:u w:val="single"/>
          </w:rPr>
          <w:t>[ASAP] 通过层内介导的二维有机分子晶体的垂直组装实现三维集成</w:t>
        </w:r>
      </w:hyperlink>
    </w:p>
    <w:p>
      <w:pPr>
        <w:spacing w:before="0" w:after="80"/>
      </w:pPr>
      <w:r>
        <w:rPr>
          <w:i/>
          <w:sz w:val="20"/>
        </w:rPr>
        <w:t>EN: [ASAP] Intralayer-Mediated Vertical Assembly of Two-Dimensional Organic Molecular Crystals toward Three-Dimensional Integration</w:t>
      </w:r>
    </w:p>
    <w:p>
      <w:pPr>
        <w:spacing w:before="0" w:after="120"/>
      </w:pPr>
      <w:r>
        <w:rPr>
          <w:b/>
        </w:rPr>
        <w:t xml:space="preserve">Source: </w:t>
      </w:r>
      <w:r>
        <w:t>Journal of the American Chemical Society: Latest Articles (ACS Publications)</w:t>
      </w:r>
      <w:r>
        <w:t xml:space="preserve">    </w:t>
      </w:r>
      <w:r>
        <w:rPr>
          <w:b/>
        </w:rPr>
        <w:t xml:space="preserve">Pub date: </w:t>
      </w:r>
      <w:r>
        <w:t>2026-03-26 10:19:34+00:00</w:t>
      </w:r>
      <w:r>
        <w:t xml:space="preserve">    </w:t>
      </w:r>
      <w:r>
        <w:rPr>
          <w:b/>
        </w:rPr>
        <w:t xml:space="preserve">DOI: </w:t>
      </w:r>
      <w:hyperlink r:id="rId45">
        <w:r>
          <w:rPr>
            <w:color w:val="1155CC"/>
            <w:u w:val="single"/>
          </w:rPr>
          <w:t>10.1021/jacs.6c01719</w:t>
        </w:r>
      </w:hyperlink>
    </w:p>
    <w:p>
      <w:pPr>
        <w:spacing w:before="0" w:after="120"/>
      </w:pPr>
      <w:r>
        <w:rPr>
          <w:b/>
        </w:rPr>
        <w:t xml:space="preserve">Notes: </w:t>
      </w:r>
      <w:r>
        <w:t>abstract_source=pubmed</w:t>
      </w:r>
    </w:p>
    <w:p>
      <w:pPr>
        <w:spacing w:before="0" w:after="80" w:lineRule="auto" w:line="276"/>
      </w:pPr>
      <w:r>
        <w:rPr>
          <w:b/>
        </w:rPr>
        <w:t xml:space="preserve">摘要（ZH）: </w:t>
      </w:r>
      <w:r>
        <w:t>小分子构成的二维有机垂直异质结构（2D OVHs）为下一代光电子学中的三维集成提供了一种分子可编程的途径。然而，由于对堆叠双层中的界面对齐的控制有限，2D晶体的垂直组装仍然具有挑战性。在此，我们提出了一种层内介导的垂直组装策略，以合成具有定向界面对齐的2D OVHs。可设计的面内分子排列促进了堆叠2D晶体的晶格匹配，从而抑制了无序成核和岛状外延生长。由于垂直组装方法的可调成核顺序，OVHs中组分的空间组织可以逆转，最终促进</w:t>
      </w:r>
    </w:p>
    <w:p>
      <w:pPr>
        <w:spacing w:before="0" w:after="200" w:lineRule="auto" w:line="276"/>
      </w:pPr>
      <w:r>
        <w:rPr>
          <w:b/>
        </w:rPr>
        <w:t xml:space="preserve">Abstract (EN): </w:t>
      </w:r>
      <w:r>
        <w:t>Two-dimensional organic vertical heterostructures (2D OVHs) from small molecules offer a molecularly programmable pathway toward three-dimensional integration in next-generation optoelectronics. However, the vertical assembly of 2D crystals remains challenging due to the limited control over the interfacial alignment in stacked bilayers. Here, we propose an intralayer-mediated vertical assembly strategy to synthesize 2D OVHs with oriented interfacial alignment. The designable in-plane molecular arrangement facilitated lattice matching of stacked 2D crystals, which suppresses the disordered nucleation and island epitaxial growth. Owing to the tailorable nucleation sequence of the vertical assembly method, the spatial organization of components in OVHs can be reversed, ultimately promoting the synthesis of OVHs from bilayer stacked to multilayer stacked structures. The resulting OVHs exhibit both in-plane optical waveguide and out-of-plane photon conversion capabilities, demonstrating their potential in three-dimensional photonics applications. Therefore, the multichannel polarization-related optical logics were achieved based on the obtained OVHs. This strategy applies to other polycyclic aromatic hydrocarbon (PAH) molecules, thus providing a molecular-level predictive pathway for creating three-dimensional integrated devices.</w:t>
      </w:r>
    </w:p>
    <w:p>
      <w:pPr>
        <w:spacing w:before="120" w:after="120"/>
      </w:pPr>
      <w:r>
        <w:rPr>
          <w:sz w:val="18"/>
        </w:rPr>
        <w:t>——————————————————————————————————————————————————————————————————————</w:t>
      </w:r>
    </w:p>
    <w:p>
      <w:pPr>
        <w:spacing w:before="160" w:after="40" w:line="240" w:lineRule="auto"/>
      </w:pPr>
      <w:r>
        <w:rPr>
          <w:b/>
        </w:rPr>
        <w:t xml:space="preserve">[20] </w:t>
      </w:r>
      <w:hyperlink r:id="rId46">
        <w:r>
          <w:rPr>
            <w:color w:val="1155CC"/>
            <w:u w:val="single"/>
          </w:rPr>
          <w:t>[ASAP] 首个固态卤化物钙钛矿太阳能电池</w:t>
        </w:r>
      </w:hyperlink>
    </w:p>
    <w:p>
      <w:pPr>
        <w:spacing w:before="0" w:after="80"/>
      </w:pPr>
      <w:r>
        <w:rPr>
          <w:i/>
          <w:sz w:val="20"/>
        </w:rPr>
        <w:t>EN: [ASAP] The First Solid-State Halide Perovskite Solar Cell</w:t>
      </w:r>
    </w:p>
    <w:p>
      <w:pPr>
        <w:spacing w:before="0" w:after="120"/>
      </w:pPr>
      <w:r>
        <w:rPr>
          <w:b/>
        </w:rPr>
        <w:t xml:space="preserve">Source: </w:t>
      </w:r>
      <w:r>
        <w:t>ACS Energy Letters: Latest Articles (ACS Publications)</w:t>
      </w:r>
      <w:r>
        <w:t xml:space="preserve">    </w:t>
      </w:r>
      <w:r>
        <w:rPr>
          <w:b/>
        </w:rPr>
        <w:t xml:space="preserve">Pub date: </w:t>
      </w:r>
      <w:r>
        <w:t>2026-03-26 12:15:58+00:00</w:t>
      </w:r>
      <w:r>
        <w:t xml:space="preserve">    </w:t>
      </w:r>
      <w:r>
        <w:rPr>
          <w:b/>
        </w:rPr>
        <w:t xml:space="preserve">DOI: </w:t>
      </w:r>
      <w:hyperlink r:id="rId47">
        <w:r>
          <w:rPr>
            <w:color w:val="1155CC"/>
            <w:u w:val="single"/>
          </w:rPr>
          <w:t>10.1021/acsenergylett.6c00236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【正极】</w:t>
      </w:r>
    </w:p>
    <w:p>
      <w:pPr>
        <w:spacing w:before="160" w:after="40" w:line="240" w:lineRule="auto"/>
      </w:pPr>
      <w:r>
        <w:rPr>
          <w:b/>
        </w:rPr>
        <w:t xml:space="preserve">[1] </w:t>
      </w:r>
      <w:hyperlink r:id="rId48">
        <w:r>
          <w:rPr>
            <w:color w:val="1155CC"/>
            <w:u w:val="single"/>
          </w:rPr>
          <w:t>四苯乙烯功能化锆金属有机框架实现聚碘化物限制以提高锌-碘电池性能</w:t>
        </w:r>
      </w:hyperlink>
    </w:p>
    <w:p>
      <w:pPr>
        <w:spacing w:before="0" w:after="80"/>
      </w:pPr>
      <w:r>
        <w:rPr>
          <w:i/>
          <w:sz w:val="20"/>
        </w:rPr>
        <w:t>EN: Tetraphenylethylene‐Functionalized Zirconium Metal‐Organic Frameworks Enabling Polyiodide Confinement for High‐Performance Zinc‐Iodine Batteries</w:t>
      </w:r>
    </w:p>
    <w:p>
      <w:pPr>
        <w:spacing w:before="0" w:after="120"/>
      </w:pPr>
      <w:r>
        <w:rPr>
          <w:b/>
        </w:rPr>
        <w:t xml:space="preserve">Source: </w:t>
      </w:r>
      <w:r>
        <w:t>Wiley: Advanced Materials: Table of Contents</w:t>
      </w:r>
      <w:r>
        <w:t xml:space="preserve">    </w:t>
      </w:r>
      <w:r>
        <w:rPr>
          <w:b/>
        </w:rPr>
        <w:t xml:space="preserve">Pub date: </w:t>
      </w:r>
      <w:r>
        <w:t>2026-03-21 10:45:52+00:00</w:t>
      </w:r>
      <w:r>
        <w:t xml:space="preserve">    </w:t>
      </w:r>
      <w:r>
        <w:rPr>
          <w:b/>
        </w:rPr>
        <w:t xml:space="preserve">DOI: </w:t>
      </w:r>
      <w:hyperlink r:id="rId49">
        <w:r>
          <w:rPr>
            <w:color w:val="1155CC"/>
            <w:u w:val="single"/>
          </w:rPr>
          <w:t>10.1002/adma.72860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有机框架（MOFs）的可调节形态和结构对于定制其物理化学特性和电化学功能至关重要。在这项工作中，采用配体扩展策略结合受控蚀刻工艺设计和合成了锆基MOFs（Zr‐MOFs）。这些结构优化增加了活性位点的暴露并改善了对π共轭传输通道的可达性。所得的基于四苯乙烯的Zr‐MOFs表现出优异的碘吸附能力和对多碘化物的强约束，使其能够用作水系锌‐碘电池的阴极宿主。π共轭四苯乙烯配体进一步通过促进电池的电容来提高电池的性能。</w:t>
      </w:r>
    </w:p>
    <w:p>
      <w:pPr>
        <w:spacing w:before="0" w:after="200" w:lineRule="auto" w:line="276"/>
      </w:pPr>
      <w:r>
        <w:rPr>
          <w:b/>
        </w:rPr>
        <w:t xml:space="preserve">Abstract (EN): </w:t>
      </w:r>
      <w:r>
        <w:t>Tunable morphology and structure of metal‐organic frameworks (MOFs) are critical for tailoring their physical‐chemical characteristics and electrochemical functionality. In this work, a ligand extension strategy combined with a controlled etching process is employed in designing and synthesizing zirconium‐based MOFs (Zr‐MOFs). These structural optimizations increase active sites exposure and improve accessibility to π‐conjugated transport channels. The obtained tetraphenylethylene‐based Zr‐MOFs exhibit excellent iodine adsorption capacity and strong confinement of polyiodides, enabling their use as cathode hosts in aqueous zinc‐iodine batteries. The π‐conjugated tetraphenylethylene ligand further increases the capacitance of batteries by promoting rapid electron dispersion and charge storage within the extended conjugated frameworks. In situ Raman spectroscopy and theoretical analyses reveal that the combination of physical confinement and chemical absorbance effects effectively stabilizes iodine species and governs the charge‐discharge mechanism. As a result, the M4/I</w:t>
      </w:r>
      <w:r>
        <w:rPr>
          <w:vertAlign w:val="subscript"/>
        </w:rPr>
        <w:t>2</w:t>
      </w:r>
      <w:r>
        <w:t>cathode exhibits excellent cycling stability, high multiplicity capacity, and reversible iodine redox kinetics. This research provides a generalizable strategy for constructing MOFs with controlled morphology and structure, offering new insights for the design of future high‐performance aqueous battery systems.</w:t>
      </w:r>
    </w:p>
    <w:p>
      <w:pPr>
        <w:spacing w:before="120" w:after="120"/>
      </w:pPr>
      <w:r>
        <w:rPr>
          <w:sz w:val="18"/>
        </w:rPr>
        <w:t>——————————————————————————————————————————————————————————————————————</w:t>
      </w:r>
    </w:p>
    <w:p>
      <w:pPr>
        <w:spacing w:before="160" w:after="40" w:line="240" w:lineRule="auto"/>
      </w:pPr>
      <w:r>
        <w:rPr>
          <w:b/>
        </w:rPr>
        <w:t xml:space="preserve">[2] </w:t>
      </w:r>
      <w:hyperlink r:id="rId50">
        <w:r>
          <w:rPr>
            <w:color w:val="1155CC"/>
            <w:u w:val="single"/>
          </w:rPr>
          <w:t>设计具有主-辅助功能位点的供体-双受体共价有机框架以增强16电子硫动力学反应过程</w:t>
        </w:r>
      </w:hyperlink>
    </w:p>
    <w:p>
      <w:pPr>
        <w:spacing w:before="0" w:after="80"/>
      </w:pPr>
      <w:r>
        <w:rPr>
          <w:i/>
          <w:sz w:val="20"/>
        </w:rPr>
        <w:t>EN: Design Donor‐Biacceptor Covalent Organic Framework with Primary‐Auxiliary Functional Sites for Enhanced 16‐Electron Sulfur Kinetic Reaction Process</w:t>
      </w:r>
    </w:p>
    <w:p>
      <w:pPr>
        <w:spacing w:before="0" w:after="120"/>
      </w:pPr>
      <w:r>
        <w:rPr>
          <w:b/>
        </w:rPr>
        <w:t xml:space="preserve">Source: </w:t>
      </w:r>
      <w:r>
        <w:t>Wiley: Advanced Energy Materials: Table of Contents</w:t>
      </w:r>
      <w:r>
        <w:t xml:space="preserve">    </w:t>
      </w:r>
      <w:r>
        <w:rPr>
          <w:b/>
        </w:rPr>
        <w:t xml:space="preserve">Pub date: </w:t>
      </w:r>
      <w:r>
        <w:t>2026-03-23 05:31:31+00:00</w:t>
      </w:r>
      <w:r>
        <w:t xml:space="preserve">    </w:t>
      </w:r>
      <w:r>
        <w:rPr>
          <w:b/>
        </w:rPr>
        <w:t xml:space="preserve">DOI: </w:t>
      </w:r>
      <w:hyperlink r:id="rId51">
        <w:r>
          <w:rPr>
            <w:color w:val="1155CC"/>
            <w:u w:val="single"/>
          </w:rPr>
          <w:t>10.1002/aenm.70864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多硫化物（LiPSs）的催化转化对于实现高能量密度锂硫电池至关重要。在此，我们提出了一种分子协同工程策略，以构建分级催化反应链，解决复杂的硫相转变和缓慢的16电子反应动力学。开发了一种具有D-A1-A2电子结构的共价有机框架，通过在双极功能基团之间建立分子内电荷转移（ICT）来产生内建电场（BIEF）。理论计算和原位表征证实，COF的主要和辅助功能基团可以协同实现选择性LiPSs捕获，而BIEF促进的电化学反应</w:t>
      </w:r>
    </w:p>
    <w:p>
      <w:pPr>
        <w:spacing w:before="0" w:after="200" w:lineRule="auto" w:line="276"/>
      </w:pPr>
      <w:r>
        <w:rPr>
          <w:b/>
        </w:rPr>
        <w:t xml:space="preserve">Abstract (EN): </w:t>
      </w:r>
      <w:r>
        <w:t>The catalytic conversion of lithium polysulfides (LiPSs) is crucial for realizing high‐energy‐density lithium–sulfur batteries. Herein, we propose a molecular cooperate engineering strategy to construct a hierarchical catalytic reaction chain for addressing the complex sulfur phase transitions and sluggish 16‐electron reaction kinetics. A covalent organic framework with a D‐A1‐A2 electronic structure was developed to generate a built‐in electric field (BIEF) via establishing intramolecular charge transfer (ICT) between bipolar functional groups. Theoretical calculations and in situ characterizations confirm that primary and auxiliary functional groups of COF can synergistically enable selective LiPSs capture while the BIEF‐facilitated electron transfer accelerates redox reactions of LiPSs, conferring reduced conversion energy barriers and mitigated shuttle effect. Moreover, the anchoring of the ─NO</w:t>
      </w:r>
      <w:r>
        <w:rPr>
          <w:vertAlign w:val="subscript"/>
        </w:rPr>
        <w:t>2</w:t>
      </w:r>
      <w:r>
        <w:t>group and hence the effect of the ─CF</w:t>
      </w:r>
      <w:r>
        <w:rPr>
          <w:vertAlign w:val="subscript"/>
        </w:rPr>
        <w:t>3</w:t>
      </w:r>
      <w:r>
        <w:t>group induce directional Li</w:t>
      </w:r>
      <w:r>
        <w:t xml:space="preserve"> </w:t>
      </w:r>
      <w:r>
        <w:t>+</w:t>
      </w:r>
      <w:r>
        <w:t xml:space="preserve"> </w:t>
      </w:r>
      <w:r>
        <w:t>deposition, ensuring the favored Li plating with epitaxial layered growth and suppressed dendrite formation. As a result, the Li symmetric cell demonstrates an ultra‐long lifespan (&amp;gt;16 000 h at 5 mAh cm</w:t>
      </w:r>
      <w:r>
        <w:t xml:space="preserve"> </w:t>
      </w:r>
      <w:r>
        <w:t>−2</w:t>
      </w:r>
      <w:r>
        <w:t xml:space="preserve"> </w:t>
      </w:r>
      <w:r>
        <w:t>) while Li–S batteries can achieve exceptional cycling stability (0.039% capacity decay per cycle over 1000 cycles). Meanwhile, the pouch cells deliver a high energy density of 395.6 Wh kg</w:t>
      </w:r>
      <w:r>
        <w:t xml:space="preserve"> </w:t>
      </w:r>
      <w:r>
        <w:t>−1</w:t>
      </w:r>
      <w:r>
        <w:t xml:space="preserve"> </w:t>
      </w:r>
      <w:r>
        <w:t>with 90.2% capacity retention over cycling. This work presents a generalizable strategy for advancing multi‐electron redox systems.</w:t>
      </w:r>
    </w:p>
    <w:p>
      <w:pPr>
        <w:spacing w:before="120" w:after="120"/>
      </w:pPr>
      <w:r>
        <w:rPr>
          <w:sz w:val="18"/>
        </w:rPr>
        <w:t>——————————————————————————————————————————————————————————————————————</w:t>
      </w:r>
    </w:p>
    <w:p>
      <w:pPr>
        <w:spacing w:before="160" w:after="40" w:line="240" w:lineRule="auto"/>
      </w:pPr>
      <w:r>
        <w:rPr>
          <w:b/>
        </w:rPr>
        <w:t xml:space="preserve">[3] </w:t>
      </w:r>
      <w:hyperlink r:id="rId52">
        <w:r>
          <w:rPr>
            <w:color w:val="1155CC"/>
            <w:u w:val="single"/>
          </w:rPr>
          <w:t>Fe-NC诱导的Co 3d轨道电子离域构建电子桥以加速多硫化物的转化</w:t>
        </w:r>
      </w:hyperlink>
    </w:p>
    <w:p>
      <w:pPr>
        <w:spacing w:before="0" w:after="80"/>
      </w:pPr>
      <w:r>
        <w:rPr>
          <w:i/>
          <w:sz w:val="20"/>
        </w:rPr>
        <w:t>EN: Fe‐NC Induced Electron Delocalization of Co 3d‐Orbital Constructing an Electron Bridge for Accelerated Transformation of Polysulfides</w:t>
      </w:r>
    </w:p>
    <w:p>
      <w:pPr>
        <w:spacing w:before="0" w:after="120"/>
      </w:pPr>
      <w:r>
        <w:rPr>
          <w:b/>
        </w:rPr>
        <w:t xml:space="preserve">Source: </w:t>
      </w:r>
      <w:r>
        <w:t>Wiley: Advanced Energy Materials: Table of Contents</w:t>
      </w:r>
      <w:r>
        <w:t xml:space="preserve">    </w:t>
      </w:r>
      <w:r>
        <w:rPr>
          <w:b/>
        </w:rPr>
        <w:t xml:space="preserve">Pub date: </w:t>
      </w:r>
      <w:r>
        <w:t>2026-03-23 05:32:07+00:00</w:t>
      </w:r>
      <w:r>
        <w:t xml:space="preserve">    </w:t>
      </w:r>
      <w:r>
        <w:rPr>
          <w:b/>
        </w:rPr>
        <w:t xml:space="preserve">DOI: </w:t>
      </w:r>
      <w:hyperlink r:id="rId53">
        <w:r>
          <w:rPr>
            <w:color w:val="1155CC"/>
            <w:u w:val="single"/>
          </w:rPr>
          <w:t>10.1002/aenm.70862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锂多硫化物（LiPSs）向Li</w:t>
      </w:r>
      <w:r>
        <w:rPr>
          <w:vertAlign w:val="subscript"/>
        </w:rPr>
        <w:t>2</w:t>
      </w:r>
      <w:r>
        <w:t>S</w:t>
      </w:r>
      <w:r>
        <w:rPr>
          <w:vertAlign w:val="subscript"/>
        </w:rPr>
        <w:t>2</w:t>
      </w:r>
      <w:r>
        <w:t>/Li</w:t>
      </w:r>
      <w:r>
        <w:rPr>
          <w:vertAlign w:val="subscript"/>
        </w:rPr>
        <w:t>2</w:t>
      </w:r>
      <w:r>
        <w:t>S（Li</w:t>
      </w:r>
      <w:r>
        <w:rPr>
          <w:vertAlign w:val="subscript"/>
        </w:rPr>
        <w:t>2</w:t>
      </w:r>
      <w:r>
        <w:t>S</w:t>
      </w:r>
      <w:r>
        <w:t xml:space="preserve"> </w:t>
      </w:r>
      <w:r>
        <w:t>x</w:t>
      </w:r>
      <w:r>
        <w:t xml:space="preserve"> </w:t>
      </w:r>
      <w:r>
        <w:t>⇄Li</w:t>
      </w:r>
      <w:r>
        <w:rPr>
          <w:vertAlign w:val="subscript"/>
        </w:rPr>
        <w:t>2</w:t>
      </w:r>
      <w:r>
        <w:t>S）的液固转化由于缓慢的动力学和高能量障碍阻碍了锂硫（Li–S）电池中的硫还原反应（SRR）。在此，设计了一种由Fe-NC修饰的ZnCo</w:t>
      </w:r>
      <w:r>
        <w:rPr>
          <w:vertAlign w:val="subscript"/>
        </w:rPr>
        <w:t>2</w:t>
      </w:r>
      <w:r>
        <w:t>O</w:t>
      </w:r>
      <w:r>
        <w:rPr>
          <w:vertAlign w:val="subscript"/>
        </w:rPr>
        <w:t>4</w:t>
      </w:r>
      <w:r>
        <w:t>（Fe-NC@ZnCo</w:t>
      </w:r>
      <w:r>
        <w:rPr>
          <w:vertAlign w:val="subscript"/>
        </w:rPr>
        <w:t>2</w:t>
      </w:r>
      <w:r>
        <w:t>O</w:t>
      </w:r>
      <w:r>
        <w:rPr>
          <w:vertAlign w:val="subscript"/>
        </w:rPr>
        <w:t>4</w:t>
      </w:r>
      <w:r>
        <w:t>）组成的异质结构催化剂，以加速LiP</w:t>
      </w:r>
    </w:p>
    <w:p>
      <w:pPr>
        <w:spacing w:before="0" w:after="200" w:lineRule="auto" w:line="276"/>
      </w:pPr>
      <w:r>
        <w:rPr>
          <w:b/>
        </w:rPr>
        <w:t xml:space="preserve">Abstract (EN): </w:t>
      </w:r>
      <w:r>
        <w:t>The liquid‐solid conversion of lithium polysulfides (LiPSs) to Li</w:t>
      </w:r>
      <w:r>
        <w:rPr>
          <w:vertAlign w:val="subscript"/>
        </w:rPr>
        <w:t>2</w:t>
      </w:r>
      <w:r>
        <w:t>S</w:t>
      </w:r>
      <w:r>
        <w:rPr>
          <w:vertAlign w:val="subscript"/>
        </w:rPr>
        <w:t>2</w:t>
      </w:r>
      <w:r>
        <w:t>/Li</w:t>
      </w:r>
      <w:r>
        <w:rPr>
          <w:vertAlign w:val="subscript"/>
        </w:rPr>
        <w:t>2</w:t>
      </w:r>
      <w:r>
        <w:t>S (Li</w:t>
      </w:r>
      <w:r>
        <w:rPr>
          <w:vertAlign w:val="subscript"/>
        </w:rPr>
        <w:t>2</w:t>
      </w:r>
      <w:r>
        <w:t>S</w:t>
      </w:r>
      <w:r>
        <w:t xml:space="preserve"> </w:t>
      </w:r>
      <w:r>
        <w:t>x</w:t>
      </w:r>
      <w:r>
        <w:t xml:space="preserve"> </w:t>
      </w:r>
      <w:r>
        <w:t>⇄Li</w:t>
      </w:r>
      <w:r>
        <w:rPr>
          <w:vertAlign w:val="subscript"/>
        </w:rPr>
        <w:t>2</w:t>
      </w:r>
      <w:r>
        <w:t>S) impedes the sulfur reduction reaction (SRR) in lithium–sulfur (Li–S) batteries due to the slow kinetics and a high energy barrier. Herein, a heterostructure catalyst composed of Fe‐NC modified ZnCo</w:t>
      </w:r>
      <w:r>
        <w:rPr>
          <w:vertAlign w:val="subscript"/>
        </w:rPr>
        <w:t>2</w:t>
      </w:r>
      <w:r>
        <w:t>O</w:t>
      </w:r>
      <w:r>
        <w:rPr>
          <w:vertAlign w:val="subscript"/>
        </w:rPr>
        <w:t>4</w:t>
      </w:r>
      <w:r>
        <w:t>(Fe‐NC@ZnCo</w:t>
      </w:r>
      <w:r>
        <w:rPr>
          <w:vertAlign w:val="subscript"/>
        </w:rPr>
        <w:t>2</w:t>
      </w:r>
      <w:r>
        <w:t>O</w:t>
      </w:r>
      <w:r>
        <w:rPr>
          <w:vertAlign w:val="subscript"/>
        </w:rPr>
        <w:t>4</w:t>
      </w:r>
      <w:r>
        <w:t>) is designed to accelerate LiPSs conversion (especially, Li</w:t>
      </w:r>
      <w:r>
        <w:rPr>
          <w:vertAlign w:val="subscript"/>
        </w:rPr>
        <w:t>2</w:t>
      </w:r>
      <w:r>
        <w:t>S</w:t>
      </w:r>
      <w:r>
        <w:rPr>
          <w:vertAlign w:val="subscript"/>
        </w:rPr>
        <w:t>4</w:t>
      </w:r>
      <w:r>
        <w:t>⇄Li</w:t>
      </w:r>
      <w:r>
        <w:rPr>
          <w:vertAlign w:val="subscript"/>
        </w:rPr>
        <w:t>2</w:t>
      </w:r>
      <w:r>
        <w:t>S) via modulating the electron environment of the central atomic 3d‐orbital. Based on experimental results and DFT calculations, the introduction of Fe‐NC induces electron delocalization in the Co 3d orbital and eliminates the original bandgap of ZnCo</w:t>
      </w:r>
      <w:r>
        <w:rPr>
          <w:vertAlign w:val="subscript"/>
        </w:rPr>
        <w:t>2</w:t>
      </w:r>
      <w:r>
        <w:t>O</w:t>
      </w:r>
      <w:r>
        <w:rPr>
          <w:vertAlign w:val="subscript"/>
        </w:rPr>
        <w:t>4</w:t>
      </w:r>
      <w:r>
        <w:t>(1.98 eV). These delocalized electrons serve as electronic active centers, strengthening coupling between the metal 3d orbital and S</w:t>
      </w:r>
      <w:r>
        <w:t xml:space="preserve"> </w:t>
      </w:r>
      <w:r>
        <w:t>n</w:t>
      </w:r>
      <w:r>
        <w:rPr>
          <w:vertAlign w:val="subscript"/>
        </w:rPr>
        <w:t>2</w:t>
      </w:r>
      <w:r>
        <w:t>−</w:t>
      </w:r>
      <w:r>
        <w:t>species in LiPSs and resulting in faster LiPSs redox kinetics. As a result, the S/Fe‐NC@ZnCo</w:t>
      </w:r>
      <w:r>
        <w:rPr>
          <w:vertAlign w:val="subscript"/>
        </w:rPr>
        <w:t>2</w:t>
      </w:r>
      <w:r>
        <w:t>O</w:t>
      </w:r>
      <w:r>
        <w:rPr>
          <w:vertAlign w:val="subscript"/>
        </w:rPr>
        <w:t>4</w:t>
      </w:r>
      <w:r>
        <w:t>cathode delivers a high capacity of 1449.7 mAh g</w:t>
      </w:r>
      <w:r>
        <w:t xml:space="preserve"> </w:t>
      </w:r>
      <w:r>
        <w:t>−</w:t>
      </w:r>
      <w:r>
        <w:rPr>
          <w:vertAlign w:val="subscript"/>
        </w:rPr>
        <w:t>1</w:t>
      </w:r>
      <w:r>
        <w:t>at 0.1C and outstanding cycling stability with a decay rate of 0.057% per cycle over 600 cycles at 1.0C. Even under a high sulfur loading of 8.97 mg cm</w:t>
      </w:r>
      <w:r>
        <w:t xml:space="preserve"> </w:t>
      </w:r>
      <w:r>
        <w:t>−</w:t>
      </w:r>
      <w:r>
        <w:rPr>
          <w:vertAlign w:val="subscript"/>
        </w:rPr>
        <w:t>2</w:t>
      </w:r>
      <w:r>
        <w:t>, a remarkable capacity of 917.5 mAh g</w:t>
      </w:r>
      <w:r>
        <w:t xml:space="preserve"> </w:t>
      </w:r>
      <w:r>
        <w:t>−</w:t>
      </w:r>
      <w:r>
        <w:rPr>
          <w:vertAlign w:val="subscript"/>
        </w:rPr>
        <w:t>1</w:t>
      </w:r>
      <w:r>
        <w:t>is achieved. This work provides deep insights into orbital modulation for designing high‐performance Li–S catalysts.</w:t>
      </w:r>
    </w:p>
    <w:p>
      <w:pPr>
        <w:spacing w:before="120" w:after="120"/>
      </w:pPr>
      <w:r>
        <w:rPr>
          <w:sz w:val="18"/>
        </w:rPr>
        <w:t>——————————————————————————————————————————————————————————————————————</w:t>
      </w:r>
    </w:p>
    <w:p>
      <w:pPr>
        <w:spacing w:before="160" w:after="40" w:line="240" w:lineRule="auto"/>
      </w:pPr>
      <w:r>
        <w:rPr>
          <w:b/>
        </w:rPr>
        <w:t xml:space="preserve">[4] </w:t>
      </w:r>
      <w:hyperlink r:id="rId54">
        <w:r>
          <w:rPr>
            <w:color w:val="1155CC"/>
            <w:u w:val="single"/>
          </w:rPr>
          <w:t>[ASAP] 通过单线态氧/自由基拦截粘合剂抑制富锂锰基阴极的级联降解</w:t>
        </w:r>
      </w:hyperlink>
    </w:p>
    <w:p>
      <w:pPr>
        <w:spacing w:before="0" w:after="80"/>
      </w:pPr>
      <w:r>
        <w:rPr>
          <w:i/>
          <w:sz w:val="20"/>
        </w:rPr>
        <w:t>EN: [ASAP] Suppressing Cascade Degradation of Lithium-Rich Manganese-Based Cathodes via Singlet Oxygen/Free Radical-Intercepting Binder</w:t>
      </w:r>
    </w:p>
    <w:p>
      <w:pPr>
        <w:spacing w:before="0" w:after="120"/>
      </w:pPr>
      <w:r>
        <w:rPr>
          <w:b/>
        </w:rPr>
        <w:t xml:space="preserve">Source: </w:t>
      </w:r>
      <w:r>
        <w:t>Journal of the American Chemical Society: Latest Articles (ACS Publications)</w:t>
      </w:r>
      <w:r>
        <w:t xml:space="preserve">    </w:t>
      </w:r>
      <w:r>
        <w:rPr>
          <w:b/>
        </w:rPr>
        <w:t xml:space="preserve">Pub date: </w:t>
      </w:r>
      <w:r>
        <w:t>2026-03-23 09:33:35+00:00</w:t>
      </w:r>
      <w:r>
        <w:t xml:space="preserve">    </w:t>
      </w:r>
      <w:r>
        <w:rPr>
          <w:b/>
        </w:rPr>
        <w:t xml:space="preserve">DOI: </w:t>
      </w:r>
      <w:hyperlink r:id="rId55">
        <w:r>
          <w:rPr>
            <w:color w:val="1155CC"/>
            <w:u w:val="single"/>
          </w:rPr>
          <w:t>10.1021/jacs.6c03092</w:t>
        </w:r>
      </w:hyperlink>
    </w:p>
    <w:p>
      <w:pPr>
        <w:spacing w:before="0" w:after="120"/>
      </w:pPr>
      <w:r>
        <w:rPr>
          <w:b/>
        </w:rPr>
        <w:t xml:space="preserve">Notes: </w:t>
      </w:r>
      <w:r>
        <w:t>abstract_source=pubmed</w:t>
      </w:r>
    </w:p>
    <w:p>
      <w:pPr>
        <w:spacing w:before="0" w:after="80" w:lineRule="auto" w:line="276"/>
      </w:pPr>
      <w:r>
        <w:rPr>
          <w:b/>
        </w:rPr>
        <w:t xml:space="preserve">摘要（ZH）: </w:t>
      </w:r>
      <w:r>
        <w:t>富锂锰基层状氧化物因其高容量被认为是高能量密度锂离子电池的极具吸引力的正极材料。然而，该正极中的氧化还原反应通常在高电压循环期间产生高度活泼的单线态氧和电解质衍生的自由基，加速电解质的氧化分解并引发级联副反应，导致容量迅速衰减。在此，我们报告了一种采用受阻胺功能化三嵌段粘结剂的靶向清除策略，以捕获单线态氧和自由基，提高正极的长循环稳定性。受阻胺结构中的氨基（N-H）可以持续清除单线态氧并生成氮氧自由基（N-O·）。母体N-H基团</w:t>
      </w:r>
    </w:p>
    <w:p>
      <w:pPr>
        <w:spacing w:before="0" w:after="200" w:lineRule="auto" w:line="276"/>
      </w:pPr>
      <w:r>
        <w:rPr>
          <w:b/>
        </w:rPr>
        <w:t xml:space="preserve">Abstract (EN): </w:t>
      </w:r>
      <w:r>
        <w:t>Lithium-rich manganese-based layered oxides with high capacity are regarded as highly attractive cathodes for high-energy-density lithium-ion batteries. However, the redox reactions in this cathode usually generate highly reactive singlet oxygen and electrolyte-derived free radicals during high-voltage cycling, which accelerate electrolyte oxidative decomposition and trigger cascading side reactions, leading to a rapid capacity fade. Herein, we report a targeted scavenging strategy employing a hindered amine-functionalized triblock binder to trap singlet oxygen and free radicals, improving the long-cycle stability of the cathodes. The amino groups (N-H) in the hindered amine structure can continuously scavenge singlet oxygen and generate nitroxide radicals (N-O·). Both the parent N-H groups and the resulting N-O· radicals further act as effective traps for free radicals derived from electrolyte decomposition, stabilizing the interfacial stability and transport kinetics of the cathode under 4.8 V. Consequently, the full cell with this binder exhibits a significantly reduced capacity decay rate of 0.175% per cycle over 200 cycles. Our work provides a viable solution for enhancing the cycling stability of lithium-rich manganese-based cathodes, promoting the development of high-energy-density lithium-ion batteries.</w:t>
      </w:r>
    </w:p>
    <w:p>
      <w:pPr>
        <w:spacing w:before="120" w:after="120"/>
      </w:pPr>
      <w:r>
        <w:rPr>
          <w:sz w:val="18"/>
        </w:rPr>
        <w:t>——————————————————————————————————————————————————————————————————————</w:t>
      </w:r>
    </w:p>
    <w:p>
      <w:pPr>
        <w:spacing w:before="160" w:after="40" w:line="240" w:lineRule="auto"/>
      </w:pPr>
      <w:r>
        <w:rPr>
          <w:b/>
        </w:rPr>
        <w:t xml:space="preserve">[5] </w:t>
      </w:r>
      <w:hyperlink r:id="rId56">
        <w:r>
          <w:rPr>
            <w:color w:val="1155CC"/>
            <w:u w:val="single"/>
          </w:rPr>
          <w:t>基于锰的质子储库触发质子分流效应的超高容量水系锌离子电池</w:t>
        </w:r>
      </w:hyperlink>
    </w:p>
    <w:p>
      <w:pPr>
        <w:spacing w:before="0" w:after="80"/>
      </w:pPr>
      <w:r>
        <w:rPr>
          <w:i/>
          <w:sz w:val="20"/>
        </w:rPr>
        <w:t>EN: Manganese‐Based Proton Reservoir Trigger Proton Diversion Effect for Ultrahigh‐Capacity Aqueous Zinc‐Ion Batteries</w:t>
      </w:r>
    </w:p>
    <w:p>
      <w:pPr>
        <w:spacing w:before="0" w:after="120"/>
      </w:pPr>
      <w:r>
        <w:rPr>
          <w:b/>
        </w:rPr>
        <w:t xml:space="preserve">Source: </w:t>
      </w:r>
      <w:r>
        <w:t>Wiley: Advanced Materials: Table of Contents</w:t>
      </w:r>
      <w:r>
        <w:t xml:space="preserve">    </w:t>
      </w:r>
      <w:r>
        <w:rPr>
          <w:b/>
        </w:rPr>
        <w:t xml:space="preserve">Pub date: </w:t>
      </w:r>
      <w:r>
        <w:t>2026-03-23 12:57:01+00:00</w:t>
      </w:r>
      <w:r>
        <w:t xml:space="preserve">    </w:t>
      </w:r>
      <w:r>
        <w:rPr>
          <w:b/>
        </w:rPr>
        <w:t xml:space="preserve">DOI: </w:t>
      </w:r>
      <w:hyperlink r:id="rId57">
        <w:r>
          <w:rPr>
            <w:color w:val="1155CC"/>
            <w:u w:val="single"/>
          </w:rPr>
          <w:t>10.1002/adma.202508780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MnO</w:t>
      </w:r>
      <w:r>
        <w:rPr>
          <w:vertAlign w:val="subscript"/>
        </w:rPr>
        <w:t>2</w:t>
      </w:r>
      <w:r>
        <w:t>，作为一种重要的锰基阴极材料，已广泛用于水系锌离子电池（ZIBs）。然而，MnO</w:t>
      </w:r>
      <w:r>
        <w:rPr>
          <w:vertAlign w:val="subscript"/>
        </w:rPr>
        <w:t>2</w:t>
      </w:r>
      <w:r>
        <w:t>中的Zn</w:t>
      </w:r>
      <w:r>
        <w:t xml:space="preserve"> </w:t>
      </w:r>
      <w:r>
        <w:t>2+</w:t>
      </w:r>
      <w:r>
        <w:t xml:space="preserve"> </w:t>
      </w:r>
      <w:r>
        <w:t>插层面临多重障碍，主要是由于Zn</w:t>
      </w:r>
      <w:r>
        <w:t xml:space="preserve"> </w:t>
      </w:r>
      <w:r>
        <w:t>2+</w:t>
      </w:r>
      <w:r>
        <w:t xml:space="preserve"> </w:t>
      </w:r>
      <w:r>
        <w:t>与骨架之间的静电相互作用、阴极上副产物Zn</w:t>
      </w:r>
      <w:r>
        <w:rPr>
          <w:vertAlign w:val="subscript"/>
        </w:rPr>
        <w:t>4</w:t>
      </w:r>
      <w:r>
        <w:t>SO</w:t>
      </w:r>
      <w:r>
        <w:rPr>
          <w:vertAlign w:val="subscript"/>
        </w:rPr>
        <w:t>4</w:t>
      </w:r>
      <w:r>
        <w:t>(OH)</w:t>
      </w:r>
      <w:r>
        <w:rPr>
          <w:vertAlign w:val="subscript"/>
        </w:rPr>
        <w:t>6</w:t>
      </w:r>
      <w:r>
        <w:t>·xH</w:t>
      </w:r>
      <w:r>
        <w:rPr>
          <w:vertAlign w:val="subscript"/>
        </w:rPr>
        <w:t>2</w:t>
      </w:r>
      <w:r>
        <w:t>O（ZSH）的覆盖以及H</w:t>
      </w:r>
      <w:r>
        <w:t xml:space="preserve"> </w:t>
      </w:r>
      <w:r>
        <w:t>+</w:t>
      </w:r>
      <w:r>
        <w:t xml:space="preserve"> </w:t>
      </w:r>
      <w:r>
        <w:t>对活性位点的优先占据。</w:t>
      </w:r>
    </w:p>
    <w:p>
      <w:pPr>
        <w:spacing w:before="0" w:after="200" w:lineRule="auto" w:line="276"/>
      </w:pPr>
      <w:r>
        <w:rPr>
          <w:b/>
        </w:rPr>
        <w:t xml:space="preserve">Abstract (EN): </w:t>
      </w:r>
      <w:r>
        <w:t>MnO</w:t>
      </w:r>
      <w:r>
        <w:rPr>
          <w:vertAlign w:val="subscript"/>
        </w:rPr>
        <w:t>2</w:t>
      </w:r>
      <w:r>
        <w:t>, a prominent manganese‐based cathode material, has been used extensively in aqueous zinc‐ion batteries (ZIBs). However, Zn</w:t>
      </w:r>
      <w:r>
        <w:t xml:space="preserve"> </w:t>
      </w:r>
      <w:r>
        <w:t>2+</w:t>
      </w:r>
      <w:r>
        <w:t xml:space="preserve"> </w:t>
      </w:r>
      <w:r>
        <w:t>intercalation in MnO</w:t>
      </w:r>
      <w:r>
        <w:rPr>
          <w:vertAlign w:val="subscript"/>
        </w:rPr>
        <w:t>2</w:t>
      </w:r>
      <w:r>
        <w:t>faces multiple obstacles, primarily due to the electrostatic interaction between Zn</w:t>
      </w:r>
      <w:r>
        <w:t xml:space="preserve"> </w:t>
      </w:r>
      <w:r>
        <w:t>2+</w:t>
      </w:r>
      <w:r>
        <w:t xml:space="preserve"> </w:t>
      </w:r>
      <w:r>
        <w:t>and the skeleton, the coverage of by‐product Zn</w:t>
      </w:r>
      <w:r>
        <w:rPr>
          <w:vertAlign w:val="subscript"/>
        </w:rPr>
        <w:t>4</w:t>
      </w:r>
      <w:r>
        <w:t>SO</w:t>
      </w:r>
      <w:r>
        <w:rPr>
          <w:vertAlign w:val="subscript"/>
        </w:rPr>
        <w:t>4</w:t>
      </w:r>
      <w:r>
        <w:t>(OH)</w:t>
      </w:r>
      <w:r>
        <w:rPr>
          <w:vertAlign w:val="subscript"/>
        </w:rPr>
        <w:t>6</w:t>
      </w:r>
      <w:r>
        <w:t>·xH</w:t>
      </w:r>
      <w:r>
        <w:rPr>
          <w:vertAlign w:val="subscript"/>
        </w:rPr>
        <w:t>2</w:t>
      </w:r>
      <w:r>
        <w:t>O (ZSH) on the cathode, and the preferential occupation by H</w:t>
      </w:r>
      <w:r>
        <w:t xml:space="preserve"> </w:t>
      </w:r>
      <w:r>
        <w:t>+</w:t>
      </w:r>
      <w:r>
        <w:t xml:space="preserve"> </w:t>
      </w:r>
      <w:r>
        <w:t>of the active sites. Here, we introduce MnOOH into K</w:t>
      </w:r>
      <w:r>
        <w:t xml:space="preserve"> </w:t>
      </w:r>
      <w:r>
        <w:t>+</w:t>
      </w:r>
      <w:r>
        <w:t xml:space="preserve"> </w:t>
      </w:r>
      <w:r>
        <w:t>‐doped α‐MnO</w:t>
      </w:r>
      <w:r>
        <w:rPr>
          <w:vertAlign w:val="subscript"/>
        </w:rPr>
        <w:t>2</w:t>
      </w:r>
      <w:r>
        <w:t>(KMO) to produce an ultrahigh‐capacity KMO‐MnOOH cathode. The MnOOH can transform into the active material β‐MnO</w:t>
      </w:r>
      <w:r>
        <w:rPr>
          <w:vertAlign w:val="subscript"/>
        </w:rPr>
        <w:t>2</w:t>
      </w:r>
      <w:r>
        <w:t>via the in situ release of protons. The β‐MnO</w:t>
      </w:r>
      <w:r>
        <w:rPr>
          <w:vertAlign w:val="subscript"/>
        </w:rPr>
        <w:t>2</w:t>
      </w:r>
      <w:r>
        <w:t>with the 1</w:t>
      </w:r>
      <w:r>
        <w:t xml:space="preserve"> </w:t>
      </w:r>
      <w:r>
        <w:t>*</w:t>
      </w:r>
      <w:r>
        <w:t xml:space="preserve"> </w:t>
      </w:r>
      <w:r>
        <w:t>1 tunnel structure shows the strong adsorption for H</w:t>
      </w:r>
      <w:r>
        <w:t xml:space="preserve"> </w:t>
      </w:r>
      <w:r>
        <w:t>+</w:t>
      </w:r>
      <w:r>
        <w:t xml:space="preserve"> </w:t>
      </w:r>
      <w:r>
        <w:t>and unique tunnels that allow for rapid migration of H</w:t>
      </w:r>
      <w:r>
        <w:t xml:space="preserve"> </w:t>
      </w:r>
      <w:r>
        <w:t>+</w:t>
      </w:r>
      <w:r>
        <w:t xml:space="preserve"> </w:t>
      </w:r>
      <w:r>
        <w:t>, resulting in the diversion of protons originally intercalated into KMO. This “proton diversion effect” leads to sufficient active sites in KMO that accelerate Zn</w:t>
      </w:r>
      <w:r>
        <w:t xml:space="preserve"> </w:t>
      </w:r>
      <w:r>
        <w:t>2+</w:t>
      </w:r>
      <w:r>
        <w:t xml:space="preserve"> </w:t>
      </w:r>
      <w:r>
        <w:t>transport kinetics. The released protons from MnOOH can reduce the by‐products ZSH, facilitating rapid Zn</w:t>
      </w:r>
      <w:r>
        <w:t xml:space="preserve"> </w:t>
      </w:r>
      <w:r>
        <w:t>2+</w:t>
      </w:r>
      <w:r>
        <w:t xml:space="preserve"> </w:t>
      </w:r>
      <w:r>
        <w:t>migration and deep Zn</w:t>
      </w:r>
      <w:r>
        <w:t xml:space="preserve"> </w:t>
      </w:r>
      <w:r>
        <w:t>2+</w:t>
      </w:r>
      <w:r>
        <w:t xml:space="preserve"> </w:t>
      </w:r>
      <w:r>
        <w:t>intercalation. Accordingly, the KMO‐MnOOH cathode exhibits an ultrahigh specific capacity (645.6 mA h g</w:t>
      </w:r>
      <w:r>
        <w:t xml:space="preserve"> </w:t>
      </w:r>
      <w:r>
        <w:t>−1</w:t>
      </w:r>
      <w:r>
        <w:t xml:space="preserve"> </w:t>
      </w:r>
      <w:r>
        <w:t>at 0.3 A g</w:t>
      </w:r>
      <w:r>
        <w:t xml:space="preserve"> </w:t>
      </w:r>
      <w:r>
        <w:t>−1</w:t>
      </w:r>
      <w:r>
        <w:t xml:space="preserve"> </w:t>
      </w:r>
      <w:r>
        <w:t>) and an excellent cycling stability (239.3 mA h g</w:t>
      </w:r>
      <w:r>
        <w:t xml:space="preserve"> </w:t>
      </w:r>
      <w:r>
        <w:t>−1</w:t>
      </w:r>
      <w:r>
        <w:t xml:space="preserve"> </w:t>
      </w:r>
      <w:r>
        <w:t>at 2 A g</w:t>
      </w:r>
      <w:r>
        <w:t xml:space="preserve"> </w:t>
      </w:r>
      <w:r>
        <w:t>−1</w:t>
      </w:r>
      <w:r>
        <w:t xml:space="preserve"> </w:t>
      </w:r>
      <w:r>
        <w:t>after 950 cycles). This work provides new insights into the regulation of H</w:t>
      </w:r>
      <w:r>
        <w:t xml:space="preserve"> </w:t>
      </w:r>
      <w:r>
        <w:t>+</w:t>
      </w:r>
      <w:r>
        <w:t xml:space="preserve"> </w:t>
      </w:r>
      <w:r>
        <w:t>/Zn</w:t>
      </w:r>
      <w:r>
        <w:t xml:space="preserve"> </w:t>
      </w:r>
      <w:r>
        <w:t>2+</w:t>
      </w:r>
      <w:r>
        <w:t xml:space="preserve"> </w:t>
      </w:r>
      <w:r>
        <w:t>intercalation for high‐performance Zn//MnO</w:t>
      </w:r>
      <w:r>
        <w:rPr>
          <w:vertAlign w:val="subscript"/>
        </w:rPr>
        <w:t>2</w:t>
      </w:r>
      <w:r>
        <w:t>batteries.</w:t>
      </w:r>
    </w:p>
    <w:p>
      <w:pPr>
        <w:spacing w:before="120" w:after="120"/>
      </w:pPr>
      <w:r>
        <w:rPr>
          <w:sz w:val="18"/>
        </w:rPr>
        <w:t>——————————————————————————————————————————————————————————————————————</w:t>
      </w:r>
    </w:p>
    <w:p>
      <w:pPr>
        <w:spacing w:before="160" w:after="40" w:line="240" w:lineRule="auto"/>
      </w:pPr>
      <w:r>
        <w:rPr>
          <w:b/>
        </w:rPr>
        <w:t xml:space="preserve">[6] </w:t>
      </w:r>
      <w:hyperlink r:id="rId58">
        <w:r>
          <w:rPr>
            <w:color w:val="1155CC"/>
            <w:u w:val="single"/>
          </w:rPr>
          <w:t>多共价键协同作用实现高性能水系锌离子电池正极，面向工业级质量负载和广温适应性</w:t>
        </w:r>
      </w:hyperlink>
    </w:p>
    <w:p>
      <w:pPr>
        <w:spacing w:before="0" w:after="80"/>
      </w:pPr>
      <w:r>
        <w:rPr>
          <w:i/>
          <w:sz w:val="20"/>
        </w:rPr>
        <w:t>EN: Synergy of Multi‐Covalent Bonds Enabling High‐Performance Aqueous Zinc‐Ion Battery Cathodes Toward Industrial‐Grade Mass Loading and Broad‐Temperature Adaptability</w:t>
      </w:r>
    </w:p>
    <w:p>
      <w:pPr>
        <w:spacing w:before="0" w:after="120"/>
      </w:pPr>
      <w:r>
        <w:rPr>
          <w:b/>
        </w:rPr>
        <w:t xml:space="preserve">Source: </w:t>
      </w:r>
      <w:r>
        <w:t>Wiley: Advanced Materials: Table of Contents</w:t>
      </w:r>
      <w:r>
        <w:t xml:space="preserve">    </w:t>
      </w:r>
      <w:r>
        <w:rPr>
          <w:b/>
        </w:rPr>
        <w:t xml:space="preserve">Pub date: </w:t>
      </w:r>
      <w:r>
        <w:t>2026-03-23 13:00:32+00:00</w:t>
      </w:r>
      <w:r>
        <w:t xml:space="preserve">    </w:t>
      </w:r>
      <w:r>
        <w:rPr>
          <w:b/>
        </w:rPr>
        <w:t xml:space="preserve">DOI: </w:t>
      </w:r>
      <w:hyperlink r:id="rId59">
        <w:r>
          <w:rPr>
            <w:color w:val="1155CC"/>
            <w:u w:val="single"/>
          </w:rPr>
          <w:t>10.1002/adma.72906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工业相关条件下可靠运行的高性能阴极材料的追求仍然是水系锌离子电池（AZIBs）的一个艰巨挑战。在此，我们通过提出一种新颖的策略——协同键工程来应对这一挑战，这代表了一种从传统方法中脱离的概念进步。这一策略在钒氧化物阴极中得以实现，其中多共价键（O─N─O和N─V）的有意整合触发了强大的协同作用，使其能够从基础到苛刻条件下高效运行。通过全面的模拟和原位/非原位表征，我们阐明了这些键的协同机制：O─N─O键加速</w:t>
      </w:r>
    </w:p>
    <w:p>
      <w:pPr>
        <w:spacing w:before="0" w:after="200" w:lineRule="auto" w:line="276"/>
      </w:pPr>
      <w:r>
        <w:rPr>
          <w:b/>
        </w:rPr>
        <w:t xml:space="preserve">Abstract (EN): </w:t>
      </w:r>
      <w:r>
        <w:t>The pursuit of high‐performance cathode materials that are capable of operating reliably under industrially relevant conditions remains a formidable challenge for aqueous zinc‐ion batteries (AZIBs). Here, we tackle this challenge by proposing a novel strategy—synergistic bond engineering—which represents a conceptual advance that departs from conventional approaches. This strategy is materialized in a vanadium oxide cathode, where the deliberate integration of multi‐covalent bonds (O─N─O and N─V) triggers a powerful synergy, enabling efficient operation from baseline to demanding conditions. Through comprehensive simulations and in situ/ex situ characterizations, we elucidate the synergetic mechanism of these bonds: the O─N─O bonds accelerate Zn</w:t>
      </w:r>
      <w:r>
        <w:t xml:space="preserve"> </w:t>
      </w:r>
      <w:r>
        <w:t>2+</w:t>
      </w:r>
      <w:r>
        <w:t xml:space="preserve"> </w:t>
      </w:r>
      <w:r>
        <w:t>diffusion via electrostatic shielding and provide abundant active sites via dynamic reconstruction, while the N─V bonds serve as structural pins that suppress vanadium dissolution and ensure structural integrity. Therefore, the cathode delivers an ultrahigh capacity of 624 mAh g</w:t>
      </w:r>
      <w:r>
        <w:t xml:space="preserve"> </w:t>
      </w:r>
      <w:r>
        <w:t>−1</w:t>
      </w:r>
      <w:r>
        <w:t xml:space="preserve"> </w:t>
      </w:r>
      <w:r>
        <w:t>at 0.1 A g</w:t>
      </w:r>
      <w:r>
        <w:t xml:space="preserve"> </w:t>
      </w:r>
      <w:r>
        <w:t>−1</w:t>
      </w:r>
      <w:r>
        <w:t xml:space="preserve"> </w:t>
      </w:r>
      <w:r>
        <w:t>and exceptional cycling stability (73% capacity retention after 10 000 cycles at 20 A g</w:t>
      </w:r>
      <w:r>
        <w:t xml:space="preserve"> </w:t>
      </w:r>
      <w:r>
        <w:t>−1</w:t>
      </w:r>
      <w:r>
        <w:t xml:space="preserve"> </w:t>
      </w:r>
      <w:r>
        <w:t>). Crucially, it achieves a record‐high capacity of 504 mAh g</w:t>
      </w:r>
      <w:r>
        <w:t xml:space="preserve"> </w:t>
      </w:r>
      <w:r>
        <w:t>−1</w:t>
      </w:r>
      <w:r>
        <w:t xml:space="preserve"> </w:t>
      </w:r>
      <w:r>
        <w:t>under a high mass loading of ≥7 mg cm</w:t>
      </w:r>
      <w:r>
        <w:t xml:space="preserve"> </w:t>
      </w:r>
      <w:r>
        <w:t>−2</w:t>
      </w:r>
      <w:r>
        <w:t xml:space="preserve"> </w:t>
      </w:r>
      <w:r>
        <w:t>, along with substantial capacities of 117 and 308 mAh g</w:t>
      </w:r>
      <w:r>
        <w:t xml:space="preserve"> </w:t>
      </w:r>
      <w:r>
        <w:t>−1</w:t>
      </w:r>
      <w:r>
        <w:t xml:space="preserve"> </w:t>
      </w:r>
      <w:r>
        <w:t>at 0°C and 60°C, demonstrating the great promise of this “bond‐level” design strategy.</w:t>
      </w:r>
    </w:p>
    <w:p>
      <w:pPr>
        <w:spacing w:before="120" w:after="120"/>
      </w:pPr>
      <w:r>
        <w:rPr>
          <w:sz w:val="18"/>
        </w:rPr>
        <w:t>——————————————————————————————————————————————————————————————————————</w:t>
      </w:r>
    </w:p>
    <w:p>
      <w:pPr>
        <w:spacing w:before="160" w:after="40" w:line="240" w:lineRule="auto"/>
      </w:pPr>
      <w:r>
        <w:rPr>
          <w:b/>
        </w:rPr>
        <w:t xml:space="preserve">[7] </w:t>
      </w:r>
      <w:hyperlink r:id="rId60">
        <w:r>
          <w:rPr>
            <w:color w:val="1155CC"/>
            <w:u w:val="single"/>
          </w:rPr>
          <w:t>[ASAP] 探索无序岩盐钠离子电池正极的组成空间的作用</w:t>
        </w:r>
      </w:hyperlink>
    </w:p>
    <w:p>
      <w:pPr>
        <w:spacing w:before="0" w:after="80"/>
      </w:pPr>
      <w:r>
        <w:rPr>
          <w:i/>
          <w:sz w:val="20"/>
        </w:rPr>
        <w:t>EN: [ASAP] Exploring the Role of Compositional Space of Disordered Rock Salt Na-Ion Battery Cathodes</w:t>
      </w:r>
    </w:p>
    <w:p>
      <w:pPr>
        <w:spacing w:before="0" w:after="120"/>
      </w:pPr>
      <w:r>
        <w:rPr>
          <w:b/>
        </w:rPr>
        <w:t xml:space="preserve">Source: </w:t>
      </w:r>
      <w:r>
        <w:t>ACS Energy Letters: Latest Articles (ACS Publications)</w:t>
      </w:r>
      <w:r>
        <w:t xml:space="preserve">    </w:t>
      </w:r>
      <w:r>
        <w:rPr>
          <w:b/>
        </w:rPr>
        <w:t xml:space="preserve">Pub date: </w:t>
      </w:r>
      <w:r>
        <w:t>2026-03-23 18:19:51+00:00</w:t>
      </w:r>
      <w:r>
        <w:t xml:space="preserve">    </w:t>
      </w:r>
      <w:r>
        <w:rPr>
          <w:b/>
        </w:rPr>
        <w:t xml:space="preserve">DOI: </w:t>
      </w:r>
      <w:hyperlink r:id="rId61">
        <w:r>
          <w:rPr>
            <w:color w:val="1155CC"/>
            <w:u w:val="single"/>
          </w:rPr>
          <w:t>10.1021/acsenergylett.6c00132</w:t>
        </w:r>
      </w:hyperlink>
    </w:p>
    <w:p>
      <w:pPr>
        <w:spacing w:before="0" w:after="120"/>
      </w:pPr>
      <w:r>
        <w:rPr>
          <w:b/>
        </w:rPr>
        <w:t xml:space="preserve">Notes: </w:t>
      </w:r>
      <w:r>
        <w:t>abstract_source=openalex</w:t>
      </w:r>
    </w:p>
    <w:p>
      <w:pPr>
        <w:spacing w:before="0" w:after="80" w:lineRule="auto" w:line="276"/>
      </w:pPr>
      <w:r>
        <w:rPr>
          <w:b/>
        </w:rPr>
        <w:t xml:space="preserve">摘要（ZH）: </w:t>
      </w:r>
      <w:r>
        <w:t>钠离子电池（SIBs）在成分、晶体结构和氧化还原化学方面为阴极提供了更广泛的化学设计空间，但当前的研究主要局限于有序层状框架。最近，富锂阳离子无序岩盐（DRX）阴极提供了一种替代设计空间，其在成分、化学计量和稳定性/亚稳态方面具有卓越的可调性。受这些进展的启发，我们通过开发一系列基于Na–Ti–Mn–O系统的亚稳态Na基DRX阴极，显著扩展了Na基阴极的成分空间，涵盖了化学计量和过化学计量的范围。我们揭示了由Na含量和过化学计量引起的丰富的结构和化学复杂性，并证明了独特的</w:t>
      </w:r>
    </w:p>
    <w:p>
      <w:pPr>
        <w:spacing w:before="0" w:after="200" w:lineRule="auto" w:line="276"/>
      </w:pPr>
      <w:r>
        <w:rPr>
          <w:b/>
        </w:rPr>
        <w:t xml:space="preserve">Abstract (EN): </w:t>
      </w:r>
      <w:r>
        <w:t>Sodium-ion batteries (SIBs) provide a broader chemical design space for cathodes in terms of composition, crystal structure, and redox chemistry, yet current research largely remains confined to ordered layered frameworks. Recently, Li-excess cation-disordered rock-salt (DRX) cathodes have provided an alternative design space, enabled by their exceptional tunability in composition, stoichiometry, and stability/metastability. Inspired by these advances, we significantly expand the compositional space of Na-based cathodes by developing a series of metastable Na-based DRX cathodes based on Na–Ti–Mn–O systems spanning both stoichiometric and over-stoichiometric regimes. We reveal rich structural and chemical complexity arising from Na content and over-stoichiometry and demonstrate that unique local cation ordering motifs are closely correlated with enhanced anionic redox activity and Na-ion utilization. By systematically comparing the electrochemical and structural evolution of stoichiometric and over-stoichiometric compositions, we elucidate distinct metastability-driven mechanisms governing their electrochemical behavior. Our findings fill an important knowledge gap in metastable Na-based DRX chemistry.</w:t>
      </w:r>
    </w:p>
    <w:p>
      <w:pPr>
        <w:spacing w:before="120" w:after="120"/>
      </w:pPr>
      <w:r>
        <w:rPr>
          <w:sz w:val="18"/>
        </w:rPr>
        <w:t>——————————————————————————————————————————————————————————————————————</w:t>
      </w:r>
    </w:p>
    <w:p>
      <w:pPr>
        <w:spacing w:before="160" w:after="40" w:line="240" w:lineRule="auto"/>
      </w:pPr>
      <w:r>
        <w:rPr>
          <w:b/>
        </w:rPr>
        <w:t xml:space="preserve">[8] </w:t>
      </w:r>
      <w:hyperlink r:id="rId62">
        <w:r>
          <w:rPr>
            <w:color w:val="1155CC"/>
            <w:u w:val="single"/>
          </w:rPr>
          <w:t>导致锂和锰富集阴极增强循环稳定性的电化学活化起源</w:t>
        </w:r>
      </w:hyperlink>
    </w:p>
    <w:p>
      <w:pPr>
        <w:spacing w:before="0" w:after="80"/>
      </w:pPr>
      <w:r>
        <w:rPr>
          <w:i/>
          <w:sz w:val="20"/>
        </w:rPr>
        <w:t>EN: Origin of Electrochemical Activation Leading to Enhanced Cycling Stability of Li‐ and Mn‐Rich Cathodes</w:t>
      </w:r>
    </w:p>
    <w:p>
      <w:pPr>
        <w:spacing w:before="0" w:after="120"/>
      </w:pPr>
      <w:r>
        <w:rPr>
          <w:b/>
        </w:rPr>
        <w:t xml:space="preserve">Source: </w:t>
      </w:r>
      <w:r>
        <w:t>Wiley: Angewandte Chemie International Edition: Table of Contents</w:t>
      </w:r>
      <w:r>
        <w:t xml:space="preserve">    </w:t>
      </w:r>
      <w:r>
        <w:rPr>
          <w:b/>
        </w:rPr>
        <w:t xml:space="preserve">Pub date: </w:t>
      </w:r>
      <w:r>
        <w:t>2026-03-24 05:24:14+00:00</w:t>
      </w:r>
      <w:r>
        <w:t xml:space="preserve">    </w:t>
      </w:r>
      <w:r>
        <w:rPr>
          <w:b/>
        </w:rPr>
        <w:t xml:space="preserve">DOI: </w:t>
      </w:r>
      <w:hyperlink r:id="rId63">
        <w:r>
          <w:rPr>
            <w:color w:val="1155CC"/>
            <w:u w:val="single"/>
          </w:rPr>
          <w:t>10.1002/anie.8818196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活化是锂锰富集（LMR）正极材料最佳功能的关键步骤，但这种活化的潜在机制仍然难以捉摸。在此，通过使用扫描/透射电子显微镜（S/TEM）结合相关的能量色散X射线光谱（EDS）和电子能量损失光谱（EELS），我们解码了活化增强电化学性能的起源。我们揭示了活化在LMR正极的C2/m域内诱导形成类尖晶石相，其中过渡金属离子部分占据Fd m结构的四面体（8a）和八面体（16c）位点。</w:t>
      </w:r>
    </w:p>
    <w:p>
      <w:pPr>
        <w:spacing w:before="0" w:after="200" w:lineRule="auto" w:line="276"/>
      </w:pPr>
      <w:r>
        <w:rPr>
          <w:b/>
        </w:rPr>
        <w:t xml:space="preserve">Abstract (EN): </w:t>
      </w:r>
      <w:r>
        <w:t>Electrochemical activation is a critical step for optimal functioning of Li‐ and Mn‐rich (LMR) cathodes, yet the underlying mechanism for such activation remains elusive. Here, by using scanning/transmission electron microscopy (S/TEM) combined with the associated energy‐dispersive x‐ray spectroscopy (EDS) and electron energy‐loss spectroscopy (EELS), we decipher the origin of the activation enhanced electrochemical properties. We reveal that activation induces the formation of a spinel‐like phase within the</w:t>
      </w:r>
      <w:r>
        <w:t xml:space="preserve"> </w:t>
      </w:r>
      <w:r>
        <w:t>C2/m</w:t>
      </w:r>
      <w:r>
        <w:t xml:space="preserve"> </w:t>
      </w:r>
      <w:r>
        <w:t>domains of the LMR cathode, where the transition‐metal ions partially occupy both the tetrahedral (8a) and octahedral (16c) sites of the</w:t>
      </w:r>
      <w:r>
        <w:t xml:space="preserve"> </w:t>
      </w:r>
      <w:r>
        <w:t>Fd</w:t>
      </w:r>
      <w:r>
        <w:t xml:space="preserve"> </w:t>
      </w:r>
      <w:r>
        <w:t>m</w:t>
      </w:r>
      <w:r>
        <w:t xml:space="preserve"> </w:t>
      </w:r>
      <w:r>
        <w:t>spinel lattice, distinguishing the spinel‐like phase from the conventional high‐voltage spinel. Systematic varying the cycling voltage reveals a critical activation voltage above which this spinel‐like phase forms, while lower voltages preserve the layered bulk structure. As the spinel‐like phase is a stable structure for electrochemical cycling, the present findings provide direct mechanistic insight into the voltage‐dependent activation process and explain how the</w:t>
      </w:r>
      <w:r>
        <w:t xml:space="preserve"> </w:t>
      </w:r>
      <w:r>
        <w:t>C2/m</w:t>
      </w:r>
      <w:r>
        <w:t xml:space="preserve"> </w:t>
      </w:r>
      <w:r>
        <w:t>to spinel‐like transformation upon activation contributes to the electrochemical performance of LMR cathodes, providing guidance for the rational design of Li‐rich cathodes with enhanced cycling durability.</w:t>
      </w:r>
    </w:p>
    <w:p>
      <w:pPr>
        <w:spacing w:before="120" w:after="120"/>
      </w:pPr>
      <w:r>
        <w:rPr>
          <w:sz w:val="18"/>
        </w:rPr>
        <w:t>——————————————————————————————————————————————————————————————————————</w:t>
      </w:r>
    </w:p>
    <w:p>
      <w:pPr>
        <w:spacing w:before="160" w:after="40" w:line="240" w:lineRule="auto"/>
      </w:pPr>
      <w:r>
        <w:rPr>
          <w:b/>
        </w:rPr>
        <w:t xml:space="preserve">[9] </w:t>
      </w:r>
      <w:hyperlink r:id="rId64">
        <w:r>
          <w:rPr>
            <w:color w:val="1155CC"/>
            <w:u w:val="single"/>
          </w:rPr>
          <w:t>双向晶格锚定增强了废旧锂离子正极的成分重构</w:t>
        </w:r>
      </w:hyperlink>
    </w:p>
    <w:p>
      <w:pPr>
        <w:spacing w:before="0" w:after="80"/>
      </w:pPr>
      <w:r>
        <w:rPr>
          <w:i/>
          <w:sz w:val="20"/>
        </w:rPr>
        <w:t>EN: Bidirectional Lattice Anchoring Enhances Composition Reconfiguration of Spent Lithium‐Ion Cathodes</w:t>
      </w:r>
    </w:p>
    <w:p>
      <w:pPr>
        <w:spacing w:before="0" w:after="120"/>
      </w:pPr>
      <w:r>
        <w:rPr>
          <w:b/>
        </w:rPr>
        <w:t xml:space="preserve">Source: </w:t>
      </w:r>
      <w:r>
        <w:t>Wiley: Advanced Energy Materials: Table of Contents</w:t>
      </w:r>
      <w:r>
        <w:t xml:space="preserve">    </w:t>
      </w:r>
      <w:r>
        <w:rPr>
          <w:b/>
        </w:rPr>
        <w:t xml:space="preserve">Pub date: </w:t>
      </w:r>
      <w:r>
        <w:t>2026-03-24 09:43:29+00:00</w:t>
      </w:r>
      <w:r>
        <w:t xml:space="preserve">    </w:t>
      </w:r>
      <w:r>
        <w:rPr>
          <w:b/>
        </w:rPr>
        <w:t xml:space="preserve">DOI: </w:t>
      </w:r>
      <w:hyperlink r:id="rId65">
        <w:r>
          <w:rPr>
            <w:color w:val="1155CC"/>
            <w:u w:val="single"/>
          </w:rPr>
          <w:t>10.1002/aenm.70869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退役锂离子电池材料的高价值回收对于循环经济至关重要。富镍策略以其提升能量密度的优点，成为升级再利用废弃LiNi</w:t>
      </w:r>
      <w:r>
        <w:t xml:space="preserve"> </w:t>
      </w:r>
      <w:r>
        <w:t>0.54</w:t>
      </w:r>
      <w:r>
        <w:t xml:space="preserve"> </w:t>
      </w:r>
      <w:r>
        <w:t>Co</w:t>
      </w:r>
      <w:r>
        <w:t xml:space="preserve"> </w:t>
      </w:r>
      <w:r>
        <w:t>0.16</w:t>
      </w:r>
      <w:r>
        <w:t xml:space="preserve"> </w:t>
      </w:r>
      <w:r>
        <w:t>Mn</w:t>
      </w:r>
      <w:r>
        <w:t xml:space="preserve"> </w:t>
      </w:r>
      <w:r>
        <w:t>0.3</w:t>
      </w:r>
      <w:r>
        <w:t xml:space="preserve"> </w:t>
      </w:r>
      <w:r>
        <w:t>O</w:t>
      </w:r>
      <w:r>
        <w:rPr>
          <w:vertAlign w:val="subscript"/>
        </w:rPr>
        <w:t>2</w:t>
      </w:r>
      <w:r>
        <w:t>(SNCM)的关键方法。然而，SNCM的固有结构缺陷以及再生过程中前体之间的异质反应共同导致不可逆的相变，阻碍了理想有序层状结构的形成。因此，我们开发了一种涉及预锚定铝物种的目标双向锚定策略</w:t>
      </w:r>
    </w:p>
    <w:p>
      <w:pPr>
        <w:spacing w:before="0" w:after="200" w:lineRule="auto" w:line="276"/>
      </w:pPr>
      <w:r>
        <w:rPr>
          <w:b/>
        </w:rPr>
        <w:t xml:space="preserve">Abstract (EN): </w:t>
      </w:r>
      <w:r>
        <w:t>High‐value recycling of retired lithium‐ion battery materials is pivotal for the circular economy. The nickel‐rich strategy, with its merits in boosting energy density, stands out as a key approach for upcycling spent LiNi</w:t>
      </w:r>
      <w:r>
        <w:t xml:space="preserve"> </w:t>
      </w:r>
      <w:r>
        <w:t>0.54</w:t>
      </w:r>
      <w:r>
        <w:t xml:space="preserve"> </w:t>
      </w:r>
      <w:r>
        <w:t>Co</w:t>
      </w:r>
      <w:r>
        <w:t xml:space="preserve"> </w:t>
      </w:r>
      <w:r>
        <w:t>0.16</w:t>
      </w:r>
      <w:r>
        <w:t xml:space="preserve"> </w:t>
      </w:r>
      <w:r>
        <w:t>Mn</w:t>
      </w:r>
      <w:r>
        <w:t xml:space="preserve"> </w:t>
      </w:r>
      <w:r>
        <w:t>0.3</w:t>
      </w:r>
      <w:r>
        <w:t xml:space="preserve"> </w:t>
      </w:r>
      <w:r>
        <w:t>O</w:t>
      </w:r>
      <w:r>
        <w:rPr>
          <w:vertAlign w:val="subscript"/>
        </w:rPr>
        <w:t>2</w:t>
      </w:r>
      <w:r>
        <w:t>(SNCM). However, the inherent structural defects of SNCM and the heterogeneous reactions among precursors during regeneration jointly induce irreversible phase transformations, preventing the formation of an ideally ordered layered structure. Therefore, we developed a targeted bidirectional anchoring strategy involving pre‐anchoring Al species on both SNCM and Ni(OH)</w:t>
      </w:r>
      <w:r>
        <w:rPr>
          <w:vertAlign w:val="subscript"/>
        </w:rPr>
        <w:t>2</w:t>
      </w:r>
      <w:r>
        <w:t>surfaces. This method reduces the energy barrier for lithiation in the surface‐disordered structures of SNCM and suppresses the structural degradation of nickel‐rich intermediate phases, thereby addressing the root cause of structural disorder during upcycling. The upcycled cathode material exhibits a stable layered structure and a distinctive nickel concentration gradient from the surface toward the bulk. It delivers outstanding electrochemical performance, including a reversible capacity of 186.84 mAh g</w:t>
      </w:r>
      <w:r>
        <w:t xml:space="preserve"> </w:t>
      </w:r>
      <w:r>
        <w:t>−1</w:t>
      </w:r>
      <w:r>
        <w:t xml:space="preserve"> </w:t>
      </w:r>
      <w:r>
        <w:t>at 0.2C and retaining 90.17% of its initial capacity after 200 cycles at 1C, outperforming current commercial materials. Furthermore, this study provides essential insights into solid‐state regeneration and establishes a pathway toward the high‐value recycling of degraded lithium‐ion batteries, demonstrating great potential for practical application.</w:t>
      </w:r>
    </w:p>
    <w:p>
      <w:pPr>
        <w:spacing w:before="120" w:after="120"/>
      </w:pPr>
      <w:r>
        <w:rPr>
          <w:sz w:val="18"/>
        </w:rPr>
        <w:t>——————————————————————————————————————————————————————————————————————</w:t>
      </w:r>
    </w:p>
    <w:p>
      <w:pPr>
        <w:spacing w:before="160" w:after="40" w:line="240" w:lineRule="auto"/>
      </w:pPr>
      <w:r>
        <w:rPr>
          <w:b/>
        </w:rPr>
        <w:t xml:space="preserve">[10] </w:t>
      </w:r>
      <w:hyperlink r:id="rId66">
        <w:r>
          <w:rPr>
            <w:color w:val="1155CC"/>
            <w:u w:val="single"/>
          </w:rPr>
          <w:t>具有疏水性碘消除层的亲锌纳米线阵列用于超稳定锌碘电池</w:t>
        </w:r>
      </w:hyperlink>
    </w:p>
    <w:p>
      <w:pPr>
        <w:spacing w:before="0" w:after="80"/>
      </w:pPr>
      <w:r>
        <w:rPr>
          <w:i/>
          <w:sz w:val="20"/>
        </w:rPr>
        <w:t>EN: Zincophilic Nanowire Array With Hydrophobic Iodine Elimination Layer for Ultrastable Zinc‐Iodine Battery</w:t>
      </w:r>
    </w:p>
    <w:p>
      <w:pPr>
        <w:spacing w:before="0" w:after="120"/>
      </w:pPr>
      <w:r>
        <w:rPr>
          <w:b/>
        </w:rPr>
        <w:t xml:space="preserve">Source: </w:t>
      </w:r>
      <w:r>
        <w:t>Wiley: Advanced Materials: Table of Contents</w:t>
      </w:r>
      <w:r>
        <w:t xml:space="preserve">    </w:t>
      </w:r>
      <w:r>
        <w:rPr>
          <w:b/>
        </w:rPr>
        <w:t xml:space="preserve">Pub date: </w:t>
      </w:r>
      <w:r>
        <w:t>2026-03-24 11:36:56+00:00</w:t>
      </w:r>
      <w:r>
        <w:t xml:space="preserve">    </w:t>
      </w:r>
      <w:r>
        <w:rPr>
          <w:b/>
        </w:rPr>
        <w:t xml:space="preserve">DOI: </w:t>
      </w:r>
      <w:hyperlink r:id="rId67">
        <w:r>
          <w:rPr>
            <w:color w:val="1155CC"/>
            <w:u w:val="single"/>
          </w:rPr>
          <w:t>10.1002/adma.202520465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超快可充电电池中，水系锌-碘（Zn-I2）电池因其成本效益、环境友好性和高效的双电子转移机制而重新受到关注。然而，多碘化物的穿梭腐蚀和锌金属负极的枝晶问题导致电池快速失效。在此，我们首次引入了一种具有疏水性碘消除效果的亲锌纳米线阵列，以稳定锌负极，实现稳定无枝晶和无腐蚀的锌-碘电池。原位构建的复合纳米线阵列提供了有序且连续的亲锌通道，以诱导稳定的无枝晶锌沉积，并具有疏水性</w:t>
      </w:r>
    </w:p>
    <w:p>
      <w:pPr>
        <w:spacing w:before="0" w:after="200" w:lineRule="auto" w:line="276"/>
      </w:pPr>
      <w:r>
        <w:rPr>
          <w:b/>
        </w:rPr>
        <w:t xml:space="preserve">Abstract (EN): </w:t>
      </w:r>
      <w:r>
        <w:t>Among the ultrafast rechargeable batteries, aqueous zinc‐iodine (Zn‐I</w:t>
      </w:r>
      <w:r>
        <w:rPr>
          <w:vertAlign w:val="subscript"/>
        </w:rPr>
        <w:t>2</w:t>
      </w:r>
      <w:r>
        <w:t>) batteries receive renewed interest for their cost‐effectiveness, environmental friendliness and efficient double electron transfer mechanism. However, the shuttle corrosion of polyiodide and the dendrite problem of zinc metal anodes lead to rapid battery failure. Here, we first introduced a zincophilic nanowire array with hydrophobic iodine elimination effect to stabilize the zinc anode for a stable dendrite‐free and corrosion‐free zinc‐iodine battery. The in situ constructed composite nanowire array provides an ordered and continuous zincophilic channel to induce stable non dendritic zinc deposition and possesses a hydrophobic iodine elimination effect, preventing simultaneous electrolyte and polyiodide corrosion. As a result, the zinc‐iodine full cell has achieved the ultralong 350000 cycles at a high specific current of 50C, with a minimal capacity attenuation of 0.00011% per cycle. Our work offers a reference strategy for achieving ultrafast‐charging Zn‐I</w:t>
      </w:r>
      <w:r>
        <w:rPr>
          <w:vertAlign w:val="subscript"/>
        </w:rPr>
        <w:t>2</w:t>
      </w:r>
      <w:r>
        <w:t>batteries with maximum chemical stability.</w:t>
      </w:r>
    </w:p>
    <w:p>
      <w:pPr>
        <w:spacing w:before="120" w:after="120"/>
      </w:pPr>
      <w:r>
        <w:rPr>
          <w:sz w:val="18"/>
        </w:rPr>
        <w:t>——————————————————————————————————————————————————————————————————————</w:t>
      </w:r>
    </w:p>
    <w:p>
      <w:pPr>
        <w:spacing w:before="160" w:after="40" w:line="240" w:lineRule="auto"/>
      </w:pPr>
      <w:r>
        <w:rPr>
          <w:b/>
        </w:rPr>
        <w:t xml:space="preserve">[11] </w:t>
      </w:r>
      <w:hyperlink r:id="rId68">
        <w:r>
          <w:rPr>
            <w:color w:val="1155CC"/>
            <w:u w:val="single"/>
          </w:rPr>
          <w:t>双相工程结合价态梯度和熵辅助解锁4.9 V耐受无钴高镍正极</w:t>
        </w:r>
      </w:hyperlink>
    </w:p>
    <w:p>
      <w:pPr>
        <w:spacing w:before="0" w:after="80"/>
      </w:pPr>
      <w:r>
        <w:rPr>
          <w:i/>
          <w:sz w:val="20"/>
        </w:rPr>
        <w:t>EN: Dual‐Phase Engineering Coupled With Valence Gradient and Entropy Assistance Unlocking 4.9 V‐Tolerant Co‐Free High‐Ni Cathodes</w:t>
      </w:r>
    </w:p>
    <w:p>
      <w:pPr>
        <w:spacing w:before="0" w:after="120"/>
      </w:pPr>
      <w:r>
        <w:rPr>
          <w:b/>
        </w:rPr>
        <w:t xml:space="preserve">Source: </w:t>
      </w:r>
      <w:r>
        <w:t>Wiley: Advanced Energy Materials: Table of Contents</w:t>
      </w:r>
      <w:r>
        <w:t xml:space="preserve">    </w:t>
      </w:r>
      <w:r>
        <w:rPr>
          <w:b/>
        </w:rPr>
        <w:t xml:space="preserve">Pub date: </w:t>
      </w:r>
      <w:r>
        <w:t>2026-03-24 12:46:55+00:00</w:t>
      </w:r>
      <w:r>
        <w:t xml:space="preserve">    </w:t>
      </w:r>
      <w:r>
        <w:rPr>
          <w:b/>
        </w:rPr>
        <w:t xml:space="preserve">DOI: </w:t>
      </w:r>
      <w:hyperlink r:id="rId69">
        <w:r>
          <w:rPr>
            <w:color w:val="1155CC"/>
            <w:u w:val="single"/>
          </w:rPr>
          <w:t>10.1002/aenm.70868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高镍（Ni ≥ 0.9）层状正极材料正在开发中，以承受高于4.5 V的高电压操作，从而释放前所未有的能量密度，但它们仍然由于过度的晶格应变、氧损失和相变形而在长时间循环中遭受加剧的化学机械和电化学降解。在此，我们设计了一种高镍、无钴正极，其特征是熵辅助的核壳层状/尖晶石双相结构，结合镍价态梯度框架，通过多组分复杂掺杂共沉淀策略实现。由镍富集的核心/锰富集的壳层排列驱动的从表面尖晶石相到体相层状相的相干结构排序，以及熵辅助和价态梯度布局，</w:t>
      </w:r>
    </w:p>
    <w:p>
      <w:pPr>
        <w:spacing w:before="0" w:after="200" w:lineRule="auto" w:line="276"/>
      </w:pPr>
      <w:r>
        <w:rPr>
          <w:b/>
        </w:rPr>
        <w:t xml:space="preserve">Abstract (EN): </w:t>
      </w:r>
      <w:r>
        <w:t>Layered high‐Ni (Ni ≥ 0.9) cathodes are being developed to endure high‐voltage operations above 4.5 V for unlocking unprecedented energy density, but they still suffer from exacerbated chemomechanical and electrochemical degradation primarily due to excessive lattice strain, oxygen loss, and phase distortion during prolonged cycling. Herein, we design a high‐Ni, Co‐free cathode, which features an entropy‐assisted core–shell layered/spinel dual‐phase, coupled with a Ni‐valence gradient framework, via a multi‐component complex doping involved co‐precipitation strategy. The coherent structural ordering from surface spinel phase to bulk layered phase, driven by the Ni‐enriched core/Mn‐enriched shell arrangement, and the entropy‐assistance and valence‐gradient layout, hugely prevents mechanical degradation, surface side‐reactions, and oxygen loss, delivering a pseudo strain‐free cathode. Thanks to these appealing merits, the cathode breaks through current voltage limitations while maintaining an optimal balance between capacity and sustainability, enabling the stable high‐voltage operation up to 4.9 V. Moreover, an exceptional cyclability under strenuous conditions is achieved in practical Ah‐level pouch‐type cells employing graphite and metallic Li anodes, operating at ultrahigh voltages of 4.65 and 4.8 V, respectively. Besides, the oxygen loss‐triggered phase transitions upon heating are markedly delayed. More significantly, our contribution here propels the tremendous advancement of high‐Ni, Co‐free cathodes to the commercializable levels.</w:t>
      </w:r>
    </w:p>
    <w:p>
      <w:pPr>
        <w:spacing w:before="120" w:after="120"/>
      </w:pPr>
      <w:r>
        <w:rPr>
          <w:sz w:val="18"/>
        </w:rPr>
        <w:t>——————————————————————————————————————————————————————————————————————</w:t>
      </w:r>
    </w:p>
    <w:p>
      <w:pPr>
        <w:spacing w:before="160" w:after="40" w:line="240" w:lineRule="auto"/>
      </w:pPr>
      <w:r>
        <w:rPr>
          <w:b/>
        </w:rPr>
        <w:t xml:space="preserve">[12] </w:t>
      </w:r>
      <w:hyperlink r:id="rId70">
        <w:r>
          <w:rPr>
            <w:color w:val="1155CC"/>
            <w:u w:val="single"/>
          </w:rPr>
          <w:t>[ASAP] 单晶NMC在固态电池中体离子动力学的界面动力学作用</w:t>
        </w:r>
      </w:hyperlink>
    </w:p>
    <w:p>
      <w:pPr>
        <w:spacing w:before="0" w:after="80"/>
      </w:pPr>
      <w:r>
        <w:rPr>
          <w:i/>
          <w:sz w:val="20"/>
        </w:rPr>
        <w:t>EN: [ASAP] Role of Interfacial Dynamics in Bulk Ion Dynamics of Single Crystal NMC in Solid State Batteries</w:t>
      </w:r>
    </w:p>
    <w:p>
      <w:pPr>
        <w:spacing w:before="0" w:after="120"/>
      </w:pPr>
      <w:r>
        <w:rPr>
          <w:b/>
        </w:rPr>
        <w:t xml:space="preserve">Source: </w:t>
      </w:r>
      <w:r>
        <w:t>ACS Energy Letters: Latest Articles (ACS Publications)</w:t>
      </w:r>
      <w:r>
        <w:t xml:space="preserve">    </w:t>
      </w:r>
      <w:r>
        <w:rPr>
          <w:b/>
        </w:rPr>
        <w:t xml:space="preserve">Pub date: </w:t>
      </w:r>
      <w:r>
        <w:t>2026-03-24 18:43:10+00:00</w:t>
      </w:r>
      <w:r>
        <w:t xml:space="preserve">    </w:t>
      </w:r>
      <w:r>
        <w:rPr>
          <w:b/>
        </w:rPr>
        <w:t xml:space="preserve">DOI: </w:t>
      </w:r>
      <w:hyperlink r:id="rId71">
        <w:r>
          <w:rPr>
            <w:color w:val="1155CC"/>
            <w:u w:val="single"/>
          </w:rPr>
          <w:t>10.1021/acsenergylett.5c03652</w:t>
        </w:r>
      </w:hyperlink>
    </w:p>
    <w:p>
      <w:pPr>
        <w:spacing w:before="0" w:after="120"/>
      </w:pPr>
      <w:r>
        <w:rPr>
          <w:b/>
        </w:rPr>
        <w:t xml:space="preserve">Notes: </w:t>
      </w:r>
      <w:r>
        <w:t>abstract_source=openalex</w:t>
      </w:r>
    </w:p>
    <w:p>
      <w:pPr>
        <w:spacing w:before="0" w:after="80" w:lineRule="auto" w:line="276"/>
      </w:pPr>
      <w:r>
        <w:rPr>
          <w:b/>
        </w:rPr>
        <w:t xml:space="preserve">摘要（ZH）: </w:t>
      </w:r>
      <w:r>
        <w:t>高镍含量的NMC正极具有高能量密度和较低成本，但在液体和固体电解质（LEs和SEs）中以&gt;4.2 V vs Li循环时，初始库仑效率低、倍率性能差和循环稳定性差。在全固态电池中，这些问题因NMC与SE之间的额外界面寄生反应而加剧，该反应控制了体相离子动力学，并依赖于SE的类型和工作电压。在此，我们研究了界面反应性如何通过荷电状态（SOC）分辨、温度分辨XRD方法以及在相同条件下直接卤化物（Li3YCl6）与硫化物（Li6PS5Cl）比较影响粒子内Li离子动力学、疲劳相形成和演变。</w:t>
      </w:r>
    </w:p>
    <w:p>
      <w:pPr>
        <w:spacing w:before="0" w:after="200" w:lineRule="auto" w:line="276"/>
      </w:pPr>
      <w:r>
        <w:rPr>
          <w:b/>
        </w:rPr>
        <w:t xml:space="preserve">Abstract (EN): </w:t>
      </w:r>
      <w:r>
        <w:t>The NMC cathode with high Ni content has high energy density with a lower cost, but it suffers from lower initial Coulombic efficiency, poor rate capability, and cyclic stability when cycled at &gt;4.2 V vs Li in both liquid and solid electrolytes (LEs and SEs). In all solid-state batteries, these issues are aggravated by the additional interfacial parasitic reaction between the NMC and the SE, which governs the bulk ion dynamics and is dependent on the type of SE and the operating voltage. Here, we have studied how the interfacial reactivity affects intraparticle Li ion dynamics, fatigue phase formation, and evolution by a state of charge (SOC)-resolved, temperature-resolved XRD approach and direct halide (Li3YCl6) vs sulfide (Li6PS5Cl) comparison under identical conditions in sc-NMC particles. DSC, TGA, and ex-situ XPS were performed to explore the interfacial reactivity. We show that Li6PS5Cl is more reactive with NMC; consequently, the fatigue phase evolves, even at the first cycle charge. The reactivity and hence fatigue phase formation are enhanced with increasing SOC. With Li3YCl6 as the catholyte, the fatigue phase formation is minimal during the first cycle charge, and it mitigates the chemical/thermal instability of the charged cathode. Overall, our results indicate the formation of a bulk fatigue phase in sc-NMC as a critical factor, alongside interfacial impedance and a chemomechanic effect contributing to capacity fading in all solid-state batteries. Additionally, the halide electrolytes can mitigate interfacial reactions and consequently prevent the formation of the fatigue phase, thereby enhancing cycle longevity.</w:t>
      </w:r>
    </w:p>
    <w:p>
      <w:pPr>
        <w:spacing w:before="120" w:after="120"/>
      </w:pPr>
      <w:r>
        <w:rPr>
          <w:sz w:val="18"/>
        </w:rPr>
        <w:t>——————————————————————————————————————————————————————————————————————</w:t>
      </w:r>
    </w:p>
    <w:p>
      <w:pPr>
        <w:spacing w:before="160" w:after="40" w:line="240" w:lineRule="auto"/>
      </w:pPr>
      <w:r>
        <w:rPr>
          <w:b/>
        </w:rPr>
        <w:t xml:space="preserve">[13] </w:t>
      </w:r>
      <w:hyperlink r:id="rId72">
        <w:r>
          <w:rPr>
            <w:color w:val="1155CC"/>
            <w:u w:val="single"/>
          </w:rPr>
          <w:t>MXenes用于锌离子电池：合成、结构设计和电化学应用</w:t>
        </w:r>
      </w:hyperlink>
    </w:p>
    <w:p>
      <w:pPr>
        <w:spacing w:before="0" w:after="80"/>
      </w:pPr>
      <w:r>
        <w:rPr>
          <w:i/>
          <w:sz w:val="20"/>
        </w:rPr>
        <w:t>EN: MXenes for zinc-ion batteries: Synthesis, structural design, and electrochemical applications</w:t>
      </w:r>
    </w:p>
    <w:p>
      <w:pPr>
        <w:spacing w:before="0" w:after="120"/>
      </w:pPr>
      <w:r>
        <w:rPr>
          <w:b/>
        </w:rPr>
        <w:t xml:space="preserve">Source: </w:t>
      </w:r>
      <w:r>
        <w:t>ScienceDirect Publication: Applied Energy</w:t>
      </w:r>
      <w:r>
        <w:t xml:space="preserve">    </w:t>
      </w:r>
      <w:r>
        <w:rPr>
          <w:b/>
        </w:rPr>
        <w:t xml:space="preserve">Pub date: </w:t>
      </w:r>
      <w:r>
        <w:t>2026-03-25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73">
        <w:r>
          <w:rPr>
            <w:color w:val="1155CC"/>
            <w:u w:val="single"/>
          </w:rPr>
          <w:t>通过P─O键耦合晶格氧反应增强层状氧化物的化学稳定性</w:t>
        </w:r>
      </w:hyperlink>
    </w:p>
    <w:p>
      <w:pPr>
        <w:spacing w:before="0" w:after="80"/>
      </w:pPr>
      <w:r>
        <w:rPr>
          <w:i/>
          <w:sz w:val="20"/>
        </w:rPr>
        <w:t>EN: Enhancing the Chemical Stability of Layered Oxides via P─O Bonds Coupling Lattice Oxygen Reactions</w:t>
      </w:r>
    </w:p>
    <w:p>
      <w:pPr>
        <w:spacing w:before="0" w:after="120"/>
      </w:pPr>
      <w:r>
        <w:rPr>
          <w:b/>
        </w:rPr>
        <w:t xml:space="preserve">Source: </w:t>
      </w:r>
      <w:r>
        <w:t>Wiley: Advanced Materials: Table of Contents</w:t>
      </w:r>
      <w:r>
        <w:t xml:space="preserve">    </w:t>
      </w:r>
      <w:r>
        <w:rPr>
          <w:b/>
        </w:rPr>
        <w:t xml:space="preserve">Pub date: </w:t>
      </w:r>
      <w:r>
        <w:t>2026-03-25 05:53:10+00:00</w:t>
      </w:r>
      <w:r>
        <w:t xml:space="preserve">    </w:t>
      </w:r>
      <w:r>
        <w:rPr>
          <w:b/>
        </w:rPr>
        <w:t xml:space="preserve">DOI: </w:t>
      </w:r>
      <w:hyperlink r:id="rId74">
        <w:r>
          <w:rPr>
            <w:color w:val="1155CC"/>
            <w:u w:val="single"/>
          </w:rPr>
          <w:t>10.1002/adma.202523361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高电压下的氧还原（OR）反应在推进高能量密度阴极开发方面具有巨大潜力。然而，尽管进行了大量研究，循环过程中不可逆的晶格氧脱附和加速的结构退化仍然是挑战。为了解决这些问题，我们提出了一种双管齐下的策略：引入长链P─O键（P</w:t>
      </w:r>
      <w:r>
        <w:rPr>
          <w:vertAlign w:val="subscript"/>
        </w:rPr>
        <w:t>2</w:t>
      </w:r>
      <w:r>
        <w:t>O</w:t>
      </w:r>
      <w:r>
        <w:rPr>
          <w:vertAlign w:val="subscript"/>
        </w:rPr>
        <w:t>7</w:t>
      </w:r>
      <w:r>
        <w:t>4−</w:t>
      </w:r>
      <w:r>
        <w:t>）以耦合氧反应，同时构建有序-无序纳米域。进一步研究表明，在高电压条件下，植入的P─O键与晶格氧之间的耦合表现为更可逆的OR反应。</w:t>
      </w:r>
    </w:p>
    <w:p>
      <w:pPr>
        <w:spacing w:before="0" w:after="200" w:lineRule="auto" w:line="276"/>
      </w:pPr>
      <w:r>
        <w:rPr>
          <w:b/>
        </w:rPr>
        <w:t xml:space="preserve">Abstract (EN): </w:t>
      </w:r>
      <w:r>
        <w:t>Oxygen reductive (OR) reactions at elevated voltages hold immense promise for advancing high‐energy‐density cathode development. Nevertheless, despite substantial research efforts, irreversible lattice oxygen desorption and accelerated structural degradation during cycling remain challenges. To address these issues, we propose a dual‐pronged strategy: incorporating long‐chain P─O bonds (P</w:t>
      </w:r>
      <w:r>
        <w:rPr>
          <w:vertAlign w:val="subscript"/>
        </w:rPr>
        <w:t>2</w:t>
      </w:r>
      <w:r>
        <w:t>O</w:t>
      </w:r>
      <w:r>
        <w:rPr>
          <w:vertAlign w:val="subscript"/>
        </w:rPr>
        <w:t>7</w:t>
      </w:r>
      <w:r>
        <w:t>4−</w:t>
      </w:r>
      <w:r>
        <w:t>) to couple oxygen reactions while simultaneously constructing ordered‐disordered nanodomains. Further studies indicate that under high‐voltage conditions, the coupling between implanted P─O bonds and lattice oxygen manifests as a more reversible OR reaction and a reduction in oxygen escape. Simultaneously, these enhanced ordered–disordered nanodomains promote synchronous and uniform structural evolution, effectively suppressing P─O phase structural evolution (manifested as reduced lattice parameter deviation in P‐type regions and rapid P3‐OP2 biphasic reactions) while forming a highly stable local TMO</w:t>
      </w:r>
      <w:r>
        <w:rPr>
          <w:vertAlign w:val="subscript"/>
        </w:rPr>
        <w:t>2</w:t>
      </w:r>
      <w:r>
        <w:t>octahedral environment. Furthermore, density functional theory (DFT) analysis and soft X‐ray absorption spectroscopy (XAS) confirmed that P─O bond incorporation significantly mitigated irreversible oxygen depletion and transition metal (TM) migration, thereby extending the chemical stability of layered oxides. As a result, the high‐voltage cycle stability has been significantly enhanced, achieving a 30% improvement in capacity retention after 400 cycles at 1C (1C = 140 mAh g</w:t>
      </w:r>
      <w:r>
        <w:t xml:space="preserve"> </w:t>
      </w:r>
      <w:r>
        <w:t>−1</w:t>
      </w:r>
      <w:r>
        <w:t xml:space="preserve"> </w:t>
      </w:r>
      <w:r>
        <w:t>). This work has opened up new avenues for enhancing the performance of sodium‐ion battery cathodes.</w:t>
      </w:r>
    </w:p>
    <w:p>
      <w:pPr>
        <w:spacing w:before="120" w:after="120"/>
      </w:pPr>
      <w:r>
        <w:rPr>
          <w:sz w:val="18"/>
        </w:rPr>
        <w:t>——————————————————————————————————————————————————————————————————————</w:t>
      </w:r>
    </w:p>
    <w:p>
      <w:pPr>
        <w:spacing w:before="160" w:after="40" w:line="240" w:lineRule="auto"/>
      </w:pPr>
      <w:r>
        <w:rPr>
          <w:b/>
        </w:rPr>
        <w:t xml:space="preserve">[15] </w:t>
      </w:r>
      <w:hyperlink r:id="rId75">
        <w:r>
          <w:rPr>
            <w:color w:val="1155CC"/>
            <w:u w:val="single"/>
          </w:rPr>
          <w:t>双效预钾化解锁稳定且高能量的钾离子电池</w:t>
        </w:r>
      </w:hyperlink>
    </w:p>
    <w:p>
      <w:pPr>
        <w:spacing w:before="0" w:after="80"/>
      </w:pPr>
      <w:r>
        <w:rPr>
          <w:i/>
          <w:sz w:val="20"/>
        </w:rPr>
        <w:t>EN: Dual-Effect Pre-Potassiation Unlocks Stable and High-Energy Potassium-Ion Batteries</w:t>
      </w:r>
    </w:p>
    <w:p>
      <w:pPr>
        <w:spacing w:before="0" w:after="120"/>
      </w:pPr>
      <w:r>
        <w:rPr>
          <w:b/>
        </w:rPr>
        <w:t xml:space="preserve">Source: </w:t>
      </w:r>
      <w:r>
        <w:t>RSC - Energy Environ. Sci. latest articles</w:t>
      </w:r>
      <w:r>
        <w:t xml:space="preserve">    </w:t>
      </w:r>
      <w:r>
        <w:rPr>
          <w:b/>
        </w:rPr>
        <w:t xml:space="preserve">Pub date: </w:t>
      </w:r>
      <w:r>
        <w:t>2026-03-26 00:00:00+00:00</w:t>
      </w:r>
    </w:p>
    <w:p>
      <w:pPr>
        <w:spacing w:before="0" w:after="120"/>
      </w:pPr>
      <w:r>
        <w:rPr>
          <w:b/>
        </w:rPr>
        <w:t xml:space="preserve">Notes: </w:t>
      </w:r>
      <w:r>
        <w:t>abstract_source=rsc_html</w:t>
      </w:r>
    </w:p>
    <w:p>
      <w:pPr>
        <w:spacing w:before="0" w:after="80" w:lineRule="auto" w:line="276"/>
      </w:pPr>
      <w:r>
        <w:rPr>
          <w:b/>
        </w:rPr>
        <w:t xml:space="preserve">摘要（ZH）: </w:t>
      </w:r>
      <w:r>
        <w:t>钾离子电池（PIBs）作为锂离子电池的低成本和可持续替代品具有巨大潜力，但其实际应用受到不可逆钾损失和不稳定固体电解质界面（SEI）驱动的快速容量衰减的阻碍。在此，我们提出了一种双效预钾化策略，同时解决这两个问题。首先，显示普鲁士蓝类似物K2Mn[Fe(CN)6]可以过钾化为KxMn[Fe(CN)6]（2+进入其大的间隙位点，伴随K+偏心和Mn(II)→Mn(I)还原，同时保持结构完整性。随后，提出了一种非常规的过放电策略用于K2Mn[Fe(CN)6]-石墨PIBs，这使得KxMn[Fe(CN)6]的原位形成得以实现，以补偿与SEI相关的钾损失。</w:t>
      </w:r>
    </w:p>
    <w:p>
      <w:pPr>
        <w:spacing w:before="0" w:after="200" w:lineRule="auto" w:line="276"/>
      </w:pPr>
      <w:r>
        <w:rPr>
          <w:b/>
        </w:rPr>
        <w:t xml:space="preserve">Abstract (EN): </w:t>
      </w:r>
      <w:r>
        <w:t>Potassium-ion batteries (PIBs) hold great promise as low-cost and sustainable alternatives to lithium-ion batteries, yet their practical deployment is hindered by rapid capacity decay driven by irreversible potassium loss and unstable solid electrolyte interphase (SEI). Here, we present a dual-effect pre-potassiation strategy that addresses both issues simultaneously. First, it is shown that the Prussian blue analogue K2Mn[Fe(CN)6] can be overpotassiated to KxMn[Fe(CN)6] (2+ into its large interstitial sites, accompanied by K+ off-centering and Mn(II)→Mn(I) reduction, while preserving structural integrity. Subsequently, an unconventional overdischarge strategy is proposed for the K2Mn[Fe(CN)6]-graphite PIBs, which enables in-situ formation of KxMn[Fe(CN)6] to compensate the SEI-related potassium losses while induces controlled electrolyte oxidation on graphite to produce a robust SEI with high stability. This dual mechanism significantly extends the cycling lifespan of the K2Mn[Fe(CN)6]-graphite cells from less than 100 cycles to more than 2000 cycles with high specific energy. This work pioneers a scalable and effective pre-potassiation approach to redefine the energy storage mechanism of Prussian blue analogues, advancing PIBs toward lithium-ion-level performance and offering a generalizable route for other alkali-ion batteries.</w:t>
      </w:r>
    </w:p>
    <w:p>
      <w:pPr>
        <w:spacing w:before="120" w:after="120"/>
      </w:pPr>
      <w:r>
        <w:rPr>
          <w:sz w:val="18"/>
        </w:rPr>
        <w:t>——————————————————————————————————————————————————————————————————————</w:t>
      </w:r>
    </w:p>
    <w:p>
      <w:pPr>
        <w:spacing w:before="160" w:after="40" w:line="240" w:lineRule="auto"/>
      </w:pPr>
      <w:r>
        <w:rPr>
          <w:b/>
        </w:rPr>
        <w:t xml:space="preserve">[16] </w:t>
      </w:r>
      <w:hyperlink r:id="rId76">
        <w:r>
          <w:rPr>
            <w:color w:val="1155CC"/>
            <w:u w:val="single"/>
          </w:rPr>
          <w:t>钠离子电池研究中的中子散射：进展与前景</w:t>
        </w:r>
      </w:hyperlink>
    </w:p>
    <w:p>
      <w:pPr>
        <w:spacing w:before="0" w:after="80"/>
      </w:pPr>
      <w:r>
        <w:rPr>
          <w:i/>
          <w:sz w:val="20"/>
        </w:rPr>
        <w:t>EN: Neutron Scattering in Sodium‐Ion Battery Research: Progress and Prospects</w:t>
      </w:r>
    </w:p>
    <w:p>
      <w:pPr>
        <w:spacing w:before="0" w:after="120"/>
      </w:pPr>
      <w:r>
        <w:rPr>
          <w:b/>
        </w:rPr>
        <w:t xml:space="preserve">Source: </w:t>
      </w:r>
      <w:r>
        <w:t>Wiley: Advanced Energy Materials: Table of Contents</w:t>
      </w:r>
      <w:r>
        <w:t xml:space="preserve">    </w:t>
      </w:r>
      <w:r>
        <w:rPr>
          <w:b/>
        </w:rPr>
        <w:t xml:space="preserve">Pub date: </w:t>
      </w:r>
      <w:r>
        <w:t>2026-03-26 06:27:36+00:00</w:t>
      </w:r>
      <w:r>
        <w:t xml:space="preserve">    </w:t>
      </w:r>
      <w:r>
        <w:rPr>
          <w:b/>
        </w:rPr>
        <w:t xml:space="preserve">DOI: </w:t>
      </w:r>
      <w:hyperlink r:id="rId77">
        <w:r>
          <w:rPr>
            <w:color w:val="1155CC"/>
            <w:u w:val="single"/>
          </w:rPr>
          <w:t>10.1002/aenm.202506774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近年来，钠离子电池重新引起了人们的兴趣，并被广泛研究作为锂离子电池的大规模固定储能和小型电动车的补充电源。与锂离子电池相比，钠离子电池具有多种优势，包括元素丰富、成本较低、安全性提高和低温性能更好。对钠离子电池在多个长度和时间尺度上的深入理解进一步加速了这一技术的快速发展。在用于研究钠离子电池的各种先进表征技术中，近年来中子散射获得了显著的关注。它已成为探测结构和形态的强大而多功能的工具</w:t>
      </w:r>
    </w:p>
    <w:p>
      <w:pPr>
        <w:spacing w:before="0" w:after="200" w:lineRule="auto" w:line="276"/>
      </w:pPr>
      <w:r>
        <w:rPr>
          <w:b/>
        </w:rPr>
        <w:t xml:space="preserve">Abstract (EN): </w:t>
      </w:r>
      <w:r>
        <w:t>Sodium‐ion batteries have attracted renewed interest in recent years and are widely studied as a complementary power source to Li‐ion batteries for large‐scale stationary energy storage and small electric vehicles. Compared with Li‐ion batteries, Na‐ion batteries offer several advantages, including elemental abundance, lower cost, improved safety, and better low‐temperature performance. An in‐depth understanding of Na‐ion batteries across multiple length and time scales has further accelerated the rapid development of this technology. Among the various advanced characterization techniques used to study Na‐ion batteries, neutron scattering has gained significant traction in recent years. It has become a powerful and versatile tool for probing structure, morphology, and sodium‐ion dynamics over a wide range of length and time scales. In this article, we will briefly review the development of neutron scattering technology and highlight recent advances in applying neutron‐based techniques—including neutron diffraction, total scattering, small‐angle scattering, quasi‐elastic/inelastic scattering, and neutron imaging—to Na‐ion battery materials. We also provide perspectives on future technique developments, particularly in the realm of in situ and operando neutron scattering characterization, and discuss how these approaches could further enhance our understanding of Na‐ion battery systems.</w:t>
      </w:r>
    </w:p>
    <w:p>
      <w:pPr>
        <w:spacing w:before="120" w:after="120"/>
      </w:pPr>
      <w:r>
        <w:rPr>
          <w:sz w:val="18"/>
        </w:rPr>
        <w:t>——————————————————————————————————————————————————————————————————————</w:t>
      </w:r>
    </w:p>
    <w:p>
      <w:pPr>
        <w:spacing w:before="160" w:after="120"/>
      </w:pPr>
      <w:r>
        <w:rPr>
          <w:b/>
          <w:sz w:val="28"/>
        </w:rPr>
        <w:t>【负极】</w:t>
      </w:r>
    </w:p>
    <w:p>
      <w:pPr>
        <w:spacing w:before="160" w:after="40" w:line="240" w:lineRule="auto"/>
      </w:pPr>
      <w:r>
        <w:rPr>
          <w:b/>
        </w:rPr>
        <w:t xml:space="preserve">[1] </w:t>
      </w:r>
      <w:hyperlink r:id="rId78">
        <w:r>
          <w:rPr>
            <w:color w:val="1155CC"/>
            <w:u w:val="single"/>
          </w:rPr>
          <w:t>锌离子电池中调节阳极/电解质界面的原位策略研究进展</w:t>
        </w:r>
      </w:hyperlink>
    </w:p>
    <w:p>
      <w:pPr>
        <w:spacing w:before="0" w:after="80"/>
      </w:pPr>
      <w:r>
        <w:rPr>
          <w:i/>
          <w:sz w:val="20"/>
        </w:rPr>
        <w:t>EN: Research progress on in-situ strategies for modulating the anode/electrolyte interface in zinc-ion batteries</w:t>
      </w:r>
    </w:p>
    <w:p>
      <w:pPr>
        <w:spacing w:before="0" w:after="120"/>
      </w:pPr>
      <w:r>
        <w:rPr>
          <w:b/>
        </w:rPr>
        <w:t xml:space="preserve">Source: </w:t>
      </w:r>
      <w:r>
        <w:t>ScienceDirect Publication: Applied Energy</w:t>
      </w:r>
      <w:r>
        <w:t xml:space="preserve">    </w:t>
      </w:r>
      <w:r>
        <w:rPr>
          <w:b/>
        </w:rPr>
        <w:t xml:space="preserve">Pub date: </w:t>
      </w:r>
      <w:r>
        <w:t>2026-03-22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79">
        <w:r>
          <w:rPr>
            <w:color w:val="1155CC"/>
            <w:u w:val="single"/>
          </w:rPr>
          <w:t>二维层状材料中表面化学调控用于高稳定性锌金属电池</w:t>
        </w:r>
      </w:hyperlink>
    </w:p>
    <w:p>
      <w:pPr>
        <w:spacing w:before="0" w:after="80"/>
      </w:pPr>
      <w:r>
        <w:rPr>
          <w:i/>
          <w:sz w:val="20"/>
        </w:rPr>
        <w:t>EN: Surface chemistry modulation in two-dimensional layered materials for highly stable zinc metal batteries</w:t>
      </w:r>
    </w:p>
    <w:p>
      <w:pPr>
        <w:spacing w:before="0" w:after="120"/>
      </w:pPr>
      <w:r>
        <w:rPr>
          <w:b/>
        </w:rPr>
        <w:t xml:space="preserve">Source: </w:t>
      </w:r>
      <w:r>
        <w:t>Matter</w:t>
      </w:r>
      <w:r>
        <w:t xml:space="preserve">    </w:t>
      </w:r>
      <w:r>
        <w:rPr>
          <w:b/>
        </w:rPr>
        <w:t xml:space="preserve">Pub date: </w:t>
      </w:r>
      <w:r>
        <w:t>2026-03-23 00:00:00+00:00</w:t>
      </w:r>
      <w:r>
        <w:t xml:space="preserve">    </w:t>
      </w:r>
      <w:r>
        <w:rPr>
          <w:b/>
        </w:rPr>
        <w:t xml:space="preserve">DOI: </w:t>
      </w:r>
      <w:hyperlink r:id="rId80">
        <w:r>
          <w:rPr>
            <w:color w:val="1155CC"/>
            <w:u w:val="single"/>
          </w:rPr>
          <w:t>10.1016/j.matt.2026.102699</w:t>
        </w:r>
      </w:hyperlink>
    </w:p>
    <w:p>
      <w:pPr>
        <w:spacing w:before="0" w:after="120"/>
      </w:pPr>
      <w:r>
        <w:rPr>
          <w:b/>
        </w:rPr>
        <w:t xml:space="preserve">Notes: </w:t>
      </w:r>
      <w:r>
        <w:t>abstract_source=rss_cell</w:t>
      </w:r>
    </w:p>
    <w:p>
      <w:pPr>
        <w:spacing w:before="0" w:after="80" w:lineRule="auto" w:line="276"/>
      </w:pPr>
      <w:r>
        <w:rPr>
          <w:b/>
        </w:rPr>
        <w:t xml:space="preserve">摘要（ZH）: </w:t>
      </w:r>
      <w:r>
        <w:t>二维层状材料的可调表面化学为开发金属电池中的人工界面层提供了新机遇。作者使用具有多样表面终止的MXenes作为模型系统，阐明了表面化学调节锌金属沉积行为的基本机制。</w:t>
      </w:r>
    </w:p>
    <w:p>
      <w:pPr>
        <w:spacing w:before="0" w:after="200" w:lineRule="auto" w:line="276"/>
      </w:pPr>
      <w:r>
        <w:rPr>
          <w:b/>
        </w:rPr>
        <w:t xml:space="preserve">Abstract (EN): </w:t>
      </w:r>
      <w:r>
        <w:t>The tunable surface chemistry of two-dimensional layered materials offers new opportunities for developing artificial interfacial layers in metal batteries. Using MXenes with diverse surface terminations as model systems, the authors elucidate the underlying mechanism by which surface chemistry regulates zinc metal deposition behavior.</w:t>
      </w:r>
    </w:p>
    <w:p>
      <w:pPr>
        <w:spacing w:before="120" w:after="120"/>
      </w:pPr>
      <w:r>
        <w:rPr>
          <w:sz w:val="18"/>
        </w:rPr>
        <w:t>——————————————————————————————————————————————————————————————————————</w:t>
      </w:r>
    </w:p>
    <w:p>
      <w:pPr>
        <w:spacing w:before="160" w:after="40" w:line="240" w:lineRule="auto"/>
      </w:pPr>
      <w:r>
        <w:rPr>
          <w:b/>
        </w:rPr>
        <w:t xml:space="preserve">[3] </w:t>
      </w:r>
      <w:hyperlink r:id="rId81">
        <w:r>
          <w:rPr>
            <w:color w:val="1155CC"/>
            <w:u w:val="single"/>
          </w:rPr>
          <w:t>界面声子散射实现超稳定和高功率钠基双离子电池与合金阳极</w:t>
        </w:r>
      </w:hyperlink>
    </w:p>
    <w:p>
      <w:pPr>
        <w:spacing w:before="0" w:after="80"/>
      </w:pPr>
      <w:r>
        <w:rPr>
          <w:i/>
          <w:sz w:val="20"/>
        </w:rPr>
        <w:t>EN: Interfacial Phonon Scattering Enables Ultrastable and High‐Power Sodium‐Based Dual‐Ion Batteries With Alloying Anodes</w:t>
      </w:r>
    </w:p>
    <w:p>
      <w:pPr>
        <w:spacing w:before="0" w:after="120"/>
      </w:pPr>
      <w:r>
        <w:rPr>
          <w:b/>
        </w:rPr>
        <w:t xml:space="preserve">Source: </w:t>
      </w:r>
      <w:r>
        <w:t>Wiley: Advanced Materials: Table of Contents</w:t>
      </w:r>
      <w:r>
        <w:t xml:space="preserve">    </w:t>
      </w:r>
      <w:r>
        <w:rPr>
          <w:b/>
        </w:rPr>
        <w:t xml:space="preserve">Pub date: </w:t>
      </w:r>
      <w:r>
        <w:t>2026-03-23 05:23:07+00:00</w:t>
      </w:r>
      <w:r>
        <w:t xml:space="preserve">    </w:t>
      </w:r>
      <w:r>
        <w:rPr>
          <w:b/>
        </w:rPr>
        <w:t xml:space="preserve">DOI: </w:t>
      </w:r>
      <w:hyperlink r:id="rId82">
        <w:r>
          <w:rPr>
            <w:color w:val="1155CC"/>
            <w:u w:val="single"/>
          </w:rPr>
          <w:t>10.1002/adma.72848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合金阳极为高能量钠基双离子电池（SDIBs）提供了一条引人注目的途径，但其反复的体积变化积累了破坏性的应变能，迅速降解电极。传统的界面设计通常通过易损的过程（如开裂或剥离）来消散这种能量，加速了失效。在此，我们报告了一种晶面摩擦界面（CPFI）策略，能够实现一种根本不同的、低损伤的能量消散途径。通过将层状Na+取代的α-磷酸锆（NZrP）纳米颗粒嵌入聚合物基质中，我们在Sn阳极上构建了一个坚固的界面，作为概念验证。</w:t>
      </w:r>
    </w:p>
    <w:p>
      <w:pPr>
        <w:spacing w:before="0" w:after="200" w:lineRule="auto" w:line="276"/>
      </w:pPr>
      <w:r>
        <w:rPr>
          <w:b/>
        </w:rPr>
        <w:t xml:space="preserve">Abstract (EN): </w:t>
      </w:r>
      <w:r>
        <w:t>Alloying anodes offer a compelling route to high‐energy sodium‐based dual‐ion batteries (SDIBs), yet their repeated volume change accumulates destructive strain energy that rapidly degrades the electrode. Conventional interfacial designs often dissipate this energy through damage‐prone processes (e.g., cracking or delamination), which accelerates failure. Herein, we report a crystal‐plane friction interface (CPFI) strategy that enables a fundamentally different, low‐damage dissipation pathway. By embedding layered Na</w:t>
      </w:r>
      <w:r>
        <w:t xml:space="preserve"> </w:t>
      </w:r>
      <w:r>
        <w:t>+</w:t>
      </w:r>
      <w:r>
        <w:t xml:space="preserve"> </w:t>
      </w:r>
      <w:r>
        <w:t>‐substituted</w:t>
      </w:r>
      <w:r>
        <w:t xml:space="preserve"> </w:t>
      </w:r>
      <w:r>
        <w:t>α</w:t>
      </w:r>
      <w:r>
        <w:t xml:space="preserve"> </w:t>
      </w:r>
      <w:r>
        <w:t>‐zirconium phosphate (NZrP) nanoparticles into a polymer matrix, we construct a robust interface on Sn anode as a proof of concept. The accumulated strain energy is relieved through facile sliding between the NZrP (002) planes, which convert mechanical work into thermal phonons. In situ stress measurements confirm a 99.1% reduction in strain energy density, directly quantifying the efficacy of this mechanism. Meanwhile, Na</w:t>
      </w:r>
      <w:r>
        <w:t xml:space="preserve"> </w:t>
      </w:r>
      <w:r>
        <w:t>+</w:t>
      </w:r>
      <w:r>
        <w:t xml:space="preserve"> </w:t>
      </w:r>
      <w:r>
        <w:t>substitution in NZrP facilitates rapid Na</w:t>
      </w:r>
      <w:r>
        <w:t xml:space="preserve"> </w:t>
      </w:r>
      <w:r>
        <w:t>+</w:t>
      </w:r>
      <w:r>
        <w:t xml:space="preserve"> </w:t>
      </w:r>
      <w:r>
        <w:t>transport, achieving a substantial ∼65% reduction in interfacial impedance. Consequently, the Sn@CPFI anode enables SDIB full cells that retain over 80% capacity over 3500 cycles at 5C and deliver 90.1% capacity retention at 40C, significantly outperforming conventional counterparts. A practical pouch cell further validates this approach. This work establishes crystal‐plane sliding as a general mechanism for managing strain energy, opening a pathway to durable batteries with high‐volume‐change electrodes.</w:t>
      </w:r>
    </w:p>
    <w:p>
      <w:pPr>
        <w:spacing w:before="120" w:after="120"/>
      </w:pPr>
      <w:r>
        <w:rPr>
          <w:sz w:val="18"/>
        </w:rPr>
        <w:t>——————————————————————————————————————————————————————————————————————</w:t>
      </w:r>
    </w:p>
    <w:p>
      <w:pPr>
        <w:spacing w:before="160" w:after="40" w:line="240" w:lineRule="auto"/>
      </w:pPr>
      <w:r>
        <w:rPr>
          <w:b/>
        </w:rPr>
        <w:t xml:space="preserve">[4] </w:t>
      </w:r>
      <w:hyperlink r:id="rId83">
        <w:r>
          <w:rPr>
            <w:color w:val="1155CC"/>
            <w:u w:val="single"/>
          </w:rPr>
          <w:t>可持续碳纤维实现稳定的长期锂金属沉积以实现潜在的零过量锂金属电池</w:t>
        </w:r>
      </w:hyperlink>
    </w:p>
    <w:p>
      <w:pPr>
        <w:spacing w:before="0" w:after="80"/>
      </w:pPr>
      <w:r>
        <w:rPr>
          <w:i/>
          <w:sz w:val="20"/>
        </w:rPr>
        <w:t>EN: Sustainable Carbon Fibers Enable Stable Long‐Term Lithium Metal Deposition for Prospective Zero‐Excess Lithium Metal Batteries</w:t>
      </w:r>
    </w:p>
    <w:p>
      <w:pPr>
        <w:spacing w:before="0" w:after="120"/>
      </w:pPr>
      <w:r>
        <w:rPr>
          <w:b/>
        </w:rPr>
        <w:t xml:space="preserve">Source: </w:t>
      </w:r>
      <w:r>
        <w:t>Wiley: Advanced Energy Materials: Table of Contents</w:t>
      </w:r>
      <w:r>
        <w:t xml:space="preserve">    </w:t>
      </w:r>
      <w:r>
        <w:rPr>
          <w:b/>
        </w:rPr>
        <w:t xml:space="preserve">Pub date: </w:t>
      </w:r>
      <w:r>
        <w:t>2026-03-23 06:46:09+00:00</w:t>
      </w:r>
      <w:r>
        <w:t xml:space="preserve">    </w:t>
      </w:r>
      <w:r>
        <w:rPr>
          <w:b/>
        </w:rPr>
        <w:t xml:space="preserve">DOI: </w:t>
      </w:r>
      <w:hyperlink r:id="rId84">
        <w:r>
          <w:rPr>
            <w:color w:val="1155CC"/>
            <w:u w:val="single"/>
          </w:rPr>
          <w:t>10.1002/aenm.202506780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三维电流收集器已成为促进均匀锂沉积和延长零过量锂金属电池循环寿命的有前途的策略。然而，由于在大表面积上形成固体电解质界面（SEI）导致的第一循环中锂的过度损失，加上使用密集或不可再生材料以及复杂的多步骤制造工艺，限制了其实际应用。在这项工作中，提出了一种轻质的木质素衍生碳纤维（CF）电流收集器。它通过简单且可持续的静电纺丝工艺制造，并在碳化后具有丰富的结构缺陷和纳米级孔隙。表面缺陷促进了稳定的、富含无机物的SEI的形成，有效地钝化</w:t>
      </w:r>
    </w:p>
    <w:p>
      <w:pPr>
        <w:spacing w:before="0" w:after="200" w:lineRule="auto" w:line="276"/>
      </w:pPr>
      <w:r>
        <w:rPr>
          <w:b/>
        </w:rPr>
        <w:t xml:space="preserve">Abstract (EN): </w:t>
      </w:r>
      <w:r>
        <w:t>Three‐dimensional current collectors have emerged as a promising strategy to promote uniform Li deposition and extend the cycle life of zero‐excess lithium metal batteries. However, excessive Li loss in the first cycle due to solid electrolyte interphase (SEI) formation on the large surface area, combined with the use of dense or nonrenewable materials and complex, multistep fabrication processes, limits their practical implementation. In this work, a lightweight, lignin‐derived carbon fiber (CF) current collector is presented. It is fabricated via a simple and sustainable electrospinning process, and after carbonization has abundant structural defects and nanoscale porosity. Surface defects promote the formation of a stable, inorganic‐rich SEI, efficiently passivating the current collector, while pores of ∼1.0–1.4 nm enable quasi‐metallic Li clusters to form before plating, providing a conductive network and distributed nucleation sites that enhance Li plating/stripping reversibility and cycle life. This CF current collector exhibits a first‐cycle active Li loss of only 4.8%–8.9% relative to the typical Li inventory of commercial lithium‐ion battery cathodes and maintains a coulombic efficiency of 99.0% over 200 cycles, demonstrating excellent electrochemical performance.</w:t>
      </w:r>
    </w:p>
    <w:p>
      <w:pPr>
        <w:spacing w:before="120" w:after="120"/>
      </w:pPr>
      <w:r>
        <w:rPr>
          <w:sz w:val="18"/>
        </w:rPr>
        <w:t>——————————————————————————————————————————————————————————————————————</w:t>
      </w:r>
    </w:p>
    <w:p>
      <w:pPr>
        <w:spacing w:before="160" w:after="40" w:line="240" w:lineRule="auto"/>
      </w:pPr>
      <w:r>
        <w:rPr>
          <w:b/>
        </w:rPr>
        <w:t xml:space="preserve">[5] </w:t>
      </w:r>
      <w:hyperlink r:id="rId85">
        <w:r>
          <w:rPr>
            <w:color w:val="1155CC"/>
            <w:u w:val="single"/>
          </w:rPr>
          <w:t>具有2D高熵氧化物纳米片的光辅助锂硫电池：耦合内建电场实现超高光电能量转换</w:t>
        </w:r>
      </w:hyperlink>
    </w:p>
    <w:p>
      <w:pPr>
        <w:spacing w:before="0" w:after="80"/>
      </w:pPr>
      <w:r>
        <w:rPr>
          <w:i/>
          <w:sz w:val="20"/>
        </w:rPr>
        <w:t>EN: Photo‐Assisted Li–S Batteries With 2D High‐Entropy Oxide Nanosheets: Coupling Built‐In Electric Field for Ultra‐High Photoelectric Energy Conversion</w:t>
      </w:r>
    </w:p>
    <w:p>
      <w:pPr>
        <w:spacing w:before="0" w:after="120"/>
      </w:pPr>
      <w:r>
        <w:rPr>
          <w:b/>
        </w:rPr>
        <w:t xml:space="preserve">Source: </w:t>
      </w:r>
      <w:r>
        <w:t>Wiley: Advanced Energy Materials: Table of Contents</w:t>
      </w:r>
      <w:r>
        <w:t xml:space="preserve">    </w:t>
      </w:r>
      <w:r>
        <w:rPr>
          <w:b/>
        </w:rPr>
        <w:t xml:space="preserve">Pub date: </w:t>
      </w:r>
      <w:r>
        <w:t>2026-03-23 12:57:50+00:00</w:t>
      </w:r>
      <w:r>
        <w:t xml:space="preserve">    </w:t>
      </w:r>
      <w:r>
        <w:rPr>
          <w:b/>
        </w:rPr>
        <w:t xml:space="preserve">DOI: </w:t>
      </w:r>
      <w:hyperlink r:id="rId86">
        <w:r>
          <w:rPr>
            <w:color w:val="1155CC"/>
            <w:u w:val="single"/>
          </w:rPr>
          <w:t>10.1002/aenm.202505635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将太阳能整合到可充电电池系统中代表了可持续能源技术的关键进展。在此，我们开发了一种光辅助锂硫电池（PALSB），能够协同实现光能收集、转换和电化学能量存储。其多功能光阴极由二维多晶La</w:t>
      </w:r>
      <w:r>
        <w:t xml:space="preserve"> </w:t>
      </w:r>
      <w:r>
        <w:t>0.65</w:t>
      </w:r>
      <w:r>
        <w:t xml:space="preserve"> </w:t>
      </w:r>
      <w:r>
        <w:t>Sr</w:t>
      </w:r>
      <w:r>
        <w:t xml:space="preserve"> </w:t>
      </w:r>
      <w:r>
        <w:t>0.35</w:t>
      </w:r>
      <w:r>
        <w:t xml:space="preserve"> </w:t>
      </w:r>
      <w:r>
        <w:t>Co</w:t>
      </w:r>
      <w:r>
        <w:t xml:space="preserve"> </w:t>
      </w:r>
      <w:r>
        <w:t>0.20</w:t>
      </w:r>
      <w:r>
        <w:t xml:space="preserve"> </w:t>
      </w:r>
      <w:r>
        <w:t>Ni</w:t>
      </w:r>
      <w:r>
        <w:t xml:space="preserve"> </w:t>
      </w:r>
      <w:r>
        <w:t>0.19</w:t>
      </w:r>
      <w:r>
        <w:t xml:space="preserve"> </w:t>
      </w:r>
      <w:r>
        <w:t>Fe</w:t>
      </w:r>
      <w:r>
        <w:t xml:space="preserve"> </w:t>
      </w:r>
      <w:r>
        <w:t>0.24</w:t>
      </w:r>
      <w:r>
        <w:t xml:space="preserve"> </w:t>
      </w:r>
      <w:r>
        <w:t>Cr</w:t>
      </w:r>
      <w:r>
        <w:t xml:space="preserve"> </w:t>
      </w:r>
      <w:r>
        <w:t>0.18</w:t>
      </w:r>
      <w:r>
        <w:t xml:space="preserve"> </w:t>
      </w:r>
      <w:r>
        <w:t>Cu</w:t>
      </w:r>
      <w:r>
        <w:t xml:space="preserve"> </w:t>
      </w:r>
      <w:r>
        <w:t>0.19</w:t>
      </w:r>
      <w:r>
        <w:t xml:space="preserve"> </w:t>
      </w:r>
      <w:r>
        <w:t>O</w:t>
      </w:r>
      <w:r>
        <w:rPr>
          <w:vertAlign w:val="subscript"/>
        </w:rPr>
        <w:t>3</w:t>
      </w:r>
      <w:r>
        <w:t>高效组成。</w:t>
      </w:r>
    </w:p>
    <w:p>
      <w:pPr>
        <w:spacing w:before="0" w:after="200" w:lineRule="auto" w:line="276"/>
      </w:pPr>
      <w:r>
        <w:rPr>
          <w:b/>
        </w:rPr>
        <w:t xml:space="preserve">Abstract (EN): </w:t>
      </w:r>
      <w:r>
        <w:t>The integration of solar energy into rechargeable battery systems represents a pivotal advancement in sustainable energy technology. Herein, we develop a photo‐assisted lithium–sulfur battery (PALSB) that synergistically enables light energy harvesting, conversion, and electrochemical energy storage. Its multifunctional photocathode consists of 2D polycrystalline La</w:t>
      </w:r>
      <w:r>
        <w:t xml:space="preserve"> </w:t>
      </w:r>
      <w:r>
        <w:t>0.65</w:t>
      </w:r>
      <w:r>
        <w:t xml:space="preserve"> </w:t>
      </w:r>
      <w:r>
        <w:t>Sr</w:t>
      </w:r>
      <w:r>
        <w:t xml:space="preserve"> </w:t>
      </w:r>
      <w:r>
        <w:t>0.35</w:t>
      </w:r>
      <w:r>
        <w:t xml:space="preserve"> </w:t>
      </w:r>
      <w:r>
        <w:t>Co</w:t>
      </w:r>
      <w:r>
        <w:t xml:space="preserve"> </w:t>
      </w:r>
      <w:r>
        <w:t>0.20</w:t>
      </w:r>
      <w:r>
        <w:t xml:space="preserve"> </w:t>
      </w:r>
      <w:r>
        <w:t>Ni</w:t>
      </w:r>
      <w:r>
        <w:t xml:space="preserve"> </w:t>
      </w:r>
      <w:r>
        <w:t>0.19</w:t>
      </w:r>
      <w:r>
        <w:t xml:space="preserve"> </w:t>
      </w:r>
      <w:r>
        <w:t>Fe</w:t>
      </w:r>
      <w:r>
        <w:t xml:space="preserve"> </w:t>
      </w:r>
      <w:r>
        <w:t>0.24</w:t>
      </w:r>
      <w:r>
        <w:t xml:space="preserve"> </w:t>
      </w:r>
      <w:r>
        <w:t>Cr</w:t>
      </w:r>
      <w:r>
        <w:t xml:space="preserve"> </w:t>
      </w:r>
      <w:r>
        <w:t>0.18</w:t>
      </w:r>
      <w:r>
        <w:t xml:space="preserve"> </w:t>
      </w:r>
      <w:r>
        <w:t>Cu</w:t>
      </w:r>
      <w:r>
        <w:t xml:space="preserve"> </w:t>
      </w:r>
      <w:r>
        <w:t>0.19</w:t>
      </w:r>
      <w:r>
        <w:t xml:space="preserve"> </w:t>
      </w:r>
      <w:r>
        <w:t>O</w:t>
      </w:r>
      <w:r>
        <w:rPr>
          <w:vertAlign w:val="subscript"/>
        </w:rPr>
        <w:t>3</w:t>
      </w:r>
      <w:r>
        <w:t>high‐entropy oxide (LSCO‐HEO) nanosheets with grain boundaries. Owing to the distinct surface work functions of its crystal facets, a spontaneously formed built‐in electric field at the binary facet junction effectively suppresses the recombination of photogenerated carriers, thereby substantially enhancing photo‑chemical‑electrical energy conversion efficiency. Moreover, optimal band alignment between LSCO‐HEOs and polysulfides enables direct participation of photoexcited electrons and holes in sulfur reduction and oxidation, respectively. Light‐induced electron redistribution in LSCO‐HEOs generates more dynamic and complementary highly active catalytic sites that effectively inhibit polysulfide shuttling, lower Li</w:t>
      </w:r>
      <w:r>
        <w:rPr>
          <w:vertAlign w:val="subscript"/>
        </w:rPr>
        <w:t>2</w:t>
      </w:r>
      <w:r>
        <w:t>S nucleation barriers, and enhance sulfur redox reaction kinetics. As a result, the PALSB achieves an ultra‐high photoelectric energy conversion efficiency of 12.98% and exhibits exceptional cycling stability over 1000 cycles at 8.0 C, with a minimal capacity decay of only 0.025% per cycle. This work introduces a breakthrough strategy for direct solar‐to‐chemical energy conversion within batteries, opening avenues for high‐efficiency photoelectrochemical energy storage.</w:t>
      </w:r>
    </w:p>
    <w:p>
      <w:pPr>
        <w:spacing w:before="120" w:after="120"/>
      </w:pPr>
      <w:r>
        <w:rPr>
          <w:sz w:val="18"/>
        </w:rPr>
        <w:t>——————————————————————————————————————————————————————————————————————</w:t>
      </w:r>
    </w:p>
    <w:p>
      <w:pPr>
        <w:spacing w:before="160" w:after="40" w:line="240" w:lineRule="auto"/>
      </w:pPr>
      <w:r>
        <w:rPr>
          <w:b/>
        </w:rPr>
        <w:t xml:space="preserve">[6] </w:t>
      </w:r>
      <w:hyperlink r:id="rId87">
        <w:r>
          <w:rPr>
            <w:color w:val="1155CC"/>
            <w:u w:val="single"/>
          </w:rPr>
          <w:t>用于高体积容量钾离子电池负极的整体致密二元合金的键软化和弹性约束</w:t>
        </w:r>
      </w:hyperlink>
    </w:p>
    <w:p>
      <w:pPr>
        <w:spacing w:before="0" w:after="80"/>
      </w:pPr>
      <w:r>
        <w:rPr>
          <w:i/>
          <w:sz w:val="20"/>
        </w:rPr>
        <w:t>EN: Bond Softening and Elastic Confinement of Monolithic Dense Binary Alloys for High Volumetric Capacity of K‐Ion Battery Anodes</w:t>
      </w:r>
    </w:p>
    <w:p>
      <w:pPr>
        <w:spacing w:before="0" w:after="120"/>
      </w:pPr>
      <w:r>
        <w:rPr>
          <w:b/>
        </w:rPr>
        <w:t xml:space="preserve">Source: </w:t>
      </w:r>
      <w:r>
        <w:t>Wiley: Angewandte Chemie International Edition: Table of Contents</w:t>
      </w:r>
      <w:r>
        <w:t xml:space="preserve">    </w:t>
      </w:r>
      <w:r>
        <w:rPr>
          <w:b/>
        </w:rPr>
        <w:t xml:space="preserve">Pub date: </w:t>
      </w:r>
      <w:r>
        <w:t>2026-03-23 16:42:07+00:00</w:t>
      </w:r>
      <w:r>
        <w:t xml:space="preserve">    </w:t>
      </w:r>
      <w:r>
        <w:rPr>
          <w:b/>
        </w:rPr>
        <w:t xml:space="preserve">DOI: </w:t>
      </w:r>
      <w:hyperlink r:id="rId88">
        <w:r>
          <w:rPr>
            <w:color w:val="1155CC"/>
            <w:u w:val="single"/>
          </w:rPr>
          <w:t>10.1002/anie.9686588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二维（2D）Sb─Bi合金被认为是钾离子电池的高容量和高倍率阳极的有前途的选择，但其实际应用受到低密度和结构退化的限制。在此，我们提出了一种内在-外在双重稳定化策略，将二维二元Sb</w:t>
      </w:r>
      <w:r>
        <w:t xml:space="preserve"> </w:t>
      </w:r>
      <w:r>
        <w:t>0.6</w:t>
      </w:r>
      <w:r>
        <w:t xml:space="preserve"> </w:t>
      </w:r>
      <w:r>
        <w:t>Bi</w:t>
      </w:r>
      <w:r>
        <w:t xml:space="preserve"> </w:t>
      </w:r>
      <w:r>
        <w:t>0.4</w:t>
      </w:r>
      <w:r>
        <w:t xml:space="preserve"> </w:t>
      </w:r>
      <w:r>
        <w:t>纳米片整合到三维弹性石墨烯网络中，构建了高密度单体结构（HD‐Sb</w:t>
      </w:r>
      <w:r>
        <w:t xml:space="preserve"> </w:t>
      </w:r>
      <w:r>
        <w:t>0.6</w:t>
      </w:r>
      <w:r>
        <w:t xml:space="preserve"> </w:t>
      </w:r>
      <w:r>
        <w:t>Bi</w:t>
      </w:r>
      <w:r>
        <w:t xml:space="preserve"> </w:t>
      </w:r>
      <w:r>
        <w:t>0.4</w:t>
      </w:r>
      <w:r>
        <w:t xml:space="preserve"> </w:t>
      </w:r>
      <w:r>
        <w:t>@G）。该设计具有高密度（2.6 g cm</w:t>
      </w:r>
      <w:r>
        <w:t xml:space="preserve"> </w:t>
      </w:r>
      <w:r>
        <w:t>−3</w:t>
      </w:r>
      <w:r>
        <w:t xml:space="preserve"> </w:t>
      </w:r>
      <w:r>
        <w:t>）和电导率（555.6 S m</w:t>
      </w:r>
    </w:p>
    <w:p>
      <w:pPr>
        <w:spacing w:before="0" w:after="200" w:lineRule="auto" w:line="276"/>
      </w:pPr>
      <w:r>
        <w:rPr>
          <w:b/>
        </w:rPr>
        <w:t xml:space="preserve">Abstract (EN): </w:t>
      </w:r>
      <w:r>
        <w:t>Two‐dimensional (2D) Sb─Bi alloys are considered as the promising high‐capacity and high‐rate anodes of potassium‐ion batteries, yet their practical application is limited by low density and structural degradation. Herein, we propose an intrinsic‐extrinsic dual‐stabilization strategy that integrates 2D binary Sb</w:t>
      </w:r>
      <w:r>
        <w:t xml:space="preserve"> </w:t>
      </w:r>
      <w:r>
        <w:t>0.6</w:t>
      </w:r>
      <w:r>
        <w:t xml:space="preserve"> </w:t>
      </w:r>
      <w:r>
        <w:t>Bi</w:t>
      </w:r>
      <w:r>
        <w:t xml:space="preserve"> </w:t>
      </w:r>
      <w:r>
        <w:t>0.4</w:t>
      </w:r>
      <w:r>
        <w:t xml:space="preserve"> </w:t>
      </w:r>
      <w:r>
        <w:t>nanosheets into 3D elastic graphene networks, constructing a highly dense monolithic architecture (HD‐Sb</w:t>
      </w:r>
      <w:r>
        <w:t xml:space="preserve"> </w:t>
      </w:r>
      <w:r>
        <w:t>0.6</w:t>
      </w:r>
      <w:r>
        <w:t xml:space="preserve"> </w:t>
      </w:r>
      <w:r>
        <w:t>Bi</w:t>
      </w:r>
      <w:r>
        <w:t xml:space="preserve"> </w:t>
      </w:r>
      <w:r>
        <w:t>0.4</w:t>
      </w:r>
      <w:r>
        <w:t xml:space="preserve"> </w:t>
      </w:r>
      <w:r>
        <w:t>@G). This design features with high density (2.6 g cm</w:t>
      </w:r>
      <w:r>
        <w:t xml:space="preserve"> </w:t>
      </w:r>
      <w:r>
        <w:t>−3</w:t>
      </w:r>
      <w:r>
        <w:t xml:space="preserve"> </w:t>
      </w:r>
      <w:r>
        <w:t>) and electrical conductivity (555.6 S m</w:t>
      </w:r>
      <w:r>
        <w:t xml:space="preserve"> </w:t>
      </w:r>
      <w:r>
        <w:t>−1</w:t>
      </w:r>
      <w:r>
        <w:t xml:space="preserve"> </w:t>
      </w:r>
      <w:r>
        <w:t>), delivering large volumetric capacity (1355.1 mAh cm</w:t>
      </w:r>
      <w:r>
        <w:t xml:space="preserve"> </w:t>
      </w:r>
      <w:r>
        <w:t>−3</w:t>
      </w:r>
      <w:r>
        <w:t xml:space="preserve"> </w:t>
      </w:r>
      <w:r>
        <w:t>) and high areal capacity (11.4 mAh cm</w:t>
      </w:r>
      <w:r>
        <w:t xml:space="preserve"> </w:t>
      </w:r>
      <w:r>
        <w:t>−2</w:t>
      </w:r>
      <w:r>
        <w:t xml:space="preserve"> </w:t>
      </w:r>
      <w:r>
        <w:t>) at an ultra‐high loading of 27.6 mg cm</w:t>
      </w:r>
      <w:r>
        <w:t xml:space="preserve"> </w:t>
      </w:r>
      <w:r>
        <w:t>−2</w:t>
      </w:r>
      <w:r>
        <w:t xml:space="preserve"> </w:t>
      </w:r>
      <w:r>
        <w:t>, along with long‐term cyclability (65.4% capacity retention after 1500 cycles) and stable full‐cell performance. Experimental and theoretical analyses reveal that the Sb─Bi alloy exhibited “bond softening” with the optimized interlayer spacing and moderate bond energy, facilitating rapid K</w:t>
      </w:r>
      <w:r>
        <w:t xml:space="preserve"> </w:t>
      </w:r>
      <w:r>
        <w:t>+</w:t>
      </w:r>
      <w:r>
        <w:t xml:space="preserve"> </w:t>
      </w:r>
      <w:r>
        <w:t>diffusion and buffering strain. Furthermore, the elastic graphene network provides nanoscale confinement, accommodating volume expansion and preserving structural and electrical integrity. Strong electronic coupling at the alloy‐graphene interface further reduces K</w:t>
      </w:r>
      <w:r>
        <w:t xml:space="preserve"> </w:t>
      </w:r>
      <w:r>
        <w:t>+</w:t>
      </w:r>
      <w:r>
        <w:t xml:space="preserve"> </w:t>
      </w:r>
      <w:r>
        <w:t>adsorption and diffusion energy barriers, enabling fast ion transport under the high‐loading anodes. This intrinsic‐extrinsic synergy between binary‐alloy bond softening and nanoscale elastic confinement provides a universal strategy for compact, high‐loading electrodes with high volumetric and areal energy storage.</w:t>
      </w:r>
    </w:p>
    <w:p>
      <w:pPr>
        <w:spacing w:before="120" w:after="120"/>
      </w:pPr>
      <w:r>
        <w:rPr>
          <w:sz w:val="18"/>
        </w:rPr>
        <w:t>——————————————————————————————————————————————————————————————————————</w:t>
      </w:r>
    </w:p>
    <w:p>
      <w:pPr>
        <w:spacing w:before="160" w:after="40" w:line="240" w:lineRule="auto"/>
      </w:pPr>
      <w:r>
        <w:rPr>
          <w:b/>
        </w:rPr>
        <w:t xml:space="preserve">[7] </w:t>
      </w:r>
      <w:hyperlink r:id="rId89">
        <w:r>
          <w:rPr>
            <w:color w:val="1155CC"/>
            <w:u w:val="single"/>
          </w:rPr>
          <w:t>迈向安全高效的能量存储：无枝晶钠金属电池的进展与挑战</w:t>
        </w:r>
      </w:hyperlink>
    </w:p>
    <w:p>
      <w:pPr>
        <w:spacing w:before="0" w:after="80"/>
      </w:pPr>
      <w:r>
        <w:rPr>
          <w:i/>
          <w:sz w:val="20"/>
        </w:rPr>
        <w:t>EN: Toward Safe and Efficient Energy Storage: Progress and Challenges of Dendrite‐Free Sodium Metal Batteries</w:t>
      </w:r>
    </w:p>
    <w:p>
      <w:pPr>
        <w:spacing w:before="0" w:after="120"/>
      </w:pPr>
      <w:r>
        <w:rPr>
          <w:b/>
        </w:rPr>
        <w:t xml:space="preserve">Source: </w:t>
      </w:r>
      <w:r>
        <w:t>Wiley: Advanced Energy Materials: Table of Contents</w:t>
      </w:r>
      <w:r>
        <w:t xml:space="preserve">    </w:t>
      </w:r>
      <w:r>
        <w:rPr>
          <w:b/>
        </w:rPr>
        <w:t xml:space="preserve">Pub date: </w:t>
      </w:r>
      <w:r>
        <w:t>2026-03-24 10:28:00+00:00</w:t>
      </w:r>
      <w:r>
        <w:t xml:space="preserve">    </w:t>
      </w:r>
      <w:r>
        <w:rPr>
          <w:b/>
        </w:rPr>
        <w:t xml:space="preserve">DOI: </w:t>
      </w:r>
      <w:hyperlink r:id="rId90">
        <w:r>
          <w:rPr>
            <w:color w:val="1155CC"/>
            <w:u w:val="single"/>
          </w:rPr>
          <w:t>10.1002/aenm.70866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钠金属电池（SMB）和无阳极钠金属电池（AFSMB）由于其高能量密度和成本等优势，被认为是下一代储能技术的关键候选者。然而，其实际应用仍然受到Na阳极界面热力学不稳定性和动力学限制的复杂相互作用的根本挑战。超越传统的孤立方法来抑制枝晶，本综述提出了一种整合电解质工程、界面控制和结构架构的整体设计理念。我们从分子水平的液体和固体电解质中的溶剂化结构，批判性地剖析了控制钠沉积的电化学机械相互作用</w:t>
      </w:r>
    </w:p>
    <w:p>
      <w:pPr>
        <w:spacing w:before="0" w:after="200" w:lineRule="auto" w:line="276"/>
      </w:pPr>
      <w:r>
        <w:rPr>
          <w:b/>
        </w:rPr>
        <w:t xml:space="preserve">Abstract (EN): </w:t>
      </w:r>
      <w:r>
        <w:t>Sodium metal batteries (SMB) and anode‐free sodium metal batteries (AFSMB) are considered as a key candidate for next‐generation energy storage technologies due to their advantages, such as high energy density and cost. However, their practical implementation remains fundamentally challenged by the complex interplay of thermodynamic instability and kinetic limitations at the Na anode interface. Moving beyond conventional, isolated approaches to dendrite suppression, this review presents a holistic design philosophy that integrates electrolyte engineering, interfacial control, and structural architecture. We critically dissect the electro‐chemo‐mechanical interplay governing sodium deposition, from the molecular level solvation structures in liquid and solid electrolytes to the nanoscale properties of the SEI and the three dimensional of current collectors. A dedicated analysis of external field regulation further reveals the profound impact of thermal and pressure management on plating homogeneity. By synthesizing these cross‐cutting strategies, we construct a coherent framework that links fundamental mechanisms to practical cell design. Finally, we pinpoint persistent scientific gaps and outline emerging paradigms, including advanced in‐situ diagnostics and AI‐guided materials discovery, to illuminate the path toward intrinsically safe and commercially viable sodium metal batteries.</w:t>
      </w:r>
    </w:p>
    <w:p>
      <w:pPr>
        <w:spacing w:before="120" w:after="120"/>
      </w:pPr>
      <w:r>
        <w:rPr>
          <w:sz w:val="18"/>
        </w:rPr>
        <w:t>——————————————————————————————————————————————————————————————————————</w:t>
      </w:r>
    </w:p>
    <w:p>
      <w:pPr>
        <w:spacing w:before="160" w:after="40" w:line="240" w:lineRule="auto"/>
      </w:pPr>
      <w:r>
        <w:rPr>
          <w:b/>
        </w:rPr>
        <w:t xml:space="preserve">[8] </w:t>
      </w:r>
      <w:hyperlink r:id="rId91">
        <w:r>
          <w:rPr>
            <w:color w:val="1155CC"/>
            <w:u w:val="single"/>
          </w:rPr>
          <w:t>π–π堆积导向的锌电极沉积晶体取向用于超长寿命阳极</w:t>
        </w:r>
      </w:hyperlink>
    </w:p>
    <w:p>
      <w:pPr>
        <w:spacing w:before="0" w:after="80"/>
      </w:pPr>
      <w:r>
        <w:rPr>
          <w:i/>
          <w:sz w:val="20"/>
        </w:rPr>
        <w:t>EN: π–π Stacking‐Directed Crystallographic Orientation of Zn Elec‐trodeposition for Ultralong‐Life Anodes</w:t>
      </w:r>
    </w:p>
    <w:p>
      <w:pPr>
        <w:spacing w:before="0" w:after="120"/>
      </w:pPr>
      <w:r>
        <w:rPr>
          <w:b/>
        </w:rPr>
        <w:t xml:space="preserve">Source: </w:t>
      </w:r>
      <w:r>
        <w:t>Wiley: Advanced Materials: Table of Contents</w:t>
      </w:r>
      <w:r>
        <w:t xml:space="preserve">    </w:t>
      </w:r>
      <w:r>
        <w:rPr>
          <w:b/>
        </w:rPr>
        <w:t xml:space="preserve">Pub date: </w:t>
      </w:r>
      <w:r>
        <w:t>2026-03-24 11:46:18+00:00</w:t>
      </w:r>
      <w:r>
        <w:t xml:space="preserve">    </w:t>
      </w:r>
      <w:r>
        <w:rPr>
          <w:b/>
        </w:rPr>
        <w:t xml:space="preserve">DOI: </w:t>
      </w:r>
      <w:hyperlink r:id="rId92">
        <w:r>
          <w:rPr>
            <w:color w:val="1155CC"/>
            <w:u w:val="single"/>
          </w:rPr>
          <w:t>10.1002/adma.72888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锌（Zn）金属电池的实际应用受到非均匀锌沉积的阻碍，其中猖獗的枝晶生长和寄生反应导致性能迅速衰减。保持控制沉积行为以实现可靠操作仍然是一个基本障碍，特别是在苛刻的实际条件下（例如，宽电流和容量）。在此，我们通过引入芳香路易斯碱（ALB）作为分子导向剂，精确引导锌沉积，该导向剂重构锌2+溶剂化鞘并通过定向π–π堆积引导界面锌2+自组装。预先有序的</w:t>
      </w:r>
    </w:p>
    <w:p>
      <w:pPr>
        <w:spacing w:before="0" w:after="200" w:lineRule="auto" w:line="276"/>
      </w:pPr>
      <w:r>
        <w:rPr>
          <w:b/>
        </w:rPr>
        <w:t xml:space="preserve">Abstract (EN): </w:t>
      </w:r>
      <w:r>
        <w:t>The practical deployment of aqueous zinc (Zn) metal batteries is hindered by non‐uniform Zn deposition, where rampant dendrite growth and parasitic reactions lead to rapid performance decay. It remains a fundamental barrier to maintain control deposition behavior for reliable operation, especially under demanding practical conditions (e.g., wide currents and capacities). Here, we precisely guide the Zn deposition via the introduction of an aromatic Lewis base (ALB) as a molecular director that reconstructs the Zn</w:t>
      </w:r>
      <w:r>
        <w:t xml:space="preserve"> </w:t>
      </w:r>
      <w:r>
        <w:t>2+</w:t>
      </w:r>
      <w:r>
        <w:t xml:space="preserve"> </w:t>
      </w:r>
      <w:r>
        <w:t>solvation sheath and guides interfacial Zn</w:t>
      </w:r>
      <w:r>
        <w:t xml:space="preserve"> </w:t>
      </w:r>
      <w:r>
        <w:t>2+</w:t>
      </w:r>
      <w:r>
        <w:t xml:space="preserve"> </w:t>
      </w:r>
      <w:r>
        <w:t>self‐assembly via directional</w:t>
      </w:r>
      <w:r>
        <w:t xml:space="preserve"> </w:t>
      </w:r>
      <w:r>
        <w:t>π–π</w:t>
      </w:r>
      <w:r>
        <w:t xml:space="preserve"> </w:t>
      </w:r>
      <w:r>
        <w:t>stacking. The pre‐ordered configuration steers the crystallization of reduced Zn adatoms into a highly (002)‐textured and compact morphology through a thermodynamically favored pathway. As a result, the</w:t>
      </w:r>
      <w:r>
        <w:t xml:space="preserve"> </w:t>
      </w:r>
      <w:r>
        <w:t>π–π</w:t>
      </w:r>
      <w:r>
        <w:t xml:space="preserve"> </w:t>
      </w:r>
      <w:r>
        <w:t>stacking‑guided deposition strategy achieves exceptional Zn stability across a wide range of current densities from 2 mA cm</w:t>
      </w:r>
      <w:r>
        <w:t xml:space="preserve"> </w:t>
      </w:r>
      <w:r>
        <w:t>−2</w:t>
      </w:r>
      <w:r>
        <w:t xml:space="preserve"> </w:t>
      </w:r>
      <w:r>
        <w:t>(&amp;gt;388 days) to 50 mA cm</w:t>
      </w:r>
      <w:r>
        <w:t xml:space="preserve"> </w:t>
      </w:r>
      <w:r>
        <w:t>−2</w:t>
      </w:r>
      <w:r>
        <w:t xml:space="preserve"> </w:t>
      </w:r>
      <w:r>
        <w:t>(&amp;gt;480 h) and sustains stable operation for &amp;gt;600 h with a Zn utilization rate of 93.89%. This ALB‐incorporation strategy demonstrates remarkable universality with extended lifetime across supercapacitors (&amp;gt;50 000 cycles), Zn||PANI full cells (&amp;gt;20 000 cycles at −30°C), Ah‐level pouch cells (&amp;gt;20 cycles at 1A), and Zn‐air batteries (700 h). This work provides a molecular‐level pathway toward long‐lasting and high‐capacity Zn‐based energy storage devices.</w:t>
      </w:r>
    </w:p>
    <w:p>
      <w:pPr>
        <w:spacing w:before="120" w:after="120"/>
      </w:pPr>
      <w:r>
        <w:rPr>
          <w:sz w:val="18"/>
        </w:rPr>
        <w:t>——————————————————————————————————————————————————————————————————————</w:t>
      </w:r>
    </w:p>
    <w:p>
      <w:pPr>
        <w:spacing w:before="160" w:after="40" w:line="240" w:lineRule="auto"/>
      </w:pPr>
      <w:r>
        <w:rPr>
          <w:b/>
        </w:rPr>
        <w:t xml:space="preserve">[9] </w:t>
      </w:r>
      <w:hyperlink r:id="rId93">
        <w:r>
          <w:rPr>
            <w:color w:val="1155CC"/>
            <w:u w:val="single"/>
          </w:rPr>
          <w:t>界面自优化实现水凝胶电解质中稳定的镁阳极</w:t>
        </w:r>
      </w:hyperlink>
    </w:p>
    <w:p>
      <w:pPr>
        <w:spacing w:before="0" w:after="80"/>
      </w:pPr>
      <w:r>
        <w:rPr>
          <w:i/>
          <w:sz w:val="20"/>
        </w:rPr>
        <w:t>EN: Interphase Self‐Optimization Enables Stable Magnesium Anode in Hydrogel Electrolyte</w:t>
      </w:r>
    </w:p>
    <w:p>
      <w:pPr>
        <w:spacing w:before="0" w:after="120"/>
      </w:pPr>
      <w:r>
        <w:rPr>
          <w:b/>
        </w:rPr>
        <w:t xml:space="preserve">Source: </w:t>
      </w:r>
      <w:r>
        <w:t>Wiley: Advanced Materials: Table of Contents</w:t>
      </w:r>
      <w:r>
        <w:t xml:space="preserve">    </w:t>
      </w:r>
      <w:r>
        <w:rPr>
          <w:b/>
        </w:rPr>
        <w:t xml:space="preserve">Pub date: </w:t>
      </w:r>
      <w:r>
        <w:t>2026-03-24 12:44:52+00:00</w:t>
      </w:r>
      <w:r>
        <w:t xml:space="preserve">    </w:t>
      </w:r>
      <w:r>
        <w:rPr>
          <w:b/>
        </w:rPr>
        <w:t xml:space="preserve">DOI: </w:t>
      </w:r>
      <w:hyperlink r:id="rId94">
        <w:r>
          <w:rPr>
            <w:color w:val="1155CC"/>
            <w:u w:val="single"/>
          </w:rPr>
          <w:t>10.1002/adma.72904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镁金属是一种有前途的高能量和成本效益的水系电池阳极材料，但与腐蚀反应和表面钝化相关的问题比常研究的金属如锌更为严重。目前的策略要么依赖于通过牺牲活性金属来积极溶解腐蚀产物，要么尝试抑制钝化但效果有限。在这项工作中，通过配制三齿螯合剂和MgCl2基水凝胶电解质，触发了镁阳极表面自优化界面的动态演变。在阳极-电解质界面，螯合剂介导的溶剂化减轻了水引起的寄生反应，动力学上使</w:t>
      </w:r>
    </w:p>
    <w:p>
      <w:pPr>
        <w:spacing w:before="0" w:after="200" w:lineRule="auto" w:line="276"/>
      </w:pPr>
      <w:r>
        <w:rPr>
          <w:b/>
        </w:rPr>
        <w:t xml:space="preserve">Abstract (EN): </w:t>
      </w:r>
      <w:r>
        <w:t>Magnesium metal is a promising anode material for high‐energy and cost‐effective aqueous batteries, but the issue associated with corrosion reaction and surface passivation is more severe than the commonly studied metals such as Zn. Current strategies either rely on aggressively dissolving corrosion products with the sacrifice of active metal or attempt to suppress passivation with limited effect. In this work, a dynamic evolution of a self‐optimized interphase on the Mg anode surface is triggered through formulating a tridentate chelant and MgCl</w:t>
      </w:r>
      <w:r>
        <w:rPr>
          <w:vertAlign w:val="subscript"/>
        </w:rPr>
        <w:t>2</w:t>
      </w:r>
      <w:r>
        <w:t>based hydrogel electrolyte. At the anode‐electrolyte interface, chelant‐mediated solvation mitigates the water‐induced parasitic reactions, kinetically enabling a complete conversion of the MgO byproduct into a magnesium oxychloride interphase. This interphase is dynamic stable and Mg</w:t>
      </w:r>
      <w:r>
        <w:t xml:space="preserve"> </w:t>
      </w:r>
      <w:r>
        <w:t>2+</w:t>
      </w:r>
      <w:r>
        <w:t xml:space="preserve"> </w:t>
      </w:r>
      <w:r>
        <w:t>‐conductive, rendering reversible Mg plating/stripping for over 600 h at 0.1 mA cm</w:t>
      </w:r>
      <w:r>
        <w:t xml:space="preserve"> </w:t>
      </w:r>
      <w:r>
        <w:t>−2</w:t>
      </w:r>
      <w:r>
        <w:t xml:space="preserve"> </w:t>
      </w:r>
      <w:r>
        <w:t>in symmetric cells. Furthermore, 2 V‐class hybrid cells by paring the Mg anode with three different cathodes show stable charges and discharges up to 500 cycles (capacity retention is 69%).</w:t>
      </w:r>
    </w:p>
    <w:p>
      <w:pPr>
        <w:spacing w:before="120" w:after="120"/>
      </w:pPr>
      <w:r>
        <w:rPr>
          <w:sz w:val="18"/>
        </w:rPr>
        <w:t>——————————————————————————————————————————————————————————————————————</w:t>
      </w:r>
    </w:p>
    <w:p>
      <w:pPr>
        <w:spacing w:before="160" w:after="40" w:line="240" w:lineRule="auto"/>
      </w:pPr>
      <w:r>
        <w:rPr>
          <w:b/>
        </w:rPr>
        <w:t xml:space="preserve">[10] </w:t>
      </w:r>
      <w:hyperlink r:id="rId95">
        <w:r>
          <w:rPr>
            <w:color w:val="1155CC"/>
            <w:u w:val="single"/>
          </w:rPr>
          <w:t>在硬碳中工程化纳米孔以用于高能量钠离子电池</w:t>
        </w:r>
      </w:hyperlink>
    </w:p>
    <w:p>
      <w:pPr>
        <w:spacing w:before="0" w:after="80"/>
      </w:pPr>
      <w:r>
        <w:rPr>
          <w:i/>
          <w:sz w:val="20"/>
        </w:rPr>
        <w:t>EN: Engineering nanopores in hard carbon for high-energy sodium-ion batteries</w:t>
      </w:r>
    </w:p>
    <w:p>
      <w:pPr>
        <w:spacing w:before="0" w:after="120"/>
      </w:pPr>
      <w:r>
        <w:rPr>
          <w:b/>
        </w:rPr>
        <w:t xml:space="preserve">Source: </w:t>
      </w:r>
      <w:r>
        <w:t>National Science Review Advance Access</w:t>
      </w:r>
      <w:r>
        <w:t xml:space="preserve">    </w:t>
      </w:r>
      <w:r>
        <w:rPr>
          <w:b/>
        </w:rPr>
        <w:t xml:space="preserve">Pub date: </w:t>
      </w:r>
      <w:r>
        <w:t>2026-03-25 00:00:00+00:00</w:t>
      </w:r>
      <w:r>
        <w:t xml:space="preserve">    </w:t>
      </w:r>
      <w:r>
        <w:rPr>
          <w:b/>
        </w:rPr>
        <w:t xml:space="preserve">DOI: </w:t>
      </w:r>
      <w:hyperlink r:id="rId96">
        <w:r>
          <w:rPr>
            <w:color w:val="1155CC"/>
            <w:u w:val="single"/>
          </w:rPr>
          <w:t>10.1093/nsr/nwag187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97">
        <w:r>
          <w:rPr>
            <w:color w:val="1155CC"/>
            <w:u w:val="single"/>
          </w:rPr>
          <w:t>实际无阳极钠电池中的活性钠损失：机制、挑战和策略</w:t>
        </w:r>
      </w:hyperlink>
    </w:p>
    <w:p>
      <w:pPr>
        <w:spacing w:before="0" w:after="80"/>
      </w:pPr>
      <w:r>
        <w:rPr>
          <w:i/>
          <w:sz w:val="20"/>
        </w:rPr>
        <w:t>EN: Active Sodium Loss in Practical Anode-Free Sodium Batteries: Mechanisms, Challenges, and Strategies</w:t>
      </w:r>
    </w:p>
    <w:p>
      <w:pPr>
        <w:spacing w:before="0" w:after="120"/>
      </w:pPr>
      <w:r>
        <w:rPr>
          <w:b/>
        </w:rPr>
        <w:t xml:space="preserve">Source: </w:t>
      </w:r>
      <w:r>
        <w:t>RSC - Energy Environ. Sci. latest articles</w:t>
      </w:r>
      <w:r>
        <w:t xml:space="preserve">    </w:t>
      </w:r>
      <w:r>
        <w:rPr>
          <w:b/>
        </w:rPr>
        <w:t xml:space="preserve">Pub date: </w:t>
      </w:r>
      <w:r>
        <w:t>2026-03-25 00:00:00+00:00</w:t>
      </w:r>
    </w:p>
    <w:p>
      <w:pPr>
        <w:spacing w:before="0" w:after="120"/>
      </w:pPr>
      <w:r>
        <w:rPr>
          <w:b/>
        </w:rPr>
        <w:t xml:space="preserve">Notes: </w:t>
      </w:r>
      <w:r>
        <w:t>abstract_source=rsc_html</w:t>
      </w:r>
    </w:p>
    <w:p>
      <w:pPr>
        <w:spacing w:before="0" w:after="80" w:lineRule="auto" w:line="276"/>
      </w:pPr>
      <w:r>
        <w:rPr>
          <w:b/>
        </w:rPr>
        <w:t xml:space="preserve">摘要（ZH）: </w:t>
      </w:r>
      <w:r>
        <w:t>无阳极钠金属电池（AFSBs）通过消除过量钠和非活性阳极宿主提供了一条通向高能量和可持续电化学存储的引人注目的途径。然而，它们的实际可行性从根本上受到快速和不可逆的活性钠损失的限制。在无阳极结构中，可循环钠是电池寿命的“货币”：任何界面不可逆性直接转化为灾难性的容量衰减。与锂系统不同，AFSBs 中的钠耗尽是由 Na 特定的物理化学限制驱动的，包括大的离子半径、低熔点、极端体积膨胀（≈260%）和固有脆弱的固体电解质界面（SEI）力学，导致跨越稀疏成核、多孔</w:t>
      </w:r>
    </w:p>
    <w:p>
      <w:pPr>
        <w:spacing w:before="0" w:after="200" w:lineRule="auto" w:line="276"/>
      </w:pPr>
      <w:r>
        <w:rPr>
          <w:b/>
        </w:rPr>
        <w:t xml:space="preserve">Abstract (EN): </w:t>
      </w:r>
      <w:r>
        <w:t>Anode-free sodium metal batteries (AFSBs) offer a compelling route toward high-energy and sustainable electrochemical storage by eliminating excess sodium and inactive anode hosts. Yet their practical viability is fundamentally limited by rapid and irreversible active sodium loss. In anode-free architectures, cyclable sodium is the governing "currency" of cell lifetime: any interfacial irreversibility directly translates into catastrophic capacity decay. Unlike lithium systems, sodium depletion in AFSBs is driven by Na-specific physicochemical constraints-including a large ionic radius, low melting point, extreme volumetric expansion (≈260%), and intrinsically fragile solid-electrolyte interphase (SEI) mechanics-giving rise to distinct degradation pathways spanning sparse nucleation, porous growth, dynamic SEI fracture-repassivation, thermally induced morphology collapse, and coupled cathode-anode inventory feedback. This review establishes a multiscale mechanistic framework linking intrinsic sodium properties to cell-level failure, and critically assesses emerging mitigation strategies across sodiophilic current-collector engineering, multifunctional interphase design, sodium supplementation, and operation-protocol optimization. By integrating these approaches within a "source-process-inventory-environment" regulation paradigm, we outline key design rules and future priorities required to suppress sodium depletion and accelerate the translation of AFSBs from laboratory concepts to practical high-energy batteries.</w:t>
      </w:r>
    </w:p>
    <w:p>
      <w:pPr>
        <w:spacing w:before="120" w:after="120"/>
      </w:pPr>
      <w:r>
        <w:rPr>
          <w:sz w:val="18"/>
        </w:rPr>
        <w:t>——————————————————————————————————————————————————————————————————————</w:t>
      </w:r>
    </w:p>
    <w:p>
      <w:pPr>
        <w:spacing w:before="160" w:after="40" w:line="240" w:lineRule="auto"/>
      </w:pPr>
      <w:r>
        <w:rPr>
          <w:b/>
        </w:rPr>
        <w:t xml:space="preserve">[12] </w:t>
      </w:r>
      <w:hyperlink r:id="rId75">
        <w:r>
          <w:rPr>
            <w:color w:val="1155CC"/>
            <w:u w:val="single"/>
          </w:rPr>
          <w:t>双效预钾化解锁稳定且高能量的钾离子电池</w:t>
        </w:r>
      </w:hyperlink>
    </w:p>
    <w:p>
      <w:pPr>
        <w:spacing w:before="0" w:after="80"/>
      </w:pPr>
      <w:r>
        <w:rPr>
          <w:i/>
          <w:sz w:val="20"/>
        </w:rPr>
        <w:t>EN: Dual-Effect Pre-Potassiation Unlocks Stable and High-Energy Potassium-Ion Batteries</w:t>
      </w:r>
    </w:p>
    <w:p>
      <w:pPr>
        <w:spacing w:before="0" w:after="120"/>
      </w:pPr>
      <w:r>
        <w:rPr>
          <w:b/>
        </w:rPr>
        <w:t xml:space="preserve">Source: </w:t>
      </w:r>
      <w:r>
        <w:t>RSC - Energy Environ. Sci. latest articles</w:t>
      </w:r>
      <w:r>
        <w:t xml:space="preserve">    </w:t>
      </w:r>
      <w:r>
        <w:rPr>
          <w:b/>
        </w:rPr>
        <w:t xml:space="preserve">Pub date: </w:t>
      </w:r>
      <w:r>
        <w:t>2026-03-26 00:00:00+00:00</w:t>
      </w:r>
    </w:p>
    <w:p>
      <w:pPr>
        <w:spacing w:before="0" w:after="120"/>
      </w:pPr>
      <w:r>
        <w:rPr>
          <w:b/>
        </w:rPr>
        <w:t xml:space="preserve">Notes: </w:t>
      </w:r>
      <w:r>
        <w:t>abstract_source=rsc_html</w:t>
      </w:r>
    </w:p>
    <w:p>
      <w:pPr>
        <w:spacing w:before="0" w:after="80" w:lineRule="auto" w:line="276"/>
      </w:pPr>
      <w:r>
        <w:rPr>
          <w:b/>
        </w:rPr>
        <w:t xml:space="preserve">摘要（ZH）: </w:t>
      </w:r>
      <w:r>
        <w:t>钾离子电池（PIBs）作为锂离子电池的低成本和可持续替代品具有巨大潜力，但其实际应用受到不可逆钾损失和不稳定固体电解质界面（SEI）驱动的快速容量衰减的阻碍。在此，我们提出了一种双效预钾化策略，同时解决这两个问题。首先，显示普鲁士蓝类似物K2Mn[Fe(CN)6]可以过钾化为KxMn[Fe(CN)6]（2+进入其大的间隙位点，伴随K+偏心和Mn(II)→Mn(I)还原，同时保持结构完整性。随后，提出了一种非常规的过放电策略用于K2Mn[Fe(CN)6]-石墨PIBs，这使得KxMn[Fe(CN)6]的原位形成得以实现，以补偿与SEI相关的钾损失。</w:t>
      </w:r>
    </w:p>
    <w:p>
      <w:pPr>
        <w:spacing w:before="0" w:after="200" w:lineRule="auto" w:line="276"/>
      </w:pPr>
      <w:r>
        <w:rPr>
          <w:b/>
        </w:rPr>
        <w:t xml:space="preserve">Abstract (EN): </w:t>
      </w:r>
      <w:r>
        <w:t>Potassium-ion batteries (PIBs) hold great promise as low-cost and sustainable alternatives to lithium-ion batteries, yet their practical deployment is hindered by rapid capacity decay driven by irreversible potassium loss and unstable solid electrolyte interphase (SEI). Here, we present a dual-effect pre-potassiation strategy that addresses both issues simultaneously. First, it is shown that the Prussian blue analogue K2Mn[Fe(CN)6] can be overpotassiated to KxMn[Fe(CN)6] (2+ into its large interstitial sites, accompanied by K+ off-centering and Mn(II)→Mn(I) reduction, while preserving structural integrity. Subsequently, an unconventional overdischarge strategy is proposed for the K2Mn[Fe(CN)6]-graphite PIBs, which enables in-situ formation of KxMn[Fe(CN)6] to compensate the SEI-related potassium losses while induces controlled electrolyte oxidation on graphite to produce a robust SEI with high stability. This dual mechanism significantly extends the cycling lifespan of the K2Mn[Fe(CN)6]-graphite cells from less than 100 cycles to more than 2000 cycles with high specific energy. This work pioneers a scalable and effective pre-potassiation approach to redefine the energy storage mechanism of Prussian blue analogues, advancing PIBs toward lithium-ion-level performance and offering a generalizable route for other alkali-ion batteries.</w:t>
      </w:r>
    </w:p>
    <w:p>
      <w:pPr>
        <w:spacing w:before="120" w:after="120"/>
      </w:pPr>
      <w:r>
        <w:rPr>
          <w:sz w:val="18"/>
        </w:rPr>
        <w:t>——————————————————————————————————————————————————————————————————————</w:t>
      </w:r>
    </w:p>
    <w:p>
      <w:pPr>
        <w:spacing w:before="160" w:after="120"/>
      </w:pPr>
      <w:r>
        <w:rPr>
          <w:b/>
          <w:sz w:val="28"/>
        </w:rPr>
        <w:t>【电解质】</w:t>
      </w:r>
    </w:p>
    <w:p>
      <w:pPr>
        <w:spacing w:before="160" w:after="40" w:line="240" w:lineRule="auto"/>
      </w:pPr>
      <w:r>
        <w:rPr>
          <w:b/>
        </w:rPr>
        <w:t xml:space="preserve">[1] </w:t>
      </w:r>
      <w:hyperlink r:id="rId78">
        <w:r>
          <w:rPr>
            <w:color w:val="1155CC"/>
            <w:u w:val="single"/>
          </w:rPr>
          <w:t>锌离子电池中调节阳极/电解质界面的原位策略研究进展</w:t>
        </w:r>
      </w:hyperlink>
    </w:p>
    <w:p>
      <w:pPr>
        <w:spacing w:before="0" w:after="80"/>
      </w:pPr>
      <w:r>
        <w:rPr>
          <w:i/>
          <w:sz w:val="20"/>
        </w:rPr>
        <w:t>EN: Research progress on in-situ strategies for modulating the anode/electrolyte interface in zinc-ion batteries</w:t>
      </w:r>
    </w:p>
    <w:p>
      <w:pPr>
        <w:spacing w:before="0" w:after="120"/>
      </w:pPr>
      <w:r>
        <w:rPr>
          <w:b/>
        </w:rPr>
        <w:t xml:space="preserve">Source: </w:t>
      </w:r>
      <w:r>
        <w:t>ScienceDirect Publication: Applied Energy</w:t>
      </w:r>
      <w:r>
        <w:t xml:space="preserve">    </w:t>
      </w:r>
      <w:r>
        <w:rPr>
          <w:b/>
        </w:rPr>
        <w:t xml:space="preserve">Pub date: </w:t>
      </w:r>
      <w:r>
        <w:t>2026-03-22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98">
        <w:r>
          <w:rPr>
            <w:color w:val="1155CC"/>
            <w:u w:val="single"/>
          </w:rPr>
          <w:t>局部稀释电解质实现高面容量水系Zn–I2凝胶电池用于长时间能量储存</w:t>
        </w:r>
      </w:hyperlink>
    </w:p>
    <w:p>
      <w:pPr>
        <w:spacing w:before="0" w:after="80"/>
      </w:pPr>
      <w:r>
        <w:rPr>
          <w:i/>
          <w:sz w:val="20"/>
        </w:rPr>
        <w:t>EN: Locally diluted electrolytes enable high-areal-capacity aqueous Zn–I2 gel batteries for long-duration energy storage</w:t>
      </w:r>
    </w:p>
    <w:p>
      <w:pPr>
        <w:spacing w:before="0" w:after="120"/>
      </w:pPr>
      <w:r>
        <w:rPr>
          <w:b/>
        </w:rPr>
        <w:t xml:space="preserve">Source: </w:t>
      </w:r>
      <w:r>
        <w:t>Joule</w:t>
      </w:r>
      <w:r>
        <w:t xml:space="preserve">    </w:t>
      </w:r>
      <w:r>
        <w:rPr>
          <w:b/>
        </w:rPr>
        <w:t xml:space="preserve">Pub date: </w:t>
      </w:r>
      <w:r>
        <w:t>2026-03-23 00:00:00+00:00</w:t>
      </w:r>
      <w:r>
        <w:t xml:space="preserve">    </w:t>
      </w:r>
      <w:r>
        <w:rPr>
          <w:b/>
        </w:rPr>
        <w:t xml:space="preserve">DOI: </w:t>
      </w:r>
      <w:hyperlink r:id="rId99">
        <w:r>
          <w:rPr>
            <w:color w:val="1155CC"/>
            <w:u w:val="single"/>
          </w:rPr>
          <w:t>10.1016/j.joule.2026.102355</w:t>
        </w:r>
      </w:hyperlink>
    </w:p>
    <w:p>
      <w:pPr>
        <w:spacing w:before="0" w:after="120"/>
      </w:pPr>
      <w:r>
        <w:rPr>
          <w:b/>
        </w:rPr>
        <w:t xml:space="preserve">Notes: </w:t>
      </w:r>
      <w:r>
        <w:t>abstract_source=rss_cell</w:t>
      </w:r>
    </w:p>
    <w:p>
      <w:pPr>
        <w:spacing w:before="0" w:after="80" w:lineRule="auto" w:line="276"/>
      </w:pPr>
      <w:r>
        <w:rPr>
          <w:b/>
        </w:rPr>
        <w:t xml:space="preserve">摘要（ZH）: </w:t>
      </w:r>
      <w:r>
        <w:t>厚电极对于长时间能量存储至关重要，但通常受到粘性电解质中缓慢离子传输的限制。该研究引入了局部稀释电解质，通过空间工程溶剂化环境来维持在机械约束凝胶中的快速离子传输。应用于Zn–I₂凝胶电池，这一策略实现了毫米厚电极，具有高面积容量和稳定的长时间循环。</w:t>
      </w:r>
    </w:p>
    <w:p>
      <w:pPr>
        <w:spacing w:before="0" w:after="200" w:lineRule="auto" w:line="276"/>
      </w:pPr>
      <w:r>
        <w:rPr>
          <w:b/>
        </w:rPr>
        <w:t xml:space="preserve">Abstract (EN): </w:t>
      </w:r>
      <w:r>
        <w:t>Thick electrodes are essential for long-duration energy storage but are often limited by slow ion transport in viscous electrolytes. This work introduces localized diluted electrolytes, which spatially engineer solvation environments to sustain rapid ionic transport in a mechanically constrained gel. Applied to a Zn–I₂ gel battery, this strategy enables millimeter-thick electrodes with high areal capacity and stable long-duration cycling.</w:t>
      </w:r>
    </w:p>
    <w:p>
      <w:pPr>
        <w:spacing w:before="120" w:after="120"/>
      </w:pPr>
      <w:r>
        <w:rPr>
          <w:sz w:val="18"/>
        </w:rPr>
        <w:t>——————————————————————————————————————————————————————————————————————</w:t>
      </w:r>
    </w:p>
    <w:p>
      <w:pPr>
        <w:spacing w:before="160" w:after="40" w:line="240" w:lineRule="auto"/>
      </w:pPr>
      <w:r>
        <w:rPr>
          <w:b/>
        </w:rPr>
        <w:t xml:space="preserve">[3] </w:t>
      </w:r>
      <w:hyperlink r:id="rId100">
        <w:r>
          <w:rPr>
            <w:color w:val="1155CC"/>
            <w:u w:val="single"/>
          </w:rPr>
          <w:t>当结构控制混合水-有机电解质的可燃性</w:t>
        </w:r>
      </w:hyperlink>
    </w:p>
    <w:p>
      <w:pPr>
        <w:spacing w:before="0" w:after="80"/>
      </w:pPr>
      <w:r>
        <w:rPr>
          <w:i/>
          <w:sz w:val="20"/>
        </w:rPr>
        <w:t>EN: When structure controls flammability in hybrid aqueous-organic electrolytes</w:t>
      </w:r>
    </w:p>
    <w:p>
      <w:pPr>
        <w:spacing w:before="0" w:after="120"/>
      </w:pPr>
      <w:r>
        <w:rPr>
          <w:b/>
        </w:rPr>
        <w:t xml:space="preserve">Source: </w:t>
      </w:r>
      <w:r>
        <w:t>Joule</w:t>
      </w:r>
      <w:r>
        <w:t xml:space="preserve">    </w:t>
      </w:r>
      <w:r>
        <w:rPr>
          <w:b/>
        </w:rPr>
        <w:t xml:space="preserve">Pub date: </w:t>
      </w:r>
      <w:r>
        <w:t>2026-03-23 00:00:00+00:00</w:t>
      </w:r>
      <w:r>
        <w:t xml:space="preserve">    </w:t>
      </w:r>
      <w:r>
        <w:rPr>
          <w:b/>
        </w:rPr>
        <w:t xml:space="preserve">DOI: </w:t>
      </w:r>
      <w:hyperlink r:id="rId101">
        <w:r>
          <w:rPr>
            <w:color w:val="1155CC"/>
            <w:u w:val="single"/>
          </w:rPr>
          <w:t>10.1016/j.joule.2026.102356</w:t>
        </w:r>
      </w:hyperlink>
    </w:p>
    <w:p>
      <w:pPr>
        <w:spacing w:before="0" w:after="120"/>
      </w:pPr>
      <w:r>
        <w:rPr>
          <w:b/>
        </w:rPr>
        <w:t xml:space="preserve">Notes: </w:t>
      </w:r>
      <w:r>
        <w:t>abstract_source=rss_cell</w:t>
      </w:r>
    </w:p>
    <w:p>
      <w:pPr>
        <w:spacing w:before="0" w:after="80" w:lineRule="auto" w:line="276"/>
      </w:pPr>
      <w:r>
        <w:rPr>
          <w:b/>
        </w:rPr>
        <w:t xml:space="preserve">摘要（ZH）: </w:t>
      </w:r>
      <w:r>
        <w:t>许多混合水-有机电解质在定性测试中被报道为不可燃。闪点测量显示，一些先前报道为不可燃的电解质在现实条件下可能会点燃。这项工作表明，局部溶剂-溶质相互作用和微观结构，而不是电解质组成，控制了可燃性。分子相互作用与电解质可燃性之间的联系被用来创建设计规则，以在不影响性能的情况下降低混合电解质的可燃性。</w:t>
      </w:r>
    </w:p>
    <w:p>
      <w:pPr>
        <w:spacing w:before="0" w:after="200" w:lineRule="auto" w:line="276"/>
      </w:pPr>
      <w:r>
        <w:rPr>
          <w:b/>
        </w:rPr>
        <w:t xml:space="preserve">Abstract (EN): </w:t>
      </w:r>
      <w:r>
        <w:t>Many hybrid aqueous-organic electrolytes have been reported to be nonflammable based on qualitative testing. Flash point measurement shows that some electrolytes that were previously reported to be nonflammable can ignite under realistic conditions. This work shows that local solvent-solute interaction and microstructure, as opposed to electrolyte composition, control flammability. The link between molecular interactions and electrolyte flammability was used to create design rules for reducing the flammability of hybrid electrolytes without compromising performance.</w:t>
      </w:r>
    </w:p>
    <w:p>
      <w:pPr>
        <w:spacing w:before="120" w:after="120"/>
      </w:pPr>
      <w:r>
        <w:rPr>
          <w:sz w:val="18"/>
        </w:rPr>
        <w:t>——————————————————————————————————————————————————————————————————————</w:t>
      </w:r>
    </w:p>
    <w:p>
      <w:pPr>
        <w:spacing w:before="160" w:after="40" w:line="240" w:lineRule="auto"/>
      </w:pPr>
      <w:r>
        <w:rPr>
          <w:b/>
        </w:rPr>
        <w:t xml:space="preserve">[4] </w:t>
      </w:r>
      <w:hyperlink r:id="rId102">
        <w:r>
          <w:rPr>
            <w:color w:val="1155CC"/>
            <w:u w:val="single"/>
          </w:rPr>
          <w:t>色散力诱导的偶极-偶极相互作用及其对锂离子电池溶剂化化学的影响</w:t>
        </w:r>
      </w:hyperlink>
    </w:p>
    <w:p>
      <w:pPr>
        <w:spacing w:before="0" w:after="80"/>
      </w:pPr>
      <w:r>
        <w:rPr>
          <w:i/>
          <w:sz w:val="20"/>
        </w:rPr>
        <w:t>EN: Dispersion‐Force‐Induced Dipole–Dipole Interaction and Its Effects on Solvation Chemistry of Lithium‐Ion Batteries</w:t>
      </w:r>
    </w:p>
    <w:p>
      <w:pPr>
        <w:spacing w:before="0" w:after="120"/>
      </w:pPr>
      <w:r>
        <w:rPr>
          <w:b/>
        </w:rPr>
        <w:t xml:space="preserve">Source: </w:t>
      </w:r>
      <w:r>
        <w:t>Wiley: Advanced Energy Materials: Table of Contents</w:t>
      </w:r>
      <w:r>
        <w:t xml:space="preserve">    </w:t>
      </w:r>
      <w:r>
        <w:rPr>
          <w:b/>
        </w:rPr>
        <w:t xml:space="preserve">Pub date: </w:t>
      </w:r>
      <w:r>
        <w:t>2026-03-23 05:27:11+00:00</w:t>
      </w:r>
      <w:r>
        <w:t xml:space="preserve">    </w:t>
      </w:r>
      <w:r>
        <w:rPr>
          <w:b/>
        </w:rPr>
        <w:t xml:space="preserve">DOI: </w:t>
      </w:r>
      <w:hyperlink r:id="rId103">
        <w:r>
          <w:rPr>
            <w:color w:val="1155CC"/>
            <w:u w:val="single"/>
          </w:rPr>
          <w:t>10.1002/aenm.70861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弱溶剂化电解质（WSEs）具有快速的Li+去溶剂化能力，对于锂离子电池在零下温度下的稳定运行至关重要。由于Li+与偶极之间的相互作用较弱，由偶极-偶极（d-d）相互作用介导的范德华力可能影响电解质的溶剂化结构和去溶剂化动力学。通过在传统碳酸酯电解质中用二氟乙烯碳酸酯（DFEC）或氟乙烯碳酸酯（FEC）替代乙烯碳酸酯（EC），我们研究了d-d相互作用，特别是感应力和分散力，在调节氟碳酸酯基溶剂化结构和（电）化学性质中的作用。</w:t>
      </w:r>
    </w:p>
    <w:p>
      <w:pPr>
        <w:spacing w:before="0" w:after="200" w:lineRule="auto" w:line="276"/>
      </w:pPr>
      <w:r>
        <w:rPr>
          <w:b/>
        </w:rPr>
        <w:t xml:space="preserve">Abstract (EN): </w:t>
      </w:r>
      <w:r>
        <w:t>Weakly‐solvated electrolytes (WSEs) with rapid Li</w:t>
      </w:r>
      <w:r>
        <w:t xml:space="preserve"> </w:t>
      </w:r>
      <w:r>
        <w:t>+</w:t>
      </w:r>
      <w:r>
        <w:t xml:space="preserve"> </w:t>
      </w:r>
      <w:r>
        <w:t>desolvation are crucial for the stable operation of lithium‐ion batteries at subzero temperatures. Due to the weak Li</w:t>
      </w:r>
      <w:r>
        <w:t xml:space="preserve"> </w:t>
      </w:r>
      <w:r>
        <w:t>+</w:t>
      </w:r>
      <w:r>
        <w:t xml:space="preserve"> </w:t>
      </w:r>
      <w:r>
        <w:t>‐dipole interaction, van der Waals forces mediated by dipole–dipole (d–d) interactions could influence electrolyte solvation structure and desolvation kinetics. By replacing ethylene carbonate (EC) with difluoroethylene carbonate (DFEC) or fluoroethylene carbonate (FEC) in a conventional carbonate electrolyte, we investigated the role of d–d interaction, particularly inductive and dispersion forces, in regulating the solvation structure and (electro)chemical properties of a fluorocarbonate‐based WSE. DFEC exhibits inductive forces similar to those of FEC, yet exerts much stronger dispersion forces on linear carbonate molecules due to its greater molecular polarizability. Consequently, electrons redistribute toward the carbonyl oxygen atom of linear carbonates, and hydrogen atoms shift toward DFEC, as is verified by</w:t>
      </w:r>
      <w:r>
        <w:rPr>
          <w:vertAlign w:val="subscript"/>
        </w:rPr>
        <w:t>17</w:t>
      </w:r>
      <w:r>
        <w:t>O nuclear magnetic resonance spectroscopy and liquid‐phase time‐of‐flight secondary ion mass spectrometry. Much enhanced Li</w:t>
      </w:r>
      <w:r>
        <w:t xml:space="preserve"> </w:t>
      </w:r>
      <w:r>
        <w:t>+</w:t>
      </w:r>
      <w:r>
        <w:t xml:space="preserve"> </w:t>
      </w:r>
      <w:r>
        <w:t>‐carbonate coordination further results in a high ionization degree yet sluggish desolvation kinetics of DFEC‐based WSE. In contrast, FEC‐based WSEs restore balanced weakly‐solvated behavior and lead to much improved battery performance at −20°C and −40°C. This study provides new insights into electrolyte chemistry and establishes general design principles for electrolytes capable of working under extreme conditions.</w:t>
      </w:r>
    </w:p>
    <w:p>
      <w:pPr>
        <w:spacing w:before="120" w:after="120"/>
      </w:pPr>
      <w:r>
        <w:rPr>
          <w:sz w:val="18"/>
        </w:rPr>
        <w:t>——————————————————————————————————————————————————————————————————————</w:t>
      </w:r>
    </w:p>
    <w:p>
      <w:pPr>
        <w:spacing w:before="160" w:after="40" w:line="240" w:lineRule="auto"/>
      </w:pPr>
      <w:r>
        <w:rPr>
          <w:b/>
        </w:rPr>
        <w:t xml:space="preserve">[5] </w:t>
      </w:r>
      <w:hyperlink r:id="rId104">
        <w:r>
          <w:rPr>
            <w:color w:val="1155CC"/>
            <w:u w:val="single"/>
          </w:rPr>
          <w:t>[ASAP] 通过压缩溶剂化结构的无氟电解质实现的锂硫电池</w:t>
        </w:r>
      </w:hyperlink>
    </w:p>
    <w:p>
      <w:pPr>
        <w:spacing w:before="0" w:after="80"/>
      </w:pPr>
      <w:r>
        <w:rPr>
          <w:i/>
          <w:sz w:val="20"/>
        </w:rPr>
        <w:t>EN: [ASAP] Lithium–Sulfur Batteries Enabled by Fluorine-Free Electrolytes with a Compressed Solvation Structure</w:t>
      </w:r>
    </w:p>
    <w:p>
      <w:pPr>
        <w:spacing w:before="0" w:after="120"/>
      </w:pPr>
      <w:r>
        <w:rPr>
          <w:b/>
        </w:rPr>
        <w:t xml:space="preserve">Source: </w:t>
      </w:r>
      <w:r>
        <w:t>ACS Energy Letters: Latest Articles (ACS Publications)</w:t>
      </w:r>
      <w:r>
        <w:t xml:space="preserve">    </w:t>
      </w:r>
      <w:r>
        <w:rPr>
          <w:b/>
        </w:rPr>
        <w:t xml:space="preserve">Pub date: </w:t>
      </w:r>
      <w:r>
        <w:t>2026-03-23 17:19:48+00:00</w:t>
      </w:r>
      <w:r>
        <w:t xml:space="preserve">    </w:t>
      </w:r>
      <w:r>
        <w:rPr>
          <w:b/>
        </w:rPr>
        <w:t xml:space="preserve">DOI: </w:t>
      </w:r>
      <w:hyperlink r:id="rId105">
        <w:r>
          <w:rPr>
            <w:color w:val="1155CC"/>
            <w:u w:val="single"/>
          </w:rPr>
          <w:t>10.1021/acsenergylett.6c00462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89">
        <w:r>
          <w:rPr>
            <w:color w:val="1155CC"/>
            <w:u w:val="single"/>
          </w:rPr>
          <w:t>迈向安全高效的能量存储：无枝晶钠金属电池的进展与挑战</w:t>
        </w:r>
      </w:hyperlink>
    </w:p>
    <w:p>
      <w:pPr>
        <w:spacing w:before="0" w:after="80"/>
      </w:pPr>
      <w:r>
        <w:rPr>
          <w:i/>
          <w:sz w:val="20"/>
        </w:rPr>
        <w:t>EN: Toward Safe and Efficient Energy Storage: Progress and Challenges of Dendrite‐Free Sodium Metal Batteries</w:t>
      </w:r>
    </w:p>
    <w:p>
      <w:pPr>
        <w:spacing w:before="0" w:after="120"/>
      </w:pPr>
      <w:r>
        <w:rPr>
          <w:b/>
        </w:rPr>
        <w:t xml:space="preserve">Source: </w:t>
      </w:r>
      <w:r>
        <w:t>Wiley: Advanced Energy Materials: Table of Contents</w:t>
      </w:r>
      <w:r>
        <w:t xml:space="preserve">    </w:t>
      </w:r>
      <w:r>
        <w:rPr>
          <w:b/>
        </w:rPr>
        <w:t xml:space="preserve">Pub date: </w:t>
      </w:r>
      <w:r>
        <w:t>2026-03-24 10:28:00+00:00</w:t>
      </w:r>
      <w:r>
        <w:t xml:space="preserve">    </w:t>
      </w:r>
      <w:r>
        <w:rPr>
          <w:b/>
        </w:rPr>
        <w:t xml:space="preserve">DOI: </w:t>
      </w:r>
      <w:hyperlink r:id="rId90">
        <w:r>
          <w:rPr>
            <w:color w:val="1155CC"/>
            <w:u w:val="single"/>
          </w:rPr>
          <w:t>10.1002/aenm.70866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钠金属电池（SMB）和无阳极钠金属电池（AFSMB）由于其高能量密度和成本等优势，被认为是下一代储能技术的关键候选者。然而，其实际应用仍然受到Na阳极界面热力学不稳定性和动力学限制的复杂相互作用的根本挑战。超越传统的孤立方法来抑制枝晶，本综述提出了一种整合电解质工程、界面控制和结构架构的整体设计理念。我们从分子水平的液体和固体电解质中的溶剂化结构，批判性地剖析了控制钠沉积的电化学机械相互作用</w:t>
      </w:r>
    </w:p>
    <w:p>
      <w:pPr>
        <w:spacing w:before="0" w:after="200" w:lineRule="auto" w:line="276"/>
      </w:pPr>
      <w:r>
        <w:rPr>
          <w:b/>
        </w:rPr>
        <w:t xml:space="preserve">Abstract (EN): </w:t>
      </w:r>
      <w:r>
        <w:t>Sodium metal batteries (SMB) and anode‐free sodium metal batteries (AFSMB) are considered as a key candidate for next‐generation energy storage technologies due to their advantages, such as high energy density and cost. However, their practical implementation remains fundamentally challenged by the complex interplay of thermodynamic instability and kinetic limitations at the Na anode interface. Moving beyond conventional, isolated approaches to dendrite suppression, this review presents a holistic design philosophy that integrates electrolyte engineering, interfacial control, and structural architecture. We critically dissect the electro‐chemo‐mechanical interplay governing sodium deposition, from the molecular level solvation structures in liquid and solid electrolytes to the nanoscale properties of the SEI and the three dimensional of current collectors. A dedicated analysis of external field regulation further reveals the profound impact of thermal and pressure management on plating homogeneity. By synthesizing these cross‐cutting strategies, we construct a coherent framework that links fundamental mechanisms to practical cell design. Finally, we pinpoint persistent scientific gaps and outline emerging paradigms, including advanced in‐situ diagnostics and AI‐guided materials discovery, to illuminate the path toward intrinsically safe and commercially viable sodium metal batteries.</w:t>
      </w:r>
    </w:p>
    <w:p>
      <w:pPr>
        <w:spacing w:before="120" w:after="120"/>
      </w:pPr>
      <w:r>
        <w:rPr>
          <w:sz w:val="18"/>
        </w:rPr>
        <w:t>——————————————————————————————————————————————————————————————————————</w:t>
      </w:r>
    </w:p>
    <w:p>
      <w:pPr>
        <w:spacing w:before="160" w:after="40" w:line="240" w:lineRule="auto"/>
      </w:pPr>
      <w:r>
        <w:rPr>
          <w:b/>
        </w:rPr>
        <w:t xml:space="preserve">[7] </w:t>
      </w:r>
      <w:hyperlink r:id="rId93">
        <w:r>
          <w:rPr>
            <w:color w:val="1155CC"/>
            <w:u w:val="single"/>
          </w:rPr>
          <w:t>界面自优化实现水凝胶电解质中稳定的镁阳极</w:t>
        </w:r>
      </w:hyperlink>
    </w:p>
    <w:p>
      <w:pPr>
        <w:spacing w:before="0" w:after="80"/>
      </w:pPr>
      <w:r>
        <w:rPr>
          <w:i/>
          <w:sz w:val="20"/>
        </w:rPr>
        <w:t>EN: Interphase Self‐Optimization Enables Stable Magnesium Anode in Hydrogel Electrolyte</w:t>
      </w:r>
    </w:p>
    <w:p>
      <w:pPr>
        <w:spacing w:before="0" w:after="120"/>
      </w:pPr>
      <w:r>
        <w:rPr>
          <w:b/>
        </w:rPr>
        <w:t xml:space="preserve">Source: </w:t>
      </w:r>
      <w:r>
        <w:t>Wiley: Advanced Materials: Table of Contents</w:t>
      </w:r>
      <w:r>
        <w:t xml:space="preserve">    </w:t>
      </w:r>
      <w:r>
        <w:rPr>
          <w:b/>
        </w:rPr>
        <w:t xml:space="preserve">Pub date: </w:t>
      </w:r>
      <w:r>
        <w:t>2026-03-24 12:44:52+00:00</w:t>
      </w:r>
      <w:r>
        <w:t xml:space="preserve">    </w:t>
      </w:r>
      <w:r>
        <w:rPr>
          <w:b/>
        </w:rPr>
        <w:t xml:space="preserve">DOI: </w:t>
      </w:r>
      <w:hyperlink r:id="rId94">
        <w:r>
          <w:rPr>
            <w:color w:val="1155CC"/>
            <w:u w:val="single"/>
          </w:rPr>
          <w:t>10.1002/adma.72904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镁金属是一种有前途的高能量和成本效益的水系电池阳极材料，但与腐蚀反应和表面钝化相关的问题比常研究的金属如锌更为严重。目前的策略要么依赖于通过牺牲活性金属来积极溶解腐蚀产物，要么尝试抑制钝化但效果有限。在这项工作中，通过配制三齿螯合剂和MgCl2基水凝胶电解质，触发了镁阳极表面自优化界面的动态演变。在阳极-电解质界面，螯合剂介导的溶剂化减轻了水引起的寄生反应，动力学上使</w:t>
      </w:r>
    </w:p>
    <w:p>
      <w:pPr>
        <w:spacing w:before="0" w:after="200" w:lineRule="auto" w:line="276"/>
      </w:pPr>
      <w:r>
        <w:rPr>
          <w:b/>
        </w:rPr>
        <w:t xml:space="preserve">Abstract (EN): </w:t>
      </w:r>
      <w:r>
        <w:t>Magnesium metal is a promising anode material for high‐energy and cost‐effective aqueous batteries, but the issue associated with corrosion reaction and surface passivation is more severe than the commonly studied metals such as Zn. Current strategies either rely on aggressively dissolving corrosion products with the sacrifice of active metal or attempt to suppress passivation with limited effect. In this work, a dynamic evolution of a self‐optimized interphase on the Mg anode surface is triggered through formulating a tridentate chelant and MgCl</w:t>
      </w:r>
      <w:r>
        <w:rPr>
          <w:vertAlign w:val="subscript"/>
        </w:rPr>
        <w:t>2</w:t>
      </w:r>
      <w:r>
        <w:t>based hydrogel electrolyte. At the anode‐electrolyte interface, chelant‐mediated solvation mitigates the water‐induced parasitic reactions, kinetically enabling a complete conversion of the MgO byproduct into a magnesium oxychloride interphase. This interphase is dynamic stable and Mg</w:t>
      </w:r>
      <w:r>
        <w:t xml:space="preserve"> </w:t>
      </w:r>
      <w:r>
        <w:t>2+</w:t>
      </w:r>
      <w:r>
        <w:t xml:space="preserve"> </w:t>
      </w:r>
      <w:r>
        <w:t>‐conductive, rendering reversible Mg plating/stripping for over 600 h at 0.1 mA cm</w:t>
      </w:r>
      <w:r>
        <w:t xml:space="preserve"> </w:t>
      </w:r>
      <w:r>
        <w:t>−2</w:t>
      </w:r>
      <w:r>
        <w:t xml:space="preserve"> </w:t>
      </w:r>
      <w:r>
        <w:t>in symmetric cells. Furthermore, 2 V‐class hybrid cells by paring the Mg anode with three different cathodes show stable charges and discharges up to 500 cycles (capacity retention is 69%).</w:t>
      </w:r>
    </w:p>
    <w:p>
      <w:pPr>
        <w:spacing w:before="120" w:after="120"/>
      </w:pPr>
      <w:r>
        <w:rPr>
          <w:sz w:val="18"/>
        </w:rPr>
        <w:t>——————————————————————————————————————————————————————————————————————</w:t>
      </w:r>
    </w:p>
    <w:p>
      <w:pPr>
        <w:spacing w:before="160" w:after="40" w:line="240" w:lineRule="auto"/>
      </w:pPr>
      <w:r>
        <w:rPr>
          <w:b/>
        </w:rPr>
        <w:t xml:space="preserve">[8] </w:t>
      </w:r>
      <w:hyperlink r:id="rId70">
        <w:r>
          <w:rPr>
            <w:color w:val="1155CC"/>
            <w:u w:val="single"/>
          </w:rPr>
          <w:t>[ASAP] 单晶NMC在固态电池中体离子动力学的界面动力学作用</w:t>
        </w:r>
      </w:hyperlink>
    </w:p>
    <w:p>
      <w:pPr>
        <w:spacing w:before="0" w:after="80"/>
      </w:pPr>
      <w:r>
        <w:rPr>
          <w:i/>
          <w:sz w:val="20"/>
        </w:rPr>
        <w:t>EN: [ASAP] Role of Interfacial Dynamics in Bulk Ion Dynamics of Single Crystal NMC in Solid State Batteries</w:t>
      </w:r>
    </w:p>
    <w:p>
      <w:pPr>
        <w:spacing w:before="0" w:after="120"/>
      </w:pPr>
      <w:r>
        <w:rPr>
          <w:b/>
        </w:rPr>
        <w:t xml:space="preserve">Source: </w:t>
      </w:r>
      <w:r>
        <w:t>ACS Energy Letters: Latest Articles (ACS Publications)</w:t>
      </w:r>
      <w:r>
        <w:t xml:space="preserve">    </w:t>
      </w:r>
      <w:r>
        <w:rPr>
          <w:b/>
        </w:rPr>
        <w:t xml:space="preserve">Pub date: </w:t>
      </w:r>
      <w:r>
        <w:t>2026-03-24 18:43:10+00:00</w:t>
      </w:r>
      <w:r>
        <w:t xml:space="preserve">    </w:t>
      </w:r>
      <w:r>
        <w:rPr>
          <w:b/>
        </w:rPr>
        <w:t xml:space="preserve">DOI: </w:t>
      </w:r>
      <w:hyperlink r:id="rId71">
        <w:r>
          <w:rPr>
            <w:color w:val="1155CC"/>
            <w:u w:val="single"/>
          </w:rPr>
          <w:t>10.1021/acsenergylett.5c03652</w:t>
        </w:r>
      </w:hyperlink>
    </w:p>
    <w:p>
      <w:pPr>
        <w:spacing w:before="0" w:after="120"/>
      </w:pPr>
      <w:r>
        <w:rPr>
          <w:b/>
        </w:rPr>
        <w:t xml:space="preserve">Notes: </w:t>
      </w:r>
      <w:r>
        <w:t>abstract_source=openalex</w:t>
      </w:r>
    </w:p>
    <w:p>
      <w:pPr>
        <w:spacing w:before="0" w:after="80" w:lineRule="auto" w:line="276"/>
      </w:pPr>
      <w:r>
        <w:rPr>
          <w:b/>
        </w:rPr>
        <w:t xml:space="preserve">摘要（ZH）: </w:t>
      </w:r>
      <w:r>
        <w:t>高镍含量的NMC正极具有高能量密度和较低成本，但在液体和固体电解质（LEs和SEs）中以&gt;4.2 V vs Li循环时，初始库仑效率低、倍率性能差和循环稳定性差。在全固态电池中，这些问题因NMC与SE之间的额外界面寄生反应而加剧，该反应控制了体相离子动力学，并依赖于SE的类型和工作电压。在此，我们研究了界面反应性如何通过荷电状态（SOC）分辨、温度分辨XRD方法以及在相同条件下直接卤化物（Li3YCl6）与硫化物（Li6PS5Cl）比较影响粒子内Li离子动力学、疲劳相形成和演变。</w:t>
      </w:r>
    </w:p>
    <w:p>
      <w:pPr>
        <w:spacing w:before="0" w:after="200" w:lineRule="auto" w:line="276"/>
      </w:pPr>
      <w:r>
        <w:rPr>
          <w:b/>
        </w:rPr>
        <w:t xml:space="preserve">Abstract (EN): </w:t>
      </w:r>
      <w:r>
        <w:t>The NMC cathode with high Ni content has high energy density with a lower cost, but it suffers from lower initial Coulombic efficiency, poor rate capability, and cyclic stability when cycled at &gt;4.2 V vs Li in both liquid and solid electrolytes (LEs and SEs). In all solid-state batteries, these issues are aggravated by the additional interfacial parasitic reaction between the NMC and the SE, which governs the bulk ion dynamics and is dependent on the type of SE and the operating voltage. Here, we have studied how the interfacial reactivity affects intraparticle Li ion dynamics, fatigue phase formation, and evolution by a state of charge (SOC)-resolved, temperature-resolved XRD approach and direct halide (Li3YCl6) vs sulfide (Li6PS5Cl) comparison under identical conditions in sc-NMC particles. DSC, TGA, and ex-situ XPS were performed to explore the interfacial reactivity. We show that Li6PS5Cl is more reactive with NMC; consequently, the fatigue phase evolves, even at the first cycle charge. The reactivity and hence fatigue phase formation are enhanced with increasing SOC. With Li3YCl6 as the catholyte, the fatigue phase formation is minimal during the first cycle charge, and it mitigates the chemical/thermal instability of the charged cathode. Overall, our results indicate the formation of a bulk fatigue phase in sc-NMC as a critical factor, alongside interfacial impedance and a chemomechanic effect contributing to capacity fading in all solid-state batteries. Additionally, the halide electrolytes can mitigate interfacial reactions and consequently prevent the formation of the fatigue phase, thereby enhancing cycle longevity.</w:t>
      </w:r>
    </w:p>
    <w:p>
      <w:pPr>
        <w:spacing w:before="120" w:after="120"/>
      </w:pPr>
      <w:r>
        <w:rPr>
          <w:sz w:val="18"/>
        </w:rPr>
        <w:t>——————————————————————————————————————————————————————————————————————</w:t>
      </w:r>
    </w:p>
    <w:p>
      <w:pPr>
        <w:spacing w:before="160" w:after="40" w:line="240" w:lineRule="auto"/>
      </w:pPr>
      <w:r>
        <w:rPr>
          <w:b/>
        </w:rPr>
        <w:t xml:space="preserve">[9] </w:t>
      </w:r>
      <w:hyperlink r:id="rId106">
        <w:r>
          <w:rPr>
            <w:color w:val="1155CC"/>
            <w:u w:val="single"/>
          </w:rPr>
          <w:t>电化学腐蚀伴随固体电解质中的枝晶生长</w:t>
        </w:r>
      </w:hyperlink>
    </w:p>
    <w:p>
      <w:pPr>
        <w:spacing w:before="0" w:after="80"/>
      </w:pPr>
      <w:r>
        <w:rPr>
          <w:i/>
          <w:sz w:val="20"/>
        </w:rPr>
        <w:t>EN: Electrochemical corrosion accompanies dendrite growth in solid electrolytes</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107">
        <w:r>
          <w:rPr>
            <w:color w:val="1155CC"/>
            <w:u w:val="single"/>
          </w:rPr>
          <w:t>10.1038/s41586-026-10279-z</w:t>
        </w:r>
      </w:hyperlink>
    </w:p>
    <w:p>
      <w:pPr>
        <w:spacing w:before="0" w:after="120"/>
      </w:pPr>
      <w:r>
        <w:rPr>
          <w:b/>
        </w:rPr>
        <w:t xml:space="preserve">Notes: </w:t>
      </w:r>
      <w:r>
        <w:t>abstract_source=nature_html</w:t>
      </w:r>
    </w:p>
    <w:p>
      <w:pPr>
        <w:spacing w:before="0" w:after="80" w:lineRule="auto" w:line="276"/>
      </w:pPr>
      <w:r>
        <w:rPr>
          <w:b/>
        </w:rPr>
        <w:t xml:space="preserve">摘要（ZH）: </w:t>
      </w:r>
      <w:r>
        <w:t>固态电池使用金属负极的充电速率、循环性能和安全性通常受到枝晶的限制1,2,3，其生长取决于电化学和机械驱动力之间的耦合。此前，人们假设当镀层引起的应力达到固体电解质的断裂应力时，枝晶会传播。我们在此展示枝晶可以在远低于此应力的情况下传播。使用原位双折射显微镜4，我们直接测量了在高度稳定的固体电解质Li6.6La3Zr1.6Ta0.4O12中生长的枝晶周围的应力5,6,7。镀层引起的应力在整个生长过程中存在，并接近最慢生长枝晶的机械断裂应力。随着电流密度和枝晶速度的增加，</w:t>
      </w:r>
    </w:p>
    <w:p>
      <w:pPr>
        <w:spacing w:before="0" w:after="200" w:lineRule="auto" w:line="276"/>
      </w:pPr>
      <w:r>
        <w:rPr>
          <w:b/>
        </w:rPr>
        <w:t xml:space="preserve">Abstract (EN): </w:t>
      </w:r>
      <w:r>
        <w:t>Charging rates, cycling performance and safety of solid-state batteries using metal negative electrodes are often limited by dendrites1,2,3, the growth of which depends on coupling between electrochemical and mechanical driving forces. Previously, it has been assumed that dendrites propagate when plating-induced stresses reach the fracture stress of the solid electrolyte. Here we show that dendrites can propagate at far lower stresses. Using operando birefringence microscopy4, we directly measure stresses around growing dendrites in garnet Li6.6La3Zr1.6Ta0.4O12, a highly stable solid electrolyte5,6,7. Plating-induced stresses are present throughout growth and approach the mechanical fracture stress for the slowest-growing dendrites. As current densities and dendrite velocities increase, the stresses accompanying dendrite growth surprisingly decrease, with dendrite propagation occurring at stresses up to 75% lower than under mechanical load alone. Cryogenic scanning transmission electron microscopy (STEM) of dendrites propagated at high current reveals electrolyte decomposition to new phases, associated with which is a net molar volume contraction. The electrochemically induced mode of embrittlement may be mitigated through understanding and control of the nature of phase transitions accompanying instability.</w:t>
      </w:r>
    </w:p>
    <w:p>
      <w:pPr>
        <w:spacing w:before="120" w:after="120"/>
      </w:pPr>
      <w:r>
        <w:rPr>
          <w:sz w:val="18"/>
        </w:rPr>
        <w:t>——————————————————————————————————————————————————————————————————————</w:t>
      </w:r>
    </w:p>
    <w:p>
      <w:pPr>
        <w:spacing w:before="160" w:after="40" w:line="240" w:lineRule="auto"/>
      </w:pPr>
      <w:r>
        <w:rPr>
          <w:b/>
        </w:rPr>
        <w:t xml:space="preserve">[10] </w:t>
      </w:r>
      <w:hyperlink r:id="rId108">
        <w:r>
          <w:rPr>
            <w:color w:val="1155CC"/>
            <w:u w:val="single"/>
          </w:rPr>
          <w:t>不对称体积用于高能量密度快速充电钠金属电池</w:t>
        </w:r>
      </w:hyperlink>
    </w:p>
    <w:p>
      <w:pPr>
        <w:spacing w:before="0" w:after="80"/>
      </w:pPr>
      <w:r>
        <w:rPr>
          <w:i/>
          <w:sz w:val="20"/>
        </w:rPr>
        <w:t>EN: Asymmetric bulk toward energy-dense fast-charging sodium metal batteries</w:t>
      </w:r>
    </w:p>
    <w:p>
      <w:pPr>
        <w:spacing w:before="0" w:after="120"/>
      </w:pPr>
      <w:r>
        <w:rPr>
          <w:b/>
        </w:rPr>
        <w:t xml:space="preserve">Source: </w:t>
      </w:r>
      <w:r>
        <w:t>Joule</w:t>
      </w:r>
      <w:r>
        <w:t xml:space="preserve">    </w:t>
      </w:r>
      <w:r>
        <w:rPr>
          <w:b/>
        </w:rPr>
        <w:t xml:space="preserve">Pub date: </w:t>
      </w:r>
      <w:r>
        <w:t>2026-03-25 00:00:00+00:00</w:t>
      </w:r>
      <w:r>
        <w:t xml:space="preserve">    </w:t>
      </w:r>
      <w:r>
        <w:rPr>
          <w:b/>
        </w:rPr>
        <w:t xml:space="preserve">DOI: </w:t>
      </w:r>
      <w:hyperlink r:id="rId109">
        <w:r>
          <w:rPr>
            <w:color w:val="1155CC"/>
            <w:u w:val="single"/>
          </w:rPr>
          <w:t>10.1016/j.joule.2026.102354</w:t>
        </w:r>
      </w:hyperlink>
    </w:p>
    <w:p>
      <w:pPr>
        <w:spacing w:before="0" w:after="120"/>
      </w:pPr>
      <w:r>
        <w:rPr>
          <w:b/>
        </w:rPr>
        <w:t xml:space="preserve">Notes: </w:t>
      </w:r>
      <w:r>
        <w:t>abstract_source=rss_cell</w:t>
      </w:r>
    </w:p>
    <w:p>
      <w:pPr>
        <w:spacing w:before="0" w:after="80" w:lineRule="auto" w:line="276"/>
      </w:pPr>
      <w:r>
        <w:rPr>
          <w:b/>
        </w:rPr>
        <w:t xml:space="preserve">摘要（ZH）: </w:t>
      </w:r>
      <w:r>
        <w:t>Zhang等人提出了一种不对称隔膜，通过促进Na+在体相中的逐步脱溶来降低成核障碍，并引导无机富集固态电解质界面的形成，从而减少钠金属电池中的成核障碍。通过引入这种不对称隔膜，他们为高能量密度快速充电钠金属电池提供了一种合理的策略。</w:t>
      </w:r>
    </w:p>
    <w:p>
      <w:pPr>
        <w:spacing w:before="0" w:after="200" w:lineRule="auto" w:line="276"/>
      </w:pPr>
      <w:r>
        <w:rPr>
          <w:b/>
        </w:rPr>
        <w:t xml:space="preserve">Abstract (EN): </w:t>
      </w:r>
      <w:r>
        <w:t>Zhang et al. propose an asymmetric separator that reduces nucleation barrier by promoting the stepwise desolvation of Na+ in bulk and guides the formation of an inorganic-rich solid electrolyte interphase in sodium metal batteries. By introducing this asymmetric separator, they provide a rational strategy for energy-dense fast-charging sodium metal batteries.</w:t>
      </w:r>
    </w:p>
    <w:p>
      <w:pPr>
        <w:spacing w:before="120" w:after="120"/>
      </w:pPr>
      <w:r>
        <w:rPr>
          <w:sz w:val="18"/>
        </w:rPr>
        <w:t>——————————————————————————————————————————————————————————————————————</w:t>
      </w:r>
    </w:p>
    <w:p>
      <w:pPr>
        <w:spacing w:before="160" w:after="40" w:line="240" w:lineRule="auto"/>
      </w:pPr>
      <w:r>
        <w:rPr>
          <w:b/>
        </w:rPr>
        <w:t xml:space="preserve">[11] </w:t>
      </w:r>
      <w:hyperlink r:id="rId110">
        <w:r>
          <w:rPr>
            <w:color w:val="1155CC"/>
            <w:u w:val="single"/>
          </w:rPr>
          <w:t>无粘结剂、自支撑且高导电性的硫化物电解质实现优越的阳极稳定性（Adv. Mater. 18/2026）</w:t>
        </w:r>
      </w:hyperlink>
    </w:p>
    <w:p>
      <w:pPr>
        <w:spacing w:before="0" w:after="80"/>
      </w:pPr>
      <w:r>
        <w:rPr>
          <w:i/>
          <w:sz w:val="20"/>
        </w:rPr>
        <w:t>EN: Binder‐Free, Self‐Supporting, and Highly Conductive Sulfide Electrolytes Enabling Superior Anode Stability (Adv. Mater. 18/2026)</w:t>
      </w:r>
    </w:p>
    <w:p>
      <w:pPr>
        <w:spacing w:before="0" w:after="120"/>
      </w:pPr>
      <w:r>
        <w:rPr>
          <w:b/>
        </w:rPr>
        <w:t xml:space="preserve">Source: </w:t>
      </w:r>
      <w:r>
        <w:t>Wiley: Advanced Materials: Table of Contents</w:t>
      </w:r>
      <w:r>
        <w:t xml:space="preserve">    </w:t>
      </w:r>
      <w:r>
        <w:rPr>
          <w:b/>
        </w:rPr>
        <w:t xml:space="preserve">Pub date: </w:t>
      </w:r>
      <w:r>
        <w:t>2026-03-25 05:41:45+00:00</w:t>
      </w:r>
      <w:r>
        <w:t xml:space="preserve">    </w:t>
      </w:r>
      <w:r>
        <w:rPr>
          <w:b/>
        </w:rPr>
        <w:t xml:space="preserve">DOI: </w:t>
      </w:r>
      <w:hyperlink r:id="rId111">
        <w:r>
          <w:rPr>
            <w:color w:val="1155CC"/>
            <w:u w:val="single"/>
          </w:rPr>
          <w:t>10.1002/adma.72683</w:t>
        </w:r>
      </w:hyperlink>
    </w:p>
    <w:p>
      <w:pPr>
        <w:spacing w:before="0" w:after="120"/>
      </w:pPr>
      <w:r>
        <w:rPr>
          <w:b/>
        </w:rPr>
        <w:t xml:space="preserve">Notes: </w:t>
      </w:r>
      <w:r>
        <w:t>abstract_source=openalex</w:t>
      </w:r>
    </w:p>
    <w:p>
      <w:pPr>
        <w:spacing w:before="0" w:after="80" w:lineRule="auto" w:line="276"/>
      </w:pPr>
      <w:r>
        <w:rPr>
          <w:b/>
        </w:rPr>
        <w:t xml:space="preserve">摘要（ZH）: </w:t>
      </w:r>
      <w:r>
        <w:t>在他们的研究文章（DOI: 10.1002/adma.202517806）中，Shunsuke Kawaguchi、Takuhiro Miyuki及其同事展示了一种无粘结剂、自支撑的硫化物固体电解质，具有极大减少的晶界，提供了高离子电导率以及显著的机械强度。该膜表现出卓越的锂稳定性和现实的全电池性能，封面视觉突出了这种结构作为一种高度有效的策略，以缓解全固态电池中的关键瓶颈。</w:t>
      </w:r>
    </w:p>
    <w:p>
      <w:pPr>
        <w:spacing w:before="0" w:after="200" w:lineRule="auto" w:line="276"/>
      </w:pPr>
      <w:r>
        <w:rPr>
          <w:b/>
        </w:rPr>
        <w:t xml:space="preserve">Abstract (EN): </w:t>
      </w:r>
      <w:r>
        <w:t>Superior Anode Stability In their Research Article (DOI: 10.1002/adma.202517806), Shunsuke Kawaguchi, Takuhiro Miyuki, and co-workers present a binder-free, self-supporting sulfide solid electrolyte with exceptionally reduced grain boundaries, delivering high ionic conductivity together with remarkable mechanical robustness. The membrane demonstrates outstanding Li stability and realistic full-cell performance, and the cover visual highlights this architecture as a highly effective strategy to mitigate critical bottlenecks in all-solid-state batteries.</w:t>
      </w:r>
    </w:p>
    <w:p>
      <w:pPr>
        <w:spacing w:before="120" w:after="120"/>
      </w:pPr>
      <w:r>
        <w:rPr>
          <w:sz w:val="18"/>
        </w:rPr>
        <w:t>——————————————————————————————————————————————————————————————————————</w:t>
      </w:r>
    </w:p>
    <w:p>
      <w:pPr>
        <w:spacing w:before="160" w:after="40" w:line="240" w:lineRule="auto"/>
      </w:pPr>
      <w:r>
        <w:rPr>
          <w:b/>
        </w:rPr>
        <w:t xml:space="preserve">[12] </w:t>
      </w:r>
      <w:hyperlink r:id="rId112">
        <w:r>
          <w:rPr>
            <w:color w:val="1155CC"/>
            <w:u w:val="single"/>
          </w:rPr>
          <w:t>硫化物基电解质中高电负性阴离子掺杂效应：迈向高电压全固态电池</w:t>
        </w:r>
      </w:hyperlink>
    </w:p>
    <w:p>
      <w:pPr>
        <w:spacing w:before="0" w:after="80"/>
      </w:pPr>
      <w:r>
        <w:rPr>
          <w:i/>
          <w:sz w:val="20"/>
        </w:rPr>
        <w:t>EN: Highly Electronegative Anions Doping Effects in Sulfide‐Based Electrolytes: Toward High‐Voltage All‐Solid‐State Batteries</w:t>
      </w:r>
    </w:p>
    <w:p>
      <w:pPr>
        <w:spacing w:before="0" w:after="120"/>
      </w:pPr>
      <w:r>
        <w:rPr>
          <w:b/>
        </w:rPr>
        <w:t xml:space="preserve">Source: </w:t>
      </w:r>
      <w:r>
        <w:t>Wiley: Advanced Energy Materials: Table of Contents</w:t>
      </w:r>
      <w:r>
        <w:t xml:space="preserve">    </w:t>
      </w:r>
      <w:r>
        <w:rPr>
          <w:b/>
        </w:rPr>
        <w:t xml:space="preserve">Pub date: </w:t>
      </w:r>
      <w:r>
        <w:t>2026-03-25 13:11:44+00:00</w:t>
      </w:r>
      <w:r>
        <w:t xml:space="preserve">    </w:t>
      </w:r>
      <w:r>
        <w:rPr>
          <w:b/>
        </w:rPr>
        <w:t xml:space="preserve">DOI: </w:t>
      </w:r>
      <w:hyperlink r:id="rId113">
        <w:r>
          <w:rPr>
            <w:color w:val="1155CC"/>
            <w:u w:val="single"/>
          </w:rPr>
          <w:t>10.1002/aenm.70855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硫化物基电解质（SEs），特别是 Li3PS4（LPS），在电池循环过程中在电极界面的分解显著阻碍了其在全固态电池（ASSBs）中的实际应用。然而，通过化学键修饰增强SEs的电化学稳定性而不影响其他性能的潜在机制仍不清楚。在此，我们研究了引入高电负性元素Q（Q ═ N, O, F）到LPS中以加强化学键并优化LPSQ电解质中锂离子（Li+）迁移路径的效果。我们的结果显示N</w:t>
      </w:r>
    </w:p>
    <w:p>
      <w:pPr>
        <w:spacing w:before="0" w:after="200" w:lineRule="auto" w:line="276"/>
      </w:pPr>
      <w:r>
        <w:rPr>
          <w:b/>
        </w:rPr>
        <w:t xml:space="preserve">Abstract (EN): </w:t>
      </w:r>
      <w:r>
        <w:t>The decomposition of sulfide‐based electrolytes (SEs), notably Li</w:t>
      </w:r>
      <w:r>
        <w:rPr>
          <w:vertAlign w:val="subscript"/>
        </w:rPr>
        <w:t>3</w:t>
      </w:r>
      <w:r>
        <w:t>PS</w:t>
      </w:r>
      <w:r>
        <w:rPr>
          <w:vertAlign w:val="subscript"/>
        </w:rPr>
        <w:t>4</w:t>
      </w:r>
      <w:r>
        <w:t>(LPS), at the electrode interface during battery cycling significantly hinders their practical application in all‐solid‐state batteries (ASSBs). However, the underlying mechanism through which chemical bonding modification enhances the electrochemical stability of SEs without compromising other properties remains unclear. Herein, we investigate the effect of introducing highly electronegative elements Q (Q ═ N, O, F) into LPS to strengthen chemical bonds and optimize lithium‐ion (Li</w:t>
      </w:r>
      <w:r>
        <w:t xml:space="preserve"> </w:t>
      </w:r>
      <w:r>
        <w:t>+</w:t>
      </w:r>
      <w:r>
        <w:t xml:space="preserve"> </w:t>
      </w:r>
      <w:r>
        <w:t>) migration pathways in LPSQ electrolytes. Our results reveal that N and O facilitate the formation of PS</w:t>
      </w:r>
      <w:r>
        <w:rPr>
          <w:vertAlign w:val="subscript"/>
        </w:rPr>
        <w:t>3</w:t>
      </w:r>
      <w:r>
        <w:t>Q polyanions, whereas F tends to exist as LiF. All LPSQ systems exhibit an extended electrochemical stability window than pristine LPS, substantially enhancing their compatibility with high‐voltage 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(NCM811) cathodes. The strengthened chemical bonding environment further proves beneficial for both electronic and ionic conductivities, leading to superior performance in Li|LPSQ|Li symmetric batteries. Furthermore, by achieving an optimal balance between electronic and ionic conductivity, LPSN enables stable long‐term cycling for over 300 cycles at 1C in LiIn||NCM811 full battery, while maintaining high Coulombic efficiency and minimal interfacial degradation. These findings provide guidelines for dopant selection in SE design and offer perspectives on SE engineering aimed at enhancing the high‐voltage stability of ASSBs.</w:t>
      </w:r>
    </w:p>
    <w:p>
      <w:pPr>
        <w:spacing w:before="120" w:after="120"/>
      </w:pPr>
      <w:r>
        <w:rPr>
          <w:sz w:val="18"/>
        </w:rPr>
        <w:t>——————————————————————————————————————————————————————————————————————</w:t>
      </w:r>
    </w:p>
    <w:p>
      <w:pPr>
        <w:spacing w:before="160" w:after="120"/>
      </w:pPr>
      <w:r>
        <w:rPr>
          <w:b/>
          <w:sz w:val="28"/>
        </w:rPr>
        <w:t>【非活性材料等】</w:t>
      </w:r>
    </w:p>
    <w:p>
      <w:pPr>
        <w:spacing w:before="160" w:after="40" w:line="240" w:lineRule="auto"/>
      </w:pPr>
      <w:r>
        <w:rPr>
          <w:b/>
        </w:rPr>
        <w:t xml:space="preserve">[1] </w:t>
      </w:r>
      <w:hyperlink r:id="rId114">
        <w:r>
          <w:rPr>
            <w:color w:val="1155CC"/>
            <w:u w:val="single"/>
          </w:rPr>
          <w:t>锂离子电池的可持续回收：关于整个电池再生的新兴技术视角</w:t>
        </w:r>
      </w:hyperlink>
    </w:p>
    <w:p>
      <w:pPr>
        <w:spacing w:before="0" w:after="80"/>
      </w:pPr>
      <w:r>
        <w:rPr>
          <w:i/>
          <w:sz w:val="20"/>
        </w:rPr>
        <w:t>EN: Sustainable recycling of Lithium-ion batteries: A perspective on emerging technologies toward entire cell regeneration</w:t>
      </w:r>
    </w:p>
    <w:p>
      <w:pPr>
        <w:spacing w:before="0" w:after="120"/>
      </w:pPr>
      <w:r>
        <w:rPr>
          <w:b/>
        </w:rPr>
        <w:t xml:space="preserve">Source: </w:t>
      </w:r>
      <w:r>
        <w:t>ScienceDirect Publication: Applied Energy</w:t>
      </w:r>
      <w:r>
        <w:t xml:space="preserve">    </w:t>
      </w:r>
      <w:r>
        <w:rPr>
          <w:b/>
        </w:rPr>
        <w:t xml:space="preserve">Pub date: </w:t>
      </w:r>
      <w:r>
        <w:t>2026-03-21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15">
        <w:r>
          <w:rPr>
            <w:color w:val="1155CC"/>
            <w:u w:val="single"/>
          </w:rPr>
          <w:t>宽温锂离子电池：克服极端环境中电化学挑战的材料创新和设计策略</w:t>
        </w:r>
      </w:hyperlink>
    </w:p>
    <w:p>
      <w:pPr>
        <w:spacing w:before="0" w:after="80"/>
      </w:pPr>
      <w:r>
        <w:rPr>
          <w:i/>
          <w:sz w:val="20"/>
        </w:rPr>
        <w:t>EN: Wide-temperature Lithium-ion batteries: Material innovations and design strategies for overcoming electrochemical challenges in extreme environments</w:t>
      </w:r>
    </w:p>
    <w:p>
      <w:pPr>
        <w:spacing w:before="0" w:after="120"/>
      </w:pPr>
      <w:r>
        <w:rPr>
          <w:b/>
        </w:rPr>
        <w:t xml:space="preserve">Source: </w:t>
      </w:r>
      <w:r>
        <w:t>ScienceDirect Publication: Applied Energy</w:t>
      </w:r>
      <w:r>
        <w:t xml:space="preserve">    </w:t>
      </w:r>
      <w:r>
        <w:rPr>
          <w:b/>
        </w:rPr>
        <w:t xml:space="preserve">Pub date: </w:t>
      </w:r>
      <w:r>
        <w:t>2026-03-22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16">
        <w:r>
          <w:rPr>
            <w:color w:val="1155CC"/>
            <w:u w:val="single"/>
          </w:rPr>
          <w:t>锂离子电池电极级老化诊断的阻抗表征：关键综述</w:t>
        </w:r>
      </w:hyperlink>
    </w:p>
    <w:p>
      <w:pPr>
        <w:spacing w:before="0" w:after="80"/>
      </w:pPr>
      <w:r>
        <w:rPr>
          <w:i/>
          <w:sz w:val="20"/>
        </w:rPr>
        <w:t>EN: Impedance characterization for electrode-level aging diagnosis of lithium-ion battery: A critical review</w:t>
      </w:r>
    </w:p>
    <w:p>
      <w:pPr>
        <w:spacing w:before="0" w:after="120"/>
      </w:pPr>
      <w:r>
        <w:rPr>
          <w:b/>
        </w:rPr>
        <w:t xml:space="preserve">Source: </w:t>
      </w:r>
      <w:r>
        <w:t>ScienceDirect Publication: Applied Energy</w:t>
      </w:r>
      <w:r>
        <w:t xml:space="preserve">    </w:t>
      </w:r>
      <w:r>
        <w:rPr>
          <w:b/>
        </w:rPr>
        <w:t xml:space="preserve">Pub date: </w:t>
      </w:r>
      <w:r>
        <w:t>2026-03-22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17">
        <w:r>
          <w:rPr>
            <w:color w:val="1155CC"/>
            <w:u w:val="single"/>
          </w:rPr>
          <w:t>锂离子电池的多物理信息快速充电策略，用于抑制老化和热安全</w:t>
        </w:r>
      </w:hyperlink>
    </w:p>
    <w:p>
      <w:pPr>
        <w:spacing w:before="0" w:after="80"/>
      </w:pPr>
      <w:r>
        <w:rPr>
          <w:i/>
          <w:sz w:val="20"/>
        </w:rPr>
        <w:t>EN: Multi-physics-informed fast charging strategy of lithium-ion batteries for aging suppression and thermal safety</w:t>
      </w:r>
    </w:p>
    <w:p>
      <w:pPr>
        <w:spacing w:before="0" w:after="120"/>
      </w:pPr>
      <w:r>
        <w:rPr>
          <w:b/>
        </w:rPr>
        <w:t xml:space="preserve">Source: </w:t>
      </w:r>
      <w:r>
        <w:t>ScienceDirect Publication: Applied Energy</w:t>
      </w:r>
      <w:r>
        <w:t xml:space="preserve">    </w:t>
      </w:r>
      <w:r>
        <w:rPr>
          <w:b/>
        </w:rPr>
        <w:t xml:space="preserve">Pub date: </w:t>
      </w:r>
      <w:r>
        <w:t>2026-03-24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18">
        <w:r>
          <w:rPr>
            <w:color w:val="1155CC"/>
            <w:u w:val="single"/>
          </w:rPr>
          <w:t>用于锂离子电池内部危害的被动超声探头和通信</w:t>
        </w:r>
      </w:hyperlink>
    </w:p>
    <w:p>
      <w:pPr>
        <w:spacing w:before="0" w:after="80"/>
      </w:pPr>
      <w:r>
        <w:rPr>
          <w:i/>
          <w:sz w:val="20"/>
        </w:rPr>
        <w:t>EN: Passive ultrasonic probe and communication for internal hazards in lithium-ion batteries</w:t>
      </w:r>
    </w:p>
    <w:p>
      <w:pPr>
        <w:spacing w:before="0" w:after="120"/>
      </w:pPr>
      <w:r>
        <w:rPr>
          <w:b/>
        </w:rPr>
        <w:t xml:space="preserve">Source: </w:t>
      </w:r>
      <w:r>
        <w:t>Joule</w:t>
      </w:r>
      <w:r>
        <w:t xml:space="preserve">    </w:t>
      </w:r>
      <w:r>
        <w:rPr>
          <w:b/>
        </w:rPr>
        <w:t xml:space="preserve">Pub date: </w:t>
      </w:r>
      <w:r>
        <w:t>2026-03-25 00:00:00+00:00</w:t>
      </w:r>
      <w:r>
        <w:t xml:space="preserve">    </w:t>
      </w:r>
      <w:r>
        <w:rPr>
          <w:b/>
        </w:rPr>
        <w:t xml:space="preserve">DOI: </w:t>
      </w:r>
      <w:hyperlink r:id="rId119">
        <w:r>
          <w:rPr>
            <w:color w:val="1155CC"/>
            <w:u w:val="single"/>
          </w:rPr>
          <w:t>10.1016/j.joule.2026.102353</w:t>
        </w:r>
      </w:hyperlink>
    </w:p>
    <w:p>
      <w:pPr>
        <w:spacing w:before="0" w:after="120"/>
      </w:pPr>
      <w:r>
        <w:rPr>
          <w:b/>
        </w:rPr>
        <w:t xml:space="preserve">Notes: </w:t>
      </w:r>
      <w:r>
        <w:t>abstract_source=rss_cell</w:t>
      </w:r>
    </w:p>
    <w:p>
      <w:pPr>
        <w:spacing w:before="0" w:after="80" w:lineRule="auto" w:line="276"/>
      </w:pPr>
      <w:r>
        <w:rPr>
          <w:b/>
        </w:rPr>
        <w:t xml:space="preserve">摘要（ZH）: </w:t>
      </w:r>
      <w:r>
        <w:t>本研究提出了一种用于锂离子电池内部监测的无源无线超声探头系统，具有无线、无电路和柔性设计。该系统能够在热失控期间进行原位监测，并识别压力激增作为最早的故障预测指标，促进了锂离子电池安全早期预警系统的发展。</w:t>
      </w:r>
    </w:p>
    <w:p>
      <w:pPr>
        <w:spacing w:before="0" w:after="200" w:lineRule="auto" w:line="276"/>
      </w:pPr>
      <w:r>
        <w:rPr>
          <w:b/>
        </w:rPr>
        <w:t xml:space="preserve">Abstract (EN): </w:t>
      </w:r>
      <w:r>
        <w:t>This study presents a passive wireless ultrasonic probe system for the internal monitoring of lithium-ion batteries, featuring a wireless, circuit-free, and flexible design. The system enables operando monitoring during thermal runaway and identifies pressure surge as the earliest failure predictor, promoting the development of early warning systems for LIB safety.</w:t>
      </w:r>
    </w:p>
    <w:p>
      <w:pPr>
        <w:spacing w:before="120" w:after="120"/>
      </w:pPr>
      <w:r>
        <w:rPr>
          <w:sz w:val="18"/>
        </w:rPr>
        <w:t>——————————————————————————————————————————————————————————————————————</w:t>
      </w:r>
    </w:p>
    <w:p>
      <w:pPr>
        <w:spacing w:before="160" w:after="40" w:line="240" w:lineRule="auto"/>
      </w:pPr>
      <w:r>
        <w:rPr>
          <w:b/>
        </w:rPr>
        <w:t xml:space="preserve">[6] </w:t>
      </w:r>
      <w:hyperlink r:id="rId120">
        <w:r>
          <w:rPr>
            <w:color w:val="1155CC"/>
            <w:u w:val="single"/>
          </w:rPr>
          <w:t>通过直接再煅烧恢复耗尽的层状阴极</w:t>
        </w:r>
      </w:hyperlink>
    </w:p>
    <w:p>
      <w:pPr>
        <w:spacing w:before="0" w:after="80"/>
      </w:pPr>
      <w:r>
        <w:rPr>
          <w:i/>
          <w:sz w:val="20"/>
        </w:rPr>
        <w:t>EN: Restoration of spent layered cathodes via direct recalcination</w:t>
      </w:r>
    </w:p>
    <w:p>
      <w:pPr>
        <w:spacing w:before="0" w:after="120"/>
      </w:pPr>
      <w:r>
        <w:rPr>
          <w:b/>
        </w:rPr>
        <w:t xml:space="preserve">Source: </w:t>
      </w:r>
      <w:r>
        <w:t>Joule</w:t>
      </w:r>
      <w:r>
        <w:t xml:space="preserve">    </w:t>
      </w:r>
      <w:r>
        <w:rPr>
          <w:b/>
        </w:rPr>
        <w:t xml:space="preserve">Pub date: </w:t>
      </w:r>
      <w:r>
        <w:t>2026-03-25 00:00:00+00:00</w:t>
      </w:r>
      <w:r>
        <w:t xml:space="preserve">    </w:t>
      </w:r>
      <w:r>
        <w:rPr>
          <w:b/>
        </w:rPr>
        <w:t xml:space="preserve">DOI: </w:t>
      </w:r>
      <w:hyperlink r:id="rId121">
        <w:r>
          <w:rPr>
            <w:color w:val="1155CC"/>
            <w:u w:val="single"/>
          </w:rPr>
          <w:t>10.1016/j.joule.2026.102350</w:t>
        </w:r>
      </w:hyperlink>
    </w:p>
    <w:p>
      <w:pPr>
        <w:spacing w:before="0" w:after="120"/>
      </w:pPr>
      <w:r>
        <w:rPr>
          <w:b/>
        </w:rPr>
        <w:t xml:space="preserve">Notes: </w:t>
      </w:r>
      <w:r>
        <w:t>abstract_source=rss_cell</w:t>
      </w:r>
    </w:p>
    <w:p>
      <w:pPr>
        <w:spacing w:before="0" w:after="80" w:lineRule="auto" w:line="276"/>
      </w:pPr>
      <w:r>
        <w:rPr>
          <w:b/>
        </w:rPr>
        <w:t xml:space="preserve">摘要（ZH）: </w:t>
      </w:r>
      <w:r>
        <w:t>数百万退役锂离子电池带来了关键的资源和回收挑战。直接回收，通过恢复废旧电池材料而不是分解它们，提供了一种有前景的解决方案。本研究介绍了一种清洁的低温等离子体方法，以去除阻碍这一过程的关键杂质。通过揭示材料恢复的原子级机制，该工作表明高效回收的电池可以匹敌甚至超越新电池。这一进展为大规模电池回收提供了一条明确、可持续的路径，降低了成本和环境影响。</w:t>
      </w:r>
    </w:p>
    <w:p>
      <w:pPr>
        <w:spacing w:before="0" w:after="200" w:lineRule="auto" w:line="276"/>
      </w:pPr>
      <w:r>
        <w:rPr>
          <w:b/>
        </w:rPr>
        <w:t xml:space="preserve">Abstract (EN): </w:t>
      </w:r>
      <w:r>
        <w:t>Millions of retired lithium-ion batteries present a critical resource and recycling challenge. Direct recycling, which restores spent battery materials instead of breaking them down, offers a promising solution. This study introduces a clean, low-temperature plasma method to remove key impurities that block this process. By revealing the atomic-scale mechanism of material restoration, the work demonstrates that efficiently recycled batteries can match or even outperform new ones. This advancement provides a clear, sustainable path to large-scale battery recycling, reducing costs and environmental impact.</w:t>
      </w:r>
    </w:p>
    <w:p>
      <w:pPr>
        <w:spacing w:before="120" w:after="120"/>
      </w:pPr>
      <w:r>
        <w:rPr>
          <w:sz w:val="18"/>
        </w:rPr>
        <w:t>——————————————————————————————————————————————————————————————————————</w:t>
      </w:r>
    </w:p>
    <w:p>
      <w:pPr>
        <w:spacing w:before="160" w:after="120"/>
      </w:pPr>
      <w:r>
        <w:rPr>
          <w:b/>
          <w:sz w:val="28"/>
        </w:rPr>
        <w:t>【其他储能器件】</w:t>
      </w:r>
    </w:p>
    <w:p>
      <w:pPr>
        <w:spacing w:before="160" w:after="40" w:line="240" w:lineRule="auto"/>
      </w:pPr>
      <w:r>
        <w:rPr>
          <w:b/>
        </w:rPr>
        <w:t xml:space="preserve">[1] </w:t>
      </w:r>
      <w:hyperlink r:id="rId122">
        <w:r>
          <w:rPr>
            <w:color w:val="1155CC"/>
            <w:u w:val="single"/>
          </w:rPr>
          <w:t>MXene-聚合物复合材料在尖端超级电容器和电磁干扰屏蔽应用中的进展</w:t>
        </w:r>
      </w:hyperlink>
    </w:p>
    <w:p>
      <w:pPr>
        <w:spacing w:before="0" w:after="80"/>
      </w:pPr>
      <w:r>
        <w:rPr>
          <w:i/>
          <w:sz w:val="20"/>
        </w:rPr>
        <w:t>EN: Advances in MXene-Polymer Composites for Cutting-edge Supercapacitor and EMI Shielding Applications</w:t>
      </w:r>
    </w:p>
    <w:p>
      <w:pPr>
        <w:spacing w:before="0" w:after="120"/>
      </w:pPr>
      <w:r>
        <w:rPr>
          <w:b/>
        </w:rPr>
        <w:t xml:space="preserve">Source: </w:t>
      </w:r>
      <w:r>
        <w:t>ScienceDirect Publication: Applied Energy</w:t>
      </w:r>
      <w:r>
        <w:t xml:space="preserve">    </w:t>
      </w:r>
      <w:r>
        <w:rPr>
          <w:b/>
        </w:rPr>
        <w:t xml:space="preserve">Pub date: </w:t>
      </w:r>
      <w:r>
        <w:t>2026-03-22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23">
        <w:r>
          <w:rPr>
            <w:color w:val="1155CC"/>
            <w:u w:val="single"/>
          </w:rPr>
          <w:t>用于能量存储、海水淡化和碳封存的海水电池</w:t>
        </w:r>
      </w:hyperlink>
    </w:p>
    <w:p>
      <w:pPr>
        <w:spacing w:before="0" w:after="80"/>
      </w:pPr>
      <w:r>
        <w:rPr>
          <w:i/>
          <w:sz w:val="20"/>
        </w:rPr>
        <w:t>EN: Seawater batteries for energy storage, desalination and carbon sequestration</w:t>
      </w:r>
    </w:p>
    <w:p>
      <w:pPr>
        <w:spacing w:before="0" w:after="120"/>
      </w:pPr>
      <w:r>
        <w:rPr>
          <w:b/>
        </w:rPr>
        <w:t xml:space="preserve">Source: </w:t>
      </w:r>
      <w:r>
        <w:t>Nature Reviews Clean Technology</w:t>
      </w:r>
      <w:r>
        <w:t xml:space="preserve">    </w:t>
      </w:r>
      <w:r>
        <w:rPr>
          <w:b/>
        </w:rPr>
        <w:t xml:space="preserve">Pub date: </w:t>
      </w:r>
      <w:r>
        <w:t>2026-03-24 00:00:00+00:00</w:t>
      </w:r>
      <w:r>
        <w:t xml:space="preserve">    </w:t>
      </w:r>
      <w:r>
        <w:rPr>
          <w:b/>
        </w:rPr>
        <w:t xml:space="preserve">DOI: </w:t>
      </w:r>
      <w:hyperlink r:id="rId124">
        <w:r>
          <w:rPr>
            <w:color w:val="1155CC"/>
            <w:u w:val="single"/>
          </w:rPr>
          <w:t>10.1038/s44359-026-00158-1</w:t>
        </w:r>
      </w:hyperlink>
    </w:p>
    <w:p>
      <w:pPr>
        <w:spacing w:before="0" w:after="120"/>
      </w:pPr>
      <w:r>
        <w:rPr>
          <w:b/>
        </w:rPr>
        <w:t xml:space="preserve">Notes: </w:t>
      </w:r>
      <w:r>
        <w:t>abstract_source=nature_html</w:t>
      </w:r>
    </w:p>
    <w:p>
      <w:pPr>
        <w:spacing w:before="0" w:after="80" w:lineRule="auto" w:line="276"/>
      </w:pPr>
      <w:r>
        <w:rPr>
          <w:b/>
        </w:rPr>
        <w:t xml:space="preserve">摘要（ZH）: </w:t>
      </w:r>
      <w:r>
        <w:t>海水电池（SWBs）直接利用海水中的钠离子进行能量存储，相对于锂基系统减少了对关键材料的依赖。在这篇观点文章中，我们探讨了SWBs作为能量存储、海水淡化、碳捕获和/或资源回收的集成系统的潜力。SWBs通过在充电时从海水中提取金属钠并在放电时将其返回来运行。开放的正极电极结构允许同时对海水进行淡化。在放电过程中，SWBs中生成的氢氧化钠与二氧化碳和二价离子反应形成稳定的碳酸盐，从而实现被动碳封存。淡化步骤产生的盐水可以通过电化学转化为有价值的资源，如氯气、氢气等。</w:t>
      </w:r>
    </w:p>
    <w:p>
      <w:pPr>
        <w:spacing w:before="0" w:after="200" w:lineRule="auto" w:line="276"/>
      </w:pPr>
      <w:r>
        <w:rPr>
          <w:b/>
        </w:rPr>
        <w:t xml:space="preserve">Abstract (EN): </w:t>
      </w:r>
      <w:r>
        <w:t>Seawater batteries (SWBs) directly use sodium ions from seawater for energy storage, reducing reliance on critical materials relative to lithium-based systems. In this Perspective, we examine the potential of SWBs as integrated systems for energy storage, seawater desalination, carbon capture and/or resource recovery. SWBs operate by extracting sodium metal from seawater during charge and returning it upon discharge. The open positive electrode architecture allows simultaneous desalination of the seawater. During discharge, the sodium hydroxide generated in SWBs reacts with carbon dioxide and divalent ions to form stable carbonates, enabling passive carbon sequestration. Brine from the desalination step could be electrochemically converted into valuable resources such as chlorine gas, hydrogen gas, sodium hydroxide and sodium metal. These functions have been developed and experimentally demonstrated either independently or in partially integrated configurations, suggesting the potential for their convergence within a single multifunctional platform. Realizing such integration will require overcoming key barriers, particularly sluggish multi-reaction kinetics, interfacial instability and system-level durability limitations through coordinated advances in materials design and cell architecture.</w:t>
      </w:r>
    </w:p>
    <w:p>
      <w:pPr>
        <w:spacing w:before="120" w:after="120"/>
      </w:pPr>
      <w:r>
        <w:rPr>
          <w:sz w:val="18"/>
        </w:rPr>
        <w:t>——————————————————————————————————————————————————————————————————————</w:t>
      </w:r>
    </w:p>
    <w:p>
      <w:pPr>
        <w:spacing w:before="160" w:after="40" w:line="240" w:lineRule="auto"/>
      </w:pPr>
      <w:r>
        <w:rPr>
          <w:b/>
        </w:rPr>
        <w:t xml:space="preserve">[3] </w:t>
      </w:r>
      <w:hyperlink r:id="rId125">
        <w:r>
          <w:rPr>
            <w:color w:val="1155CC"/>
            <w:u w:val="single"/>
          </w:rPr>
          <w:t>双蒽醌作为高性能水性多硫化物氧化还原液流电池的稳健氧化还原介质</w:t>
        </w:r>
      </w:hyperlink>
    </w:p>
    <w:p>
      <w:pPr>
        <w:spacing w:before="0" w:after="80"/>
      </w:pPr>
      <w:r>
        <w:rPr>
          <w:i/>
          <w:sz w:val="20"/>
        </w:rPr>
        <w:t>EN: Bislawsone as a robust redox mediator for high-performance aqueous polysulfide redox flow batteries</w:t>
      </w:r>
    </w:p>
    <w:p>
      <w:pPr>
        <w:spacing w:before="0" w:after="120"/>
      </w:pPr>
      <w:r>
        <w:rPr>
          <w:b/>
        </w:rPr>
        <w:t xml:space="preserve">Source: </w:t>
      </w:r>
      <w:r>
        <w:t>Joule</w:t>
      </w:r>
      <w:r>
        <w:t xml:space="preserve">    </w:t>
      </w:r>
      <w:r>
        <w:rPr>
          <w:b/>
        </w:rPr>
        <w:t xml:space="preserve">Pub date: </w:t>
      </w:r>
      <w:r>
        <w:t>2026-03-26 00:00:00+00:00</w:t>
      </w:r>
      <w:r>
        <w:t xml:space="preserve">    </w:t>
      </w:r>
      <w:r>
        <w:rPr>
          <w:b/>
        </w:rPr>
        <w:t xml:space="preserve">DOI: </w:t>
      </w:r>
      <w:hyperlink r:id="rId126">
        <w:r>
          <w:rPr>
            <w:color w:val="1155CC"/>
            <w:u w:val="single"/>
          </w:rPr>
          <w:t>10.1016/j.joule.2026.102362</w:t>
        </w:r>
      </w:hyperlink>
    </w:p>
    <w:p>
      <w:pPr>
        <w:spacing w:before="0" w:after="120"/>
      </w:pPr>
      <w:r>
        <w:rPr>
          <w:b/>
        </w:rPr>
        <w:t xml:space="preserve">Notes: </w:t>
      </w:r>
      <w:r>
        <w:t>abstract_source=rss_cell</w:t>
      </w:r>
    </w:p>
    <w:p>
      <w:pPr>
        <w:spacing w:before="0" w:after="80" w:lineRule="auto" w:line="276"/>
      </w:pPr>
      <w:r>
        <w:rPr>
          <w:b/>
        </w:rPr>
        <w:t xml:space="preserve">摘要（ZH）: </w:t>
      </w:r>
      <w:r>
        <w:t>这项工作开发了双蒽醌作为水性多硫化物液流电池的新型氧化还原介质，实现了创纪录的能量效率和循环稳定性。这一进展解决了多硫化物液流电池的核心障碍，这是一种有前途的低成本、长时储能技术，用于可再生能源的整合。</w:t>
      </w:r>
    </w:p>
    <w:p>
      <w:pPr>
        <w:spacing w:before="0" w:after="200" w:lineRule="auto" w:line="276"/>
      </w:pPr>
      <w:r>
        <w:rPr>
          <w:b/>
        </w:rPr>
        <w:t xml:space="preserve">Abstract (EN): </w:t>
      </w:r>
      <w:r>
        <w:t>This work develops bislawsone as a new redox mediator for aqueous polysulfide flow batteries, enabling record energy efficiency and cycling stability. The advance addresses a central barrier in polysulfide flow batteries, a promising low-cost, long-duration energy storage technology for renewable integration.</w:t>
      </w:r>
    </w:p>
    <w:p>
      <w:pPr>
        <w:spacing w:before="120" w:after="120"/>
      </w:pPr>
      <w:r>
        <w:rPr>
          <w:sz w:val="18"/>
        </w:rPr>
        <w:t>——————————————————————————————————————————————————————————————————————</w:t>
      </w:r>
    </w:p>
    <w:p>
      <w:pPr>
        <w:spacing w:before="160" w:after="40" w:line="240" w:lineRule="auto"/>
      </w:pPr>
      <w:r>
        <w:rPr>
          <w:b/>
        </w:rPr>
        <w:t xml:space="preserve">[4] </w:t>
      </w:r>
      <w:hyperlink r:id="rId127">
        <w:r>
          <w:rPr>
            <w:color w:val="1155CC"/>
            <w:u w:val="single"/>
          </w:rPr>
          <w:t>在-80°C下具有高性能的电双层电容器</w:t>
        </w:r>
      </w:hyperlink>
    </w:p>
    <w:p>
      <w:pPr>
        <w:spacing w:before="0" w:after="80"/>
      </w:pPr>
      <w:r>
        <w:rPr>
          <w:i/>
          <w:sz w:val="20"/>
        </w:rPr>
        <w:t>EN: An Electric Double-layer Capacitor with High Performance at -80 °C</w:t>
      </w:r>
    </w:p>
    <w:p>
      <w:pPr>
        <w:spacing w:before="0" w:after="120"/>
      </w:pPr>
      <w:r>
        <w:rPr>
          <w:b/>
        </w:rPr>
        <w:t xml:space="preserve">Source: </w:t>
      </w:r>
      <w:r>
        <w:t>RSC - Energy Environ. Sci. latest articles</w:t>
      </w:r>
      <w:r>
        <w:t xml:space="preserve">    </w:t>
      </w:r>
      <w:r>
        <w:rPr>
          <w:b/>
        </w:rPr>
        <w:t xml:space="preserve">Pub date: </w:t>
      </w:r>
      <w:r>
        <w:t>2026-03-26 00:00:00+00:00</w:t>
      </w:r>
    </w:p>
    <w:p>
      <w:pPr>
        <w:spacing w:before="0" w:after="120"/>
      </w:pPr>
      <w:r>
        <w:rPr>
          <w:b/>
        </w:rPr>
        <w:t xml:space="preserve">Notes: </w:t>
      </w:r>
      <w:r>
        <w:t>abstract_source=rsc_html</w:t>
      </w:r>
    </w:p>
    <w:p>
      <w:pPr>
        <w:spacing w:before="0" w:after="80" w:lineRule="auto" w:line="276"/>
      </w:pPr>
      <w:r>
        <w:rPr>
          <w:b/>
        </w:rPr>
        <w:t xml:space="preserve">摘要（ZH）: </w:t>
      </w:r>
      <w:r>
        <w:t>高能量密度的电双层电容器（EDLCs）对于极低温度下的极地和空间探索至关重要，但由于缺乏合适的电解质和电极而受到阻碍。我们提出了一种强弱相互作用策略，以精确调节基于离子液体的电解质的溶剂化结构，该电解质在25至-80°C范围内稳定。然后通过使用具有丰富介孔结构的活性炭，我们获得了一种可以在-80°C和4.5 V下使用的EDLC，并且在10,000次循环后具有104.5 Wh kg -1的创纪录能量密度和89.5%的电容保持率。此外，组装了一个300 F袋式EDLC，它可以在25至-80°C范围内稳定运行，展示了其实用性。本研究为构建EDLCs提供了战略指导。</w:t>
      </w:r>
    </w:p>
    <w:p>
      <w:pPr>
        <w:spacing w:before="0" w:after="200" w:lineRule="auto" w:line="276"/>
      </w:pPr>
      <w:r>
        <w:rPr>
          <w:b/>
        </w:rPr>
        <w:t xml:space="preserve">Abstract (EN): </w:t>
      </w:r>
      <w:r>
        <w:t>Electric double-layer capacitors (EDLCs) with a high energy density for ultralow-temperature use are crucial for polar and space explorations, but hindered by the lack of suitable electrolytes and electrodes. We proposed a strong-weak interaction strategy to precisely regulate the solvation structure of an ionic liquid-based electrolyte that is stable from 25 to -80 °C.Then by using activated carbon with a mesopore-rich structure, we obtain an EDLC that can be used at -80 °C and 4.5 V, and has a record energy density of 104.5 Wh kg -1 with an 89.5% capacitance retention after 10,000 cycles. Furthermore, a 300 F pouch-type EDLC was assembled and it can operate stably from 25 to -80 °C, demonstrating the practical applicability. This study provides strategic guidance for constructing EDLCs with a high energy density for use under extreme conditions.</w:t>
      </w:r>
    </w:p>
    <w:p>
      <w:pPr>
        <w:spacing w:before="120" w:after="120"/>
      </w:pPr>
      <w:r>
        <w:rPr>
          <w:sz w:val="18"/>
        </w:rPr>
        <w:t>——————————————————————————————————————————————————————————————————————</w:t>
      </w:r>
    </w:p>
    <w:p>
      <w:pPr>
        <w:spacing w:before="160" w:after="120"/>
      </w:pPr>
      <w:r>
        <w:rPr>
          <w:b/>
          <w:sz w:val="28"/>
        </w:rPr>
        <w:t>【热能】</w:t>
      </w:r>
    </w:p>
    <w:p>
      <w:pPr>
        <w:spacing w:before="160" w:after="40" w:line="240" w:lineRule="auto"/>
      </w:pPr>
      <w:r>
        <w:rPr>
          <w:b/>
        </w:rPr>
        <w:t xml:space="preserve">[1] </w:t>
      </w:r>
      <w:hyperlink r:id="rId128">
        <w:r>
          <w:rPr>
            <w:color w:val="1155CC"/>
            <w:u w:val="single"/>
          </w:rPr>
          <w:t>超越标签：从未标记的智能电表数据中进行贝叶斯和因果热泵分解</w:t>
        </w:r>
      </w:hyperlink>
    </w:p>
    <w:p>
      <w:pPr>
        <w:spacing w:before="0" w:after="80"/>
      </w:pPr>
      <w:r>
        <w:rPr>
          <w:i/>
          <w:sz w:val="20"/>
        </w:rPr>
        <w:t>EN: Beyond labels: Bayesian and causal heat pump disaggregation from unlabeled smart meter data</w:t>
      </w:r>
    </w:p>
    <w:p>
      <w:pPr>
        <w:spacing w:before="0" w:after="120"/>
      </w:pPr>
      <w:r>
        <w:rPr>
          <w:b/>
        </w:rPr>
        <w:t xml:space="preserve">Source: </w:t>
      </w:r>
      <w:r>
        <w:t>ScienceDirect Publication: Applied Energy</w:t>
      </w:r>
      <w:r>
        <w:t xml:space="preserve">    </w:t>
      </w:r>
      <w:r>
        <w:rPr>
          <w:b/>
        </w:rPr>
        <w:t xml:space="preserve">Pub date: </w:t>
      </w:r>
      <w:r>
        <w:t>2026-03-21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29">
        <w:r>
          <w:rPr>
            <w:color w:val="1155CC"/>
            <w:u w:val="single"/>
          </w:rPr>
          <w:t>混合蒸汽-电力能源系统的技术经济优化，包含余热利用和备用市场参与</w:t>
        </w:r>
      </w:hyperlink>
    </w:p>
    <w:p>
      <w:pPr>
        <w:spacing w:before="0" w:after="80"/>
      </w:pPr>
      <w:r>
        <w:rPr>
          <w:i/>
          <w:sz w:val="20"/>
        </w:rPr>
        <w:t>EN: Techno-economic optimization of hybrid steam-electric energy systems with excess heat utilization and reserve market participation</w:t>
      </w:r>
    </w:p>
    <w:p>
      <w:pPr>
        <w:spacing w:before="0" w:after="120"/>
      </w:pPr>
      <w:r>
        <w:rPr>
          <w:b/>
        </w:rPr>
        <w:t xml:space="preserve">Source: </w:t>
      </w:r>
      <w:r>
        <w:t>ScienceDirect Publication: Applied Energy</w:t>
      </w:r>
      <w:r>
        <w:t xml:space="preserve">    </w:t>
      </w:r>
      <w:r>
        <w:rPr>
          <w:b/>
        </w:rPr>
        <w:t xml:space="preserve">Pub date: </w:t>
      </w:r>
      <w:r>
        <w:t>2026-03-21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30">
        <w:r>
          <w:rPr>
            <w:color w:val="1155CC"/>
            <w:u w:val="single"/>
          </w:rPr>
          <w:t>建筑中冷水机组和热泵系统的建模方法：数字孪生应用背景下的系统综述</w:t>
        </w:r>
      </w:hyperlink>
    </w:p>
    <w:p>
      <w:pPr>
        <w:spacing w:before="0" w:after="80"/>
      </w:pPr>
      <w:r>
        <w:rPr>
          <w:i/>
          <w:sz w:val="20"/>
        </w:rPr>
        <w:t>EN: Modeling methods for chiller and heat pump systems in buildings: A systematic review in the context of digital twin applications</w:t>
      </w:r>
    </w:p>
    <w:p>
      <w:pPr>
        <w:spacing w:before="0" w:after="120"/>
      </w:pPr>
      <w:r>
        <w:rPr>
          <w:b/>
        </w:rPr>
        <w:t xml:space="preserve">Source: </w:t>
      </w:r>
      <w:r>
        <w:t>ScienceDirect Publication: Applied Energy</w:t>
      </w:r>
      <w:r>
        <w:t xml:space="preserve">    </w:t>
      </w:r>
      <w:r>
        <w:rPr>
          <w:b/>
        </w:rPr>
        <w:t xml:space="preserve">Pub date: </w:t>
      </w:r>
      <w:r>
        <w:t>2026-03-22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31">
        <w:r>
          <w:rPr>
            <w:color w:val="1155CC"/>
            <w:u w:val="single"/>
          </w:rPr>
          <w:t>使用耐用且坚固的超疏水涂层增强建筑物中高效的被动日间辐射冷却以实现长期性能</w:t>
        </w:r>
      </w:hyperlink>
    </w:p>
    <w:p>
      <w:pPr>
        <w:spacing w:before="0" w:after="80"/>
      </w:pPr>
      <w:r>
        <w:rPr>
          <w:i/>
          <w:sz w:val="20"/>
        </w:rPr>
        <w:t>EN: Enhancing efficient passive daytime radiative cooling in buildings using a durable and robust superamphiphobic coating for long-term performance</w:t>
      </w:r>
    </w:p>
    <w:p>
      <w:pPr>
        <w:spacing w:before="0" w:after="120"/>
      </w:pPr>
      <w:r>
        <w:rPr>
          <w:b/>
        </w:rPr>
        <w:t xml:space="preserve">Source: </w:t>
      </w:r>
      <w:r>
        <w:t>ScienceDirect Publication: Applied Energy</w:t>
      </w:r>
      <w:r>
        <w:t xml:space="preserve">    </w:t>
      </w:r>
      <w:r>
        <w:rPr>
          <w:b/>
        </w:rPr>
        <w:t xml:space="preserve">Pub date: </w:t>
      </w:r>
      <w:r>
        <w:t>2026-03-24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32">
        <w:r>
          <w:rPr>
            <w:color w:val="1155CC"/>
            <w:u w:val="single"/>
          </w:rPr>
          <w:t>[ASAP] 熵稳定的金刚烷AgCdInSe3，具有超低热导率和高载流子迁移率，用于热电材料</w:t>
        </w:r>
      </w:hyperlink>
    </w:p>
    <w:p>
      <w:pPr>
        <w:spacing w:before="0" w:after="80"/>
      </w:pPr>
      <w:r>
        <w:rPr>
          <w:i/>
          <w:sz w:val="20"/>
        </w:rPr>
        <w:t>EN: [ASAP] Entropy-Stabilized Diamondoid AgCdInSe3 with Ultralow Thermal Conductivity and High Carrier Mobility for Thermoelectrics</w:t>
      </w:r>
    </w:p>
    <w:p>
      <w:pPr>
        <w:spacing w:before="0" w:after="120"/>
      </w:pPr>
      <w:r>
        <w:rPr>
          <w:b/>
        </w:rPr>
        <w:t xml:space="preserve">Source: </w:t>
      </w:r>
      <w:r>
        <w:t>Journal of the American Chemical Society: Latest Articles (ACS Publications)</w:t>
      </w:r>
      <w:r>
        <w:t xml:space="preserve">    </w:t>
      </w:r>
      <w:r>
        <w:rPr>
          <w:b/>
        </w:rPr>
        <w:t xml:space="preserve">Pub date: </w:t>
      </w:r>
      <w:r>
        <w:t>2026-03-24 16:18:29+00:00</w:t>
      </w:r>
      <w:r>
        <w:t xml:space="preserve">    </w:t>
      </w:r>
      <w:r>
        <w:rPr>
          <w:b/>
        </w:rPr>
        <w:t xml:space="preserve">DOI: </w:t>
      </w:r>
      <w:hyperlink r:id="rId133">
        <w:r>
          <w:rPr>
            <w:color w:val="1155CC"/>
            <w:u w:val="single"/>
          </w:rPr>
          <w:t>10.1021/jacs.6c01832</w:t>
        </w:r>
      </w:hyperlink>
    </w:p>
    <w:p>
      <w:pPr>
        <w:spacing w:before="0" w:after="120"/>
      </w:pPr>
      <w:r>
        <w:rPr>
          <w:b/>
        </w:rPr>
        <w:t xml:space="preserve">Notes: </w:t>
      </w:r>
      <w:r>
        <w:t>abstract_source=pubmed</w:t>
      </w:r>
    </w:p>
    <w:p>
      <w:pPr>
        <w:spacing w:before="0" w:after="80" w:lineRule="auto" w:line="276"/>
      </w:pPr>
      <w:r>
        <w:rPr>
          <w:b/>
        </w:rPr>
        <w:t xml:space="preserve">摘要（ZH）: </w:t>
      </w:r>
      <w:r>
        <w:t>近年来，金刚烷热电材料因其独特的传输特性和高晶格兼容性而受到广泛关注，这为通过成分调制同时调节电子和声子传输提供了一个有前景的平台。尽管熵工程已广泛应用于岩盐热电材料以抑制热导率，但在金刚烷化合物中的应用仍然很少。这主要是因为大多数金刚烷材料本质上表现出低电导率，而高度无序的原子排列往往会降低载流子迁移率，从而抑制电子传输。在此，我们报告了一种通过熵工程实现的新型纤锌矿型金刚烷材料 AgCdInSe3</w:t>
      </w:r>
    </w:p>
    <w:p>
      <w:pPr>
        <w:spacing w:before="0" w:after="200" w:lineRule="auto" w:line="276"/>
      </w:pPr>
      <w:r>
        <w:rPr>
          <w:b/>
        </w:rPr>
        <w:t xml:space="preserve">Abstract (EN): </w:t>
      </w:r>
      <w:r>
        <w:t>Recently, diamondoid thermoelectric materials have attracted widespread attention owing to their unique transport properties and high lattice compatibility, which provide a promising platform for simultaneously tuning electron and phonon transport through compositional modulation. Although entropy engineering has been widely employed in rock-salt thermoelectric materials to suppress thermal conductivity, its application in diamondoid compounds remains rare. This is mainly because most diamondoid materials intrinsically exhibit low electrical conductivity, while highly disordered atomic arrangements often degrade carrier mobility, thereby suppressing electronic transport. Herein, we report the discovery of a new wurtzite-type diamondoid material, AgCdInSe3, realized through entropy engineering. Crystallographic analysis combined with transmission electron microscopy reveals mixed occupation of all cation sites accompanied by local lattice distortion, resulting in an ultralow thermal conductivity of ∼0.3 W m-1 K-1 in AgCdInSe3. Remarkably, despite the highly disordered atomic structure, AgCdInSe3 exhibits a simple and light conduction band with an effective mass of 0.2 m0, enabling a relatively high room-temperature carrier mobility of 285 cm2 V-1 s-1. Consequently, the optimized Ag0.977Cd1.02In1.003Se3 achieves a peak ZT of 1.2 at 873 K, and the corresponding single-leg device delivers a power density of 1383 W m-2 under a ΔT = 500 K, highlighting the potential of this material as a new n-type diamondoid thermoelectric.</w:t>
      </w:r>
    </w:p>
    <w:p>
      <w:pPr>
        <w:spacing w:before="120" w:after="120"/>
      </w:pPr>
      <w:r>
        <w:rPr>
          <w:sz w:val="18"/>
        </w:rPr>
        <w:t>——————————————————————————————————————————————————————————————————————</w:t>
      </w:r>
    </w:p>
    <w:p>
      <w:pPr>
        <w:spacing w:before="160" w:after="40" w:line="240" w:lineRule="auto"/>
      </w:pPr>
      <w:r>
        <w:rPr>
          <w:b/>
        </w:rPr>
        <w:t xml:space="preserve">[6] </w:t>
      </w:r>
      <w:hyperlink r:id="rId134">
        <w:r>
          <w:rPr>
            <w:color w:val="1155CC"/>
            <w:u w:val="single"/>
          </w:rPr>
          <w:t>纳米级相干化学波动驱动空位调控的延展性AgCu(S,Se,Te)的优异热电性能</w:t>
        </w:r>
      </w:hyperlink>
    </w:p>
    <w:p>
      <w:pPr>
        <w:spacing w:before="0" w:after="80"/>
      </w:pPr>
      <w:r>
        <w:rPr>
          <w:i/>
          <w:sz w:val="20"/>
        </w:rPr>
        <w:t>EN: Nanoscale coherent chemical fluctuations driving superior thermoelectric performance in vacancy-tailored ductile AgCu(S,Se,Te)</w:t>
      </w:r>
    </w:p>
    <w:p>
      <w:pPr>
        <w:spacing w:before="0" w:after="120"/>
      </w:pPr>
      <w:r>
        <w:rPr>
          <w:b/>
        </w:rPr>
        <w:t xml:space="preserve">Source: </w:t>
      </w:r>
      <w:r>
        <w:t>AAAS: Science Advances: Table of Contents</w:t>
      </w:r>
      <w:r>
        <w:t xml:space="preserve">    </w:t>
      </w:r>
      <w:r>
        <w:rPr>
          <w:b/>
        </w:rPr>
        <w:t xml:space="preserve">Pub date: </w:t>
      </w:r>
      <w:r>
        <w:t>2026-03-25 07:00:00+00:00</w:t>
      </w:r>
      <w:r>
        <w:t xml:space="preserve">    </w:t>
      </w:r>
      <w:r>
        <w:rPr>
          <w:b/>
        </w:rPr>
        <w:t xml:space="preserve">DOI: </w:t>
      </w:r>
      <w:hyperlink r:id="rId135">
        <w:r>
          <w:rPr>
            <w:color w:val="1155CC"/>
            <w:u w:val="single"/>
          </w:rPr>
          <w:t>10.1126/sciadv.aec0728</w:t>
        </w:r>
      </w:hyperlink>
    </w:p>
    <w:p>
      <w:pPr>
        <w:spacing w:before="0" w:after="120"/>
      </w:pPr>
      <w:r>
        <w:rPr>
          <w:b/>
        </w:rPr>
        <w:t xml:space="preserve">Notes: </w:t>
      </w:r>
      <w:r>
        <w:t>abstract_source=crossref</w:t>
      </w:r>
    </w:p>
    <w:p>
      <w:pPr>
        <w:spacing w:before="0" w:after="80" w:lineRule="auto" w:line="276"/>
      </w:pPr>
      <w:r>
        <w:rPr>
          <w:b/>
        </w:rPr>
        <w:t xml:space="preserve">摘要（ZH）: </w:t>
      </w:r>
      <w:r>
        <w:t>(Ag,Cu) 2 (S,Se,Te) 合金，作为稀有的p型无机延展性半导体的例子，由于其机械柔韧性和良好的可加工性，已成为可穿戴电子产品的有前途的候选材料。然而，该系统的多组分特性引入了多样的微观结构和复杂的缺陷景观，使热电性能的优化变得复杂。在此，我们揭示了该合金系统中存在成分不均匀但结构上连贯的纳米级化学波动。这些波动与丰富的位错和孪晶界一起，作为有效的声子散射中心，抑制晶格热导率接近玻璃态水平。同时，</w:t>
      </w:r>
    </w:p>
    <w:p>
      <w:pPr>
        <w:spacing w:before="0" w:after="200" w:lineRule="auto" w:line="276"/>
      </w:pPr>
      <w:r>
        <w:rPr>
          <w:b/>
        </w:rPr>
        <w:t xml:space="preserve">Abstract (EN): </w:t>
      </w:r>
      <w:r>
        <w:t>(Ag,Cu)</w:t>
      </w:r>
      <w:r>
        <w:rPr>
          <w:vertAlign w:val="subscript"/>
        </w:rPr>
        <w:t>2</w:t>
      </w:r>
      <w:r>
        <w:t>(S,Se,Te) alloys, as rare examples of p-type inorganic ductile semiconductors, have emerged as promising candidates for wearable electronics because of their mechanical flexibility and favorable processability. However, the multicomponent nature of this system introduces diverse microstructures and intricate defect landscapes that complicate the optimization of thermoelectric performance. Here, we reveal the presence of compositionally inhomogeneous yet structurally coherent nanoscale chemical fluctuations within this alloy system. These fluctuations, together with abundant dislocations and twin boundaries, serve as efficient phonon scattering centers to suppress the lattice thermal conductivity to approach glass-like levels. Concurrently, tuning the cation ratios and vacancies allows for precise control over the carrier concentration and thereby leads to enhanced power factors. Last, a peak</w:t>
      </w:r>
      <w:r>
        <w:t xml:space="preserve"> </w:t>
      </w:r>
      <w:r>
        <w:t>zT</w:t>
      </w:r>
      <w:r>
        <w:t xml:space="preserve"> </w:t>
      </w:r>
      <w:r>
        <w:t>of 0.98 at 360 kelvins is achieved, marking a record for Ag-based ductile thermoelectrics. This study highlights the essential role of chemical fluctuations in modulating phonon and charge transports and offers valuable insight into the microstructure-defect–property interplay in ductile materials.</w:t>
      </w:r>
    </w:p>
    <w:p>
      <w:pPr>
        <w:spacing w:before="120" w:after="120"/>
      </w:pPr>
      <w:r>
        <w:rPr>
          <w:sz w:val="18"/>
        </w:rPr>
        <w:t>——————————————————————————————————————————————————————————————————————</w:t>
      </w:r>
    </w:p>
    <w:p>
      <w:pPr>
        <w:spacing w:before="160" w:after="40" w:line="240" w:lineRule="auto"/>
      </w:pPr>
      <w:r>
        <w:rPr>
          <w:b/>
        </w:rPr>
        <w:t xml:space="preserve">[7] </w:t>
      </w:r>
      <w:hyperlink r:id="rId136">
        <w:r>
          <w:rPr>
            <w:color w:val="1155CC"/>
            <w:u w:val="single"/>
          </w:rPr>
          <w:t>通过多物理驱动的拓扑优化进行高功率热化学能量存储反应器的生成设计</w:t>
        </w:r>
      </w:hyperlink>
    </w:p>
    <w:p>
      <w:pPr>
        <w:spacing w:before="0" w:after="80"/>
      </w:pPr>
      <w:r>
        <w:rPr>
          <w:i/>
          <w:sz w:val="20"/>
        </w:rPr>
        <w:t>EN: Generative design of high-power thermochemical energy storage reactors via multiphysics-driven topology optimization</w:t>
      </w:r>
    </w:p>
    <w:p>
      <w:pPr>
        <w:spacing w:before="0" w:after="120"/>
      </w:pPr>
      <w:r>
        <w:rPr>
          <w:b/>
        </w:rPr>
        <w:t xml:space="preserve">Source: </w:t>
      </w:r>
      <w:r>
        <w:t>ScienceDirect Publication: Applied Energy</w:t>
      </w:r>
      <w:r>
        <w:t xml:space="preserve">    </w:t>
      </w:r>
      <w:r>
        <w:rPr>
          <w:b/>
        </w:rPr>
        <w:t xml:space="preserve">Pub date: </w:t>
      </w:r>
      <w:r>
        <w:t>2026-03-26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【核能】</w:t>
      </w:r>
    </w:p>
    <w:p>
      <w:pPr>
        <w:spacing w:before="160" w:after="40" w:line="240" w:lineRule="auto"/>
      </w:pPr>
      <w:r>
        <w:rPr>
          <w:b/>
        </w:rPr>
        <w:t xml:space="preserve">[1] </w:t>
      </w:r>
      <w:hyperlink r:id="rId137">
        <w:r>
          <w:rPr>
            <w:color w:val="1155CC"/>
            <w:u w:val="single"/>
          </w:rPr>
          <w:t>液态空气储能与核能和风能集成的优化与经济评估</w:t>
        </w:r>
      </w:hyperlink>
    </w:p>
    <w:p>
      <w:pPr>
        <w:spacing w:before="0" w:after="80"/>
      </w:pPr>
      <w:r>
        <w:rPr>
          <w:i/>
          <w:sz w:val="20"/>
        </w:rPr>
        <w:t>EN: Optimisation and economic assessment of liquid air energy storage integrated with nuclear and wind power</w:t>
      </w:r>
    </w:p>
    <w:p>
      <w:pPr>
        <w:spacing w:before="0" w:after="120"/>
      </w:pPr>
      <w:r>
        <w:rPr>
          <w:b/>
        </w:rPr>
        <w:t xml:space="preserve">Source: </w:t>
      </w:r>
      <w:r>
        <w:t>ScienceDirect Publication: Applied Energy</w:t>
      </w:r>
      <w:r>
        <w:t xml:space="preserve">    </w:t>
      </w:r>
      <w:r>
        <w:rPr>
          <w:b/>
        </w:rPr>
        <w:t xml:space="preserve">Pub date: </w:t>
      </w:r>
      <w:r>
        <w:t>2026-03-21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38">
        <w:r>
          <w:rPr>
            <w:color w:val="1155CC"/>
            <w:u w:val="single"/>
          </w:rPr>
          <w:t>聚变能经验率被高估</w:t>
        </w:r>
      </w:hyperlink>
    </w:p>
    <w:p>
      <w:pPr>
        <w:spacing w:before="0" w:after="80"/>
      </w:pPr>
      <w:r>
        <w:rPr>
          <w:i/>
          <w:sz w:val="20"/>
        </w:rPr>
        <w:t>EN: Fusion power experience rates are overestimated</w:t>
      </w:r>
    </w:p>
    <w:p>
      <w:pPr>
        <w:spacing w:before="0" w:after="120"/>
      </w:pPr>
      <w:r>
        <w:rPr>
          <w:b/>
        </w:rPr>
        <w:t xml:space="preserve">Source: </w:t>
      </w:r>
      <w:r>
        <w:t>Nature Energy</w:t>
      </w:r>
      <w:r>
        <w:t xml:space="preserve">    </w:t>
      </w:r>
      <w:r>
        <w:rPr>
          <w:b/>
        </w:rPr>
        <w:t xml:space="preserve">Pub date: </w:t>
      </w:r>
      <w:r>
        <w:t>2026-03-23 00:00:00+00:00</w:t>
      </w:r>
      <w:r>
        <w:t xml:space="preserve">    </w:t>
      </w:r>
      <w:r>
        <w:rPr>
          <w:b/>
        </w:rPr>
        <w:t xml:space="preserve">DOI: </w:t>
      </w:r>
      <w:hyperlink r:id="rId139">
        <w:r>
          <w:rPr>
            <w:color w:val="1155CC"/>
            <w:u w:val="single"/>
          </w:rPr>
          <w:t>10.1038/s41560-026-02023-8</w:t>
        </w:r>
      </w:hyperlink>
    </w:p>
    <w:p>
      <w:pPr>
        <w:spacing w:before="0" w:after="120"/>
      </w:pPr>
      <w:r>
        <w:rPr>
          <w:b/>
        </w:rPr>
        <w:t xml:space="preserve">Notes: </w:t>
      </w:r>
      <w:r>
        <w:t>abstract_source=nature_html</w:t>
      </w:r>
    </w:p>
    <w:p>
      <w:pPr>
        <w:spacing w:before="0" w:after="80" w:lineRule="auto" w:line="276"/>
      </w:pPr>
      <w:r>
        <w:rPr>
          <w:b/>
        </w:rPr>
        <w:t xml:space="preserve">摘要（ZH）: </w:t>
      </w:r>
      <w:r>
        <w:t>聚变电厂（FPPs）被视为一种有前景的低碳电力来源，吸引了大量投资。然而，其未来成本高度不确定。目前的预测假设起始成本差异很大，经验率（ERs）非常随意，范围为8-20%。在此，我们利用创新文献中的最新见解，通过将两种主要聚变方法的技术特征，即磁聚变和基于激光的惯性聚变，与ERs联系起来，研究目前假设的FPPs ER范围。我们发现，FPPs的大单位规模、极高的复杂性和中等的定制需求与2-8%的ERs经验上相关，这远低于目前对FPPs的假设。当与预期的高初始资本成本结合时，结果引发了</w:t>
      </w:r>
    </w:p>
    <w:p>
      <w:pPr>
        <w:spacing w:before="0" w:after="200" w:lineRule="auto" w:line="276"/>
      </w:pPr>
      <w:r>
        <w:rPr>
          <w:b/>
        </w:rPr>
        <w:t xml:space="preserve">Abstract (EN): </w:t>
      </w:r>
      <w:r>
        <w:t>Fusion power plants (FPPs) are viewed as a promising source of firm low-carbon electricity, attracting large investments. However, their future cost is highly uncertain. Current projections assume widely varying starting costs and highly arbitrary experience rates (ERs) of 8–20%. Here, leveraging recent insights from innovation literature, we examine the currently assumed ER range for FPPs by linking technological characteristics of the two dominant fusion approaches, magnetic fusion and laser-based inertial fusion, to ERs. We find that FPPs’ large unit size, extraordinary complexity and intermediate need for customization are empirically linked to ERs of 2–8%, which are much lower than currently assumed for FPPs. When paired with the expected high initial capital costs, the results raise questions about the viability of FPP in future net-zero energy systems. We urge for the adoption of ERs for FPPs that are justifiably lower than currently assumed in cost projections, energy system modelling and investor valuations, and for the research community to explore alternative fusion designs with greater cost reduction potential.</w:t>
      </w:r>
    </w:p>
    <w:p>
      <w:pPr>
        <w:spacing w:before="120" w:after="120"/>
      </w:pPr>
      <w:r>
        <w:rPr>
          <w:sz w:val="18"/>
        </w:rPr>
        <w:t>——————————————————————————————————————————————————————————————————————</w:t>
      </w:r>
    </w:p>
    <w:p>
      <w:pPr>
        <w:spacing w:before="160" w:after="40" w:line="240" w:lineRule="auto"/>
      </w:pPr>
      <w:r>
        <w:rPr>
          <w:b/>
        </w:rPr>
        <w:t xml:space="preserve">[3] </w:t>
      </w:r>
      <w:hyperlink r:id="rId140">
        <w:r>
          <w:rPr>
            <w:color w:val="1155CC"/>
            <w:u w:val="single"/>
          </w:rPr>
          <w:t>挪威海沉没核潜艇共青团员号的状态</w:t>
        </w:r>
      </w:hyperlink>
    </w:p>
    <w:p>
      <w:pPr>
        <w:spacing w:before="0" w:after="80"/>
      </w:pPr>
      <w:r>
        <w:rPr>
          <w:i/>
          <w:sz w:val="20"/>
        </w:rPr>
        <w:t>EN: Status of the sunken nuclear submarine Komsomolets in the Norwegian Sea</w:t>
      </w:r>
    </w:p>
    <w:p>
      <w:pPr>
        <w:spacing w:before="0" w:after="120"/>
      </w:pPr>
      <w:r>
        <w:rPr>
          <w:b/>
        </w:rPr>
        <w:t xml:space="preserve">Source: </w:t>
      </w:r>
      <w:r>
        <w:t>Proceedings of the National Academy of Sciences: Keyword search for query</w:t>
      </w:r>
      <w:r>
        <w:t xml:space="preserve">    </w:t>
      </w:r>
      <w:r>
        <w:rPr>
          <w:b/>
        </w:rPr>
        <w:t xml:space="preserve">Pub date: </w:t>
      </w:r>
      <w:r>
        <w:t>2026-03-23 07:00:00+00:00</w:t>
      </w:r>
      <w:r>
        <w:t xml:space="preserve">    </w:t>
      </w:r>
      <w:r>
        <w:rPr>
          <w:b/>
        </w:rPr>
        <w:t xml:space="preserve">DOI: </w:t>
      </w:r>
      <w:hyperlink r:id="rId141">
        <w:r>
          <w:rPr>
            <w:color w:val="1155CC"/>
            <w:u w:val="single"/>
          </w:rPr>
          <w:t>10.1073/pnas.2520144123</w:t>
        </w:r>
      </w:hyperlink>
    </w:p>
    <w:p>
      <w:pPr>
        <w:spacing w:before="0" w:after="120"/>
      </w:pPr>
      <w:r>
        <w:rPr>
          <w:b/>
        </w:rPr>
        <w:t xml:space="preserve">Notes: </w:t>
      </w:r>
      <w:r>
        <w:t>abstract_source=crossref</w:t>
      </w:r>
    </w:p>
    <w:p>
      <w:pPr>
        <w:spacing w:before="0" w:after="80" w:lineRule="auto" w:line="276"/>
      </w:pPr>
      <w:r>
        <w:rPr>
          <w:b/>
        </w:rPr>
        <w:t xml:space="preserve">摘要（ZH）: </w:t>
      </w:r>
      <w:r>
        <w:t>该研究详细记录了沉没的核潜艇共青团员号外部的损坏程度，并且俄罗斯之前进行的补救措施仍然存在。在潜艇受损前部区域周围的环境中没有发现任何来自核弹头的钚，这些核弹头据报道是共青团员号鱼雷舱武器的一部分。确认反应堆的释放仍在发生，但不是连续的，90Sr和137Cs的最大活性浓度分别比挪威海中这些放射性核素的典型水平高出40万倍和80万倍。</w:t>
      </w:r>
    </w:p>
    <w:p>
      <w:pPr>
        <w:spacing w:before="0" w:after="200" w:lineRule="auto" w:line="276"/>
      </w:pPr>
      <w:r>
        <w:rPr>
          <w:b/>
        </w:rPr>
        <w:t xml:space="preserve">Abstract (EN): </w:t>
      </w:r>
      <w:r>
        <w:t>The study documents in detail the extent of damage to the exterior of the sunken nuclear submarine Komsomolets and that previous remedial action carried out by Russia was still in place. No evidence was found of any plutonium in the near environment around the damaged forward section of the submarine from the nuclear warheads that were reported to be part of Komsomolets armament in the torpedo compartment. It was confirmed that releases from the reactor were still occurring, but not continuously, with maximum activity concentrations of</w:t>
      </w:r>
      <w:r>
        <w:rPr>
          <w:vertAlign w:val="subscript"/>
        </w:rPr>
        <w:t>90</w:t>
      </w:r>
      <w:r>
        <w:t>Sr and</w:t>
      </w:r>
      <w:r>
        <w:rPr>
          <w:vertAlign w:val="subscript"/>
        </w:rPr>
        <w:t>137</w:t>
      </w:r>
      <w:r>
        <w:t>Cs that were 400,000 and 800,000 times higher, respectively, than typical levels of these radionuclides in the Norwegian Sea. Elevated levels of</w:t>
      </w:r>
      <w:r>
        <w:rPr>
          <w:vertAlign w:val="subscript"/>
        </w:rPr>
        <w:t>239</w:t>
      </w:r>
      <w:r>
        <w:t>Pu,</w:t>
      </w:r>
      <w:r>
        <w:rPr>
          <w:vertAlign w:val="subscript"/>
        </w:rPr>
        <w:t>240</w:t>
      </w:r>
      <w:r>
        <w:t>Pu, and</w:t>
      </w:r>
      <w:r>
        <w:rPr>
          <w:vertAlign w:val="subscript"/>
        </w:rPr>
        <w:t>236</w:t>
      </w:r>
      <w:r>
        <w:t>U were also detected in the releases from the reactor, with atom ratios of</w:t>
      </w:r>
      <w:r>
        <w:rPr>
          <w:vertAlign w:val="subscript"/>
        </w:rPr>
        <w:t>240</w:t>
      </w:r>
      <w:r>
        <w:t>Pu/</w:t>
      </w:r>
      <w:r>
        <w:rPr>
          <w:vertAlign w:val="subscript"/>
        </w:rPr>
        <w:t>239</w:t>
      </w:r>
      <w:r>
        <w:t>Pu and</w:t>
      </w:r>
      <w:r>
        <w:rPr>
          <w:vertAlign w:val="subscript"/>
        </w:rPr>
        <w:t>236</w:t>
      </w:r>
      <w:r>
        <w:t>U/</w:t>
      </w:r>
      <w:r>
        <w:rPr>
          <w:vertAlign w:val="subscript"/>
        </w:rPr>
        <w:t>239</w:t>
      </w:r>
      <w:r>
        <w:t>Pu that indicate that the nuclear fuel in the reactor is corroding. Despite that releases from the reactor have occurred for over 30 y, there is little evidence of any accumulation of radionuclides in the near environment around the submarine as the released radionuclides appear to be rapidly diluted in the surrounding seawater. Releases from the reactor in Komsomolets can be expected to continue, so further investigations should be carried out to determine the mechanisms behind the observed releases, the corrosion processes that are occurring within the reactor and the implications of these for further releases and the fate of the remaining nuclear material in the reactor.</w:t>
      </w:r>
    </w:p>
    <w:p>
      <w:pPr>
        <w:spacing w:before="120" w:after="120"/>
      </w:pPr>
      <w:r>
        <w:rPr>
          <w:sz w:val="18"/>
        </w:rPr>
        <w:t>——————————————————————————————————————————————————————————————————————</w:t>
      </w:r>
    </w:p>
    <w:p>
      <w:pPr>
        <w:spacing w:before="160" w:after="120"/>
      </w:pPr>
      <w:r>
        <w:rPr>
          <w:b/>
          <w:sz w:val="28"/>
        </w:rPr>
        <w:t>【氢氨醇】</w:t>
      </w:r>
    </w:p>
    <w:p>
      <w:pPr>
        <w:spacing w:before="160" w:after="40" w:line="240" w:lineRule="auto"/>
      </w:pPr>
      <w:r>
        <w:rPr>
          <w:b/>
        </w:rPr>
        <w:t xml:space="preserve">[1] </w:t>
      </w:r>
      <w:hyperlink r:id="rId142">
        <w:r>
          <w:rPr>
            <w:color w:val="1155CC"/>
            <w:u w:val="single"/>
          </w:rPr>
          <w:t>质子交换膜燃料电池中操作条件参数引起的气体交叉现象分析：综述</w:t>
        </w:r>
      </w:hyperlink>
    </w:p>
    <w:p>
      <w:pPr>
        <w:spacing w:before="0" w:after="80"/>
      </w:pPr>
      <w:r>
        <w:rPr>
          <w:i/>
          <w:sz w:val="20"/>
        </w:rPr>
        <w:t>EN: Analysis of operating condition parameters induced gas crossover phenomenon in proton exchange membrane fuel cells: A review</w:t>
      </w:r>
    </w:p>
    <w:p>
      <w:pPr>
        <w:spacing w:before="0" w:after="120"/>
      </w:pPr>
      <w:r>
        <w:rPr>
          <w:b/>
        </w:rPr>
        <w:t xml:space="preserve">Source: </w:t>
      </w:r>
      <w:r>
        <w:t>ScienceDirect Publication: Applied Energy</w:t>
      </w:r>
      <w:r>
        <w:t xml:space="preserve">    </w:t>
      </w:r>
      <w:r>
        <w:rPr>
          <w:b/>
        </w:rPr>
        <w:t xml:space="preserve">Pub date: </w:t>
      </w:r>
      <w:r>
        <w:t>2026-03-21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43">
        <w:r>
          <w:rPr>
            <w:color w:val="1155CC"/>
            <w:u w:val="single"/>
          </w:rPr>
          <w:t>面向燃料电池混合动力电动车的智能能源管理：拓扑、感知、决策和连接系统的进展</w:t>
        </w:r>
      </w:hyperlink>
    </w:p>
    <w:p>
      <w:pPr>
        <w:spacing w:before="0" w:after="80"/>
      </w:pPr>
      <w:r>
        <w:rPr>
          <w:i/>
          <w:sz w:val="20"/>
        </w:rPr>
        <w:t>EN: Toward intelligent energy management for fuel cell hybrid electric vehicles: Advances in topologies, perception, decision, and connected systems</w:t>
      </w:r>
    </w:p>
    <w:p>
      <w:pPr>
        <w:spacing w:before="0" w:after="120"/>
      </w:pPr>
      <w:r>
        <w:rPr>
          <w:b/>
        </w:rPr>
        <w:t xml:space="preserve">Source: </w:t>
      </w:r>
      <w:r>
        <w:t>ScienceDirect Publication: Applied Energy</w:t>
      </w:r>
      <w:r>
        <w:t xml:space="preserve">    </w:t>
      </w:r>
      <w:r>
        <w:rPr>
          <w:b/>
        </w:rPr>
        <w:t xml:space="preserve">Pub date: </w:t>
      </w:r>
      <w:r>
        <w:t>2026-03-21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44">
        <w:r>
          <w:rPr>
            <w:color w:val="1155CC"/>
            <w:u w:val="single"/>
          </w:rPr>
          <w:t>用于脱碳高能耗行业的氢气供应操作优化：一种多时间尺度滚动视野方法</w:t>
        </w:r>
      </w:hyperlink>
    </w:p>
    <w:p>
      <w:pPr>
        <w:spacing w:before="0" w:after="80"/>
      </w:pPr>
      <w:r>
        <w:rPr>
          <w:i/>
          <w:sz w:val="20"/>
        </w:rPr>
        <w:t>EN: Optimization of hydrogen supply operations for decarbonizing energy-intensive industries: A multi-timescale rolling horizon approach</w:t>
      </w:r>
    </w:p>
    <w:p>
      <w:pPr>
        <w:spacing w:before="0" w:after="120"/>
      </w:pPr>
      <w:r>
        <w:rPr>
          <w:b/>
        </w:rPr>
        <w:t xml:space="preserve">Source: </w:t>
      </w:r>
      <w:r>
        <w:t>ScienceDirect Publication: Applied Energy</w:t>
      </w:r>
      <w:r>
        <w:t xml:space="preserve">    </w:t>
      </w:r>
      <w:r>
        <w:rPr>
          <w:b/>
        </w:rPr>
        <w:t xml:space="preserve">Pub date: </w:t>
      </w:r>
      <w:r>
        <w:t>2026-03-21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45">
        <w:r>
          <w:rPr>
            <w:color w:val="1155CC"/>
            <w:u w:val="single"/>
          </w:rPr>
          <w:t>战略绿色技术的政策驱动创新路径：以韩国的氢气和碳捕集、利用与封存（CCUS）为例</w:t>
        </w:r>
      </w:hyperlink>
    </w:p>
    <w:p>
      <w:pPr>
        <w:spacing w:before="0" w:after="80"/>
      </w:pPr>
      <w:r>
        <w:rPr>
          <w:i/>
          <w:sz w:val="20"/>
        </w:rPr>
        <w:t>EN: Policy-driven innovation pathways for strategic green technologies: The case of hydrogen and carbon capture, utilization, and storage (CCUS) in South Korea</w:t>
      </w:r>
    </w:p>
    <w:p>
      <w:pPr>
        <w:spacing w:before="0" w:after="120"/>
      </w:pPr>
      <w:r>
        <w:rPr>
          <w:b/>
        </w:rPr>
        <w:t xml:space="preserve">Source: </w:t>
      </w:r>
      <w:r>
        <w:t>ScienceDirect Publication: Energy Policy</w:t>
      </w:r>
      <w:r>
        <w:t xml:space="preserve">    </w:t>
      </w:r>
      <w:r>
        <w:rPr>
          <w:b/>
        </w:rPr>
        <w:t xml:space="preserve">Pub date: </w:t>
      </w:r>
      <w:r>
        <w:t>2026-03-21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46">
        <w:r>
          <w:rPr>
            <w:color w:val="1155CC"/>
            <w:u w:val="single"/>
          </w:rPr>
          <w:t>水电-氢能主导的混合能源系统的再操作以适应生态不确定性</w:t>
        </w:r>
      </w:hyperlink>
    </w:p>
    <w:p>
      <w:pPr>
        <w:spacing w:before="0" w:after="80"/>
      </w:pPr>
      <w:r>
        <w:rPr>
          <w:i/>
          <w:sz w:val="20"/>
        </w:rPr>
        <w:t>EN: Reoperation of hydro–hydrogen–dominated hybrid energy systems to adapt to ecological uncertainty</w:t>
      </w:r>
    </w:p>
    <w:p>
      <w:pPr>
        <w:spacing w:before="0" w:after="120"/>
      </w:pPr>
      <w:r>
        <w:rPr>
          <w:b/>
        </w:rPr>
        <w:t xml:space="preserve">Source: </w:t>
      </w:r>
      <w:r>
        <w:t>ScienceDirect Publication: Applied Energy</w:t>
      </w:r>
      <w:r>
        <w:t xml:space="preserve">    </w:t>
      </w:r>
      <w:r>
        <w:rPr>
          <w:b/>
        </w:rPr>
        <w:t xml:space="preserve">Pub date: </w:t>
      </w:r>
      <w:r>
        <w:t>2026-03-22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47">
        <w:r>
          <w:rPr>
            <w:color w:val="1155CC"/>
            <w:u w:val="single"/>
          </w:rPr>
          <w:t>从火炬气中制氢：将排放转化为能源的双重机遇——前瞻性综述</w:t>
        </w:r>
      </w:hyperlink>
    </w:p>
    <w:p>
      <w:pPr>
        <w:spacing w:before="0" w:after="80"/>
      </w:pPr>
      <w:r>
        <w:rPr>
          <w:i/>
          <w:sz w:val="20"/>
        </w:rPr>
        <w:t>EN: Hydrogen production from flare gas: a dual opportunity to turn emissions into energy - a prospective review</w:t>
      </w:r>
    </w:p>
    <w:p>
      <w:pPr>
        <w:spacing w:before="0" w:after="120"/>
      </w:pPr>
      <w:r>
        <w:rPr>
          <w:b/>
        </w:rPr>
        <w:t xml:space="preserve">Source: </w:t>
      </w:r>
      <w:r>
        <w:t>ScienceDirect Publication: Applied Energy</w:t>
      </w:r>
      <w:r>
        <w:t xml:space="preserve">    </w:t>
      </w:r>
      <w:r>
        <w:rPr>
          <w:b/>
        </w:rPr>
        <w:t xml:space="preserve">Pub date: </w:t>
      </w:r>
      <w:r>
        <w:t>2026-03-22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48">
        <w:r>
          <w:rPr>
            <w:color w:val="1155CC"/>
            <w:u w:val="single"/>
          </w:rPr>
          <w:t>孤立和H2还原的Anderson簇催化低温CO2加氢生成甲醇</w:t>
        </w:r>
      </w:hyperlink>
    </w:p>
    <w:p>
      <w:pPr>
        <w:spacing w:before="0" w:after="80"/>
      </w:pPr>
      <w:r>
        <w:rPr>
          <w:i/>
          <w:sz w:val="20"/>
        </w:rPr>
        <w:t>EN: Isolated and H2-reduced Anderson clusters catalyse low-temperature hydrogenation of CO2 to methanol</w:t>
      </w:r>
    </w:p>
    <w:p>
      <w:pPr>
        <w:spacing w:before="0" w:after="120"/>
      </w:pPr>
      <w:r>
        <w:rPr>
          <w:b/>
        </w:rPr>
        <w:t xml:space="preserve">Source: </w:t>
      </w:r>
      <w:r>
        <w:t>Nature Chemistry</w:t>
      </w:r>
      <w:r>
        <w:t xml:space="preserve">    </w:t>
      </w:r>
      <w:r>
        <w:rPr>
          <w:b/>
        </w:rPr>
        <w:t xml:space="preserve">Pub date: </w:t>
      </w:r>
      <w:r>
        <w:t>2026-03-23 00:00:00+00:00</w:t>
      </w:r>
      <w:r>
        <w:t xml:space="preserve">    </w:t>
      </w:r>
      <w:r>
        <w:rPr>
          <w:b/>
        </w:rPr>
        <w:t xml:space="preserve">DOI: </w:t>
      </w:r>
      <w:hyperlink r:id="rId149">
        <w:r>
          <w:rPr>
            <w:color w:val="1155CC"/>
            <w:u w:val="single"/>
          </w:rPr>
          <w:t>10.1038/s41557-026-02104-x</w:t>
        </w:r>
      </w:hyperlink>
    </w:p>
    <w:p>
      <w:pPr>
        <w:spacing w:before="0" w:after="120"/>
      </w:pPr>
      <w:r>
        <w:rPr>
          <w:b/>
        </w:rPr>
        <w:t xml:space="preserve">Notes: </w:t>
      </w:r>
      <w:r>
        <w:t>abstract_source=nature_html</w:t>
      </w:r>
    </w:p>
    <w:p>
      <w:pPr>
        <w:spacing w:before="0" w:after="80" w:lineRule="auto" w:line="276"/>
      </w:pPr>
      <w:r>
        <w:rPr>
          <w:b/>
        </w:rPr>
        <w:t xml:space="preserve">摘要（ZH）: </w:t>
      </w:r>
      <w:r>
        <w:t>CO2加氢，特别是制备甲醇，对于建立可持续的碳循环利用系统至关重要。然而，CO2在低温下的活化困难以及结构-活性关系的不明确性是降低加氢过程能耗的障碍。在此，我们报告了分子定义的Anderson PtMo6O24簇，位于坚固的金属有机框架内，对低温CO2加氢具有催化作用。该簇的性能在180°C下3,600小时内，其活性或甲醇选择性均未出现衰减迹象。在类似条件下，其单程产率超过了最先进的多相催化剂。结合原位光谱和密度泛函理论计算</w:t>
      </w:r>
    </w:p>
    <w:p>
      <w:pPr>
        <w:spacing w:before="0" w:after="200" w:lineRule="auto" w:line="276"/>
      </w:pPr>
      <w:r>
        <w:rPr>
          <w:b/>
        </w:rPr>
        <w:t xml:space="preserve">Abstract (EN): </w:t>
      </w:r>
      <w:r>
        <w:t>CO2 hydrogenation, especially to methanol, is crucial to establishing sustainable closed-loop systems for carbon utilization. However, the difficulties of CO2 activation at low temperatures and the ambiguity of structure–activity correlations are obstacles to reducing the energy consumption of the hydrogenation process. Here we report that molecularly defined Anderson PtMo6O24 clusters, sited within a robust metal–organic framework, are catalytic for low-temperature CO2 hydrogenation. The performance of the cluster showed no signs of decay in either its activity or methanol selectivity over 3,600 h at 180 °C. It also achieves a per-pass yield exceeding that of state-of-the-art heterogeneous catalysts under similar conditions. Combined in situ spectroscopy and density functional theory calculations demonstrated that CH3OH formation is dominated by the reverse water–gas shift and subsequent CO* hydrogenation pathway, while the HCOO* pathway may serve as a supplementary route. The well-defined cluster structure offers an ideal model for elucidating structure–activity correlations and opens exciting avenues for the rational design of high-activity, low-temperature catalysts for CO2 hydrogenation.</w:t>
      </w:r>
    </w:p>
    <w:p>
      <w:pPr>
        <w:spacing w:before="120" w:after="120"/>
      </w:pPr>
      <w:r>
        <w:rPr>
          <w:sz w:val="18"/>
        </w:rPr>
        <w:t>——————————————————————————————————————————————————————————————————————</w:t>
      </w:r>
    </w:p>
    <w:p>
      <w:pPr>
        <w:spacing w:before="160" w:after="40" w:line="240" w:lineRule="auto"/>
      </w:pPr>
      <w:r>
        <w:rPr>
          <w:b/>
        </w:rPr>
        <w:t xml:space="preserve">[8] </w:t>
      </w:r>
      <w:hyperlink r:id="rId150">
        <w:r>
          <w:rPr>
            <w:color w:val="1155CC"/>
            <w:u w:val="single"/>
          </w:rPr>
          <w:t>在人工海水条件下使用过渡金属硼酸盐阳极进行选择性电解水</w:t>
        </w:r>
      </w:hyperlink>
    </w:p>
    <w:p>
      <w:pPr>
        <w:spacing w:before="0" w:after="80"/>
      </w:pPr>
      <w:r>
        <w:rPr>
          <w:i/>
          <w:sz w:val="20"/>
        </w:rPr>
        <w:t>EN: Selective Electrolysis of Water Under Artificial Seawater Conditions Using Transition Metal Borate Anodes</w:t>
      </w:r>
    </w:p>
    <w:p>
      <w:pPr>
        <w:spacing w:before="0" w:after="120"/>
      </w:pPr>
      <w:r>
        <w:rPr>
          <w:b/>
        </w:rPr>
        <w:t xml:space="preserve">Source: </w:t>
      </w:r>
      <w:r>
        <w:t>Wiley: Advanced Energy Materials: Table of Contents</w:t>
      </w:r>
      <w:r>
        <w:t xml:space="preserve">    </w:t>
      </w:r>
      <w:r>
        <w:rPr>
          <w:b/>
        </w:rPr>
        <w:t xml:space="preserve">Pub date: </w:t>
      </w:r>
      <w:r>
        <w:t>2026-03-23 05:20:24+00:00</w:t>
      </w:r>
      <w:r>
        <w:t xml:space="preserve">    </w:t>
      </w:r>
      <w:r>
        <w:rPr>
          <w:b/>
        </w:rPr>
        <w:t xml:space="preserve">DOI: </w:t>
      </w:r>
      <w:hyperlink r:id="rId151">
        <w:r>
          <w:rPr>
            <w:color w:val="1155CC"/>
            <w:u w:val="single"/>
          </w:rPr>
          <w:t>10.1002/aenm.202506788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直接海水电解克服了可持续氢气生产中的一个主要障碍，即需要使用高纯度水，而目前全球约80%的人口面临水资源短缺的问题。另一方面，海水的天然成分使其不适合直接用于传统电解槽系统，主要是因为在阳极发生了氯气析出反应（CER），而不是所需的氧气析出反应（OER），以及在阴极形成绝缘的Mg2+/Ca2+氢氧化物。在此，我们展示了一种使用人工海水且不添加电解质的电解槽，并实现选择性分裂。</w:t>
      </w:r>
    </w:p>
    <w:p>
      <w:pPr>
        <w:spacing w:before="0" w:after="200" w:lineRule="auto" w:line="276"/>
      </w:pPr>
      <w:r>
        <w:rPr>
          <w:b/>
        </w:rPr>
        <w:t xml:space="preserve">Abstract (EN): </w:t>
      </w:r>
      <w:r>
        <w:t>Direct seawater electrolysis overcomes one major hurdle in sustainable hydrogen production, viz. the requirement to use high‐purity water, which is currently a scarce resource for ∼80% of the global population. On the other hand, the natural composition of seawater makes it unsuitable for direct use in conventional electrolyzer systems, primarily due to the occurrence of the chlorine evolution reaction (CER) at the anode, instead of the desired oxygen evolution reaction (OER), and the build‐up of insulating Mg</w:t>
      </w:r>
      <w:r>
        <w:t xml:space="preserve"> </w:t>
      </w:r>
      <w:r>
        <w:t>2+</w:t>
      </w:r>
      <w:r>
        <w:t xml:space="preserve"> </w:t>
      </w:r>
      <w:r>
        <w:t>/Ca</w:t>
      </w:r>
      <w:r>
        <w:t xml:space="preserve"> </w:t>
      </w:r>
      <w:r>
        <w:t>2+</w:t>
      </w:r>
      <w:r>
        <w:t xml:space="preserve"> </w:t>
      </w:r>
      <w:r>
        <w:t>hydroxides at the cathode. Herein, we present an electrolyzer fed with artificial seawater with no added electrolyte and enabling selective splitting of H</w:t>
      </w:r>
      <w:r>
        <w:rPr>
          <w:vertAlign w:val="subscript"/>
        </w:rPr>
        <w:t>2</w:t>
      </w:r>
      <w:r>
        <w:t>O, rather than H</w:t>
      </w:r>
      <w:r>
        <w:rPr>
          <w:vertAlign w:val="subscript"/>
        </w:rPr>
        <w:t>2</w:t>
      </w:r>
      <w:r>
        <w:t>generation coupled to the CER. This selectivity was provided by the anodes derived from a cobalt iron boride material, which was predicted to favor the OER rather than the CER by the density functional theory calculations. The compact design of the electrode‐separator assembly suppressed the cathodic Mg/Ca(OH)</w:t>
      </w:r>
      <w:r>
        <w:rPr>
          <w:vertAlign w:val="subscript"/>
        </w:rPr>
        <w:t>2</w:t>
      </w:r>
      <w:r>
        <w:t>precipitation. Robust operation of the electrolyzer over one week was demonstrated at 100 mA cm</w:t>
      </w:r>
      <w:r>
        <w:t xml:space="preserve"> </w:t>
      </w:r>
      <w:r>
        <w:t>−2</w:t>
      </w:r>
      <w:r>
        <w:t xml:space="preserve"> </w:t>
      </w:r>
      <w:r>
        <w:t>with a cell voltage of ca. –2.6 V at 80 ± 1°C. These operating conditions were selected based on a preliminary techno‐economic analysis as a realistic benchmark for cost‐competitive hydrogen production.</w:t>
      </w:r>
    </w:p>
    <w:p>
      <w:pPr>
        <w:spacing w:before="120" w:after="120"/>
      </w:pPr>
      <w:r>
        <w:rPr>
          <w:sz w:val="18"/>
        </w:rPr>
        <w:t>——————————————————————————————————————————————————————————————————————</w:t>
      </w:r>
    </w:p>
    <w:p>
      <w:pPr>
        <w:spacing w:before="160" w:after="40" w:line="240" w:lineRule="auto"/>
      </w:pPr>
      <w:r>
        <w:rPr>
          <w:b/>
        </w:rPr>
        <w:t xml:space="preserve">[9] </w:t>
      </w:r>
      <w:hyperlink r:id="rId152">
        <w:r>
          <w:rPr>
            <w:color w:val="1155CC"/>
            <w:u w:val="single"/>
          </w:rPr>
          <w:t>PEM水电解中过渡金属氧化物上新兴铱中心的挑战与机遇</w:t>
        </w:r>
      </w:hyperlink>
    </w:p>
    <w:p>
      <w:pPr>
        <w:spacing w:before="0" w:after="80"/>
      </w:pPr>
      <w:r>
        <w:rPr>
          <w:i/>
          <w:sz w:val="20"/>
        </w:rPr>
        <w:t>EN: Challenges and Opportunities for the Emerging Iridium Center on Transition Metal Oxide for PEM Water Electrolysis</w:t>
      </w:r>
    </w:p>
    <w:p>
      <w:pPr>
        <w:spacing w:before="0" w:after="120"/>
      </w:pPr>
      <w:r>
        <w:rPr>
          <w:b/>
        </w:rPr>
        <w:t xml:space="preserve">Source: </w:t>
      </w:r>
      <w:r>
        <w:t>Wiley: Advanced Energy Materials: Table of Contents</w:t>
      </w:r>
      <w:r>
        <w:t xml:space="preserve">    </w:t>
      </w:r>
      <w:r>
        <w:rPr>
          <w:b/>
        </w:rPr>
        <w:t xml:space="preserve">Pub date: </w:t>
      </w:r>
      <w:r>
        <w:t>2026-03-23 05:36:02+00:00</w:t>
      </w:r>
      <w:r>
        <w:t xml:space="preserve">    </w:t>
      </w:r>
      <w:r>
        <w:rPr>
          <w:b/>
        </w:rPr>
        <w:t xml:space="preserve">DOI: </w:t>
      </w:r>
      <w:hyperlink r:id="rId153">
        <w:r>
          <w:rPr>
            <w:color w:val="1155CC"/>
            <w:u w:val="single"/>
          </w:rPr>
          <w:t>10.1002/aenm.70852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高效且稳定的氧析出反应（OER）电催化剂对于推进质子交换膜水电解（PEMWE）以实现可持续氢气生产至关重要。最近，过渡金属氧化物（TMO）上的铱中心作为传统贵金属氧化物的有前途的替代品，展示了优越的活性、稳定性和成本效益。本综述系统总结了这些进展，通过阐明酸性OER条件下铱活性中心的内在机制和动态演变模式，讨论了增强催化性能的核心策略，并主要关注通过评估突破性解决方案的工业应用要求</w:t>
      </w:r>
    </w:p>
    <w:p>
      <w:pPr>
        <w:spacing w:before="0" w:after="200" w:lineRule="auto" w:line="276"/>
      </w:pPr>
      <w:r>
        <w:rPr>
          <w:b/>
        </w:rPr>
        <w:t xml:space="preserve">Abstract (EN): </w:t>
      </w:r>
      <w:r>
        <w:t>The development of highly efficient and stable electrocatalysts for the oxygen evolution reaction (OER) is crucial for advancing proton exchange membrane water electrolysis (PEMWE) for sustainable hydrogen production. Recently, Iridium centers on transition metal oxides (TMOs) have emerged as promising alternatives to conventional noble metal oxides, demonstrating superior activity, stability, and cost‐effectiveness. This review systematically summarizes these advancements by elucidating the intrinsic mechanisms and dynamic evolution patterns of Ir active centers under acidic OER conditions, discussing core strategies for enhancing catalytic performance, and attention is mainly directed to the industrial application requirements by evaluating breakthrough solutions for key technical challenges, including long‐term stability under high‐current‐density operation and Ir dissolution suppression. Finally, from the perspective of rational design, the review outlines current challenges and prospects for oxide‐supported Ir catalysts, emphasizing the urgent need for advanced operando characterization techniques and scalable fabrication processes. By integrating fundamental research with practical applications, this review aims to provide theoretical guidance and technical references for developing next‐generation OER catalysts suitable for large‐scale PEMWE implementation.</w:t>
      </w:r>
    </w:p>
    <w:p>
      <w:pPr>
        <w:spacing w:before="120" w:after="120"/>
      </w:pPr>
      <w:r>
        <w:rPr>
          <w:sz w:val="18"/>
        </w:rPr>
        <w:t>——————————————————————————————————————————————————————————————————————</w:t>
      </w:r>
    </w:p>
    <w:p>
      <w:pPr>
        <w:spacing w:before="160" w:after="40" w:line="240" w:lineRule="auto"/>
      </w:pPr>
      <w:r>
        <w:rPr>
          <w:b/>
        </w:rPr>
        <w:t xml:space="preserve">[10] </w:t>
      </w:r>
      <w:hyperlink r:id="rId154">
        <w:r>
          <w:rPr>
            <w:color w:val="1155CC"/>
            <w:u w:val="single"/>
          </w:rPr>
          <w:t>界面位点工程通过加速去质子化最小化阳极能量损失，实现高效太阳能到氢气转换</w:t>
        </w:r>
      </w:hyperlink>
    </w:p>
    <w:p>
      <w:pPr>
        <w:spacing w:before="0" w:after="80"/>
      </w:pPr>
      <w:r>
        <w:rPr>
          <w:i/>
          <w:sz w:val="20"/>
        </w:rPr>
        <w:t>EN: Interfacial Sites Engineering Minimizes Anodic Energy Loss Through Accelerated Deprotonation for High‐Efficiency Solar‐to‐Hydrogen Conversion</w:t>
      </w:r>
    </w:p>
    <w:p>
      <w:pPr>
        <w:spacing w:before="0" w:after="120"/>
      </w:pPr>
      <w:r>
        <w:rPr>
          <w:b/>
        </w:rPr>
        <w:t xml:space="preserve">Source: </w:t>
      </w:r>
      <w:r>
        <w:t>Wiley: Angewandte Chemie International Edition: Table of Contents</w:t>
      </w:r>
      <w:r>
        <w:t xml:space="preserve">    </w:t>
      </w:r>
      <w:r>
        <w:rPr>
          <w:b/>
        </w:rPr>
        <w:t xml:space="preserve">Pub date: </w:t>
      </w:r>
      <w:r>
        <w:t>2026-03-23 12:56:59+00:00</w:t>
      </w:r>
      <w:r>
        <w:t xml:space="preserve">    </w:t>
      </w:r>
      <w:r>
        <w:rPr>
          <w:b/>
        </w:rPr>
        <w:t xml:space="preserve">DOI: </w:t>
      </w:r>
      <w:hyperlink r:id="rId155">
        <w:r>
          <w:rPr>
            <w:color w:val="1155CC"/>
            <w:u w:val="single"/>
          </w:rPr>
          <w:t>10.1002/anie.9797893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高效的太阳能到氢气（STH）转换对于可再生能源存储至关重要，但太阳能驱动的水分解在根本上受到与阳极氧气析出反应（OER）相关的能量损失的限制。在此，我们故意将Ir物种与NiFe模型电催化剂结合，以构建不对称的Ir–O–Ni界面位点，从而优化阳极反应的能量学。原位光谱分析结合理论计算表明，与通过传统吸附物演化机制运行的原始NiFe不同，Ir–O–Ni界面位点通过降低*OOH去质子化势垒并促进快速质子参与OER。</w:t>
      </w:r>
    </w:p>
    <w:p>
      <w:pPr>
        <w:spacing w:before="0" w:after="200" w:lineRule="auto" w:line="276"/>
      </w:pPr>
      <w:r>
        <w:rPr>
          <w:b/>
        </w:rPr>
        <w:t xml:space="preserve">Abstract (EN): </w:t>
      </w:r>
      <w:r>
        <w:t>Achieving efficient solar‐to‐hydrogen (STH) conversion is essential for renewable energy storage, yet solar‐driven water splitting remains fundamentally limited by energy losses associated with the anodic oxygen evolution reaction (OER). Herein, we deliberately combine Ir species with a NiFe model electrocatalyst to construct asymmetric Ir–O–Ni interfacial sites that optimize anodic reaction energetics. In situ spectroscopic analyses combined with theoretical calculations reveal that, in contrast to pristine NiFe operating</w:t>
      </w:r>
      <w:r>
        <w:t xml:space="preserve"> </w:t>
      </w:r>
      <w:r>
        <w:t>via</w:t>
      </w:r>
      <w:r>
        <w:t xml:space="preserve"> </w:t>
      </w:r>
      <w:r>
        <w:t>the conventional adsorbate evolution mechanism, the Ir–O–Ni interfacial sites directly participate in OER by lowering the *OOH deprotonation barrier and facilitating rapid proton transfer under alkaline conditions. Meanwhile, strong Ir–O orbital coupling stabilizes O‐containing intermediates, thereby reducing the O–O bond formation barrier from 3.21 eV in pristine NiFe to 1.40 eV in NiFe‐Ir. Consequently, NiFe‐Ir delivers a low overpotential of 300 mV at a high current density of 500 mA cm</w:t>
      </w:r>
      <w:r>
        <w:t xml:space="preserve"> </w:t>
      </w:r>
      <w:r>
        <w:t>−2</w:t>
      </w:r>
      <w:r>
        <w:t xml:space="preserve"> </w:t>
      </w:r>
      <w:r>
        <w:t>, corresponding to a 43.3% reduction in energy consumption compared to NiFe (430 mV). Importantly, the substantially reduced anodic energy dissipation translates directly into enhanced device‐level performance, enabling the integrated photovoltaic‐electrolyzer system to achieve an exceptional STH conversion efficiency of 19.7%. These results underscore interfacial engineering as a powerful and generalizable strategy for advancing practical solar water‐splitting technologies.</w:t>
      </w:r>
    </w:p>
    <w:p>
      <w:pPr>
        <w:spacing w:before="120" w:after="120"/>
      </w:pPr>
      <w:r>
        <w:rPr>
          <w:sz w:val="18"/>
        </w:rPr>
        <w:t>——————————————————————————————————————————————————————————————————————</w:t>
      </w:r>
    </w:p>
    <w:p>
      <w:pPr>
        <w:spacing w:before="160" w:after="40" w:line="240" w:lineRule="auto"/>
      </w:pPr>
      <w:r>
        <w:rPr>
          <w:b/>
        </w:rPr>
        <w:t xml:space="preserve">[11] </w:t>
      </w:r>
      <w:hyperlink r:id="rId156">
        <w:r>
          <w:rPr>
            <w:color w:val="1155CC"/>
            <w:u w:val="single"/>
          </w:rPr>
          <w:t>锌介导的亚5纳米PtIr─Zn纳米立方体合成用于直接氨燃料电池</w:t>
        </w:r>
      </w:hyperlink>
    </w:p>
    <w:p>
      <w:pPr>
        <w:spacing w:before="0" w:after="80"/>
      </w:pPr>
      <w:r>
        <w:rPr>
          <w:i/>
          <w:sz w:val="20"/>
        </w:rPr>
        <w:t>EN: Zn‐Mediated Synthesis of Sub‐5 nm PtIr─Zn Nanocubes for Direct Ammonia Fuel Cells</w:t>
      </w:r>
    </w:p>
    <w:p>
      <w:pPr>
        <w:spacing w:before="0" w:after="120"/>
      </w:pPr>
      <w:r>
        <w:rPr>
          <w:b/>
        </w:rPr>
        <w:t xml:space="preserve">Source: </w:t>
      </w:r>
      <w:r>
        <w:t>Wiley: Angewandte Chemie International Edition: Table of Contents</w:t>
      </w:r>
      <w:r>
        <w:t xml:space="preserve">    </w:t>
      </w:r>
      <w:r>
        <w:rPr>
          <w:b/>
        </w:rPr>
        <w:t xml:space="preserve">Pub date: </w:t>
      </w:r>
      <w:r>
        <w:t>2026-03-23 13:06:26+00:00</w:t>
      </w:r>
      <w:r>
        <w:t xml:space="preserve">    </w:t>
      </w:r>
      <w:r>
        <w:rPr>
          <w:b/>
        </w:rPr>
        <w:t xml:space="preserve">DOI: </w:t>
      </w:r>
      <w:hyperlink r:id="rId157">
        <w:r>
          <w:rPr>
            <w:color w:val="1155CC"/>
            <w:u w:val="single"/>
          </w:rPr>
          <w:t>10.1002/anie.4198910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直接氨燃料电池（DAFCs）在去碳化发电方面具有前景。然而，缓慢的氨氧化反应（AOR）长期以来一直是主要障碍。尽管Pt(100)晶面具有高AOR活性，但制造具有(100)晶面取向的超小（&lt;5 nm）Pt基纳米立方体（NCs）仍然是一个挑战。在此，我们开发了一种锌介导策略，用于合成尺寸为4.1 ± 0.5 nm的PtIr─Zn NCs。系统研究表明，表面插入的锌原子作为锚点，增强了二苯醚的特异性吸附，从而引导了独特的(100)取向生长成形状明确的NCs。初始成核过程不受影响，因此有丰富的PtIr种子，</w:t>
      </w:r>
    </w:p>
    <w:p>
      <w:pPr>
        <w:spacing w:before="0" w:after="200" w:lineRule="auto" w:line="276"/>
      </w:pPr>
      <w:r>
        <w:rPr>
          <w:b/>
        </w:rPr>
        <w:t xml:space="preserve">Abstract (EN): </w:t>
      </w:r>
      <w:r>
        <w:t>Direct ammonia fuel cells (DAFCs) are promising for decarbonized electricity generation. However, the sluggish ammonia oxidation reaction (AOR) has long been the major roadblock. Although Pt(100) facet features high AOR activity, fabricating ultrasmall (&amp;lt;5 nm) Pt‐based nanocubes (NCs) with (100) facet orientation remains a challenge. Here, we develop a Zn‐mediated strategy for the synthesis of PtIr─Zn NCs with an ultrasmall size of 4.1 ± 0.5 nm. Systematic investigations reveal that surface‐inserted Zn atoms serve as anchors to enhance the specific adsorption of dibenzyl ether, which directs the exclusive (100)‐oriented growth into well‐defined NCs. The initial nucleation process is not affected, so there are abundant PtIr seeds, which are the key to yielding the sub‐5 nm size. Oxophilic Ir atoms serve as the *OH adsorption sites and promote the *NH</w:t>
      </w:r>
      <w:r>
        <w:rPr>
          <w:vertAlign w:val="subscript"/>
        </w:rPr>
        <w:t>3</w:t>
      </w:r>
      <w:r>
        <w:t>dehydrogenation. Moreover, Zn‐induced surface compression lowers the barrier of rate‐determining dehydrogenation step by shortening the hydrogen bonds between *NH</w:t>
      </w:r>
      <w:r>
        <w:rPr>
          <w:vertAlign w:val="subscript"/>
        </w:rPr>
        <w:t>3</w:t>
      </w:r>
      <w:r>
        <w:t>and *OH. Our PtIr─Zn NCs catalyst exhibits both high intrinsic activity and mass activity, delivering an ultralow onset potential of 0.355 V and a peak mass activity of 238.3 mA mg</w:t>
      </w:r>
      <w:r>
        <w:t xml:space="preserve"> </w:t>
      </w:r>
      <w:r>
        <w:t>Pt+Ir</w:t>
      </w:r>
      <w:r>
        <w:t xml:space="preserve"> </w:t>
      </w:r>
      <w:r>
        <w:t>−1</w:t>
      </w:r>
      <w:r>
        <w:t xml:space="preserve"> </w:t>
      </w:r>
      <w:r>
        <w:t>. The DAFC employing PtIr─Zn NCs achieves an open‐circuit voltage of 0.60 V and a peak power density of 76.0 mW cm</w:t>
      </w:r>
      <w:r>
        <w:t xml:space="preserve"> </w:t>
      </w:r>
      <w:r>
        <w:t>−2</w:t>
      </w:r>
      <w:r>
        <w:t xml:space="preserve"> </w:t>
      </w:r>
      <w:r>
        <w:t>.</w:t>
      </w:r>
    </w:p>
    <w:p>
      <w:pPr>
        <w:spacing w:before="120" w:after="120"/>
      </w:pPr>
      <w:r>
        <w:rPr>
          <w:sz w:val="18"/>
        </w:rPr>
        <w:t>——————————————————————————————————————————————————————————————————————</w:t>
      </w:r>
    </w:p>
    <w:p>
      <w:pPr>
        <w:spacing w:before="160" w:after="40" w:line="240" w:lineRule="auto"/>
      </w:pPr>
      <w:r>
        <w:rPr>
          <w:b/>
        </w:rPr>
        <w:t xml:space="preserve">[12] </w:t>
      </w:r>
      <w:hyperlink r:id="rId158">
        <w:r>
          <w:rPr>
            <w:color w:val="1155CC"/>
            <w:u w:val="single"/>
          </w:rPr>
          <w:t>基于可解释图学习和GPU加速优化的电力-氢能流动优化两阶段框架</w:t>
        </w:r>
      </w:hyperlink>
    </w:p>
    <w:p>
      <w:pPr>
        <w:spacing w:before="0" w:after="80"/>
      </w:pPr>
      <w:r>
        <w:rPr>
          <w:i/>
          <w:sz w:val="20"/>
        </w:rPr>
        <w:t>EN: A two-stage framework for optimal electricity‑hydrogen energy flow based on explainable graph learning and GPU-accelerated optimization</w:t>
      </w:r>
    </w:p>
    <w:p>
      <w:pPr>
        <w:spacing w:before="0" w:after="120"/>
      </w:pPr>
      <w:r>
        <w:rPr>
          <w:b/>
        </w:rPr>
        <w:t xml:space="preserve">Source: </w:t>
      </w:r>
      <w:r>
        <w:t>ScienceDirect Publication: Applied Energy</w:t>
      </w:r>
      <w:r>
        <w:t xml:space="preserve">    </w:t>
      </w:r>
      <w:r>
        <w:rPr>
          <w:b/>
        </w:rPr>
        <w:t xml:space="preserve">Pub date: </w:t>
      </w:r>
      <w:r>
        <w:t>2026-03-24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159">
        <w:r>
          <w:rPr>
            <w:color w:val="1155CC"/>
            <w:u w:val="single"/>
          </w:rPr>
          <w:t>用于电力系统频率控制的PEM电解槽动态建模及电力HIL验证</w:t>
        </w:r>
      </w:hyperlink>
    </w:p>
    <w:p>
      <w:pPr>
        <w:spacing w:before="0" w:after="80"/>
      </w:pPr>
      <w:r>
        <w:rPr>
          <w:i/>
          <w:sz w:val="20"/>
        </w:rPr>
        <w:t>EN: Dynamic modelling of PEM Electrolyzers for power system frequency control with power HIL validation</w:t>
      </w:r>
    </w:p>
    <w:p>
      <w:pPr>
        <w:spacing w:before="0" w:after="120"/>
      </w:pPr>
      <w:r>
        <w:rPr>
          <w:b/>
        </w:rPr>
        <w:t xml:space="preserve">Source: </w:t>
      </w:r>
      <w:r>
        <w:t>ScienceDirect Publication: Applied Energy</w:t>
      </w:r>
      <w:r>
        <w:t xml:space="preserve">    </w:t>
      </w:r>
      <w:r>
        <w:rPr>
          <w:b/>
        </w:rPr>
        <w:t xml:space="preserve">Pub date: </w:t>
      </w:r>
      <w:r>
        <w:t>2026-03-24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160">
        <w:r>
          <w:rPr>
            <w:color w:val="1155CC"/>
            <w:u w:val="single"/>
          </w:rPr>
          <w:t>[ASAP] 空心多壳结构中的限制诱导富集用于高效氨电合成</w:t>
        </w:r>
      </w:hyperlink>
    </w:p>
    <w:p>
      <w:pPr>
        <w:spacing w:before="0" w:after="80"/>
      </w:pPr>
      <w:r>
        <w:rPr>
          <w:i/>
          <w:sz w:val="20"/>
        </w:rPr>
        <w:t>EN: [ASAP] Confinement-Induced Enrichment in Hollow Multishelled Structure for High-Efficiency Ammonia Electrosynthesis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2026-03-24 10:18:41+00:00</w:t>
      </w:r>
      <w:r>
        <w:t xml:space="preserve">    </w:t>
      </w:r>
      <w:r>
        <w:rPr>
          <w:b/>
        </w:rPr>
        <w:t xml:space="preserve">DOI: </w:t>
      </w:r>
      <w:hyperlink r:id="rId161">
        <w:r>
          <w:rPr>
            <w:color w:val="1155CC"/>
            <w:u w:val="single"/>
          </w:rPr>
          <w:t>10.1021/jacs.6c01046</w:t>
        </w:r>
      </w:hyperlink>
    </w:p>
    <w:p>
      <w:pPr>
        <w:spacing w:before="0" w:after="120"/>
      </w:pPr>
      <w:r>
        <w:rPr>
          <w:b/>
        </w:rPr>
        <w:t xml:space="preserve">Notes: </w:t>
      </w:r>
      <w:r>
        <w:t>abstract_source=pubmed</w:t>
      </w:r>
    </w:p>
    <w:p>
      <w:pPr>
        <w:spacing w:before="0" w:after="80" w:lineRule="auto" w:line="276"/>
      </w:pPr>
      <w:r>
        <w:rPr>
          <w:b/>
        </w:rPr>
        <w:t xml:space="preserve">摘要（ZH）: </w:t>
      </w:r>
      <w:r>
        <w:t>电化学硝酸盐还原代表了一种可持续的氨合成途径，但其进展受到两个瓶颈的阻碍：转换效率的基本限制源于现场硝酸盐富集不足以及在操作条件下催化机制的动态演变难以捉摸。在此，我们报告了一种CuO空心多壳结构（CuO-HoMS），其作为自发预富集微纳反应器，能够以卓越的效率富集、限制和转化硝酸盐。具有三层壳的CuO-HoMS（3s-CuO-HoMS）在各种催化剂中实现了96.4 ± 0.9%的冠军法拉第效率，以及在-0.4 V对RHE下氨产率为6316.3 ± 96.1 mmol·gcat-1·h-1。原位共聚焦激光扫描显微镜直接可视化</w:t>
      </w:r>
    </w:p>
    <w:p>
      <w:pPr>
        <w:spacing w:before="0" w:after="200" w:lineRule="auto" w:line="276"/>
      </w:pPr>
      <w:r>
        <w:rPr>
          <w:b/>
        </w:rPr>
        <w:t xml:space="preserve">Abstract (EN): </w:t>
      </w:r>
      <w:r>
        <w:t>Electrochemical nitrate reduction represents a sustainable route for ammonia synthesis, yet its advancement is hampered by two bottlenecks: the fundamental limitation on conversion efficiency stems from inadequate in situ nitrate enrichment and the elusive dynamic evolution of catalytic mechanisms under operational conditions. Here, we report a CuO hollow multishelled structure (CuO-HoMS) that functions as a spontaneous pre-enrichment micronanoreactor capable of enriching, confining, and converting nitrate with exceptional efficiency. The CuO-HoMS with triple shells (3s-CuO-HoMS) achieves a champion Faradaic efficiency of 96.4 ± 0.9%, and an ammonia yield of 6316.3 ± 96.1 mmol·gcat-1·h-1 at -0.4 V versus RHE among various catalysts. In situ confocal laser scanning microscopy directly visualized the rapid and sustained enrichment of NO3- within the stratified three-cavity reactor, with this enhanced anionic accessibility significantly reducing the overpotential and boosting efficient ammonia production. In situ XAS, Raman, FTIR, and DEMS collectively uncovered the dynamic evolution of 3s-CuO-HoMS, captured N-containing intermediates, and deduced a convincing reaction pathway validated by 15N isotopic tracing of the nitrogen source. This work offers guidance for designing anion-rich micronanoreactors under specific conditions and for elucidating the dynamic evolution mechanisms of nitrate reduction under operational conditions.</w:t>
      </w:r>
    </w:p>
    <w:p>
      <w:pPr>
        <w:spacing w:before="120" w:after="120"/>
      </w:pPr>
      <w:r>
        <w:rPr>
          <w:sz w:val="18"/>
        </w:rPr>
        <w:t>——————————————————————————————————————————————————————————————————————</w:t>
      </w:r>
    </w:p>
    <w:p>
      <w:pPr>
        <w:spacing w:before="160" w:after="40" w:line="240" w:lineRule="auto"/>
      </w:pPr>
      <w:r>
        <w:rPr>
          <w:b/>
        </w:rPr>
        <w:t xml:space="preserve">[15] </w:t>
      </w:r>
      <w:hyperlink r:id="rId162">
        <w:r>
          <w:rPr>
            <w:color w:val="1155CC"/>
            <w:u w:val="single"/>
          </w:rPr>
          <w:t>[ASAP] 过渡金属氧化物对氨分解的自旋效应</w:t>
        </w:r>
      </w:hyperlink>
    </w:p>
    <w:p>
      <w:pPr>
        <w:spacing w:before="0" w:after="80"/>
      </w:pPr>
      <w:r>
        <w:rPr>
          <w:i/>
          <w:sz w:val="20"/>
        </w:rPr>
        <w:t>EN: [ASAP] Spin Effect of Transition Metal Oxides on Ammonia Decomposition</w:t>
      </w:r>
    </w:p>
    <w:p>
      <w:pPr>
        <w:spacing w:before="0" w:after="120"/>
      </w:pPr>
      <w:r>
        <w:rPr>
          <w:b/>
        </w:rPr>
        <w:t xml:space="preserve">Source: </w:t>
      </w:r>
      <w:r>
        <w:t>Journal of the American Chemical Society: Latest Articles (ACS Publications)</w:t>
      </w:r>
      <w:r>
        <w:t xml:space="preserve">    </w:t>
      </w:r>
      <w:r>
        <w:rPr>
          <w:b/>
        </w:rPr>
        <w:t xml:space="preserve">Pub date: </w:t>
      </w:r>
      <w:r>
        <w:t>2026-03-25 15:33:33+00:00</w:t>
      </w:r>
      <w:r>
        <w:t xml:space="preserve">    </w:t>
      </w:r>
      <w:r>
        <w:rPr>
          <w:b/>
        </w:rPr>
        <w:t xml:space="preserve">DOI: </w:t>
      </w:r>
      <w:hyperlink r:id="rId163">
        <w:r>
          <w:rPr>
            <w:color w:val="1155CC"/>
            <w:u w:val="single"/>
          </w:rPr>
          <w:t>10.1021/jacs.6c01767</w:t>
        </w:r>
      </w:hyperlink>
    </w:p>
    <w:p>
      <w:pPr>
        <w:spacing w:before="0" w:after="120"/>
      </w:pPr>
      <w:r>
        <w:rPr>
          <w:b/>
        </w:rPr>
        <w:t xml:space="preserve">Notes: </w:t>
      </w:r>
      <w:r>
        <w:t>abstract_source=pubmed</w:t>
      </w:r>
    </w:p>
    <w:p>
      <w:pPr>
        <w:spacing w:before="0" w:after="80" w:lineRule="auto" w:line="276"/>
      </w:pPr>
      <w:r>
        <w:rPr>
          <w:b/>
        </w:rPr>
        <w:t xml:space="preserve">摘要（ZH）: </w:t>
      </w:r>
      <w:r>
        <w:t>氨分解反应由于其中间体的自旋敏感性而成为理解自旋效应的关键模型。然而，由于实验中表征受自旋影响的电子结构变化的挑战，活性位点与反应中间体之间的自旋相互作用仍然难以捉摸。在此，通过结合DFT计算和实验表征，研究了3d-5d轨道过渡金属氧化物与各种中间体之间自旋效应的差异。通过构建新颖的描述符，我们解耦了吸附物和催化剂的自旋轨道耦合如何影响磁交换相互作用。已证明金属中心的内在磁矩匹配得越好</w:t>
      </w:r>
    </w:p>
    <w:p>
      <w:pPr>
        <w:spacing w:before="0" w:after="200" w:lineRule="auto" w:line="276"/>
      </w:pPr>
      <w:r>
        <w:rPr>
          <w:b/>
        </w:rPr>
        <w:t xml:space="preserve">Abstract (EN): </w:t>
      </w:r>
      <w:r>
        <w:t>The ammonia decomposition reaction serves as a critical model for understanding the spin effect due to the spin sensitivity of its intermediates. However, due to the challenges in characterizing the electronic structural changes influenced by spin in experiments, the spin interactions between active sites and reaction intermediates remain elusive. Herein, the differences in spin effects between 3d-5d orbital transition metal oxides and various intermediates were investigated through a combination of DFT calculations and experimental characterization. By constructing novel descriptors, we decouple how the spin-orbital coupling of the adsorbate and catalyst affects the magnetic exchange interaction. It has been proven that the better the intrinsic magnetic moment of the metal center matches the average magnetism of the reaction intermediates, the more favorable it is for enhancing the catalytic reaction rate.</w:t>
      </w:r>
    </w:p>
    <w:p>
      <w:pPr>
        <w:spacing w:before="120" w:after="120"/>
      </w:pPr>
      <w:r>
        <w:rPr>
          <w:sz w:val="18"/>
        </w:rPr>
        <w:t>——————————————————————————————————————————————————————————————————————</w:t>
      </w:r>
    </w:p>
    <w:p>
      <w:pPr>
        <w:spacing w:before="160" w:after="40" w:line="240" w:lineRule="auto"/>
      </w:pPr>
      <w:r>
        <w:rPr>
          <w:b/>
        </w:rPr>
        <w:t xml:space="preserve">[16] </w:t>
      </w:r>
      <w:hyperlink r:id="rId164">
        <w:r>
          <w:rPr>
            <w:color w:val="1155CC"/>
            <w:u w:val="single"/>
          </w:rPr>
          <w:t>[ASAP] 原子到宏观尺度组装的Ni/MoO2电极用于高效和长寿命的氢气生产</w:t>
        </w:r>
      </w:hyperlink>
    </w:p>
    <w:p>
      <w:pPr>
        <w:spacing w:before="0" w:after="80"/>
      </w:pPr>
      <w:r>
        <w:rPr>
          <w:i/>
          <w:sz w:val="20"/>
        </w:rPr>
        <w:t>EN: [ASAP] An Atomic-to-Macroscale Assembled Ni/MoO2 Electrode for High-Efficiency and Long-Life Hydrogen Production</w:t>
      </w:r>
    </w:p>
    <w:p>
      <w:pPr>
        <w:spacing w:before="0" w:after="120"/>
      </w:pPr>
      <w:r>
        <w:rPr>
          <w:b/>
        </w:rPr>
        <w:t xml:space="preserve">Source: </w:t>
      </w:r>
      <w:r>
        <w:t>Journal of the American Chemical Society: Latest Articles (ACS Publications)</w:t>
      </w:r>
      <w:r>
        <w:t xml:space="preserve">    </w:t>
      </w:r>
      <w:r>
        <w:rPr>
          <w:b/>
        </w:rPr>
        <w:t xml:space="preserve">Pub date: </w:t>
      </w:r>
      <w:r>
        <w:t>2026-03-25 16:52:46+00:00</w:t>
      </w:r>
      <w:r>
        <w:t xml:space="preserve">    </w:t>
      </w:r>
      <w:r>
        <w:rPr>
          <w:b/>
        </w:rPr>
        <w:t xml:space="preserve">DOI: </w:t>
      </w:r>
      <w:hyperlink r:id="rId165">
        <w:r>
          <w:rPr>
            <w:color w:val="1155CC"/>
            <w:u w:val="single"/>
          </w:rPr>
          <w:t>10.1021/jacs.5c21735</w:t>
        </w:r>
      </w:hyperlink>
    </w:p>
    <w:p>
      <w:pPr>
        <w:spacing w:before="0" w:after="120"/>
      </w:pPr>
      <w:r>
        <w:rPr>
          <w:b/>
        </w:rPr>
        <w:t xml:space="preserve">Notes: </w:t>
      </w:r>
      <w:r>
        <w:t>abstract_source=pubmed</w:t>
      </w:r>
    </w:p>
    <w:p>
      <w:pPr>
        <w:spacing w:before="0" w:after="80" w:lineRule="auto" w:line="276"/>
      </w:pPr>
      <w:r>
        <w:rPr>
          <w:b/>
        </w:rPr>
        <w:t xml:space="preserve">摘要（ZH）: </w:t>
      </w:r>
      <w:r>
        <w:t>开发高活性和耐用的电极用于高电流密度碱性水电解对于推进经济高效的绿色氢气生产至关重要。在此，我们报告了一种集成的Ni/MoO2电极的原子到宏观尺度的组装，具有丰富的原子异质界面和三尺度（纳米-微米-宏观）孔隙度，以实现高性能的氢气演化。该电极在1 M KOH中以1 A cm-2的电流密度提供145 mV的过电位，显著低于商业Pt/C催化剂的300 mV，同时在超过3500小时的稳定操作中保持稳定。在碱性电解槽中的实际应用实现了1.80 V的电池电压，能耗为4.3 kWh Nm-3 H2，在工业条件下（30 wt % KOH，≥85 °C）以1 A cm-2的电流密度运行，操作耐久性超过。</w:t>
      </w:r>
    </w:p>
    <w:p>
      <w:pPr>
        <w:spacing w:before="0" w:after="200" w:lineRule="auto" w:line="276"/>
      </w:pPr>
      <w:r>
        <w:rPr>
          <w:b/>
        </w:rPr>
        <w:t xml:space="preserve">Abstract (EN): </w:t>
      </w:r>
      <w:r>
        <w:t>Developing highly active and durable electrodes for high-current-density alkaline water electrolysis is crucial for advancing cost-effective green hydrogen production. Herein, we report an atomic-to-macroscale assembly of an integrated Ni/MoO2 electrode possessing abundant atomic heterointerfaces with triscale (nano-micro-macro) porosity for high-performance hydrogen evolution. The electrode delivers an overpotential of 145 mV at 1 A cm-2 in 1 M KOH, markedly lower than the 300 mV of commercial Pt/C catalysts, while maintaining stable operation for over 3500 h. Practical application within an alkaline electrolyzer achieves a cell voltage of 1.80 V with an energy consumption of 4.3 kWh Nm-3 H2 at 1 A cm-2 under industrial conditions (30 wt % KOH at ≥85 °C), and operational durability exceeds 1000 h. Characterization and theoretical analysis elucidate a triple-enhancement effect on water electrolysis: (i) interfacial electron transfer from Ni to MoO2 moderately weakens H* adsorption and promotes the H2 desorption on the Ni sites, thereby boosting the intrinsic activity; (ii) triscale hierarchical porosity with hydrophilic MoO2 coating synergistically accelerates bubble detachment and electrolyte permeation, thereby enhancing mass transfer; and (iii) the strong Ni-MoO2 electronic interaction and their robust integration with the electrode skeleton significantly strengthen structural stability.</w:t>
      </w:r>
    </w:p>
    <w:p>
      <w:pPr>
        <w:spacing w:before="120" w:after="120"/>
      </w:pPr>
      <w:r>
        <w:rPr>
          <w:sz w:val="18"/>
        </w:rPr>
        <w:t>——————————————————————————————————————————————————————————————————————</w:t>
      </w:r>
    </w:p>
    <w:p>
      <w:pPr>
        <w:spacing w:before="160" w:after="40" w:line="240" w:lineRule="auto"/>
      </w:pPr>
      <w:r>
        <w:rPr>
          <w:b/>
        </w:rPr>
        <w:t xml:space="preserve">[17] </w:t>
      </w:r>
      <w:hyperlink r:id="rId166">
        <w:r>
          <w:rPr>
            <w:color w:val="1155CC"/>
            <w:u w:val="single"/>
          </w:rPr>
          <w:t>协调（绿色）氢供应链评估：模块化和参数化的生命周期评估框架</w:t>
        </w:r>
      </w:hyperlink>
    </w:p>
    <w:p>
      <w:pPr>
        <w:spacing w:before="0" w:after="80"/>
      </w:pPr>
      <w:r>
        <w:rPr>
          <w:i/>
          <w:sz w:val="20"/>
        </w:rPr>
        <w:t>EN: Harmonizing the assessment of (Green) Hydrogen Supply Chain: a modular and parametrized Life Cycle Assessment Framework.</w:t>
      </w:r>
    </w:p>
    <w:p>
      <w:pPr>
        <w:spacing w:before="0" w:after="120"/>
      </w:pPr>
      <w:r>
        <w:rPr>
          <w:b/>
        </w:rPr>
        <w:t xml:space="preserve">Source: </w:t>
      </w:r>
      <w:r>
        <w:t>RSC - Energy Environ. Sci. latest articles</w:t>
      </w:r>
      <w:r>
        <w:t xml:space="preserve">    </w:t>
      </w:r>
      <w:r>
        <w:rPr>
          <w:b/>
        </w:rPr>
        <w:t xml:space="preserve">Pub date: </w:t>
      </w:r>
      <w:r>
        <w:t>2026-03-26 00:00:00+00:00</w:t>
      </w:r>
    </w:p>
    <w:p>
      <w:pPr>
        <w:spacing w:before="0" w:after="120"/>
      </w:pPr>
      <w:r>
        <w:rPr>
          <w:b/>
        </w:rPr>
        <w:t xml:space="preserve">Notes: </w:t>
      </w:r>
      <w:r>
        <w:t>abstract_source=rsc_html</w:t>
      </w:r>
    </w:p>
    <w:p>
      <w:pPr>
        <w:spacing w:before="0" w:after="80" w:lineRule="auto" w:line="276"/>
      </w:pPr>
      <w:r>
        <w:rPr>
          <w:b/>
        </w:rPr>
        <w:t xml:space="preserve">摘要（ZH）: </w:t>
      </w:r>
      <w:r>
        <w:t>尽管关于绿色氢技术的生命周期评估（LCA）研究数量不断增加，但在如何界定LCA建模框架和透明传播结果方面缺乏协调，阻碍了该领域充分利用这一不断扩展的知识体系。本文提出了一个协调的LCA框架，以支持对绿色氢供应链的一致评估，并与功能等效的替代方案进行比较。该框架指导从业者定义功能单元，针对氢的六个确定的最终用途应用量身定制。过程树被开发为一个统一且灵活的模块化结构，适用于描述任何绿色氢技术的价值链，每个模块代表一个独立的构建块，可以进行修改。</w:t>
      </w:r>
    </w:p>
    <w:p>
      <w:pPr>
        <w:spacing w:before="0" w:after="200" w:lineRule="auto" w:line="276"/>
      </w:pPr>
      <w:r>
        <w:rPr>
          <w:b/>
        </w:rPr>
        <w:t xml:space="preserve">Abstract (EN): </w:t>
      </w:r>
      <w:r>
        <w:t>Despite a growing number of life cycle assessment (LCA) studies on green hydrogen technologies, a lack of harmonization in how to scope the LCA modeling framework and transparently disseminate results prevents the field from fully capitalizing on this expanding body of knowledge. This paper presents a harmonized LCA framework to support a consistent assessment of green hydrogen supply chains and comparison with functionally equivalent alternatives. The framework guides the practitioners to define the functional unit, tailored to six identified end-use applications of hydrogen. The process tree is developed as a unified and agile modular structure applicable to describe the value chain of any green hydrogen technology, each module representing a standalone building block that can be modified or replaced within the product system. It provides a parametrized inventory model linking the flows of the product systems to key parameters characterizing their design or performance. The framework has been implemented in a dedicated LCA tool (the HTWOL), supported by a library of modules representing pre-set configurations of elementary processes (e.g., electrolyser technologies), enhancing accessibility for users with varying levels of expertise. The framework has been successively applied to representative use cases. Results show the importance of ensuring low-impact energy supply and always striving to maximize the overall energy-efficiency in delivering the functional units. Environmentally relevant deployment of green hydrogen technologies would target end-use applications with no viable fossil substitutions (e.g., production of ammonia) and long-term renewable electricity storage. Efforts toward direct electrification and demand reduction must continue in parallel.</w:t>
      </w:r>
    </w:p>
    <w:p>
      <w:pPr>
        <w:spacing w:before="120" w:after="120"/>
      </w:pPr>
      <w:r>
        <w:rPr>
          <w:sz w:val="18"/>
        </w:rPr>
        <w:t>——————————————————————————————————————————————————————————————————————</w:t>
      </w:r>
    </w:p>
    <w:p>
      <w:pPr>
        <w:spacing w:before="160" w:after="120"/>
      </w:pPr>
      <w:r>
        <w:rPr>
          <w:b/>
          <w:sz w:val="28"/>
        </w:rPr>
        <w:t>【产业降碳】</w:t>
      </w:r>
    </w:p>
    <w:p>
      <w:pPr>
        <w:spacing w:before="160" w:after="40" w:line="240" w:lineRule="auto"/>
      </w:pPr>
      <w:r>
        <w:rPr>
          <w:b/>
        </w:rPr>
        <w:t xml:space="preserve">[1] </w:t>
      </w:r>
      <w:hyperlink r:id="rId144">
        <w:r>
          <w:rPr>
            <w:color w:val="1155CC"/>
            <w:u w:val="single"/>
          </w:rPr>
          <w:t>用于脱碳高能耗行业的氢气供应操作优化：一种多时间尺度滚动视野方法</w:t>
        </w:r>
      </w:hyperlink>
    </w:p>
    <w:p>
      <w:pPr>
        <w:spacing w:before="0" w:after="80"/>
      </w:pPr>
      <w:r>
        <w:rPr>
          <w:i/>
          <w:sz w:val="20"/>
        </w:rPr>
        <w:t>EN: Optimization of hydrogen supply operations for decarbonizing energy-intensive industries: A multi-timescale rolling horizon approach</w:t>
      </w:r>
    </w:p>
    <w:p>
      <w:pPr>
        <w:spacing w:before="0" w:after="120"/>
      </w:pPr>
      <w:r>
        <w:rPr>
          <w:b/>
        </w:rPr>
        <w:t xml:space="preserve">Source: </w:t>
      </w:r>
      <w:r>
        <w:t>ScienceDirect Publication: Applied Energy</w:t>
      </w:r>
      <w:r>
        <w:t xml:space="preserve">    </w:t>
      </w:r>
      <w:r>
        <w:rPr>
          <w:b/>
        </w:rPr>
        <w:t xml:space="preserve">Pub date: </w:t>
      </w:r>
      <w:r>
        <w:t>2026-03-21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67">
        <w:r>
          <w:rPr>
            <w:color w:val="1155CC"/>
            <w:u w:val="single"/>
          </w:rPr>
          <w:t>排放交易计划重塑中国电力部门的脱碳路径</w:t>
        </w:r>
      </w:hyperlink>
    </w:p>
    <w:p>
      <w:pPr>
        <w:spacing w:before="0" w:after="80"/>
      </w:pPr>
      <w:r>
        <w:rPr>
          <w:i/>
          <w:sz w:val="20"/>
        </w:rPr>
        <w:t>EN: Emission trading scheme reshapes the decarbonisation pathways of China's power sector</w:t>
      </w:r>
    </w:p>
    <w:p>
      <w:pPr>
        <w:spacing w:before="0" w:after="120"/>
      </w:pPr>
      <w:r>
        <w:rPr>
          <w:b/>
        </w:rPr>
        <w:t xml:space="preserve">Source: </w:t>
      </w:r>
      <w:r>
        <w:t>ScienceDirect Publication: Applied Energy</w:t>
      </w:r>
      <w:r>
        <w:t xml:space="preserve">    </w:t>
      </w:r>
      <w:r>
        <w:rPr>
          <w:b/>
        </w:rPr>
        <w:t xml:space="preserve">Pub date: </w:t>
      </w:r>
      <w:r>
        <w:t>2026-03-22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68">
        <w:r>
          <w:rPr>
            <w:color w:val="1155CC"/>
            <w:u w:val="single"/>
          </w:rPr>
          <w:t>印度各邦在电力脱碳方面表现如何？基于消费的分解分析</w:t>
        </w:r>
      </w:hyperlink>
    </w:p>
    <w:p>
      <w:pPr>
        <w:spacing w:before="0" w:after="80"/>
      </w:pPr>
      <w:r>
        <w:rPr>
          <w:i/>
          <w:sz w:val="20"/>
        </w:rPr>
        <w:t>EN: How do Indian states fare in electricity decarbonization? A consumption-based decomposition analysis at subnational level</w:t>
      </w:r>
    </w:p>
    <w:p>
      <w:pPr>
        <w:spacing w:before="0" w:after="120"/>
      </w:pPr>
      <w:r>
        <w:rPr>
          <w:b/>
        </w:rPr>
        <w:t xml:space="preserve">Source: </w:t>
      </w:r>
      <w:r>
        <w:t>ScienceDirect Publication: Energy Policy</w:t>
      </w:r>
      <w:r>
        <w:t xml:space="preserve">    </w:t>
      </w:r>
      <w:r>
        <w:rPr>
          <w:b/>
        </w:rPr>
        <w:t xml:space="preserve">Pub date: </w:t>
      </w:r>
      <w:r>
        <w:t>2026-03-22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69">
        <w:r>
          <w:rPr>
            <w:color w:val="1155CC"/>
            <w:u w:val="single"/>
          </w:rPr>
          <w:t>一种用于中小型商业建筑节能控制的迁移学习方法</w:t>
        </w:r>
      </w:hyperlink>
    </w:p>
    <w:p>
      <w:pPr>
        <w:spacing w:before="0" w:after="80"/>
      </w:pPr>
      <w:r>
        <w:rPr>
          <w:i/>
          <w:sz w:val="20"/>
        </w:rPr>
        <w:t>EN: A transfer learning approach to energy-efficient control of small and medium-sized commercial buildings</w:t>
      </w:r>
    </w:p>
    <w:p>
      <w:pPr>
        <w:spacing w:before="0" w:after="120"/>
      </w:pPr>
      <w:r>
        <w:rPr>
          <w:b/>
        </w:rPr>
        <w:t xml:space="preserve">Source: </w:t>
      </w:r>
      <w:r>
        <w:t>ScienceDirect Publication: Applied Energy</w:t>
      </w:r>
      <w:r>
        <w:t xml:space="preserve">    </w:t>
      </w:r>
      <w:r>
        <w:rPr>
          <w:b/>
        </w:rPr>
        <w:t xml:space="preserve">Pub date: </w:t>
      </w:r>
      <w:r>
        <w:t>2026-03-24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【CCUS】</w:t>
      </w:r>
    </w:p>
    <w:p>
      <w:pPr>
        <w:spacing w:before="160" w:after="40" w:line="240" w:lineRule="auto"/>
      </w:pPr>
      <w:r>
        <w:rPr>
          <w:b/>
        </w:rPr>
        <w:t xml:space="preserve">[1] </w:t>
      </w:r>
      <w:hyperlink r:id="rId145">
        <w:r>
          <w:rPr>
            <w:color w:val="1155CC"/>
            <w:u w:val="single"/>
          </w:rPr>
          <w:t>战略绿色技术的政策驱动创新路径：以韩国的氢气和碳捕集、利用与封存（CCUS）为例</w:t>
        </w:r>
      </w:hyperlink>
    </w:p>
    <w:p>
      <w:pPr>
        <w:spacing w:before="0" w:after="80"/>
      </w:pPr>
      <w:r>
        <w:rPr>
          <w:i/>
          <w:sz w:val="20"/>
        </w:rPr>
        <w:t>EN: Policy-driven innovation pathways for strategic green technologies: The case of hydrogen and carbon capture, utilization, and storage (CCUS) in South Korea</w:t>
      </w:r>
    </w:p>
    <w:p>
      <w:pPr>
        <w:spacing w:before="0" w:after="120"/>
      </w:pPr>
      <w:r>
        <w:rPr>
          <w:b/>
        </w:rPr>
        <w:t xml:space="preserve">Source: </w:t>
      </w:r>
      <w:r>
        <w:t>ScienceDirect Publication: Energy Policy</w:t>
      </w:r>
      <w:r>
        <w:t xml:space="preserve">    </w:t>
      </w:r>
      <w:r>
        <w:rPr>
          <w:b/>
        </w:rPr>
        <w:t xml:space="preserve">Pub date: </w:t>
      </w:r>
      <w:r>
        <w:t>2026-03-21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70">
        <w:r>
          <w:rPr>
            <w:color w:val="1155CC"/>
            <w:u w:val="single"/>
          </w:rPr>
          <w:t>解读单原子催化剂上中间体在电催化CO2转化反应中的相互作用模式</w:t>
        </w:r>
      </w:hyperlink>
    </w:p>
    <w:p>
      <w:pPr>
        <w:spacing w:before="0" w:after="80"/>
      </w:pPr>
      <w:r>
        <w:rPr>
          <w:i/>
          <w:sz w:val="20"/>
        </w:rPr>
        <w:t>EN: Deciphering the interaction patterns of intermediates on single atom catalysts during electrocatalytic CO2 conversion reactions</w:t>
      </w:r>
    </w:p>
    <w:p>
      <w:pPr>
        <w:spacing w:before="0" w:after="120"/>
      </w:pPr>
      <w:r>
        <w:rPr>
          <w:b/>
        </w:rPr>
        <w:t xml:space="preserve">Source: </w:t>
      </w:r>
      <w:r>
        <w:t>RSC - Chem. Soc. Rev. latest articles</w:t>
      </w:r>
      <w:r>
        <w:t xml:space="preserve">    </w:t>
      </w:r>
      <w:r>
        <w:rPr>
          <w:b/>
        </w:rPr>
        <w:t xml:space="preserve">Pub date: </w:t>
      </w:r>
      <w:r>
        <w:t>2026-03-23 00:00:00+00:00</w:t>
      </w:r>
    </w:p>
    <w:p>
      <w:pPr>
        <w:spacing w:before="0" w:after="120"/>
      </w:pPr>
      <w:r>
        <w:rPr>
          <w:b/>
        </w:rPr>
        <w:t xml:space="preserve">Notes: </w:t>
      </w:r>
      <w:r>
        <w:t>abstract_source=rsc_html</w:t>
      </w:r>
    </w:p>
    <w:p>
      <w:pPr>
        <w:spacing w:before="0" w:after="80" w:lineRule="auto" w:line="276"/>
      </w:pPr>
      <w:r>
        <w:rPr>
          <w:b/>
        </w:rPr>
        <w:t xml:space="preserve">摘要（ZH）: </w:t>
      </w:r>
      <w:r>
        <w:t>电催化CO2转化（CO2CR）为解决碳排放问题同时生成有价值的化学原料提供了一条有前景的途径。单原子催化剂（SACs）因其最大化的金属原子利用率和精确定义的配位结构而受到广泛关注。越来越多的证据表明，SACs上的CO2CR是由中心金属原子的内在特性和周围配位环境共同决定的。在这篇综述中，我们对围绕中心金属中心的分层配位环境进行了全面分析，包括第一配位球中的单元素和双元素配位，以及通过邻近非金属和金属物种对第二配位球的调控。</w:t>
      </w:r>
    </w:p>
    <w:p>
      <w:pPr>
        <w:spacing w:before="0" w:after="200" w:lineRule="auto" w:line="276"/>
      </w:pPr>
      <w:r>
        <w:rPr>
          <w:b/>
        </w:rPr>
        <w:t xml:space="preserve">Abstract (EN): </w:t>
      </w:r>
      <w:r>
        <w:t>Electrocatalytic CO2 conversion (CO2CR) offers a promising route for addressing carbon emissions while simultaneously generating valuable chemical feedstocks. Single-atom catalysts (SACs) have attracted significant attention due to their maximized metal atom utilization and precisely defined coordination architectures. Accumulating evidence indicates that CO2CR over SACs is jointly governed by the intrinsic properties of the central metal atom and the surrounding coordination environment. In this review, we present a comprehensive analysis of the hierarchical coordination environments surrounding the central metal center, encompassing monoelement and bielement coordination in the first coordination sphere, second coordination sphere modulation by neighboring non-metallic and metallic species, and engineering of the beyond-second coordination sphere via functional-group grafting and distal substrate functionalization. We further elucidate the nature of catalytically active sites and systematically categorize intermediate binding behaviors into single-site, step-by-step, simultaneous and cross-substrate intermediate binding modes, highlighting how tailored intermediate interactions regulate reaction kinetics, suppress competing pathways, and steer product selectivity. Notably, we summarize recent advances demonstrating that SACs are not inherently confined to C1 products but also unlock complex coupling reactions through rationally designed multi-site interaction networks, yielding critical chemicals including C2+ products, urea, and others. This framework establishes SACs as a transformative platform for next-generation CO2CR through precise control of multiscale coordination environments, active sites, and intermediate interactions.</w:t>
      </w:r>
    </w:p>
    <w:p>
      <w:pPr>
        <w:spacing w:before="120" w:after="120"/>
      </w:pPr>
      <w:r>
        <w:rPr>
          <w:sz w:val="18"/>
        </w:rPr>
        <w:t>——————————————————————————————————————————————————————————————————————</w:t>
      </w:r>
    </w:p>
    <w:p>
      <w:pPr>
        <w:spacing w:before="160" w:after="40" w:line="240" w:lineRule="auto"/>
      </w:pPr>
      <w:r>
        <w:rPr>
          <w:b/>
        </w:rPr>
        <w:t xml:space="preserve">[3] </w:t>
      </w:r>
      <w:hyperlink r:id="rId171">
        <w:r>
          <w:rPr>
            <w:color w:val="1155CC"/>
            <w:u w:val="single"/>
          </w:rPr>
          <w:t>镍钛氧化物涂层镍上的Ni‐O‐Ti双活性位点用于高效且稳健的光热CO2甲烷化</w:t>
        </w:r>
      </w:hyperlink>
    </w:p>
    <w:p>
      <w:pPr>
        <w:spacing w:before="0" w:after="80"/>
      </w:pPr>
      <w:r>
        <w:rPr>
          <w:i/>
          <w:sz w:val="20"/>
        </w:rPr>
        <w:t>EN: Dual Active Sites of Ni‐O‐Ti on NiTiO3 Coated Ni for Efficient and Robust Photothermal CO2 Methanation</w:t>
      </w:r>
    </w:p>
    <w:p>
      <w:pPr>
        <w:spacing w:before="0" w:after="120"/>
      </w:pPr>
      <w:r>
        <w:rPr>
          <w:b/>
        </w:rPr>
        <w:t xml:space="preserve">Source: </w:t>
      </w:r>
      <w:r>
        <w:t>Wiley: Advanced Energy Materials: Table of Contents</w:t>
      </w:r>
      <w:r>
        <w:t xml:space="preserve">    </w:t>
      </w:r>
      <w:r>
        <w:rPr>
          <w:b/>
        </w:rPr>
        <w:t xml:space="preserve">Pub date: </w:t>
      </w:r>
      <w:r>
        <w:t>2026-03-23 12:59:02+00:00</w:t>
      </w:r>
      <w:r>
        <w:t xml:space="preserve">    </w:t>
      </w:r>
      <w:r>
        <w:rPr>
          <w:b/>
        </w:rPr>
        <w:t xml:space="preserve">DOI: </w:t>
      </w:r>
      <w:hyperlink r:id="rId172">
        <w:r>
          <w:rPr>
            <w:color w:val="1155CC"/>
            <w:u w:val="single"/>
          </w:rPr>
          <w:t>10.1002/aenm.70870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使用基于Ni的核壳催化剂将CO2转化为增值燃料有助于解决Ni的碳沉积引起的失活问题。然而，设计高活性的壳层是关键。在这项研究中，通过激光诱导的非平衡反应合成了镍钛酸盐涂层的金属Ni纳米颗粒（Ni@NiTiO3）。获得的Ni@NiTiO3作为光热催化剂用于将CO2转化为CH4，实现了1.48 mol gcat−1的高CH4产率</w:t>
      </w:r>
    </w:p>
    <w:p>
      <w:pPr>
        <w:spacing w:before="0" w:after="200" w:lineRule="auto" w:line="276"/>
      </w:pPr>
      <w:r>
        <w:rPr>
          <w:b/>
        </w:rPr>
        <w:t xml:space="preserve">Abstract (EN): </w:t>
      </w:r>
      <w:r>
        <w:t>Converting CO</w:t>
      </w:r>
      <w:r>
        <w:rPr>
          <w:vertAlign w:val="subscript"/>
        </w:rPr>
        <w:t>2</w:t>
      </w:r>
      <w:r>
        <w:t>into value‐added fuels using a Ni‐based core–shell catalyst is beneficial for addressing the carbon deposition‐induced deactivation of Ni. However, designing highly active shells is critical. In this study, nickel titanate‐coated metallic Ni nanoparticles (Ni@NiTiO</w:t>
      </w:r>
      <w:r>
        <w:rPr>
          <w:vertAlign w:val="subscript"/>
        </w:rPr>
        <w:t>3</w:t>
      </w:r>
      <w:r>
        <w:t>) are synthesized via laser‐induced nonequilibrium reaction. The obtained Ni@NiTiO</w:t>
      </w:r>
      <w:r>
        <w:rPr>
          <w:vertAlign w:val="subscript"/>
        </w:rPr>
        <w:t>3</w:t>
      </w:r>
      <w:r>
        <w:t>as a photothermal catalyst for converting CO</w:t>
      </w:r>
      <w:r>
        <w:rPr>
          <w:vertAlign w:val="subscript"/>
        </w:rPr>
        <w:t>2</w:t>
      </w:r>
      <w:r>
        <w:t>to CH</w:t>
      </w:r>
      <w:r>
        <w:rPr>
          <w:vertAlign w:val="subscript"/>
        </w:rPr>
        <w:t>4</w:t>
      </w:r>
      <w:r>
        <w:t>achieves a high CH</w:t>
      </w:r>
      <w:r>
        <w:rPr>
          <w:vertAlign w:val="subscript"/>
        </w:rPr>
        <w:t>4</w:t>
      </w:r>
      <w:r>
        <w:t>yield of 1.48 mol g</w:t>
      </w:r>
      <w:r>
        <w:t xml:space="preserve"> </w:t>
      </w:r>
      <w:r>
        <w:t>cat</w:t>
      </w:r>
      <w:r>
        <w:t xml:space="preserve"> </w:t>
      </w:r>
      <w:r>
        <w:t>−1</w:t>
      </w:r>
      <w:r>
        <w:t xml:space="preserve"> </w:t>
      </w:r>
      <w:r>
        <w:t>h</w:t>
      </w:r>
      <w:r>
        <w:t xml:space="preserve"> </w:t>
      </w:r>
      <w:r>
        <w:t>−1</w:t>
      </w:r>
      <w:r>
        <w:t xml:space="preserve"> </w:t>
      </w:r>
      <w:r>
        <w:t>and CH</w:t>
      </w:r>
      <w:r>
        <w:rPr>
          <w:vertAlign w:val="subscript"/>
        </w:rPr>
        <w:t>4</w:t>
      </w:r>
      <w:r>
        <w:t>selectivity of 94.3% under the light intensity of 2.52 W cm</w:t>
      </w:r>
      <w:r>
        <w:t xml:space="preserve"> </w:t>
      </w:r>
      <w:r>
        <w:t>−2</w:t>
      </w:r>
      <w:r>
        <w:t xml:space="preserve"> </w:t>
      </w:r>
      <w:r>
        <w:t>. The outstanding catalytic performance is ascribed to the presence of the Ni‐O‐Ti structure with dual active sites in the shell of Ni@NiTiO</w:t>
      </w:r>
      <w:r>
        <w:rPr>
          <w:vertAlign w:val="subscript"/>
        </w:rPr>
        <w:t>3</w:t>
      </w:r>
      <w:r>
        <w:t>. Specifically, Ni</w:t>
      </w:r>
      <w:r>
        <w:t xml:space="preserve"> </w:t>
      </w:r>
      <w:r>
        <w:t>2+</w:t>
      </w:r>
      <w:r>
        <w:t xml:space="preserve"> </w:t>
      </w:r>
      <w:r>
        <w:t>species in the Ni‐O‐Ti structure enhance CO</w:t>
      </w:r>
      <w:r>
        <w:rPr>
          <w:vertAlign w:val="subscript"/>
        </w:rPr>
        <w:t>2</w:t>
      </w:r>
      <w:r>
        <w:t>adsorption and activation, while Ti species stabilize high‐valent Ni species to maintain activity. Meanwhile, the metallic Ni core reduces the energy barrier for H</w:t>
      </w:r>
      <w:r>
        <w:rPr>
          <w:vertAlign w:val="subscript"/>
        </w:rPr>
        <w:t>2</w:t>
      </w:r>
      <w:r>
        <w:t>dissociation on the shell surface, thus facilitating the subsequent CO</w:t>
      </w:r>
      <w:r>
        <w:rPr>
          <w:vertAlign w:val="subscript"/>
        </w:rPr>
        <w:t>2</w:t>
      </w:r>
      <w:r>
        <w:t>hydrogenation. In a flow reactor (weight hourly space velocity of 200 000 mL g</w:t>
      </w:r>
      <w:r>
        <w:t xml:space="preserve"> </w:t>
      </w:r>
      <w:r>
        <w:t>cat</w:t>
      </w:r>
      <w:r>
        <w:t xml:space="preserve"> </w:t>
      </w:r>
      <w:r>
        <w:t>−1</w:t>
      </w:r>
      <w:r>
        <w:t xml:space="preserve"> </w:t>
      </w:r>
      <w:r>
        <w:t>h</w:t>
      </w:r>
      <w:r>
        <w:t xml:space="preserve"> </w:t>
      </w:r>
      <w:r>
        <w:t>−1</w:t>
      </w:r>
      <w:r>
        <w:t xml:space="preserve"> </w:t>
      </w:r>
      <w:r>
        <w:t>), Ni@NiTiO</w:t>
      </w:r>
      <w:r>
        <w:rPr>
          <w:vertAlign w:val="subscript"/>
        </w:rPr>
        <w:t>3</w:t>
      </w:r>
      <w:r>
        <w:t>achieves 77.1% CO</w:t>
      </w:r>
      <w:r>
        <w:rPr>
          <w:vertAlign w:val="subscript"/>
        </w:rPr>
        <w:t>2</w:t>
      </w:r>
      <w:r>
        <w:t>conversion and maintains long‐term stability for 100 h, which can also be efficiently driven under sunny conditions. This work demonstrates the design concept of core–shell catalyst with a highly active shell prepared via laser‐induced nonequilibrium reactions for efficient photothermal catalytic CO</w:t>
      </w:r>
      <w:r>
        <w:rPr>
          <w:vertAlign w:val="subscript"/>
        </w:rPr>
        <w:t>2</w:t>
      </w:r>
      <w:r>
        <w:t>hydrogenation reactions.</w:t>
      </w:r>
    </w:p>
    <w:p>
      <w:pPr>
        <w:spacing w:before="120" w:after="120"/>
      </w:pPr>
      <w:r>
        <w:rPr>
          <w:sz w:val="18"/>
        </w:rPr>
        <w:t>——————————————————————————————————————————————————————————————————————</w:t>
      </w:r>
    </w:p>
    <w:p>
      <w:pPr>
        <w:spacing w:before="160" w:after="40" w:line="240" w:lineRule="auto"/>
      </w:pPr>
      <w:r>
        <w:rPr>
          <w:b/>
        </w:rPr>
        <w:t xml:space="preserve">[4] </w:t>
      </w:r>
      <w:hyperlink r:id="rId173">
        <w:r>
          <w:rPr>
            <w:color w:val="1155CC"/>
            <w:u w:val="single"/>
          </w:rPr>
          <w:t>[ASAP] 在金属有机框架中构建自适应孔以从湿烟气中捕获CO2</w:t>
        </w:r>
      </w:hyperlink>
    </w:p>
    <w:p>
      <w:pPr>
        <w:spacing w:before="0" w:after="80"/>
      </w:pPr>
      <w:r>
        <w:rPr>
          <w:i/>
          <w:sz w:val="20"/>
        </w:rPr>
        <w:t>EN: [ASAP] Constructing Self-Adaptive Pores in a Metal–Organic Framework for Capturing CO2 from Wet Flue Gas</w:t>
      </w:r>
    </w:p>
    <w:p>
      <w:pPr>
        <w:spacing w:before="0" w:after="120"/>
      </w:pPr>
      <w:r>
        <w:rPr>
          <w:b/>
        </w:rPr>
        <w:t xml:space="preserve">Source: </w:t>
      </w:r>
      <w:r>
        <w:t>Journal of the American Chemical Society: Latest Articles (ACS Publications)</w:t>
      </w:r>
      <w:r>
        <w:t xml:space="preserve">    </w:t>
      </w:r>
      <w:r>
        <w:rPr>
          <w:b/>
        </w:rPr>
        <w:t xml:space="preserve">Pub date: </w:t>
      </w:r>
      <w:r>
        <w:t>2026-03-23 16:11:22+00:00</w:t>
      </w:r>
      <w:r>
        <w:t xml:space="preserve">    </w:t>
      </w:r>
      <w:r>
        <w:rPr>
          <w:b/>
        </w:rPr>
        <w:t xml:space="preserve">DOI: </w:t>
      </w:r>
      <w:hyperlink r:id="rId174">
        <w:r>
          <w:rPr>
            <w:color w:val="1155CC"/>
            <w:u w:val="single"/>
          </w:rPr>
          <w:t>10.1021/jacs.5c20653</w:t>
        </w:r>
      </w:hyperlink>
    </w:p>
    <w:p>
      <w:pPr>
        <w:spacing w:before="0" w:after="120"/>
      </w:pPr>
      <w:r>
        <w:rPr>
          <w:b/>
        </w:rPr>
        <w:t xml:space="preserve">Notes: </w:t>
      </w:r>
      <w:r>
        <w:t>abstract_source=pubmed</w:t>
      </w:r>
    </w:p>
    <w:p>
      <w:pPr>
        <w:spacing w:before="0" w:after="80" w:lineRule="auto" w:line="276"/>
      </w:pPr>
      <w:r>
        <w:rPr>
          <w:b/>
        </w:rPr>
        <w:t xml:space="preserve">摘要（ZH）: </w:t>
      </w:r>
      <w:r>
        <w:t>从工业烟气中高效捕获CO2对于实现碳中和至关重要。然而，由于CO2的极性和尺寸介于H2O和N2之间，这一目标仍然是一个巨大的挑战。在此，我们设计并合成了一种新型金属有机框架（MOF）（FJI-H46），其特征是具有灵活的框架、与CO2匹配的超微孔和能够自适应识别湿烟气中CO2的Cl-位点。FJI-H46具有优异的化学稳定性，即使在强酸、强碱和高温下也能保持结构完整性。它能够从模拟烟气中高效捕获CO2，具有超高的吸附容量、极高的选择性和极低的吸附焓。这种卓越的性能源于</w:t>
      </w:r>
    </w:p>
    <w:p>
      <w:pPr>
        <w:spacing w:before="0" w:after="200" w:lineRule="auto" w:line="276"/>
      </w:pPr>
      <w:r>
        <w:rPr>
          <w:b/>
        </w:rPr>
        <w:t xml:space="preserve">Abstract (EN): </w:t>
      </w:r>
      <w:r>
        <w:t>Efficient capture of CO2 from industrial flue gas is crucial for achieving carbon neutrality. However, this goal remains a huge challenge due to the fact that the polarity and size of CO2 lie between those of H2O and N2. Here, we design and synthesize a novel metal-organic framework (MOF) (FJI-H46) featuring a flexible framework, ultramicropores matched with CO2, and Cl- sites capable of adaptively recognizing CO2 from wet flue gas. FJI-H46 has excellent chemical stability and can maintain structural integrity even under strong acids, strong bases, and high temperatures. It can efficiently capture CO2 from simulated flue gas with ultrahigh adsorption capacity, exceptionally high selectivity, and very low adsorption enthalpy. This outstanding performance stems from the synergistic effect among the adaptive movement of Cl- sites, the adaptive deformations of the flexible framework, and the confinement effect of ultramicropores. Such synergy also results in a higher initial adsorption enthalpy of FJI-H46 for CO2 than H2O, and a much faster adsorption rate for CO2 than H2O, thereby effectively suppressing competitive adsorption of H2O. Even at 100% relative humidity (RH), FJI-H46 demonstrates exceptional carbon capture capacity, remarkable ability to suppress H2O coadsorption, and outstanding long-term tolerance to repeated H2O adsorption and desorption.</w:t>
      </w:r>
    </w:p>
    <w:p>
      <w:pPr>
        <w:spacing w:before="120" w:after="120"/>
      </w:pPr>
      <w:r>
        <w:rPr>
          <w:sz w:val="18"/>
        </w:rPr>
        <w:t>——————————————————————————————————————————————————————————————————————</w:t>
      </w:r>
    </w:p>
    <w:p>
      <w:pPr>
        <w:spacing w:before="160" w:after="40" w:line="240" w:lineRule="auto"/>
      </w:pPr>
      <w:r>
        <w:rPr>
          <w:b/>
        </w:rPr>
        <w:t xml:space="preserve">[5] </w:t>
      </w:r>
      <w:hyperlink r:id="rId175">
        <w:r>
          <w:rPr>
            <w:color w:val="1155CC"/>
            <w:u w:val="single"/>
          </w:rPr>
          <w:t>通过支柱配体定制精确构建柔性二维金属有机框架以实现高效的C2H2/CO2/C2H4分离</w:t>
        </w:r>
      </w:hyperlink>
    </w:p>
    <w:p>
      <w:pPr>
        <w:spacing w:before="0" w:after="80"/>
      </w:pPr>
      <w:r>
        <w:rPr>
          <w:i/>
          <w:sz w:val="20"/>
        </w:rPr>
        <w:t>EN: Precise Construction of Flexible Two‐Dimensional Metal‐Organic Frameworks Through Pillar‐Ligand Tailoring for Efficient C2H2/CO2/C2H4 Separation</w:t>
      </w:r>
    </w:p>
    <w:p>
      <w:pPr>
        <w:spacing w:before="0" w:after="120"/>
      </w:pPr>
      <w:r>
        <w:rPr>
          <w:b/>
        </w:rPr>
        <w:t xml:space="preserve">Source: </w:t>
      </w:r>
      <w:r>
        <w:t>Wiley: Angewandte Chemie International Edition: Table of Contents</w:t>
      </w:r>
      <w:r>
        <w:t xml:space="preserve">    </w:t>
      </w:r>
      <w:r>
        <w:rPr>
          <w:b/>
        </w:rPr>
        <w:t xml:space="preserve">Pub date: </w:t>
      </w:r>
      <w:r>
        <w:t>2026-03-23 16:34:55+00:00</w:t>
      </w:r>
      <w:r>
        <w:t xml:space="preserve">    </w:t>
      </w:r>
      <w:r>
        <w:rPr>
          <w:b/>
        </w:rPr>
        <w:t xml:space="preserve">DOI: </w:t>
      </w:r>
      <w:hyperlink r:id="rId176">
        <w:r>
          <w:rPr>
            <w:color w:val="1155CC"/>
            <w:u w:val="single"/>
          </w:rPr>
          <w:t>10.1002/anie.4625459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实现C2H2/CO2/C2H4高效分离的关键在于制备具有高吸附容量和高选择性的材料。柔性二维金属有机框架（2D MOFs）由于其层内高结构韧性和层间强刺激响应性，在困难的分离应用中表现出色，但其可控制备是一个挑战。在此，在晶体工程的指导下，我们开发了一种框架维度缩减策略（3D → 2D）</w:t>
      </w:r>
    </w:p>
    <w:p>
      <w:pPr>
        <w:spacing w:before="0" w:after="200" w:lineRule="auto" w:line="276"/>
      </w:pPr>
      <w:r>
        <w:rPr>
          <w:b/>
        </w:rPr>
        <w:t xml:space="preserve">Abstract (EN): </w:t>
      </w:r>
      <w:r>
        <w:t>The key to achieving efficient separation of C</w:t>
      </w:r>
      <w:r>
        <w:rPr>
          <w:vertAlign w:val="subscript"/>
        </w:rPr>
        <w:t>2</w:t>
      </w:r>
      <w:r>
        <w:t>H</w:t>
      </w:r>
      <w:r>
        <w:rPr>
          <w:vertAlign w:val="subscript"/>
        </w:rPr>
        <w:t>2</w:t>
      </w:r>
      <w:r>
        <w:t>/CO</w:t>
      </w:r>
      <w:r>
        <w:rPr>
          <w:vertAlign w:val="subscript"/>
        </w:rPr>
        <w:t>2</w:t>
      </w:r>
      <w:r>
        <w:t>/C</w:t>
      </w:r>
      <w:r>
        <w:rPr>
          <w:vertAlign w:val="subscript"/>
        </w:rPr>
        <w:t>2</w:t>
      </w:r>
      <w:r>
        <w:t>H</w:t>
      </w:r>
      <w:r>
        <w:rPr>
          <w:vertAlign w:val="subscript"/>
        </w:rPr>
        <w:t>4</w:t>
      </w:r>
      <w:r>
        <w:t>is to prepare materials with both high adsorption capacity and high selectivity. Flexible two‐dimensional metal‐organic frameworks (2D MOFs) exhibit excellent performance in difficult separation applications due to their high structural toughness within the layers and strong stimulus responsiveness between layers, but their controllable preparation is a challenge. Herein, under the guidance of crystal engineering, we develop a framework dimensionality reduction strategy (3D → 2D) for tailoring of pillaring ligands to directionally construct flexible 2D MOFs, based on a 3D MOF (UPC‐191) constructed by terpyridine pillaring ligands and organic carboxylic acid ligands. The interlayer and intralayer pore environments are synergistically optimized by co‐modification of semi‐pillared ligands and carboxylic acid ligands as well as metal ion regulation. Remarkably, the optimal structure of difluoro‐functionalized MOF (UPC‐197) exhibits temperature‐responsive framework flexibility with a unique “gate‐opening effect” for C</w:t>
      </w:r>
      <w:r>
        <w:rPr>
          <w:vertAlign w:val="subscript"/>
        </w:rPr>
        <w:t>2</w:t>
      </w:r>
      <w:r>
        <w:t>H</w:t>
      </w:r>
      <w:r>
        <w:rPr>
          <w:vertAlign w:val="subscript"/>
        </w:rPr>
        <w:t>2</w:t>
      </w:r>
      <w:r>
        <w:t>and reverse adsorption behavior for CO</w:t>
      </w:r>
      <w:r>
        <w:rPr>
          <w:vertAlign w:val="subscript"/>
        </w:rPr>
        <w:t>2</w:t>
      </w:r>
      <w:r>
        <w:t>/C</w:t>
      </w:r>
      <w:r>
        <w:rPr>
          <w:vertAlign w:val="subscript"/>
        </w:rPr>
        <w:t>2</w:t>
      </w:r>
      <w:r>
        <w:t>H</w:t>
      </w:r>
      <w:r>
        <w:rPr>
          <w:vertAlign w:val="subscript"/>
        </w:rPr>
        <w:t>4</w:t>
      </w:r>
      <w:r>
        <w:t>at 195 K, achieving efficient separation of C</w:t>
      </w:r>
      <w:r>
        <w:rPr>
          <w:vertAlign w:val="subscript"/>
        </w:rPr>
        <w:t>2</w:t>
      </w:r>
      <w:r>
        <w:t>H</w:t>
      </w:r>
      <w:r>
        <w:rPr>
          <w:vertAlign w:val="subscript"/>
        </w:rPr>
        <w:t>2</w:t>
      </w:r>
      <w:r>
        <w:t>/C</w:t>
      </w:r>
      <w:r>
        <w:rPr>
          <w:vertAlign w:val="subscript"/>
        </w:rPr>
        <w:t>2</w:t>
      </w:r>
      <w:r>
        <w:t>H</w:t>
      </w:r>
      <w:r>
        <w:rPr>
          <w:vertAlign w:val="subscript"/>
        </w:rPr>
        <w:t>4</w:t>
      </w:r>
      <w:r>
        <w:t>and CO</w:t>
      </w:r>
      <w:r>
        <w:rPr>
          <w:vertAlign w:val="subscript"/>
        </w:rPr>
        <w:t>2</w:t>
      </w:r>
      <w:r>
        <w:t>/C</w:t>
      </w:r>
      <w:r>
        <w:rPr>
          <w:vertAlign w:val="subscript"/>
        </w:rPr>
        <w:t>2</w:t>
      </w:r>
      <w:r>
        <w:t>H</w:t>
      </w:r>
      <w:r>
        <w:rPr>
          <w:vertAlign w:val="subscript"/>
        </w:rPr>
        <w:t>4</w:t>
      </w:r>
      <w:r>
        <w:t>as well as C</w:t>
      </w:r>
      <w:r>
        <w:rPr>
          <w:vertAlign w:val="subscript"/>
        </w:rPr>
        <w:t>2</w:t>
      </w:r>
      <w:r>
        <w:t>H</w:t>
      </w:r>
      <w:r>
        <w:rPr>
          <w:vertAlign w:val="subscript"/>
        </w:rPr>
        <w:t>2</w:t>
      </w:r>
      <w:r>
        <w:t>/CO</w:t>
      </w:r>
      <w:r>
        <w:rPr>
          <w:vertAlign w:val="subscript"/>
        </w:rPr>
        <w:t>2</w:t>
      </w:r>
      <w:r>
        <w:t>/C</w:t>
      </w:r>
      <w:r>
        <w:rPr>
          <w:vertAlign w:val="subscript"/>
        </w:rPr>
        <w:t>2</w:t>
      </w:r>
      <w:r>
        <w:t>H</w:t>
      </w:r>
      <w:r>
        <w:rPr>
          <w:vertAlign w:val="subscript"/>
        </w:rPr>
        <w:t>4</w:t>
      </w:r>
      <w:r>
        <w:t>, which has been confirmed by adsorption isotherms, experimental breakthrough curves, and density functional theory calculations. This work provides a guidance for the precise construction of flexible 2D MOFs for the challenging separation of multi‐component low‐carbon hydrocarbons.</w:t>
      </w:r>
    </w:p>
    <w:p>
      <w:pPr>
        <w:spacing w:before="120" w:after="120"/>
      </w:pPr>
      <w:r>
        <w:rPr>
          <w:sz w:val="18"/>
        </w:rPr>
        <w:t>——————————————————————————————————————————————————————————————————————</w:t>
      </w:r>
    </w:p>
    <w:p>
      <w:pPr>
        <w:spacing w:before="160" w:after="40" w:line="240" w:lineRule="auto"/>
      </w:pPr>
      <w:r>
        <w:rPr>
          <w:b/>
        </w:rPr>
        <w:t xml:space="preserve">[6] </w:t>
      </w:r>
      <w:hyperlink r:id="rId123">
        <w:r>
          <w:rPr>
            <w:color w:val="1155CC"/>
            <w:u w:val="single"/>
          </w:rPr>
          <w:t>用于能量存储、海水淡化和碳封存的海水电池</w:t>
        </w:r>
      </w:hyperlink>
    </w:p>
    <w:p>
      <w:pPr>
        <w:spacing w:before="0" w:after="80"/>
      </w:pPr>
      <w:r>
        <w:rPr>
          <w:i/>
          <w:sz w:val="20"/>
        </w:rPr>
        <w:t>EN: Seawater batteries for energy storage, desalination and carbon sequestration</w:t>
      </w:r>
    </w:p>
    <w:p>
      <w:pPr>
        <w:spacing w:before="0" w:after="120"/>
      </w:pPr>
      <w:r>
        <w:rPr>
          <w:b/>
        </w:rPr>
        <w:t xml:space="preserve">Source: </w:t>
      </w:r>
      <w:r>
        <w:t>Nature Reviews Clean Technology</w:t>
      </w:r>
      <w:r>
        <w:t xml:space="preserve">    </w:t>
      </w:r>
      <w:r>
        <w:rPr>
          <w:b/>
        </w:rPr>
        <w:t xml:space="preserve">Pub date: </w:t>
      </w:r>
      <w:r>
        <w:t>2026-03-24 00:00:00+00:00</w:t>
      </w:r>
      <w:r>
        <w:t xml:space="preserve">    </w:t>
      </w:r>
      <w:r>
        <w:rPr>
          <w:b/>
        </w:rPr>
        <w:t xml:space="preserve">DOI: </w:t>
      </w:r>
      <w:hyperlink r:id="rId124">
        <w:r>
          <w:rPr>
            <w:color w:val="1155CC"/>
            <w:u w:val="single"/>
          </w:rPr>
          <w:t>10.1038/s44359-026-00158-1</w:t>
        </w:r>
      </w:hyperlink>
    </w:p>
    <w:p>
      <w:pPr>
        <w:spacing w:before="0" w:after="120"/>
      </w:pPr>
      <w:r>
        <w:rPr>
          <w:b/>
        </w:rPr>
        <w:t xml:space="preserve">Notes: </w:t>
      </w:r>
      <w:r>
        <w:t>abstract_source=nature_html</w:t>
      </w:r>
    </w:p>
    <w:p>
      <w:pPr>
        <w:spacing w:before="0" w:after="80" w:lineRule="auto" w:line="276"/>
      </w:pPr>
      <w:r>
        <w:rPr>
          <w:b/>
        </w:rPr>
        <w:t xml:space="preserve">摘要（ZH）: </w:t>
      </w:r>
      <w:r>
        <w:t>海水电池（SWBs）直接利用海水中的钠离子进行能量存储，相对于锂基系统减少了对关键材料的依赖。在这篇观点文章中，我们探讨了SWBs作为能量存储、海水淡化、碳捕获和/或资源回收的集成系统的潜力。SWBs通过在充电时从海水中提取金属钠并在放电时将其返回来运行。开放的正极电极结构允许同时对海水进行淡化。在放电过程中，SWBs中生成的氢氧化钠与二氧化碳和二价离子反应形成稳定的碳酸盐，从而实现被动碳封存。淡化步骤产生的盐水可以通过电化学转化为有价值的资源，如氯气、氢气等。</w:t>
      </w:r>
    </w:p>
    <w:p>
      <w:pPr>
        <w:spacing w:before="0" w:after="200" w:lineRule="auto" w:line="276"/>
      </w:pPr>
      <w:r>
        <w:rPr>
          <w:b/>
        </w:rPr>
        <w:t xml:space="preserve">Abstract (EN): </w:t>
      </w:r>
      <w:r>
        <w:t>Seawater batteries (SWBs) directly use sodium ions from seawater for energy storage, reducing reliance on critical materials relative to lithium-based systems. In this Perspective, we examine the potential of SWBs as integrated systems for energy storage, seawater desalination, carbon capture and/or resource recovery. SWBs operate by extracting sodium metal from seawater during charge and returning it upon discharge. The open positive electrode architecture allows simultaneous desalination of the seawater. During discharge, the sodium hydroxide generated in SWBs reacts with carbon dioxide and divalent ions to form stable carbonates, enabling passive carbon sequestration. Brine from the desalination step could be electrochemically converted into valuable resources such as chlorine gas, hydrogen gas, sodium hydroxide and sodium metal. These functions have been developed and experimentally demonstrated either independently or in partially integrated configurations, suggesting the potential for their convergence within a single multifunctional platform. Realizing such integration will require overcoming key barriers, particularly sluggish multi-reaction kinetics, interfacial instability and system-level durability limitations through coordinated advances in materials design and cell architecture.</w:t>
      </w:r>
    </w:p>
    <w:p>
      <w:pPr>
        <w:spacing w:before="120" w:after="120"/>
      </w:pPr>
      <w:r>
        <w:rPr>
          <w:sz w:val="18"/>
        </w:rPr>
        <w:t>——————————————————————————————————————————————————————————————————————</w:t>
      </w:r>
    </w:p>
    <w:p>
      <w:pPr>
        <w:spacing w:before="160" w:after="40" w:line="240" w:lineRule="auto"/>
      </w:pPr>
      <w:r>
        <w:rPr>
          <w:b/>
        </w:rPr>
        <w:t xml:space="preserve">[7] </w:t>
      </w:r>
      <w:hyperlink r:id="rId177">
        <w:r>
          <w:rPr>
            <w:color w:val="1155CC"/>
            <w:u w:val="single"/>
          </w:rPr>
          <w:t>试点项目为在干旱国家将CO2储存为矿物铺平道路</w:t>
        </w:r>
      </w:hyperlink>
    </w:p>
    <w:p>
      <w:pPr>
        <w:spacing w:before="0" w:after="80"/>
      </w:pPr>
      <w:r>
        <w:rPr>
          <w:i/>
          <w:sz w:val="20"/>
        </w:rPr>
        <w:t>EN: Pilot project paves way to storing CO2 underground as minerals in arid countries</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178">
        <w:r>
          <w:rPr>
            <w:color w:val="1155CC"/>
            <w:u w:val="single"/>
          </w:rPr>
          <w:t>10.1038/d41586-026-00635-4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79">
        <w:r>
          <w:rPr>
            <w:color w:val="1155CC"/>
            <w:u w:val="single"/>
          </w:rPr>
          <w:t>通过与循环水共同注入实现CO2地下矿物储存</w:t>
        </w:r>
      </w:hyperlink>
    </w:p>
    <w:p>
      <w:pPr>
        <w:spacing w:before="0" w:after="80"/>
      </w:pPr>
      <w:r>
        <w:rPr>
          <w:i/>
          <w:sz w:val="20"/>
        </w:rPr>
        <w:t>EN: CO2 subsurface mineral storage by its co-injection with recirculating water</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180">
        <w:r>
          <w:rPr>
            <w:color w:val="1155CC"/>
            <w:u w:val="single"/>
          </w:rPr>
          <w:t>10.1038/s41586-026-10130-5</w:t>
        </w:r>
      </w:hyperlink>
    </w:p>
    <w:p>
      <w:pPr>
        <w:spacing w:before="0" w:after="120"/>
      </w:pPr>
      <w:r>
        <w:rPr>
          <w:b/>
        </w:rPr>
        <w:t xml:space="preserve">Notes: </w:t>
      </w:r>
      <w:r>
        <w:t>abstract_source=nature_html</w:t>
      </w:r>
    </w:p>
    <w:p>
      <w:pPr>
        <w:spacing w:before="0" w:after="80" w:lineRule="auto" w:line="276"/>
      </w:pPr>
      <w:r>
        <w:rPr>
          <w:b/>
        </w:rPr>
        <w:t xml:space="preserve">摘要（ZH）: </w:t>
      </w:r>
      <w:r>
        <w:t>碳捕获与储存 (CCS) 有潜力帮助各国实现其《巴黎协定》CO2 减排承诺。通过碳矿化在镁铁质和超镁铁质岩石中捕获 CO2 是此类 CCS 技术的一个例子，但大规模部署尚未实现。地壳中的每个地质环境都需要不同的碳储存解决方案。虽然地下某些区域含有适合传统碳储存的盐水含水层和沉积圈闭，通过将高压、密集的 CO2 注入不透水的盖岩下，但其他区域可能缺乏盖岩。在这些区域，通过注入水溶解的 CO2 矿化形成稳定的碳酸盐矿物进行碳储存是可能的</w:t>
      </w:r>
    </w:p>
    <w:p>
      <w:pPr>
        <w:spacing w:before="0" w:after="200" w:lineRule="auto" w:line="276"/>
      </w:pPr>
      <w:r>
        <w:rPr>
          <w:b/>
        </w:rPr>
        <w:t xml:space="preserve">Abstract (EN): </w:t>
      </w:r>
      <w:r>
        <w:t>Carbon capture and storage (CCS) has the potential to help nations meet their Paris Agreement CO2 reduction commitments1,2. The ability to capture CO2 within mafic and ultramafic rocks through mineralization of carbon is an example of such a CCS technology3,4, but large-scale deployment has yet to be achieved5,6. Each geologic environment in the Earth’s crust requires a distinct carbon storage solution. Whereas some regions of the subsurface contain saline aquifers and sedimentary traps suitable for traditional carbon storage through the injection of high-pressure, dense CO2 below impermeable caprocks, other regions may lack caprocks5,6,7,8,9. In these regions, carbon storage is possible through the mineralization of injected water-dissolved CO2 forming stable carbonate minerals through its reactions with reactive silicate rocks and minerals6,10,11. A notable challenge to applying this process at scale is that it can require 20–50 times or more water than the mass of CO2 stored12. Here we report on an industrial-scale pilot project designed to find a carbon disposal solution for western Saudi Arabia. This arid region has large point-source CO2 emitters, including petroleum refining and desalination facilities, but lacks saline aquifers and sedimentary traps13,14,15,16,17. We find that a CO2 injection approach based on the recirculation of subsurface fluids can eliminate the need for external water. Our results demonstrate the feasibility of carbon mineral storage in regions in which access to water resources may be limited.</w:t>
      </w:r>
    </w:p>
    <w:p>
      <w:pPr>
        <w:spacing w:before="120" w:after="120"/>
      </w:pPr>
      <w:r>
        <w:rPr>
          <w:sz w:val="18"/>
        </w:rPr>
        <w:t>——————————————————————————————————————————————————————————————————————</w:t>
      </w:r>
    </w:p>
    <w:p>
      <w:pPr>
        <w:spacing w:before="160" w:after="40" w:line="240" w:lineRule="auto"/>
      </w:pPr>
      <w:r>
        <w:rPr>
          <w:b/>
        </w:rPr>
        <w:t xml:space="preserve">[9] </w:t>
      </w:r>
      <w:hyperlink r:id="rId181">
        <w:r>
          <w:rPr>
            <w:color w:val="1155CC"/>
            <w:u w:val="single"/>
          </w:rPr>
          <w:t>突破肋道流场的传输限制，实现安培级CO2电解和高纯度CO输出</w:t>
        </w:r>
      </w:hyperlink>
    </w:p>
    <w:p>
      <w:pPr>
        <w:spacing w:before="0" w:after="80"/>
      </w:pPr>
      <w:r>
        <w:rPr>
          <w:i/>
          <w:sz w:val="20"/>
        </w:rPr>
        <w:t>EN: Breaking the transport limit of the rib-channel flow field to enable amp-level CO2 electrolysis and high-purity CO output</w:t>
      </w:r>
    </w:p>
    <w:p>
      <w:pPr>
        <w:spacing w:before="0" w:after="120"/>
      </w:pPr>
      <w:r>
        <w:rPr>
          <w:b/>
        </w:rPr>
        <w:t xml:space="preserve">Source: </w:t>
      </w:r>
      <w:r>
        <w:t>Joule</w:t>
      </w:r>
      <w:r>
        <w:t xml:space="preserve">    </w:t>
      </w:r>
      <w:r>
        <w:rPr>
          <w:b/>
        </w:rPr>
        <w:t xml:space="preserve">Pub date: </w:t>
      </w:r>
      <w:r>
        <w:t>2026-03-26 00:00:00+00:00</w:t>
      </w:r>
      <w:r>
        <w:t xml:space="preserve">    </w:t>
      </w:r>
      <w:r>
        <w:rPr>
          <w:b/>
        </w:rPr>
        <w:t xml:space="preserve">DOI: </w:t>
      </w:r>
      <w:hyperlink r:id="rId182">
        <w:r>
          <w:rPr>
            <w:color w:val="1155CC"/>
            <w:u w:val="single"/>
          </w:rPr>
          <w:t>10.1016/j.joule.2026.102357</w:t>
        </w:r>
      </w:hyperlink>
    </w:p>
    <w:p>
      <w:pPr>
        <w:spacing w:before="0" w:after="120"/>
      </w:pPr>
      <w:r>
        <w:rPr>
          <w:b/>
        </w:rPr>
        <w:t xml:space="preserve">Notes: </w:t>
      </w:r>
      <w:r>
        <w:t>abstract_source=rss_cell</w:t>
      </w:r>
    </w:p>
    <w:p>
      <w:pPr>
        <w:spacing w:before="0" w:after="80" w:lineRule="auto" w:line="276"/>
      </w:pPr>
      <w:r>
        <w:rPr>
          <w:b/>
        </w:rPr>
        <w:t xml:space="preserve">摘要（ZH）: </w:t>
      </w:r>
      <w:r>
        <w:t>CO2电解的工业实施需要最大化CO2的质量传输，同时精确管理水分。Zhang等人通过专门针对这些不同需求的3D泡沫流场解决了这些严格的双重需求。通过结合对流反应物输送和被动水分去除，这种定制设计实现了稳定的安培级操作和高产品纯度。这项工作表明，专门的流场工程对于推动这一新兴技术的工业化和商业化至关重要。</w:t>
      </w:r>
    </w:p>
    <w:p>
      <w:pPr>
        <w:spacing w:before="0" w:after="200" w:lineRule="auto" w:line="276"/>
      </w:pPr>
      <w:r>
        <w:rPr>
          <w:b/>
        </w:rPr>
        <w:t xml:space="preserve">Abstract (EN): </w:t>
      </w:r>
      <w:r>
        <w:t>Industrial implementation of CO2 electrolysis requires maximizing CO2 mass transport while simultaneously maintaining precise water management. Zhang et al. address these rigorous dual necessities with a 3D foam flow field specifically targeted to satisfy these distinct demands. By integrating convective reactant delivery with passive water removal, this tailored design enables stable, amp-level operation with high product purity. This work demonstrates that dedicated flow field engineering is essential for propelling the industrialization and commercialization of this emerging technology.</w:t>
      </w:r>
    </w:p>
    <w:p>
      <w:pPr>
        <w:spacing w:before="120" w:after="120"/>
      </w:pPr>
      <w:r>
        <w:rPr>
          <w:sz w:val="18"/>
        </w:rPr>
        <w:t>——————————————————————————————————————————————————————————————————————</w:t>
      </w:r>
    </w:p>
    <w:p>
      <w:pPr>
        <w:spacing w:before="160" w:after="120"/>
      </w:pPr>
      <w:r>
        <w:rPr>
          <w:b/>
          <w:sz w:val="28"/>
        </w:rPr>
        <w:t>【塑料回收】</w:t>
      </w:r>
    </w:p>
    <w:p>
      <w:pPr>
        <w:spacing w:before="160" w:after="40" w:line="240" w:lineRule="auto"/>
      </w:pPr>
      <w:r>
        <w:rPr>
          <w:b/>
        </w:rPr>
        <w:t xml:space="preserve">[1] </w:t>
      </w:r>
      <w:hyperlink r:id="rId183">
        <w:r>
          <w:rPr>
            <w:color w:val="1155CC"/>
            <w:u w:val="single"/>
          </w:rPr>
          <w:t>废弃微/纳米塑料转化为碳材料：可再生能源和环境应用的新趋势</w:t>
        </w:r>
      </w:hyperlink>
    </w:p>
    <w:p>
      <w:pPr>
        <w:spacing w:before="0" w:after="80"/>
      </w:pPr>
      <w:r>
        <w:rPr>
          <w:i/>
          <w:sz w:val="20"/>
        </w:rPr>
        <w:t>EN: Conversion of waste micro/nano plastics into carbon materials: A new trend for renewable energy and environmental applications</w:t>
      </w:r>
    </w:p>
    <w:p>
      <w:pPr>
        <w:spacing w:before="0" w:after="120"/>
      </w:pPr>
      <w:r>
        <w:rPr>
          <w:b/>
        </w:rPr>
        <w:t xml:space="preserve">Source: </w:t>
      </w:r>
      <w:r>
        <w:t>ScienceDirect Publication: Applied Energy</w:t>
      </w:r>
      <w:r>
        <w:t xml:space="preserve">    </w:t>
      </w:r>
      <w:r>
        <w:rPr>
          <w:b/>
        </w:rPr>
        <w:t xml:space="preserve">Pub date: </w:t>
      </w:r>
      <w:r>
        <w:t>2026-03-21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84">
        <w:r>
          <w:rPr>
            <w:color w:val="1155CC"/>
            <w:u w:val="single"/>
          </w:rPr>
          <w:t>聚乙烯催化加氢裂解和加氢裂化的技术经济分析和生命周期评估</w:t>
        </w:r>
      </w:hyperlink>
    </w:p>
    <w:p>
      <w:pPr>
        <w:spacing w:before="0" w:after="80"/>
      </w:pPr>
      <w:r>
        <w:rPr>
          <w:i/>
          <w:sz w:val="20"/>
        </w:rPr>
        <w:t>EN: Techno-economic analysis and life cycle assessment for the catalytic hydrogenolysis and hydrocracking of polyethylene</w:t>
      </w:r>
    </w:p>
    <w:p>
      <w:pPr>
        <w:spacing w:before="0" w:after="120"/>
      </w:pPr>
      <w:r>
        <w:rPr>
          <w:b/>
        </w:rPr>
        <w:t xml:space="preserve">Source: </w:t>
      </w:r>
      <w:r>
        <w:t>Joule</w:t>
      </w:r>
      <w:r>
        <w:t xml:space="preserve">    </w:t>
      </w:r>
      <w:r>
        <w:rPr>
          <w:b/>
        </w:rPr>
        <w:t xml:space="preserve">Pub date: </w:t>
      </w:r>
      <w:r>
        <w:t>2026-03-23 00:00:00+00:00</w:t>
      </w:r>
      <w:r>
        <w:t xml:space="preserve">    </w:t>
      </w:r>
      <w:r>
        <w:rPr>
          <w:b/>
        </w:rPr>
        <w:t xml:space="preserve">DOI: </w:t>
      </w:r>
      <w:hyperlink r:id="rId185">
        <w:r>
          <w:rPr>
            <w:color w:val="1155CC"/>
            <w:u w:val="single"/>
          </w:rPr>
          <w:t>10.1016/j.joule.2026.102384</w:t>
        </w:r>
      </w:hyperlink>
    </w:p>
    <w:p>
      <w:pPr>
        <w:spacing w:before="0" w:after="120"/>
      </w:pPr>
      <w:r>
        <w:rPr>
          <w:b/>
        </w:rPr>
        <w:t xml:space="preserve">Notes: </w:t>
      </w:r>
      <w:r>
        <w:t>abstract_source=rss_cell</w:t>
      </w:r>
    </w:p>
    <w:p>
      <w:pPr>
        <w:spacing w:before="0" w:after="80" w:lineRule="auto" w:line="276"/>
      </w:pPr>
      <w:r>
        <w:rPr>
          <w:b/>
        </w:rPr>
        <w:t xml:space="preserve">摘要（ZH）: </w:t>
      </w:r>
      <w:r>
        <w:t>消费后聚乙烯可以通过催化剂导向的加氢裂化和加氢解裂选择性地转化为燃料和化学品。通过调节催化剂功能性，可以优先生成用于燃料应用的线性和支链液体烷烃或用于下游丙烯生产的丙烷。技术经济分析和生命周期评估揭示了产品选择性如何影响成本和碳强度，为设计经济可行、低排放的塑料废物转化路径提供了可操作的指导。</w:t>
      </w:r>
    </w:p>
    <w:p>
      <w:pPr>
        <w:spacing w:before="0" w:after="200" w:lineRule="auto" w:line="276"/>
      </w:pPr>
      <w:r>
        <w:rPr>
          <w:b/>
        </w:rPr>
        <w:t xml:space="preserve">Abstract (EN): </w:t>
      </w:r>
      <w:r>
        <w:t>Post-consumer polyethylene can be selectively transformed into fuels and chemicals through catalyst-directed hydrocracking and hydrogenolysis. By tuning catalyst functionality, linear and branched liquid alkanes for fuel applications or propane for downstream propylene production can be preferentially generated. Techno-economic analyses and life-cycle assessments reveal how product selectivity governs cost and carbon intensity, providing actionable guidance for designing economically viable, low-emissions pathways for plastic waste conversion.</w:t>
      </w:r>
    </w:p>
    <w:p>
      <w:pPr>
        <w:spacing w:before="120" w:after="120"/>
      </w:pPr>
      <w:r>
        <w:rPr>
          <w:sz w:val="18"/>
        </w:rPr>
        <w:t>——————————————————————————————————————————————————————————————————————</w:t>
      </w:r>
    </w:p>
    <w:p>
      <w:pPr>
        <w:spacing w:before="160" w:after="40" w:line="240" w:lineRule="auto"/>
      </w:pPr>
      <w:r>
        <w:rPr>
          <w:b/>
        </w:rPr>
        <w:t xml:space="preserve">[3] </w:t>
      </w:r>
      <w:hyperlink r:id="rId186">
        <w:r>
          <w:rPr>
            <w:color w:val="1155CC"/>
            <w:u w:val="single"/>
          </w:rPr>
          <w:t>高效聚碳酸酯解聚酶的定向进化，具有卓越的操作稳定性</w:t>
        </w:r>
      </w:hyperlink>
    </w:p>
    <w:p>
      <w:pPr>
        <w:spacing w:before="0" w:after="80"/>
      </w:pPr>
      <w:r>
        <w:rPr>
          <w:i/>
          <w:sz w:val="20"/>
        </w:rPr>
        <w:t>EN: Directed Evolution of an Efficient Polycarbonate Depolymerase With Exceptional Operational Stability</w:t>
      </w:r>
    </w:p>
    <w:p>
      <w:pPr>
        <w:spacing w:before="0" w:after="120"/>
      </w:pPr>
      <w:r>
        <w:rPr>
          <w:b/>
        </w:rPr>
        <w:t xml:space="preserve">Source: </w:t>
      </w:r>
      <w:r>
        <w:t>Wiley: Angewandte Chemie International Edition: Table of Contents</w:t>
      </w:r>
      <w:r>
        <w:t xml:space="preserve">    </w:t>
      </w:r>
      <w:r>
        <w:rPr>
          <w:b/>
        </w:rPr>
        <w:t xml:space="preserve">Pub date: </w:t>
      </w:r>
      <w:r>
        <w:t>2026-03-23 13:04:47+00:00</w:t>
      </w:r>
      <w:r>
        <w:t xml:space="preserve">    </w:t>
      </w:r>
      <w:r>
        <w:rPr>
          <w:b/>
        </w:rPr>
        <w:t xml:space="preserve">DOI: </w:t>
      </w:r>
      <w:hyperlink r:id="rId187">
        <w:r>
          <w:rPr>
            <w:color w:val="1155CC"/>
            <w:u w:val="single"/>
          </w:rPr>
          <w:t>10.1002/anie.202525215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最近开发了一种高通量定向进化平台，用于工程化聚合物降解酶，并通过开发一种高效且耐热的IsPETase变体，称为HotPETase，展示了其实用性。在此，我们展示了该平台可用于重新设计PET降解酶，以回收其他含芳香族商品聚合物。通过定向进化增强了LCC ICCG的多功能聚（双酚-A碳酸酯）（PC）解聚酶活性，从而获得了一种工程化的聚碳酸酯水解酶，该酶还受益于提高的溶剂耐受性和在高温下的操作稳定性。有趣的是，酶</w:t>
      </w:r>
    </w:p>
    <w:p>
      <w:pPr>
        <w:spacing w:before="0" w:after="200" w:lineRule="auto" w:line="276"/>
      </w:pPr>
      <w:r>
        <w:rPr>
          <w:b/>
        </w:rPr>
        <w:t xml:space="preserve">Abstract (EN): </w:t>
      </w:r>
      <w:r>
        <w:t>We recently developed a high‐throughput directed evolution platform for engineering polymer degrading enzymes, and showcased its utility through the development of an efficient and thermostable variant of</w:t>
      </w:r>
      <w:r>
        <w:t xml:space="preserve"> </w:t>
      </w:r>
      <w:r>
        <w:t>Is</w:t>
      </w:r>
      <w:r>
        <w:t xml:space="preserve"> </w:t>
      </w:r>
      <w:r>
        <w:t>PETase, termed HotPETase. Here, we show that this platform can be used to re‐engineer PET degrading enzymes for the recycling of other aromatic‐containing commodity polymers. Promiscuous poly(bisphenol‐A carbonate) (PC) depolymerase activity of LCC</w:t>
      </w:r>
      <w:r>
        <w:t xml:space="preserve"> </w:t>
      </w:r>
      <w:r>
        <w:t>ICCG</w:t>
      </w:r>
      <w:r>
        <w:t xml:space="preserve"> </w:t>
      </w:r>
      <w:r>
        <w:t>was enhanced by directed evolution to afford an engineered polycarbonate hydrolase, that also benefits from improved solvent tolerance and operational stability at elevated temperatures. Interestingly, the enzyme‐concentration dependent inhibition observed with the parent enzyme is also alleviated through evolution, improving practical utility. PC‐2 can achieve rapid and complete depolymerization of a PC film to bisphenol‐A (BPA) in just 6 h at 75°C. This study shows how plastic degrading enzymes can be readily adapted through evolution to operate on new and valuable polymer classes.</w:t>
      </w:r>
    </w:p>
    <w:p>
      <w:pPr>
        <w:spacing w:before="120" w:after="120"/>
      </w:pPr>
      <w:r>
        <w:rPr>
          <w:sz w:val="18"/>
        </w:rPr>
        <w:t>——————————————————————————————————————————————————————————————————————</w:t>
      </w:r>
    </w:p>
    <w:p>
      <w:pPr>
        <w:spacing w:before="160" w:after="40" w:line="240" w:lineRule="auto"/>
      </w:pPr>
      <w:r>
        <w:rPr>
          <w:b/>
        </w:rPr>
        <w:t xml:space="preserve">[4] </w:t>
      </w:r>
      <w:hyperlink r:id="rId188">
        <w:r>
          <w:rPr>
            <w:color w:val="1155CC"/>
            <w:u w:val="single"/>
          </w:rPr>
          <w:t>电气化解聚回到单体</w:t>
        </w:r>
      </w:hyperlink>
    </w:p>
    <w:p>
      <w:pPr>
        <w:spacing w:before="0" w:after="80"/>
      </w:pPr>
      <w:r>
        <w:rPr>
          <w:i/>
          <w:sz w:val="20"/>
        </w:rPr>
        <w:t>EN: Electrifying depolymerization back to monomers</w:t>
      </w:r>
    </w:p>
    <w:p>
      <w:pPr>
        <w:spacing w:before="0" w:after="120"/>
      </w:pPr>
      <w:r>
        <w:rPr>
          <w:b/>
        </w:rPr>
        <w:t xml:space="preserve">Source: </w:t>
      </w:r>
      <w:r>
        <w:t>Chem</w:t>
      </w:r>
      <w:r>
        <w:t xml:space="preserve">    </w:t>
      </w:r>
      <w:r>
        <w:rPr>
          <w:b/>
        </w:rPr>
        <w:t xml:space="preserve">Pub date: </w:t>
      </w:r>
      <w:r>
        <w:t>2026-03-24 00:00:00+00:00</w:t>
      </w:r>
      <w:r>
        <w:t xml:space="preserve">    </w:t>
      </w:r>
      <w:r>
        <w:rPr>
          <w:b/>
        </w:rPr>
        <w:t xml:space="preserve">DOI: </w:t>
      </w:r>
      <w:hyperlink r:id="rId189">
        <w:r>
          <w:rPr>
            <w:color w:val="1155CC"/>
            <w:u w:val="single"/>
          </w:rPr>
          <w:t>10.1016/j.chempr.2026.103005</w:t>
        </w:r>
      </w:hyperlink>
    </w:p>
    <w:p>
      <w:pPr>
        <w:spacing w:before="0" w:after="120"/>
      </w:pPr>
      <w:r>
        <w:rPr>
          <w:b/>
        </w:rPr>
        <w:t xml:space="preserve">Notes: </w:t>
      </w:r>
      <w:r>
        <w:t>abstract_source=rss_cell</w:t>
      </w:r>
    </w:p>
    <w:p>
      <w:pPr>
        <w:spacing w:before="0" w:after="80" w:lineRule="auto" w:line="276"/>
      </w:pPr>
      <w:r>
        <w:rPr>
          <w:b/>
        </w:rPr>
        <w:t xml:space="preserve">摘要（ZH）: </w:t>
      </w:r>
      <w:r>
        <w:t>开发温和的解聚路线以从碳氢化合物基聚合物中再生单体对于实现循环聚合物经济至关重要。在最近发表在《美国化学学会杂志》上的一篇论文中，Evans、Sumerlin及其合作者披露了一种电化学触发聚甲基丙烯酸甲酯解聚的方法，解聚率达到&gt;95 wt %。</w:t>
      </w:r>
    </w:p>
    <w:p>
      <w:pPr>
        <w:spacing w:before="0" w:after="200" w:lineRule="auto" w:line="276"/>
      </w:pPr>
      <w:r>
        <w:rPr>
          <w:b/>
        </w:rPr>
        <w:t xml:space="preserve">Abstract (EN): </w:t>
      </w:r>
      <w:r>
        <w:t>Developing mild depolymerization routes to regenerate monomers from hydrocarbon-based polymers is critical to enabling a circular polymer economy. In a recent paper published in the Journal of the American Chemical Society, Evans, Sumerlin, and co-workers disclose a methodology for the electrochemically triggered depolymerization of poly(methyl-methacrylate) that achieves &gt;95 wt % depolymerization.</w:t>
      </w:r>
    </w:p>
    <w:p>
      <w:pPr>
        <w:spacing w:before="120" w:after="120"/>
      </w:pPr>
      <w:r>
        <w:rPr>
          <w:sz w:val="18"/>
        </w:rPr>
        <w:t>——————————————————————————————————————————————————————————————————————</w:t>
      </w:r>
    </w:p>
    <w:p>
      <w:pPr>
        <w:spacing w:before="160" w:after="40" w:line="240" w:lineRule="auto"/>
      </w:pPr>
      <w:r>
        <w:rPr>
          <w:b/>
        </w:rPr>
        <w:t xml:space="preserve">[5] </w:t>
      </w:r>
      <w:hyperlink r:id="rId190">
        <w:r>
          <w:rPr>
            <w:color w:val="1155CC"/>
            <w:u w:val="single"/>
          </w:rPr>
          <w:t>[ASAP] 沸石通道中的波动限制效应促进废聚乙烯选择性升级为丙烷</w:t>
        </w:r>
      </w:hyperlink>
    </w:p>
    <w:p>
      <w:pPr>
        <w:spacing w:before="0" w:after="80"/>
      </w:pPr>
      <w:r>
        <w:rPr>
          <w:i/>
          <w:sz w:val="20"/>
        </w:rPr>
        <w:t>EN: [ASAP] Selective Upcycling of Waste Polyethylene into Propane Facilitated by the Undulation Confinement Effect in Zeolite Channels</w:t>
      </w:r>
    </w:p>
    <w:p>
      <w:pPr>
        <w:spacing w:before="0" w:after="120"/>
      </w:pPr>
      <w:r>
        <w:rPr>
          <w:b/>
        </w:rPr>
        <w:t xml:space="preserve">Source: </w:t>
      </w:r>
      <w:r>
        <w:t>Journal of the American Chemical Society: Latest Articles (ACS Publications)</w:t>
      </w:r>
      <w:r>
        <w:t xml:space="preserve">    </w:t>
      </w:r>
      <w:r>
        <w:rPr>
          <w:b/>
        </w:rPr>
        <w:t xml:space="preserve">Pub date: </w:t>
      </w:r>
      <w:r>
        <w:t>2026-03-25 09:21:54+00:00</w:t>
      </w:r>
      <w:r>
        <w:t xml:space="preserve">    </w:t>
      </w:r>
      <w:r>
        <w:rPr>
          <w:b/>
        </w:rPr>
        <w:t xml:space="preserve">DOI: </w:t>
      </w:r>
      <w:hyperlink r:id="rId191">
        <w:r>
          <w:rPr>
            <w:color w:val="1155CC"/>
            <w:u w:val="single"/>
          </w:rPr>
          <w:t>10.1021/jacs.5c21380</w:t>
        </w:r>
      </w:hyperlink>
    </w:p>
    <w:p>
      <w:pPr>
        <w:spacing w:before="0" w:after="120"/>
      </w:pPr>
      <w:r>
        <w:rPr>
          <w:b/>
        </w:rPr>
        <w:t xml:space="preserve">Notes: </w:t>
      </w:r>
      <w:r>
        <w:t>abstract_source=pubmed</w:t>
      </w:r>
    </w:p>
    <w:p>
      <w:pPr>
        <w:spacing w:before="0" w:after="80" w:lineRule="auto" w:line="276"/>
      </w:pPr>
      <w:r>
        <w:rPr>
          <w:b/>
        </w:rPr>
        <w:t xml:space="preserve">摘要（ZH）: </w:t>
      </w:r>
      <w:r>
        <w:t>选择性将聚乙烯（PE）转化为高价值的散装化学品具有重要的工业应用价值。然而，PE主链中的均匀C-C键使定向裂解成为一个艰巨的挑战。在此，我们开发了一种通道起伏-约束加氢裂化（CUCH）策略，使用ZSM-5沸石催化剂从PE转化中实现了高达70.2%的丙烷选择性。这种选择性转化过程源于C-C键的深β-裂解和丙烷分子尺寸与ZSM-5的通道起伏因子（Ω = 0.71）的匹配。反应动力学分析、热力学和理论计算表明，Brønsted酸位点通过提供质子来激活PE，启动C-C键裂解形成烷烃和三配位碳正离子。</w:t>
      </w:r>
    </w:p>
    <w:p>
      <w:pPr>
        <w:spacing w:before="0" w:after="200" w:lineRule="auto" w:line="276"/>
      </w:pPr>
      <w:r>
        <w:rPr>
          <w:b/>
        </w:rPr>
        <w:t xml:space="preserve">Abstract (EN): </w:t>
      </w:r>
      <w:r>
        <w:t>Selective conversion of polyethylene (PE) into high-value bulk chemicals holds significant industrial application value. However, the uniform C-C bonds in the PE main chain render directed cleavage a formidable challenge. Here we developed a channel undulation-confinement hydrocracking (CUCH) strategy, achieving selectivity of propane up to 70.2% from PE conversion using a ZSM-5 zeolite catalyst. This selective conversion process originates from the deep β-scission of C-C bonds and the match of propane molecular size with the channel undulation factor (Ω = 0.71) of ZSM-5. Reaction kinetics analysis, thermodynamics and theoretical calculation reveal that Brønsted acid sites donate protons to activate PE, initiating C-C bonds cleavage to form alkanes and tricoordinated carbenium ions. Concurrently, the cracking degree of these carbenium ions is modulated by undulation factor (Ω) and the number of intracrystalline cages (Nc,s) in zeolite. This double confinement prolongs the residence time of C4+ intermediates, maximizing their cracking and enhancing the ultimate yield of propane. These findings provide a feasible strategy for the selective upcycling of waste PE.</w:t>
      </w:r>
    </w:p>
    <w:p>
      <w:pPr>
        <w:spacing w:before="120" w:after="120"/>
      </w:pPr>
      <w:r>
        <w:rPr>
          <w:sz w:val="18"/>
        </w:rPr>
        <w:t>——————————————————————————————————————————————————————————————————————</w:t>
      </w:r>
    </w:p>
    <w:p>
      <w:pPr>
        <w:spacing w:before="160" w:after="40" w:line="240" w:lineRule="auto"/>
      </w:pPr>
      <w:r>
        <w:rPr>
          <w:b/>
        </w:rPr>
        <w:t xml:space="preserve">[6] </w:t>
      </w:r>
      <w:hyperlink r:id="rId192">
        <w:r>
          <w:rPr>
            <w:color w:val="1155CC"/>
            <w:u w:val="single"/>
          </w:rPr>
          <w:t>[ASAP] 从应变桥接双环单体设计可解聚聚烯烃的熵驱动设计</w:t>
        </w:r>
      </w:hyperlink>
    </w:p>
    <w:p>
      <w:pPr>
        <w:spacing w:before="0" w:after="80"/>
      </w:pPr>
      <w:r>
        <w:rPr>
          <w:i/>
          <w:sz w:val="20"/>
        </w:rPr>
        <w:t>EN: [ASAP] Entropy-Driven Design of Depolymerizable Polyolefins from Strained Bridged Bicyclic Monomers</w:t>
      </w:r>
    </w:p>
    <w:p>
      <w:pPr>
        <w:spacing w:before="0" w:after="120"/>
      </w:pPr>
      <w:r>
        <w:rPr>
          <w:b/>
        </w:rPr>
        <w:t xml:space="preserve">Source: </w:t>
      </w:r>
      <w:r>
        <w:t>Journal of the American Chemical Society: Latest Articles (ACS Publications)</w:t>
      </w:r>
      <w:r>
        <w:t xml:space="preserve">    </w:t>
      </w:r>
      <w:r>
        <w:rPr>
          <w:b/>
        </w:rPr>
        <w:t xml:space="preserve">Pub date: </w:t>
      </w:r>
      <w:r>
        <w:t>2026-03-25 15:36:40+00:00</w:t>
      </w:r>
      <w:r>
        <w:t xml:space="preserve">    </w:t>
      </w:r>
      <w:r>
        <w:rPr>
          <w:b/>
        </w:rPr>
        <w:t xml:space="preserve">DOI: </w:t>
      </w:r>
      <w:hyperlink r:id="rId193">
        <w:r>
          <w:rPr>
            <w:color w:val="1155CC"/>
            <w:u w:val="single"/>
          </w:rPr>
          <w:t>10.1021/jacs.6c02456</w:t>
        </w:r>
      </w:hyperlink>
    </w:p>
    <w:p>
      <w:pPr>
        <w:spacing w:before="0" w:after="120"/>
      </w:pPr>
      <w:r>
        <w:rPr>
          <w:b/>
        </w:rPr>
        <w:t xml:space="preserve">Notes: </w:t>
      </w:r>
      <w:r>
        <w:t>abstract_source=pubmed</w:t>
      </w:r>
    </w:p>
    <w:p>
      <w:pPr>
        <w:spacing w:before="0" w:after="80" w:lineRule="auto" w:line="276"/>
      </w:pPr>
      <w:r>
        <w:rPr>
          <w:b/>
        </w:rPr>
        <w:t xml:space="preserve">摘要（ZH）: </w:t>
      </w:r>
      <w:r>
        <w:t>通过开环复分解聚合（ROMP）生产的聚合物，如降冰片烯和环丁烯等应变环烯单体，由于其有利的聚合热力学，难以解聚回其组成单体。目前，创造可解聚ROMP聚合物的策略集中在设计具有小焓驱动力的低应变单体，这通过降低单体聚合性来促进解聚。由于聚合热力学由焓和熵贡献共同决定，我们推测如果聚合的熵惩罚足够大，则可以从高应变环烯单体中获得可解聚的聚合物。在此，我们提出了一种基于se的可解聚聚合物系统</w:t>
      </w:r>
    </w:p>
    <w:p>
      <w:pPr>
        <w:spacing w:before="0" w:after="200" w:lineRule="auto" w:line="276"/>
      </w:pPr>
      <w:r>
        <w:rPr>
          <w:b/>
        </w:rPr>
        <w:t xml:space="preserve">Abstract (EN): </w:t>
      </w:r>
      <w:r>
        <w:t>Polymers produced by ring-opening metathesis polymerization (ROMP) of strained cyclic olefin monomers, such as norbornene and cyclobutene, are challenging to depolymerize back to their constituent monomers due to their favorable polymerization thermodynamics. Current strategies for creating depolymerizable ROMP polymers focus on designing low-strain monomers with small enthalpic driving forces, which facilitate depolymerization by reducing the monomer polymerizability. Because polymerization thermodynamics is governed by both enthalpic and entropic contributions, we reason that depolymerizable polymers could be achieved from highly strained cyclic olefin monomers if the entropic penalty of polymerization is sufficiently large. Here, we present a depolymerizable polymer system based on a series of strained bicyclo[3.2.1] monomers, which combine a substantial enthalpic driving force (-6 to -11 kcal/mol) with a significant entropic penalty of polymerization (-15 to -24 cal/mol/K). The large entropic penalty, arising from the rigid polymer backbone, lowers the ceiling temperature and imparts depolymerizability to the polymer system, leading to monomer recovery (74-99%) under standard ring-closing metathesis conditions. Moreover, the enthalpic driving force remains sufficient to enable efficient ring-opening metathesis polymerization and block copolymer synthesis. This entropy-driven strategy thus unlocks access to depolymerizable polymers from strained cyclic olefin monomers that are not traditionally considered building blocks for such materials, offering a new direction for the design of chemically recyclable polymers with an expanded monomer scope.</w:t>
      </w:r>
    </w:p>
    <w:p>
      <w:pPr>
        <w:spacing w:before="120" w:after="120"/>
      </w:pPr>
      <w:r>
        <w:rPr>
          <w:sz w:val="18"/>
        </w:rPr>
        <w:t>——————————————————————————————————————————————————————————————————————</w:t>
      </w:r>
    </w:p>
    <w:p>
      <w:pPr>
        <w:spacing w:before="160" w:after="120"/>
      </w:pPr>
      <w:r>
        <w:rPr>
          <w:b/>
          <w:sz w:val="28"/>
        </w:rPr>
        <w:t>【UNCATEGORIZED】</w:t>
      </w:r>
    </w:p>
    <w:p>
      <w:pPr>
        <w:spacing w:before="160" w:after="40" w:line="240" w:lineRule="auto"/>
      </w:pPr>
      <w:r>
        <w:rPr>
          <w:b/>
        </w:rPr>
        <w:t xml:space="preserve">[1] </w:t>
      </w:r>
      <w:hyperlink r:id="rId194">
        <w:r>
          <w:rPr>
            <w:color w:val="1155CC"/>
            <w:u w:val="single"/>
          </w:rPr>
          <w:t>面向成本最优的联合电力-计算管理：一种新颖的预测-优化框架</w:t>
        </w:r>
      </w:hyperlink>
    </w:p>
    <w:p>
      <w:pPr>
        <w:spacing w:before="0" w:after="80"/>
      </w:pPr>
      <w:r>
        <w:rPr>
          <w:i/>
          <w:sz w:val="20"/>
        </w:rPr>
        <w:t>EN: Towards cost-optimal joint electricity-computation management: A novel predict-then-optimize framework</w:t>
      </w:r>
    </w:p>
    <w:p>
      <w:pPr>
        <w:spacing w:before="0" w:after="120"/>
      </w:pPr>
      <w:r>
        <w:rPr>
          <w:b/>
        </w:rPr>
        <w:t xml:space="preserve">Source: </w:t>
      </w:r>
      <w:r>
        <w:t>ScienceDirect Publication: Applied Energy</w:t>
      </w:r>
      <w:r>
        <w:t xml:space="preserve">    </w:t>
      </w:r>
      <w:r>
        <w:rPr>
          <w:b/>
        </w:rPr>
        <w:t xml:space="preserve">Pub date: </w:t>
      </w:r>
      <w:r>
        <w:t>2026-03-21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95">
        <w:r>
          <w:rPr>
            <w:color w:val="1155CC"/>
            <w:u w:val="single"/>
          </w:rPr>
          <w:t>细胞类型特异性免疫程序在拟南芥叶表皮中协调空间防御</w:t>
        </w:r>
      </w:hyperlink>
    </w:p>
    <w:p>
      <w:pPr>
        <w:spacing w:before="0" w:after="80"/>
      </w:pPr>
      <w:r>
        <w:rPr>
          <w:i/>
          <w:sz w:val="20"/>
        </w:rPr>
        <w:t>EN: Cell-type-specific immune programs orchestrate spatial defense in the Arabidopsis leaf epidermis</w:t>
      </w:r>
    </w:p>
    <w:p>
      <w:pPr>
        <w:spacing w:before="0" w:after="120"/>
      </w:pPr>
      <w:r>
        <w:rPr>
          <w:b/>
        </w:rPr>
        <w:t xml:space="preserve">Source: </w:t>
      </w:r>
      <w:r>
        <w:t>Nature Communications</w:t>
      </w:r>
      <w:r>
        <w:t xml:space="preserve">    </w:t>
      </w:r>
      <w:r>
        <w:rPr>
          <w:b/>
        </w:rPr>
        <w:t xml:space="preserve">Pub date: </w:t>
      </w:r>
      <w:r>
        <w:t>2026-03-21 00:00:00+00:00</w:t>
      </w:r>
      <w:r>
        <w:t xml:space="preserve">    </w:t>
      </w:r>
      <w:r>
        <w:rPr>
          <w:b/>
        </w:rPr>
        <w:t xml:space="preserve">DOI: </w:t>
      </w:r>
      <w:hyperlink r:id="rId196">
        <w:r>
          <w:rPr>
            <w:color w:val="1155CC"/>
            <w:u w:val="single"/>
          </w:rPr>
          <w:t>10.1038/s41467-026-70843-z</w:t>
        </w:r>
      </w:hyperlink>
    </w:p>
    <w:p>
      <w:pPr>
        <w:spacing w:before="0" w:after="120"/>
      </w:pPr>
      <w:r>
        <w:rPr>
          <w:b/>
        </w:rPr>
        <w:t xml:space="preserve">Notes: </w:t>
      </w:r>
      <w:r>
        <w:t>abstract_source=nature_html</w:t>
      </w:r>
    </w:p>
    <w:p>
      <w:pPr>
        <w:spacing w:before="0" w:after="80" w:lineRule="auto" w:line="276"/>
      </w:pPr>
      <w:r>
        <w:rPr>
          <w:b/>
        </w:rPr>
        <w:t xml:space="preserve">摘要（ZH）: </w:t>
      </w:r>
      <w:r>
        <w:t>固着植物依赖于个体细胞来感知病原体并协调防御。众所周知，保卫细胞（GCs）调节气孔开度，但其内在的免疫作用尚不清楚。在此，我们结合单细胞和空间分析，研究感染多种植物病原体的拟南芥叶片，结合转基因免疫报告基因的活体和固定成像与单细胞转录组数据。白粉病感染在铺路细胞中引发强烈的水杨酸（SA）生物合成和运输，并扩散到邻近的未感染细胞。相比之下，GCs未能激活SA生物合成或SA响应基因。这些区分GC和铺路细胞的细胞类型特异性免疫程序在半生物营养真菌Colletotrichum hi感染中得到保留。</w:t>
      </w:r>
    </w:p>
    <w:p>
      <w:pPr>
        <w:spacing w:before="0" w:after="200" w:lineRule="auto" w:line="276"/>
      </w:pPr>
      <w:r>
        <w:rPr>
          <w:b/>
        </w:rPr>
        <w:t xml:space="preserve">Abstract (EN): </w:t>
      </w:r>
      <w:r>
        <w:t>Sessile plants rely on individual cells to perceive pathogens and coordinate defense. Guard cells (GCs), best known for regulating stomatal aperture, have poorly understood intrinsic immune roles. Here, we integrate single-cell and spatial analyses of Arabidopsis thaliana leaves infected with diverse phytopathogens, combining live and fixed imaging of transgenic immune reporters with single cell transcriptomic data. Powdery mildew infection triggers strong salicylic acid (SA) biosynthesis and transport in pavement cells, spreading to neighboring uninfected cells. In contrast, GCs fail to activate SA biosynthesis or SA-responsive genes. These cell-type-specific immune programs distinguishing GC and pavement cells are conserved across infections by the hemibiotrophic fungus Colletotrichum higginsianum and the bacterial pathogen Pseudomonas syringae. Despite impaired SA signaling and response, GCs display rapid calcium influx and pronounced reactive oxygen species bursts, transmitting immune signals to adjacent pavement cells via the apoplast. Notably, GCs are incompatible with adapted fungal pathogens and underwent hypersensitive cell death. Together, these findings uncover distinct immune programs among epidermal cell types, highlight GC-autonomous defense mechanisms, and provide a framework for understanding spatial immune coordination in plants.</w:t>
      </w:r>
    </w:p>
    <w:p>
      <w:pPr>
        <w:spacing w:before="120" w:after="120"/>
      </w:pPr>
      <w:r>
        <w:rPr>
          <w:sz w:val="18"/>
        </w:rPr>
        <w:t>——————————————————————————————————————————————————————————————————————</w:t>
      </w:r>
    </w:p>
    <w:p>
      <w:pPr>
        <w:spacing w:before="160" w:after="40" w:line="240" w:lineRule="auto"/>
      </w:pPr>
      <w:r>
        <w:rPr>
          <w:b/>
        </w:rPr>
        <w:t xml:space="preserve">[3] </w:t>
      </w:r>
      <w:hyperlink r:id="rId197">
        <w:r>
          <w:rPr>
            <w:color w:val="1155CC"/>
            <w:u w:val="single"/>
          </w:rPr>
          <w:t>体内代谢标记和靶向循环红细胞</w:t>
        </w:r>
      </w:hyperlink>
    </w:p>
    <w:p>
      <w:pPr>
        <w:spacing w:before="0" w:after="80"/>
      </w:pPr>
      <w:r>
        <w:rPr>
          <w:i/>
          <w:sz w:val="20"/>
        </w:rPr>
        <w:t>EN: In vivo metabolic tagging and targeting of circulating red blood cells</w:t>
      </w:r>
    </w:p>
    <w:p>
      <w:pPr>
        <w:spacing w:before="0" w:after="120"/>
      </w:pPr>
      <w:r>
        <w:rPr>
          <w:b/>
        </w:rPr>
        <w:t xml:space="preserve">Source: </w:t>
      </w:r>
      <w:r>
        <w:t>Nature Communications</w:t>
      </w:r>
      <w:r>
        <w:t xml:space="preserve">    </w:t>
      </w:r>
      <w:r>
        <w:rPr>
          <w:b/>
        </w:rPr>
        <w:t xml:space="preserve">Pub date: </w:t>
      </w:r>
      <w:r>
        <w:t>2026-03-21 00:00:00+00:00</w:t>
      </w:r>
      <w:r>
        <w:t xml:space="preserve">    </w:t>
      </w:r>
      <w:r>
        <w:rPr>
          <w:b/>
        </w:rPr>
        <w:t xml:space="preserve">DOI: </w:t>
      </w:r>
      <w:hyperlink r:id="rId198">
        <w:r>
          <w:rPr>
            <w:color w:val="1155CC"/>
            <w:u w:val="single"/>
          </w:rPr>
          <w:t>10.1038/s41467-026-71013-x</w:t>
        </w:r>
      </w:hyperlink>
    </w:p>
    <w:p>
      <w:pPr>
        <w:spacing w:before="0" w:after="120"/>
      </w:pPr>
      <w:r>
        <w:rPr>
          <w:b/>
        </w:rPr>
        <w:t xml:space="preserve">Notes: </w:t>
      </w:r>
      <w:r>
        <w:t>abstract_source=nature_html</w:t>
      </w:r>
    </w:p>
    <w:p>
      <w:pPr>
        <w:spacing w:before="0" w:after="80" w:lineRule="auto" w:line="276"/>
      </w:pPr>
      <w:r>
        <w:rPr>
          <w:b/>
        </w:rPr>
        <w:t xml:space="preserve">摘要（ZH）: </w:t>
      </w:r>
      <w:r>
        <w:t>红细胞（RBCs）的工程化已被广泛探索用于药物递送、成像、疫苗接种和其他应用。然而，直接在体内工程化RBCs的有效策略仍然缺乏。在此，我们报告了体内RBCs的成功代谢糖基标记。我们证明，系统性施用叠氮糖可以通过标记成熟RBCs和RBC前体细胞，在代谢上标记循环中的RBCs与叠氮基团。RBCs表面的叠氮标签在雌性小鼠体内可持续超过42天（几乎是RBCs的寿命），而白细胞上的标签在3天内衰减至可忽略的水平。叠氮标记的RBCs可以通过点击化学在体内共价捕获二苯并环辛炔载荷，将载荷循环时间从数小时延长至超过35天。</w:t>
      </w:r>
    </w:p>
    <w:p>
      <w:pPr>
        <w:spacing w:before="0" w:after="200" w:lineRule="auto" w:line="276"/>
      </w:pPr>
      <w:r>
        <w:rPr>
          <w:b/>
        </w:rPr>
        <w:t xml:space="preserve">Abstract (EN): </w:t>
      </w:r>
      <w:r>
        <w:t>Engineering red blood cells (RBCs) has been widely explored for drug delivery, imaging, vaccination, and other applications. However, effective strategies to directly engineer RBCs in vivo are still lacking. Here, we report successful metabolic glycan labeling of RBCs in vivo. We demonstrate that systemically administered azido-sugars can metabolically label circulating RBCs with azido groups, through labeling of both mature RBCs and RBC precursor cells. The surface azido tags on RBCs can persist for over 42 days in female mice (nearly the lifespan of RBCs), while tags on leukocytes decay to negligible levels within 3 days. Azido-labeled RBCs can covalently capture dibenzocyclooctyne-bearing cargos in vivo via click chemistry, extending cargo circulation from hours to over 35 days. This RBC tagging and targeting technology can improve fluorescence imaging of blood vessels, enable long-term MRI of brain vasculatures with a single gadolinium dose, and improve the pharmacokinetics of drugs.</w:t>
      </w:r>
    </w:p>
    <w:p>
      <w:pPr>
        <w:spacing w:before="120" w:after="120"/>
      </w:pPr>
      <w:r>
        <w:rPr>
          <w:sz w:val="18"/>
        </w:rPr>
        <w:t>——————————————————————————————————————————————————————————————————————</w:t>
      </w:r>
    </w:p>
    <w:p>
      <w:pPr>
        <w:spacing w:before="160" w:after="40" w:line="240" w:lineRule="auto"/>
      </w:pPr>
      <w:r>
        <w:rPr>
          <w:b/>
        </w:rPr>
        <w:t xml:space="preserve">[4] </w:t>
      </w:r>
      <w:hyperlink r:id="rId199">
        <w:r>
          <w:rPr>
            <w:color w:val="1155CC"/>
            <w:u w:val="single"/>
          </w:rPr>
          <w:t>自旋轨道耦合超导体中磁性杂质的超电流控制自发铁磁性</w:t>
        </w:r>
      </w:hyperlink>
    </w:p>
    <w:p>
      <w:pPr>
        <w:spacing w:before="0" w:after="80"/>
      </w:pPr>
      <w:r>
        <w:rPr>
          <w:i/>
          <w:sz w:val="20"/>
        </w:rPr>
        <w:t>EN: Supercurrent-controlled spontaneous ferromagnetism of magnetic impurities in a spin-orbit-coupled superconductor</w:t>
      </w:r>
    </w:p>
    <w:p>
      <w:pPr>
        <w:spacing w:before="0" w:after="120"/>
      </w:pPr>
      <w:r>
        <w:rPr>
          <w:b/>
        </w:rPr>
        <w:t xml:space="preserve">Source: </w:t>
      </w:r>
      <w:r>
        <w:t>Nature Communications</w:t>
      </w:r>
      <w:r>
        <w:t xml:space="preserve">    </w:t>
      </w:r>
      <w:r>
        <w:rPr>
          <w:b/>
        </w:rPr>
        <w:t xml:space="preserve">Pub date: </w:t>
      </w:r>
      <w:r>
        <w:t>2026-03-21 00:00:00+00:00</w:t>
      </w:r>
      <w:r>
        <w:t xml:space="preserve">    </w:t>
      </w:r>
      <w:r>
        <w:rPr>
          <w:b/>
        </w:rPr>
        <w:t xml:space="preserve">DOI: </w:t>
      </w:r>
      <w:hyperlink r:id="rId200">
        <w:r>
          <w:rPr>
            <w:color w:val="1155CC"/>
            <w:u w:val="single"/>
          </w:rPr>
          <w:t>10.1038/s41467-026-70968-1</w:t>
        </w:r>
      </w:hyperlink>
    </w:p>
    <w:p>
      <w:pPr>
        <w:spacing w:before="0" w:after="120"/>
      </w:pPr>
      <w:r>
        <w:rPr>
          <w:b/>
        </w:rPr>
        <w:t xml:space="preserve">Notes: </w:t>
      </w:r>
      <w:r>
        <w:t>abstract_source=nature_html</w:t>
      </w:r>
    </w:p>
    <w:p>
      <w:pPr>
        <w:spacing w:before="0" w:after="80" w:lineRule="auto" w:line="276"/>
      </w:pPr>
      <w:r>
        <w:rPr>
          <w:b/>
        </w:rPr>
        <w:t xml:space="preserve">摘要（ZH）: </w:t>
      </w:r>
      <w:r>
        <w:t>传统超导体不利于铁磁性，因为携带超电流的电子配对成反平行自旋单态。因此，通过电荷载流子在s波超导体中不存在局域磁矩之间的铁磁耦合。然而，Rashba型自旋轨道耦合（SOC）可以深刻改变电荷载流子与局域自旋之间的相互作用。在此，我们报告了在s波SOC超导体Fe(Se, Te)表面杂质磁矩之间的长程铁磁有序。我们采用扫描超导量子干涉装置显微镜，发现超导态下的涡旋状态被抑制，但出现自发磁畴。通过样品施加超电流诱导均匀的剩磁通量模式。</w:t>
      </w:r>
    </w:p>
    <w:p>
      <w:pPr>
        <w:spacing w:before="0" w:after="200" w:lineRule="auto" w:line="276"/>
      </w:pPr>
      <w:r>
        <w:rPr>
          <w:b/>
        </w:rPr>
        <w:t xml:space="preserve">Abstract (EN): </w:t>
      </w:r>
      <w:r>
        <w:t>Conventional superconductors disfavor ferromagnetism because the supercurrent-carrying electrons are paired into anti-parallel spin singlets. Consequently, ferromagnetic coupling between localized moments through the charge carriers is absent in s-wave superconductors. However, Rashba-type spin-orbit coupling (SOC) can profoundly alter the interaction between the charge carriers and localized spins. Here, we report long-range ferromagnetic order among the impurity moments on the surface of an s-wave SOC superconductor, Fe(Se, Te). We employ scanning superconducting quantum interference device microscopy and find suppressed vortex states but spontaneous magnetic domains in the superconducting state. Homogeneous remanent flux patterns are induced by applying supercurrents through the sample. The patterns are consistent with anomalous edge and bulk supercurrents generated by long-range in-plane magnetization related to the magneto-electric effect intrinsic to a Rashba superconductor. The anomalous supercurrents occur above a bias current threshold and follow hysteresis loops reminiscent of those of a ferromagnet. Surprisingly, the magnetic switching (super)current density is three orders of magnitude less than that in a ferromagnetic metal with SOC. These observations suggest an emergent ferromagnetic impurity state in a Rashba superconductor, which can be controlled by applying supercurrents.</w:t>
      </w:r>
    </w:p>
    <w:p>
      <w:pPr>
        <w:spacing w:before="120" w:after="120"/>
      </w:pPr>
      <w:r>
        <w:rPr>
          <w:sz w:val="18"/>
        </w:rPr>
        <w:t>——————————————————————————————————————————————————————————————————————</w:t>
      </w:r>
    </w:p>
    <w:p>
      <w:pPr>
        <w:spacing w:before="160" w:after="40" w:line="240" w:lineRule="auto"/>
      </w:pPr>
      <w:r>
        <w:rPr>
          <w:b/>
        </w:rPr>
        <w:t xml:space="preserve">[5] </w:t>
      </w:r>
      <w:hyperlink r:id="rId201">
        <w:r>
          <w:rPr>
            <w:color w:val="1155CC"/>
            <w:u w:val="single"/>
          </w:rPr>
          <w:t>X射线预激活的可逆持久发光实现深层肿瘤的光动力免疫治疗</w:t>
        </w:r>
      </w:hyperlink>
    </w:p>
    <w:p>
      <w:pPr>
        <w:spacing w:before="0" w:after="80"/>
      </w:pPr>
      <w:r>
        <w:rPr>
          <w:i/>
          <w:sz w:val="20"/>
        </w:rPr>
        <w:t>EN: X-ray preactivated reversible persistent luminescence enables photodynamic immunotherapy of deep tumors</w:t>
      </w:r>
    </w:p>
    <w:p>
      <w:pPr>
        <w:spacing w:before="0" w:after="120"/>
      </w:pPr>
      <w:r>
        <w:rPr>
          <w:b/>
        </w:rPr>
        <w:t xml:space="preserve">Source: </w:t>
      </w:r>
      <w:r>
        <w:t>Nature Communications</w:t>
      </w:r>
      <w:r>
        <w:t xml:space="preserve">    </w:t>
      </w:r>
      <w:r>
        <w:rPr>
          <w:b/>
        </w:rPr>
        <w:t xml:space="preserve">Pub date: </w:t>
      </w:r>
      <w:r>
        <w:t>2026-03-21 00:00:00+00:00</w:t>
      </w:r>
      <w:r>
        <w:t xml:space="preserve">    </w:t>
      </w:r>
      <w:r>
        <w:rPr>
          <w:b/>
        </w:rPr>
        <w:t xml:space="preserve">DOI: </w:t>
      </w:r>
      <w:hyperlink r:id="rId202">
        <w:r>
          <w:rPr>
            <w:color w:val="1155CC"/>
            <w:u w:val="single"/>
          </w:rPr>
          <w:t>10.1038/s41467-026-71028-4</w:t>
        </w:r>
      </w:hyperlink>
    </w:p>
    <w:p>
      <w:pPr>
        <w:spacing w:before="0" w:after="120"/>
      </w:pPr>
      <w:r>
        <w:rPr>
          <w:b/>
        </w:rPr>
        <w:t xml:space="preserve">Notes: </w:t>
      </w:r>
      <w:r>
        <w:t>abstract_source=nature_html</w:t>
      </w:r>
    </w:p>
    <w:p>
      <w:pPr>
        <w:spacing w:before="0" w:after="80" w:lineRule="auto" w:line="276"/>
      </w:pPr>
      <w:r>
        <w:rPr>
          <w:b/>
        </w:rPr>
        <w:t xml:space="preserve">摘要（ZH）: </w:t>
      </w:r>
      <w:r>
        <w:t>持续发光是一种有前景的光动力治疗（PDT）方法，适用于深部肿瘤，因为它在组织内提供持续的光照，消除了对持续外部照明的需求。然而，体内光的不可控性使得精确的时空调控变得复杂。在这项研究中，我们报告了X射线预激活的负载Elimusertib的肿瘤靶向光动力纳米颗粒（ETPNs），具有可逆的“开-关”余辉特性。X射线激活的多孔NaYF4:Er@NaGdF4持续发光纳米颗粒的优良余辉特性使得氯化e6（Ce6）能够持续激活以产生活性氧（ROS），导致DNA损伤。Elimusertib的整合增强了ROS诱导的DNA损伤并激活cGAS-</w:t>
      </w:r>
    </w:p>
    <w:p>
      <w:pPr>
        <w:spacing w:before="0" w:after="200" w:lineRule="auto" w:line="276"/>
      </w:pPr>
      <w:r>
        <w:rPr>
          <w:b/>
        </w:rPr>
        <w:t xml:space="preserve">Abstract (EN): </w:t>
      </w:r>
      <w:r>
        <w:t>Persistent luminescence is a promising approach for photodynamic therapy (PDT) in deep-seated tumors, as it provides sustained light within tissues, eliminating the need for continuous external illumination. However, the uncontrollability of light within the body complicates precise spatiotemporal regulation. In this study, we report X-ray preactivated elimusertib-loaded tumor-targeted photodynamic nanoparticles (ETPNs), featuring reversible “on-off” afterglow properties. The excellent afterglow properties of X-ray-activated porous NaYF4:Er@NaGdF4 persistent luminescence nanoparticles enable the continuous activation of chlorin e6 (Ce6) to generate reactive oxygen species (ROS), leading to DNA damage. The integration of elimusertib potentiates ROS-induced DNA damage and activates the cGAS-STING pathway, thereby enhancing immuno-photodynamic therapeutic efficacy. All in vivo experiments were conducted using female mice. Our findings highlight the potential of ETPNs to advance the therapeutic landscape for deep-seated tumors, offering a robust and controllable platform for combined immuno-photodynamic therapy.</w:t>
      </w:r>
    </w:p>
    <w:p>
      <w:pPr>
        <w:spacing w:before="120" w:after="120"/>
      </w:pPr>
      <w:r>
        <w:rPr>
          <w:sz w:val="18"/>
        </w:rPr>
        <w:t>——————————————————————————————————————————————————————————————————————</w:t>
      </w:r>
    </w:p>
    <w:p>
      <w:pPr>
        <w:spacing w:before="160" w:after="40" w:line="240" w:lineRule="auto"/>
      </w:pPr>
      <w:r>
        <w:rPr>
          <w:b/>
        </w:rPr>
        <w:t xml:space="preserve">[6] </w:t>
      </w:r>
      <w:hyperlink r:id="rId203">
        <w:r>
          <w:rPr>
            <w:color w:val="1155CC"/>
            <w:u w:val="single"/>
          </w:rPr>
          <w:t>BiVO4光催化的第一性原理视角：电子结构、晶面各向异性和界面工程</w:t>
        </w:r>
      </w:hyperlink>
    </w:p>
    <w:p>
      <w:pPr>
        <w:spacing w:before="0" w:after="80"/>
      </w:pPr>
      <w:r>
        <w:rPr>
          <w:i/>
          <w:sz w:val="20"/>
        </w:rPr>
        <w:t>EN: First-principles perspectives on BiVO4 photocatalysis: electronic structure, facet anisotropy, and interface engineering</w:t>
      </w:r>
    </w:p>
    <w:p>
      <w:pPr>
        <w:spacing w:before="0" w:after="120"/>
      </w:pPr>
      <w:r>
        <w:rPr>
          <w:b/>
        </w:rPr>
        <w:t xml:space="preserve">Source: </w:t>
      </w:r>
      <w:r>
        <w:t>ScienceDirect Publication: Applied Energy</w:t>
      </w:r>
      <w:r>
        <w:t xml:space="preserve">    </w:t>
      </w:r>
      <w:r>
        <w:rPr>
          <w:b/>
        </w:rPr>
        <w:t xml:space="preserve">Pub date: </w:t>
      </w:r>
      <w:r>
        <w:t>2026-03-21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204">
        <w:r>
          <w:rPr>
            <w:color w:val="1155CC"/>
            <w:u w:val="single"/>
          </w:rPr>
          <w:t>质子转移调控的光固化耐用室温磷光来自萘酰亚胺</w:t>
        </w:r>
      </w:hyperlink>
    </w:p>
    <w:p>
      <w:pPr>
        <w:spacing w:before="0" w:after="80"/>
      </w:pPr>
      <w:r>
        <w:rPr>
          <w:i/>
          <w:sz w:val="20"/>
        </w:rPr>
        <w:t>EN: Proton transfer regulated photocured robust room-temperature phosphorescence from naphthalimide</w:t>
      </w:r>
    </w:p>
    <w:p>
      <w:pPr>
        <w:spacing w:before="0" w:after="120"/>
      </w:pPr>
      <w:r>
        <w:rPr>
          <w:b/>
        </w:rPr>
        <w:t xml:space="preserve">Source: </w:t>
      </w:r>
      <w:r>
        <w:t>Nature Communications</w:t>
      </w:r>
      <w:r>
        <w:t xml:space="preserve">    </w:t>
      </w:r>
      <w:r>
        <w:rPr>
          <w:b/>
        </w:rPr>
        <w:t xml:space="preserve">Pub date: </w:t>
      </w:r>
      <w:r>
        <w:t>2026-03-21 00:00:00+00:00</w:t>
      </w:r>
      <w:r>
        <w:t xml:space="preserve">    </w:t>
      </w:r>
      <w:r>
        <w:rPr>
          <w:b/>
        </w:rPr>
        <w:t xml:space="preserve">DOI: </w:t>
      </w:r>
      <w:hyperlink r:id="rId205">
        <w:r>
          <w:rPr>
            <w:color w:val="1155CC"/>
            <w:u w:val="single"/>
          </w:rPr>
          <w:t>10.1038/s41467-026-70999-8</w:t>
        </w:r>
      </w:hyperlink>
    </w:p>
    <w:p>
      <w:pPr>
        <w:spacing w:before="0" w:after="120"/>
      </w:pPr>
      <w:r>
        <w:rPr>
          <w:b/>
        </w:rPr>
        <w:t xml:space="preserve">Notes: </w:t>
      </w:r>
      <w:r>
        <w:t>abstract_source=nature_html</w:t>
      </w:r>
    </w:p>
    <w:p>
      <w:pPr>
        <w:spacing w:before="0" w:after="80" w:lineRule="auto" w:line="276"/>
      </w:pPr>
      <w:r>
        <w:rPr>
          <w:b/>
        </w:rPr>
        <w:t xml:space="preserve">摘要（ZH）: </w:t>
      </w:r>
      <w:r>
        <w:t>光固化室温磷光（RTP）材料具有相当大的潜在应用，但很少被报道。在此，我们报道了来自萘酰亚胺的光固化RTP材料，它同时作为RTP发色团和光引发剂。具体而言，萘酰亚胺在紫外线照射下生成自由基以聚合丙烯酸和丙烯酰胺。生成的萘酰亚胺被紧密限制在原位形成的交联基质中，以实现稳健的RTP（τp = 389.58 ms，φp = 17.83%，耐水和有机溶剂）。显著的是，羧基可以通过质子转移氢键（PTHBs）结合到萘酰亚胺中叔胺的孤对电子上，抑制由光诱导电子转移（PET）引起的S1的非辐射衰减；增加自旋轨道耦合</w:t>
      </w:r>
    </w:p>
    <w:p>
      <w:pPr>
        <w:spacing w:before="0" w:after="200" w:lineRule="auto" w:line="276"/>
      </w:pPr>
      <w:r>
        <w:rPr>
          <w:b/>
        </w:rPr>
        <w:t xml:space="preserve">Abstract (EN): </w:t>
      </w:r>
      <w:r>
        <w:t>Photocured room-temperature phosphorescence (RTP) materials have considerable potential applications but are rarely reported. Here, we reported photocured RTP materials from naphthalimide, which simultaneously acts as RTP chromophore and photo-initiator. Specifically, naphthalimide generates radicals to polymerize acrylic acid and acrylamide upon UV irradiation. The resulting naphthalimide is tightly restricted in in-situ formed crosslinked matrix to achieve robust RTP (τp = 389.58 ms, φp = 17.83%, water and organic solvents resistance). Significantly, carboxyl can bind onto lone-pair electrons of tertiary amine in naphthalimide through proton transfer hydrogen-bonds (PTHBs), inhibiting nonradiative decay of S1 induced by photoinduced electron transfer (PET); increasing spin-orbit coupling (SOC) to promote intersystem crossing (ISC); cooperating with intermolecular hydrogen-bonds afford rigid microenvironment to stabilize triplet excitons. Moreover, afterglow colors are continuously tuned after loading different mass RhB via energy transfer. The as prepared materials are used as RTP inks for fabricating 3D printing and photopatterning for anti-counterfeiting and information encryption applications.</w:t>
      </w:r>
    </w:p>
    <w:p>
      <w:pPr>
        <w:spacing w:before="120" w:after="120"/>
      </w:pPr>
      <w:r>
        <w:rPr>
          <w:sz w:val="18"/>
        </w:rPr>
        <w:t>——————————————————————————————————————————————————————————————————————</w:t>
      </w:r>
    </w:p>
    <w:p>
      <w:pPr>
        <w:spacing w:before="160" w:after="40" w:line="240" w:lineRule="auto"/>
      </w:pPr>
      <w:r>
        <w:rPr>
          <w:b/>
        </w:rPr>
        <w:t xml:space="preserve">[8] </w:t>
      </w:r>
      <w:hyperlink r:id="rId206">
        <w:r>
          <w:rPr>
            <w:color w:val="1155CC"/>
            <w:u w:val="single"/>
          </w:rPr>
          <w:t>环保能源管理策略用于涡轮电动eVTOL：通过改进的TD3耦合燃油经济性、电池健康和生命周期排放</w:t>
        </w:r>
      </w:hyperlink>
    </w:p>
    <w:p>
      <w:pPr>
        <w:spacing w:before="0" w:after="80"/>
      </w:pPr>
      <w:r>
        <w:rPr>
          <w:i/>
          <w:sz w:val="20"/>
        </w:rPr>
        <w:t>EN: Eco-friendly energy management strategy for turbo-electric eVTOLs: Coupling fuel economy, battery health and life-cycle emissions via improved TD3</w:t>
      </w:r>
    </w:p>
    <w:p>
      <w:pPr>
        <w:spacing w:before="0" w:after="120"/>
      </w:pPr>
      <w:r>
        <w:rPr>
          <w:b/>
        </w:rPr>
        <w:t xml:space="preserve">Source: </w:t>
      </w:r>
      <w:r>
        <w:t>ScienceDirect Publication: Applied Energy</w:t>
      </w:r>
      <w:r>
        <w:t xml:space="preserve">    </w:t>
      </w:r>
      <w:r>
        <w:rPr>
          <w:b/>
        </w:rPr>
        <w:t xml:space="preserve">Pub date: </w:t>
      </w:r>
      <w:r>
        <w:t>2026-03-21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207">
        <w:r>
          <w:rPr>
            <w:color w:val="1155CC"/>
            <w:u w:val="single"/>
          </w:rPr>
          <w:t>探索液冷数据中心的需求响应潜力</w:t>
        </w:r>
      </w:hyperlink>
    </w:p>
    <w:p>
      <w:pPr>
        <w:spacing w:before="0" w:after="80"/>
      </w:pPr>
      <w:r>
        <w:rPr>
          <w:i/>
          <w:sz w:val="20"/>
        </w:rPr>
        <w:t>EN: Exploring the Demand Response Potential of Liquid-Cooled Data Centers</w:t>
      </w:r>
    </w:p>
    <w:p>
      <w:pPr>
        <w:spacing w:before="0" w:after="120"/>
      </w:pPr>
      <w:r>
        <w:rPr>
          <w:b/>
        </w:rPr>
        <w:t xml:space="preserve">Source: </w:t>
      </w:r>
      <w:r>
        <w:t>ScienceDirect Publication: Applied Energy</w:t>
      </w:r>
      <w:r>
        <w:t xml:space="preserve">    </w:t>
      </w:r>
      <w:r>
        <w:rPr>
          <w:b/>
        </w:rPr>
        <w:t xml:space="preserve">Pub date: </w:t>
      </w:r>
      <w:r>
        <w:t>2026-03-21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208">
        <w:r>
          <w:rPr>
            <w:color w:val="1155CC"/>
            <w:u w:val="single"/>
          </w:rPr>
          <w:t>区块链和双重拍卖用于可信且高效的自愿碳市场</w:t>
        </w:r>
      </w:hyperlink>
    </w:p>
    <w:p>
      <w:pPr>
        <w:spacing w:before="0" w:after="80"/>
      </w:pPr>
      <w:r>
        <w:rPr>
          <w:i/>
          <w:sz w:val="20"/>
        </w:rPr>
        <w:t>EN: Blockchain and double auction for credible and efficient voluntary carbon market</w:t>
      </w:r>
    </w:p>
    <w:p>
      <w:pPr>
        <w:spacing w:before="0" w:after="120"/>
      </w:pPr>
      <w:r>
        <w:rPr>
          <w:b/>
        </w:rPr>
        <w:t xml:space="preserve">Source: </w:t>
      </w:r>
      <w:r>
        <w:t>ScienceDirect Publication: Applied Energy</w:t>
      </w:r>
      <w:r>
        <w:t xml:space="preserve">    </w:t>
      </w:r>
      <w:r>
        <w:rPr>
          <w:b/>
        </w:rPr>
        <w:t xml:space="preserve">Pub date: </w:t>
      </w:r>
      <w:r>
        <w:t>2026-03-21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209">
        <w:r>
          <w:rPr>
            <w:color w:val="1155CC"/>
            <w:u w:val="single"/>
          </w:rPr>
          <w:t>激活l-组氨酸生物合成为抗击结核分枝杆菌的新抗生素策略</w:t>
        </w:r>
      </w:hyperlink>
    </w:p>
    <w:p>
      <w:pPr>
        <w:spacing w:before="0" w:after="80"/>
      </w:pPr>
      <w:r>
        <w:rPr>
          <w:i/>
          <w:sz w:val="20"/>
        </w:rPr>
        <w:t>EN: Activation of l-histidine biosynthesis as a new antibiotic strategy against Mycobacterium tuberculosis</w:t>
      </w:r>
    </w:p>
    <w:p>
      <w:pPr>
        <w:spacing w:before="0" w:after="120"/>
      </w:pPr>
      <w:r>
        <w:rPr>
          <w:b/>
        </w:rPr>
        <w:t xml:space="preserve">Source: </w:t>
      </w:r>
      <w:r>
        <w:t>Nature Communications</w:t>
      </w:r>
      <w:r>
        <w:t xml:space="preserve">    </w:t>
      </w:r>
      <w:r>
        <w:rPr>
          <w:b/>
        </w:rPr>
        <w:t xml:space="preserve">Pub date: </w:t>
      </w:r>
      <w:r>
        <w:t>2026-03-21 00:00:00+00:00</w:t>
      </w:r>
      <w:r>
        <w:t xml:space="preserve">    </w:t>
      </w:r>
      <w:r>
        <w:rPr>
          <w:b/>
        </w:rPr>
        <w:t xml:space="preserve">DOI: </w:t>
      </w:r>
      <w:hyperlink r:id="rId210">
        <w:r>
          <w:rPr>
            <w:color w:val="1155CC"/>
            <w:u w:val="single"/>
          </w:rPr>
          <w:t>10.1038/s41467-026-70510-3</w:t>
        </w:r>
      </w:hyperlink>
    </w:p>
    <w:p>
      <w:pPr>
        <w:spacing w:before="0" w:after="120"/>
      </w:pPr>
      <w:r>
        <w:rPr>
          <w:b/>
        </w:rPr>
        <w:t xml:space="preserve">Notes: </w:t>
      </w:r>
      <w:r>
        <w:t>abstract_source=nature_html</w:t>
      </w:r>
    </w:p>
    <w:p>
      <w:pPr>
        <w:spacing w:before="0" w:after="80" w:lineRule="auto" w:line="276"/>
      </w:pPr>
      <w:r>
        <w:rPr>
          <w:b/>
        </w:rPr>
        <w:t xml:space="preserve">摘要（ZH）: </w:t>
      </w:r>
      <w:r>
        <w:t>抗菌素耐药性的日益普遍是一个重要的挑战，需要新的抗生素开发方法。目前，所有抗生素都抑制生物过程。为了探索激活生化途径是否能引发杀菌效果，我们设计了对l-组氨酸别构抑制耐受的结核分枝杆菌ATP-磷酸核糖转移酶（ATP-PRT）变体，导致ATP-PRT的超生理激活和l-组氨酸的过量生产。L-组氨酸生物合成的上调显著减少了结核分枝杆菌在培养中的生长，并由于营养和能量消耗导致适应性下降。此外，结核分枝杆菌中别构变体的表达显著减少了人类中的感染</w:t>
      </w:r>
    </w:p>
    <w:p>
      <w:pPr>
        <w:spacing w:before="0" w:after="200" w:lineRule="auto" w:line="276"/>
      </w:pPr>
      <w:r>
        <w:rPr>
          <w:b/>
        </w:rPr>
        <w:t xml:space="preserve">Abstract (EN): </w:t>
      </w:r>
      <w:r>
        <w:t>The increasing prevalence of antimicrobial resistance is an important challenge that warrants new approaches to antibiotic development. Currently, all antibiotics inhibit biological processes. To explore whether activation of a biochemical pathway can elicit bactericidal effects we engineered variants of Mycobacterium tuberculosis ATP-phosphoribosyltransferase (ATP-PRT) that are resistant to allosteric inhibition by l-histidine, leading to supraphysiological activation of ATP-PRT and l-histidine overproduction. Upregulation of L-histidine biosynthesis significantly reduces the growth of M. tuberculosis in culture and causes a loss of fitness owing to nutrient and energy depletion. Moreover, the expression of allosteric variants in M. tuberculosis significantly reduced infections in human macrophages and in a mouse model of infection. Thus, metabolic activation represents a new mycobactericidal mechanism that could be applied to antimycobacterial drug discovery.</w:t>
      </w:r>
    </w:p>
    <w:p>
      <w:pPr>
        <w:spacing w:before="120" w:after="120"/>
      </w:pPr>
      <w:r>
        <w:rPr>
          <w:sz w:val="18"/>
        </w:rPr>
        <w:t>——————————————————————————————————————————————————————————————————————</w:t>
      </w:r>
    </w:p>
    <w:p>
      <w:pPr>
        <w:spacing w:before="160" w:after="40" w:line="240" w:lineRule="auto"/>
      </w:pPr>
      <w:r>
        <w:rPr>
          <w:b/>
        </w:rPr>
        <w:t xml:space="preserve">[12] </w:t>
      </w:r>
      <w:hyperlink r:id="rId211">
        <w:r>
          <w:rPr>
            <w:color w:val="1155CC"/>
            <w:u w:val="single"/>
          </w:rPr>
          <w:t>用于无分段闪烁体中高分辨率3D粒子跟踪的超快光场相机系统</w:t>
        </w:r>
      </w:hyperlink>
    </w:p>
    <w:p>
      <w:pPr>
        <w:spacing w:before="0" w:after="80"/>
      </w:pPr>
      <w:r>
        <w:rPr>
          <w:i/>
          <w:sz w:val="20"/>
        </w:rPr>
        <w:t>EN: An ultrafast plenoptic-camera system for high-resolution 3D particle tracking in unsegmented scintillators</w:t>
      </w:r>
    </w:p>
    <w:p>
      <w:pPr>
        <w:spacing w:before="0" w:after="120"/>
      </w:pPr>
      <w:r>
        <w:rPr>
          <w:b/>
        </w:rPr>
        <w:t xml:space="preserve">Source: </w:t>
      </w:r>
      <w:r>
        <w:t>Nature Communications</w:t>
      </w:r>
      <w:r>
        <w:t xml:space="preserve">    </w:t>
      </w:r>
      <w:r>
        <w:rPr>
          <w:b/>
        </w:rPr>
        <w:t xml:space="preserve">Pub date: </w:t>
      </w:r>
      <w:r>
        <w:t>2026-03-21 00:00:00+00:00</w:t>
      </w:r>
      <w:r>
        <w:t xml:space="preserve">    </w:t>
      </w:r>
      <w:r>
        <w:rPr>
          <w:b/>
        </w:rPr>
        <w:t xml:space="preserve">DOI: </w:t>
      </w:r>
      <w:hyperlink r:id="rId212">
        <w:r>
          <w:rPr>
            <w:color w:val="1155CC"/>
            <w:u w:val="single"/>
          </w:rPr>
          <w:t>10.1038/s41467-026-70918-x</w:t>
        </w:r>
      </w:hyperlink>
    </w:p>
    <w:p>
      <w:pPr>
        <w:spacing w:before="0" w:after="120"/>
      </w:pPr>
      <w:r>
        <w:rPr>
          <w:b/>
        </w:rPr>
        <w:t xml:space="preserve">Notes: </w:t>
      </w:r>
      <w:r>
        <w:t>abstract_source=nature_html</w:t>
      </w:r>
    </w:p>
    <w:p>
      <w:pPr>
        <w:spacing w:before="0" w:after="80" w:lineRule="auto" w:line="276"/>
      </w:pPr>
      <w:r>
        <w:rPr>
          <w:b/>
        </w:rPr>
        <w:t xml:space="preserve">摘要（ZH）: </w:t>
      </w:r>
      <w:r>
        <w:t>中微子探测器、粒子量热计和一些暗物质探测器需要密集且大质量的活性材料。为了实现精确的三维粒子跟踪，极其精细的分段是理想的。然而，这样的系统在建造上带来了显著的挑战，并需要大量的读出电子通道，导致极高的成本。在本文中，我们提出了一种替代的基本粒子探测方法，该方法能够在未分段的闪烁体大体积中实现超快速的三维高分辨率成像。实现这些技术的是全光系统和时间分辨的单光子雪崩二极管阵列成像传感器。结合使用全光相机，我们能够重建闪烁体中单光子的起源。</w:t>
      </w:r>
    </w:p>
    <w:p>
      <w:pPr>
        <w:spacing w:before="0" w:after="200" w:lineRule="auto" w:line="276"/>
      </w:pPr>
      <w:r>
        <w:rPr>
          <w:b/>
        </w:rPr>
        <w:t xml:space="preserve">Abstract (EN): </w:t>
      </w:r>
      <w:r>
        <w:t>Neutrino detectors, particle calorimeters and some dark matter detectors require dense and massive active materials. An extremely fine segmentation is desirable to achieve precise three-dimensional particle tracking. However, such systems introduce significant challenges in construction and demand a large number of readout electronics channels, leading to extremely high costs. In this article, we propose an alternative approach to elementary particle detection that enables ultrafast three-dimensional high-resolution imaging in large volumes of unsegmented scintillator. Enabling technologies are plenoptic systems and time-resolving single-photon avalanche diode array imaging sensors. Together, they enabled us, using a plenoptic camera, to reconstruct the origin of single photons in the scintillator. A case study focused on neutrino detection demonstrates full event reconstruction with a spatial resolution of two hundred micrometres. This work paves the way for a class of particle detectors whose capabilities should be further enhanced through future developments and expanded to Cherenkov light detection, medical imaging and neutron detection.</w:t>
      </w:r>
    </w:p>
    <w:p>
      <w:pPr>
        <w:spacing w:before="120" w:after="120"/>
      </w:pPr>
      <w:r>
        <w:rPr>
          <w:sz w:val="18"/>
        </w:rPr>
        <w:t>——————————————————————————————————————————————————————————————————————</w:t>
      </w:r>
    </w:p>
    <w:p>
      <w:pPr>
        <w:spacing w:before="160" w:after="40" w:line="240" w:lineRule="auto"/>
      </w:pPr>
      <w:r>
        <w:rPr>
          <w:b/>
        </w:rPr>
        <w:t xml:space="preserve">[13] </w:t>
      </w:r>
      <w:hyperlink r:id="rId213">
        <w:r>
          <w:rPr>
            <w:color w:val="1155CC"/>
            <w:u w:val="single"/>
          </w:rPr>
          <w:t>技术创新和正式制度对可再生能源转型的影响</w:t>
        </w:r>
      </w:hyperlink>
    </w:p>
    <w:p>
      <w:pPr>
        <w:spacing w:before="0" w:after="80"/>
      </w:pPr>
      <w:r>
        <w:rPr>
          <w:i/>
          <w:sz w:val="20"/>
        </w:rPr>
        <w:t>EN: Impact of technological innovation and formal institutions in renewable energy transition</w:t>
      </w:r>
    </w:p>
    <w:p>
      <w:pPr>
        <w:spacing w:before="0" w:after="120"/>
      </w:pPr>
      <w:r>
        <w:rPr>
          <w:b/>
        </w:rPr>
        <w:t xml:space="preserve">Source: </w:t>
      </w:r>
      <w:r>
        <w:t>ScienceDirect Publication: Energy Policy</w:t>
      </w:r>
      <w:r>
        <w:t xml:space="preserve">    </w:t>
      </w:r>
      <w:r>
        <w:rPr>
          <w:b/>
        </w:rPr>
        <w:t xml:space="preserve">Pub date: </w:t>
      </w:r>
      <w:r>
        <w:t>2026-03-21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214">
        <w:r>
          <w:rPr>
            <w:color w:val="1155CC"/>
            <w:u w:val="single"/>
          </w:rPr>
          <w:t>宫内暴露于基孔肯雅病毒与儿童病死率：使用关联常规数据的人口研究</w:t>
        </w:r>
      </w:hyperlink>
    </w:p>
    <w:p>
      <w:pPr>
        <w:spacing w:before="0" w:after="80"/>
      </w:pPr>
      <w:r>
        <w:rPr>
          <w:i/>
          <w:sz w:val="20"/>
        </w:rPr>
        <w:t>EN: In-utero exposure to chikungunya and child morbimortality: a population-based study using linked routine data</w:t>
      </w:r>
    </w:p>
    <w:p>
      <w:pPr>
        <w:spacing w:before="0" w:after="120"/>
      </w:pPr>
      <w:r>
        <w:rPr>
          <w:b/>
        </w:rPr>
        <w:t xml:space="preserve">Source: </w:t>
      </w:r>
      <w:r>
        <w:t>Nature Communications</w:t>
      </w:r>
      <w:r>
        <w:t xml:space="preserve">    </w:t>
      </w:r>
      <w:r>
        <w:rPr>
          <w:b/>
        </w:rPr>
        <w:t xml:space="preserve">Pub date: </w:t>
      </w:r>
      <w:r>
        <w:t>2026-03-21 00:00:00+00:00</w:t>
      </w:r>
      <w:r>
        <w:t xml:space="preserve">    </w:t>
      </w:r>
      <w:r>
        <w:rPr>
          <w:b/>
        </w:rPr>
        <w:t xml:space="preserve">DOI: </w:t>
      </w:r>
      <w:hyperlink r:id="rId215">
        <w:r>
          <w:rPr>
            <w:color w:val="1155CC"/>
            <w:u w:val="single"/>
          </w:rPr>
          <w:t>10.1038/s41467-026-70786-5</w:t>
        </w:r>
      </w:hyperlink>
    </w:p>
    <w:p>
      <w:pPr>
        <w:spacing w:before="0" w:after="120"/>
      </w:pPr>
      <w:r>
        <w:rPr>
          <w:b/>
        </w:rPr>
        <w:t xml:space="preserve">Notes: </w:t>
      </w:r>
      <w:r>
        <w:t>abstract_source=nature_html</w:t>
      </w:r>
    </w:p>
    <w:p>
      <w:pPr>
        <w:spacing w:before="0" w:after="80" w:lineRule="auto" w:line="276"/>
      </w:pPr>
      <w:r>
        <w:rPr>
          <w:b/>
        </w:rPr>
        <w:t xml:space="preserve">摘要（ZH）: </w:t>
      </w:r>
      <w:r>
        <w:t>宫内接触基孔肯雅病毒与新生儿发病率和神经发育影响有关。我们研究了与宫内基孔肯雅病毒接触相关的长期发病率。这项基于登记的队列研究将2015年至2018年间在巴西出生的婴儿记录与全因首次住院和死亡作为结果相联系。婴儿被跟踪直到结果出现、他们的三岁生日或研究结束。使用调整后的分层Cox模型估计风险比（HR）、95%置信区间（95% CI）和绝对风险差异。共纳入1,821名暴露婴儿和18,210名未暴露婴儿。住院的HR为1.21（95% CI：1.11–1.36），相当于每1000名暴露者中有37例额外住院（95% CI：16-64）。对于分娩期暴露，风险增加了两倍。</w:t>
      </w:r>
    </w:p>
    <w:p>
      <w:pPr>
        <w:spacing w:before="0" w:after="200" w:lineRule="auto" w:line="276"/>
      </w:pPr>
      <w:r>
        <w:rPr>
          <w:b/>
        </w:rPr>
        <w:t xml:space="preserve">Abstract (EN): </w:t>
      </w:r>
      <w:r>
        <w:t>Chikungunya exposure in-utero is linked to neonatal morbidity and neurodevelopmental effects. We examined the long-term morbidity associated with in-utero Chikungunya. This registry-based cohort study linked records of infants born in Brazil between 2015 and 2018, with all-cause first hospitalization and death as outcome. Infants were followed until the outcome, their third birthday, or the end of the study. Adjusted stratified Cox models were used to estimate hazard ratios (HR), 95% confidence intervals (95% CIs), and absolute risk differences. A total of 1,821 exposed and 18,210 unexposed infants were included. The HR for hospitalization was 1.21 (95% CI: 1.11–1.36), corresponding to 37 excess hospitalizations per 1000 exposed (95% CI: 16-64). The risk was twofold for intrapartum exposure (HR 2.08, 95% CI: 1.33–3.44) and elevated for first- and second-trimester exposure. Evidence for risk of death was limited. Here we show an elevated hospitalization risk associated with in-utero Chikungunya exposure.</w:t>
      </w:r>
    </w:p>
    <w:p>
      <w:pPr>
        <w:spacing w:before="120" w:after="120"/>
      </w:pPr>
      <w:r>
        <w:rPr>
          <w:sz w:val="18"/>
        </w:rPr>
        <w:t>——————————————————————————————————————————————————————————————————————</w:t>
      </w:r>
    </w:p>
    <w:p>
      <w:pPr>
        <w:spacing w:before="160" w:after="40" w:line="240" w:lineRule="auto"/>
      </w:pPr>
      <w:r>
        <w:rPr>
          <w:b/>
        </w:rPr>
        <w:t xml:space="preserve">[15] </w:t>
      </w:r>
      <w:hyperlink r:id="rId216">
        <w:r>
          <w:rPr>
            <w:color w:val="1155CC"/>
            <w:u w:val="single"/>
          </w:rPr>
          <w:t>通过具有双交联网络的结构化编程壳聚糖气凝胶实现凝血独立止血</w:t>
        </w:r>
      </w:hyperlink>
    </w:p>
    <w:p>
      <w:pPr>
        <w:spacing w:before="0" w:after="80"/>
      </w:pPr>
      <w:r>
        <w:rPr>
          <w:i/>
          <w:sz w:val="20"/>
        </w:rPr>
        <w:t>EN: Coagulation‐Independent Hemostasis Through Architecturally Programmed Chitosan Aerogels with Dual‐Crosslinked Networks</w:t>
      </w:r>
    </w:p>
    <w:p>
      <w:pPr>
        <w:spacing w:before="0" w:after="120"/>
      </w:pPr>
      <w:r>
        <w:rPr>
          <w:b/>
        </w:rPr>
        <w:t xml:space="preserve">Source: </w:t>
      </w:r>
      <w:r>
        <w:t>Wiley: Advanced Materials: Table of Contents</w:t>
      </w:r>
      <w:r>
        <w:t xml:space="preserve">    </w:t>
      </w:r>
      <w:r>
        <w:rPr>
          <w:b/>
        </w:rPr>
        <w:t xml:space="preserve">Pub date: </w:t>
      </w:r>
      <w:r>
        <w:t>2026-03-21 10:42:49+00:00</w:t>
      </w:r>
      <w:r>
        <w:t xml:space="preserve">    </w:t>
      </w:r>
      <w:r>
        <w:rPr>
          <w:b/>
        </w:rPr>
        <w:t xml:space="preserve">DOI: </w:t>
      </w:r>
      <w:hyperlink r:id="rId217">
        <w:r>
          <w:rPr>
            <w:color w:val="1155CC"/>
            <w:u w:val="single"/>
          </w:rPr>
          <w:t>10.1002/adma.202523140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失血控制仍然是急诊医学和外科手术中未满足的核心需求，因为失控的出血会导致可预防的死亡，并因抗凝或凝血障碍而加剧，许多依赖凝血级联的止血剂失去效力。分层结构的双交联超高脱乙酰壳聚糖（DC-UDCS）气凝胶通过双交联的分层毛细管-弹性记忆（DC-HCEM）机制实现快速、独立于凝血的止血。定向冰模板孔结构提供快速毛细管渗透，解锁可逆的氢键固定，而共价交联储存弹性能量以驱动血液触发的超快速自膨胀和稳定的机械填塞，物理封闭。</w:t>
      </w:r>
    </w:p>
    <w:p>
      <w:pPr>
        <w:spacing w:before="0" w:after="200" w:lineRule="auto" w:line="276"/>
      </w:pPr>
      <w:r>
        <w:rPr>
          <w:b/>
        </w:rPr>
        <w:t xml:space="preserve">Abstract (EN): </w:t>
      </w:r>
      <w:r>
        <w:t>Hemorrhage control remains a central unmet need in emergency medicine and surgery, as uncontrolled bleeding causes preventable mortality and is exacerbated by anticoagulation or coagulopathy, where many hemostats that depend on the coagulation cascade lose efficacy. Hierarchically structured, dual‐crosslinked ultra‐highly deacetylated chitosan (DC‐UDCS) aerogels enable rapid, coagulation‐independent hemostasis via a dual‐crosslinked hierarchical capillary–elastic memory (DC‐HCEM) mechanism. Directionally ice‐templated pore architectures provide fast capillary infiltration that unlocks reversible hydrogen‐bonded fixation, while covalent crosslinks store elastic energy to drive blood‐triggered, ultrafast self‐expansion and stable mechanical tamponade, physically occluding bleeding tracts and vessels. Concurrently, the cationic chitosan network promotes electrostatic erythrocyte aggregation and cellular adhesion, supporting sealing without requiring fibrin formation. In vitro and in vivo evaluations demonstrate rapid pressure generation and effective bleeding control in both normal and anticoagulated hemorrhage models, outperforming conventional gauze‐type controls, while maintaining intrinsic antibacterial activity and favorable hemocompatibility/biocompatibility. This architecture‐chemistry integrated aerogel platform provides a transferrable strategy for lifesaving hemostasis when coagulation is compromised.</w:t>
      </w:r>
    </w:p>
    <w:p>
      <w:pPr>
        <w:spacing w:before="120" w:after="120"/>
      </w:pPr>
      <w:r>
        <w:rPr>
          <w:sz w:val="18"/>
        </w:rPr>
        <w:t>——————————————————————————————————————————————————————————————————————</w:t>
      </w:r>
    </w:p>
    <w:p>
      <w:pPr>
        <w:spacing w:before="160" w:after="40" w:line="240" w:lineRule="auto"/>
      </w:pPr>
      <w:r>
        <w:rPr>
          <w:b/>
        </w:rPr>
        <w:t xml:space="preserve">[16] </w:t>
      </w:r>
      <w:hyperlink r:id="rId218">
        <w:r>
          <w:rPr>
            <w:color w:val="1155CC"/>
            <w:u w:val="single"/>
          </w:rPr>
          <w:t>多共振骨架工程用于高效蓝色OLED，具有高色纯度和视觉舒适性</w:t>
        </w:r>
      </w:hyperlink>
    </w:p>
    <w:p>
      <w:pPr>
        <w:spacing w:before="0" w:after="80"/>
      </w:pPr>
      <w:r>
        <w:rPr>
          <w:i/>
          <w:sz w:val="20"/>
        </w:rPr>
        <w:t>EN: Multi‐Resonance Skeleton Engineering for Highly Efficient Blue OLEDs With High Color Purity and Visual Comfort</w:t>
      </w:r>
    </w:p>
    <w:p>
      <w:pPr>
        <w:spacing w:before="0" w:after="120"/>
      </w:pPr>
      <w:r>
        <w:rPr>
          <w:b/>
        </w:rPr>
        <w:t xml:space="preserve">Source: </w:t>
      </w:r>
      <w:r>
        <w:t>Wiley: Advanced Materials: Table of Contents</w:t>
      </w:r>
      <w:r>
        <w:t xml:space="preserve">    </w:t>
      </w:r>
      <w:r>
        <w:rPr>
          <w:b/>
        </w:rPr>
        <w:t xml:space="preserve">Pub date: </w:t>
      </w:r>
      <w:r>
        <w:t>2026-03-21 10:51:21+00:00</w:t>
      </w:r>
      <w:r>
        <w:t xml:space="preserve">    </w:t>
      </w:r>
      <w:r>
        <w:rPr>
          <w:b/>
        </w:rPr>
        <w:t xml:space="preserve">DOI: </w:t>
      </w:r>
      <w:hyperlink r:id="rId219">
        <w:r>
          <w:rPr>
            <w:color w:val="1155CC"/>
            <w:u w:val="single"/>
          </w:rPr>
          <w:t>10.1002/adma.72845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蓝色多共振热激活延迟荧光（MR‐TADF）材料需要高色纯度和视觉舒适性，以便在有机发光二极管（OLEDs）中实现商业化。鉴于MR‐TADF分子结构的微小调整通常会显著改变发射光谱，迫切需要开发策略以微调光谱特性。在此，提出了一种有效的设计策略，通过将主要MR骨架与辅助调节单元结合，开发蓝色MR‐TADF材料，并通过调节辅助调节单元的结构，设计和合成了三种MR‐TADF材料。这些发射体的发射波长逐渐被</w:t>
      </w:r>
    </w:p>
    <w:p>
      <w:pPr>
        <w:spacing w:before="0" w:after="200" w:lineRule="auto" w:line="276"/>
      </w:pPr>
      <w:r>
        <w:rPr>
          <w:b/>
        </w:rPr>
        <w:t xml:space="preserve">Abstract (EN): </w:t>
      </w:r>
      <w:r>
        <w:t>Blue multi‐resonance thermally activated delayed fluorescence (MR‐TADF) materials necessitate high color purity along with visual comfort for their commercialization in organic light‐emitting diodes (OLEDs). Given that the slight adjustments in the MR‐TADF molecular structure commonly lead to significantly alter the emission spectrum, there is an urgent need to develop strategies for fine‐tuning spectral characteristics. Herein, an effective design strategy is proposed to develop blue MR‐TADF materials by integrating primary MR skeleton with auxiliary regulation unit, and through modulate the structure of auxiliary regulation unit, three MR‐TADF materials are designed and synthesized. The emission wavelengths of these emitters are gradually blue‐shifted from 466 to 458 nm accompanied by small full width at half‐maximum and negligible shoulder peak. The drastic changes in excited‐state dynamics of these emitters are recorded and the underlying mechanisms are systematically investigated and elucidated. High‐performance deep‐blue OLEDs are achieved based on CBN‐P, which provide an electroluminescence peak at 464 nm, Commission Internationale de L'Eclairage coordinates of (0.131, 0.088), a maximum external quantum efficiency (</w:t>
      </w:r>
      <w:r>
        <w:t xml:space="preserve"> </w:t>
      </w:r>
      <w:r>
        <w:t>η</w:t>
      </w:r>
      <w:r>
        <w:t xml:space="preserve"> </w:t>
      </w:r>
      <w:r>
        <w:t>ext</w:t>
      </w:r>
      <w:r>
        <w:t xml:space="preserve"> </w:t>
      </w:r>
      <w:r>
        <w:t>) of 22.4%. Besides, the CBN‐A‐based blue OLEDs attain a maximum</w:t>
      </w:r>
      <w:r>
        <w:t xml:space="preserve"> </w:t>
      </w:r>
      <w:r>
        <w:t>η</w:t>
      </w:r>
      <w:r>
        <w:t xml:space="preserve"> </w:t>
      </w:r>
      <w:r>
        <w:t>ext</w:t>
      </w:r>
      <w:r>
        <w:t xml:space="preserve"> </w:t>
      </w:r>
      <w:r>
        <w:t>of 30.2%, which is further augmented to 37.4% upon sensitization, representing one of the best blue MR‐TADF OLEDs reported so far.</w:t>
      </w:r>
    </w:p>
    <w:p>
      <w:pPr>
        <w:spacing w:before="120" w:after="120"/>
      </w:pPr>
      <w:r>
        <w:rPr>
          <w:sz w:val="18"/>
        </w:rPr>
        <w:t>——————————————————————————————————————————————————————————————————————</w:t>
      </w:r>
    </w:p>
    <w:p>
      <w:pPr>
        <w:spacing w:before="160" w:after="40" w:line="240" w:lineRule="auto"/>
      </w:pPr>
      <w:r>
        <w:rPr>
          <w:b/>
        </w:rPr>
        <w:t xml:space="preserve">[17] </w:t>
      </w:r>
      <w:hyperlink r:id="rId220">
        <w:r>
          <w:rPr>
            <w:color w:val="1155CC"/>
            <w:u w:val="single"/>
          </w:rPr>
          <w:t>通过诱导细胞焦亡和调节色氨酸代谢来重塑IDH突变胶质瘤免疫抑制微环境的双靶向纳米调节剂</w:t>
        </w:r>
      </w:hyperlink>
    </w:p>
    <w:p>
      <w:pPr>
        <w:spacing w:before="0" w:after="80"/>
      </w:pPr>
      <w:r>
        <w:rPr>
          <w:i/>
          <w:sz w:val="20"/>
        </w:rPr>
        <w:t>EN: Bi‐Target Nanomodulator for Glioma‐Associated Myeloid Cells Polarization by Inducing Pyroptosis and Regulating Tryptophan Metabolism to Reshape Immunosuppressive Microenvironment of IDH‐Mutant Gliomas</w:t>
      </w:r>
    </w:p>
    <w:p>
      <w:pPr>
        <w:spacing w:before="0" w:after="120"/>
      </w:pPr>
      <w:r>
        <w:rPr>
          <w:b/>
        </w:rPr>
        <w:t xml:space="preserve">Source: </w:t>
      </w:r>
      <w:r>
        <w:t>Wiley: Advanced Materials: Table of Contents</w:t>
      </w:r>
      <w:r>
        <w:t xml:space="preserve">    </w:t>
      </w:r>
      <w:r>
        <w:rPr>
          <w:b/>
        </w:rPr>
        <w:t xml:space="preserve">Pub date: </w:t>
      </w:r>
      <w:r>
        <w:t>2026-03-21 11:01:49+00:00</w:t>
      </w:r>
      <w:r>
        <w:t xml:space="preserve">    </w:t>
      </w:r>
      <w:r>
        <w:rPr>
          <w:b/>
        </w:rPr>
        <w:t xml:space="preserve">DOI: </w:t>
      </w:r>
      <w:hyperlink r:id="rId221">
        <w:r>
          <w:rPr>
            <w:color w:val="1155CC"/>
            <w:u w:val="single"/>
          </w:rPr>
          <w:t>10.1002/adma.202523021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来自异柠檬酸脱氢酶（IDH）突变型胶质瘤的2-羟基戊二酸（2-HG）导致强免疫抑制的肿瘤微环境（TME），免疫治疗效果不理想。在这项工作中，我们开发了一种混合胶质瘤-巨噬细胞膜（GMM）伪装的双靶向纳米调节器（LNO@CH/Ca3(PO4)2，LCC），其由LaNiO3（LNO）核心和Ca3(PO4)2壳组成，并加载芳香烃受体（AhR）拮抗剂。</w:t>
      </w:r>
    </w:p>
    <w:p>
      <w:pPr>
        <w:spacing w:before="0" w:after="200" w:lineRule="auto" w:line="276"/>
      </w:pPr>
      <w:r>
        <w:rPr>
          <w:b/>
        </w:rPr>
        <w:t xml:space="preserve">Abstract (EN): </w:t>
      </w:r>
      <w:r>
        <w:t>Since 2‐hydroxyglutarate (2‐HG) released from isocitrate dehydrogenase (IDH)‐mutant gliomas results in the strong immunosuppressive tumor microenvironment (TME), the immunotherapy effect is unsatisfactory. In this work, we develop a hybridized cell membrane of glioma‐macrophage cells (GMM) camouflaged bi‐target nanomodulator (LNO@CH/Ca</w:t>
      </w:r>
      <w:r>
        <w:rPr>
          <w:vertAlign w:val="subscript"/>
        </w:rPr>
        <w:t>3</w:t>
      </w:r>
      <w:r>
        <w:t>(PO</w:t>
      </w:r>
      <w:r>
        <w:rPr>
          <w:vertAlign w:val="subscript"/>
        </w:rPr>
        <w:t>4</w:t>
      </w:r>
      <w:r>
        <w:t>)</w:t>
      </w:r>
      <w:r>
        <w:rPr>
          <w:vertAlign w:val="subscript"/>
        </w:rPr>
        <w:t>2</w:t>
      </w:r>
      <w:r>
        <w:t>, LCC) comprised of LaNiO</w:t>
      </w:r>
      <w:r>
        <w:rPr>
          <w:vertAlign w:val="subscript"/>
        </w:rPr>
        <w:t>3</w:t>
      </w:r>
      <w:r>
        <w:t>(LNO) core and Ca</w:t>
      </w:r>
      <w:r>
        <w:rPr>
          <w:vertAlign w:val="subscript"/>
        </w:rPr>
        <w:t>3</w:t>
      </w:r>
      <w:r>
        <w:t>(PO</w:t>
      </w:r>
      <w:r>
        <w:rPr>
          <w:vertAlign w:val="subscript"/>
        </w:rPr>
        <w:t>4</w:t>
      </w:r>
      <w:r>
        <w:t>)</w:t>
      </w:r>
      <w:r>
        <w:rPr>
          <w:vertAlign w:val="subscript"/>
        </w:rPr>
        <w:t>2</w:t>
      </w:r>
      <w:r>
        <w:t>shell loaded with the aryl hydrocarbon receptor (AhR) antagonist (CH223191, CH), which can synergistically modulate glioma‐associated myeloid cells (GAM) polarization by inducing pyroptosis and regulating tryptophan metabolism to enhance the efficacy of IDH‐mutant gliomas immunotherapy. The hybrid cell membrane endows LCC@GMM with good blood brain barrier (BBB) penetration as well as dual homing ability to tumor cells and GAM. LCC@GMM not only induces pyroptosis in tumor cells by the production of cytotoxic reactive oxygen species (ROS) and the released La</w:t>
      </w:r>
      <w:r>
        <w:rPr>
          <w:vertAlign w:val="subscript"/>
        </w:rPr>
        <w:t>3</w:t>
      </w:r>
      <w:r>
        <w:t>+</w:t>
      </w:r>
      <w:r>
        <w:t xml:space="preserve"> </w:t>
      </w:r>
      <w:r>
        <w:t>but also regulates tryptophan metabolism in GAM via the released CH, effectively overcoming the immunosuppressive effects of IDH‐mutant gliomas. The bi‐target synergistic regulation of GAM reshapes the immunosuppressive TME of IDH‐mutant gliomas and offers a novel idea for immunotherapy of IDH‐mutant gliomas.</w:t>
      </w:r>
    </w:p>
    <w:p>
      <w:pPr>
        <w:spacing w:before="120" w:after="120"/>
      </w:pPr>
      <w:r>
        <w:rPr>
          <w:sz w:val="18"/>
        </w:rPr>
        <w:t>——————————————————————————————————————————————————————————————————————</w:t>
      </w:r>
    </w:p>
    <w:p>
      <w:pPr>
        <w:spacing w:before="160" w:after="40" w:line="240" w:lineRule="auto"/>
      </w:pPr>
      <w:r>
        <w:rPr>
          <w:b/>
        </w:rPr>
        <w:t xml:space="preserve">[18] </w:t>
      </w:r>
      <w:hyperlink r:id="rId222">
        <w:r>
          <w:rPr>
            <w:color w:val="1155CC"/>
            <w:u w:val="single"/>
          </w:rPr>
          <w:t>通过动态盐析策略实现机械可编程离子凝胶</w:t>
        </w:r>
      </w:hyperlink>
    </w:p>
    <w:p>
      <w:pPr>
        <w:spacing w:before="0" w:after="80"/>
      </w:pPr>
      <w:r>
        <w:rPr>
          <w:i/>
          <w:sz w:val="20"/>
        </w:rPr>
        <w:t>EN: Mechanically Programmable Ionogels through a Dynamic Salting‐Out Strategy</w:t>
      </w:r>
    </w:p>
    <w:p>
      <w:pPr>
        <w:spacing w:before="0" w:after="120"/>
      </w:pPr>
      <w:r>
        <w:rPr>
          <w:b/>
        </w:rPr>
        <w:t xml:space="preserve">Source: </w:t>
      </w:r>
      <w:r>
        <w:t>Wiley: Advanced Materials: Table of Contents</w:t>
      </w:r>
      <w:r>
        <w:t xml:space="preserve">    </w:t>
      </w:r>
      <w:r>
        <w:rPr>
          <w:b/>
        </w:rPr>
        <w:t xml:space="preserve">Pub date: </w:t>
      </w:r>
      <w:r>
        <w:t>2026-03-21 11:04:22+00:00</w:t>
      </w:r>
      <w:r>
        <w:t xml:space="preserve">    </w:t>
      </w:r>
      <w:r>
        <w:rPr>
          <w:b/>
        </w:rPr>
        <w:t xml:space="preserve">DOI: </w:t>
      </w:r>
      <w:hyperlink r:id="rId223">
        <w:r>
          <w:rPr>
            <w:color w:val="1155CC"/>
            <w:u w:val="single"/>
          </w:rPr>
          <w:t>10.1002/adma.202523597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环境条件下表现出机械可编程强度的凝胶对于推进柔性电子设备至关重要。本文介绍了一种基于氯化胆碱和聚（丙烯酸）（ChCl-PAA）的机械可编程离子凝胶，其中CaCl2是关键的结构调节剂。通过动态控制的盐析策略，形成了一种晶体域锁定结构，增强了机械强度。冷却速率决定了最终的微观结构和机械性能，在−20°C min−1的快速冷却下，生成了大量缺陷的CaCl2晶格，有效地诱导了</w:t>
      </w:r>
    </w:p>
    <w:p>
      <w:pPr>
        <w:spacing w:before="0" w:after="200" w:lineRule="auto" w:line="276"/>
      </w:pPr>
      <w:r>
        <w:rPr>
          <w:b/>
        </w:rPr>
        <w:t xml:space="preserve">Abstract (EN): </w:t>
      </w:r>
      <w:r>
        <w:t>Gels exhibiting mechanically programmable strength under ambient conditions are essential for advancing flexible electronic devices. Here, a mechanically programmable ionogel based on choline chloride and poly(acrylic acid) (ChCl‐PAA) is presented, with CaCl</w:t>
      </w:r>
      <w:r>
        <w:rPr>
          <w:vertAlign w:val="subscript"/>
        </w:rPr>
        <w:t>2</w:t>
      </w:r>
      <w:r>
        <w:t>being a key structural modulator. Using a dynamically controlled salting‐out strategy, a crystal‐domain–locking architecture is formed that enhances mechanical strength. The cooling rate governs the resulting microstructure and mechanical properties, rapid cooling at −20°C min</w:t>
      </w:r>
      <w:r>
        <w:t xml:space="preserve"> </w:t>
      </w:r>
      <w:r>
        <w:t>−1</w:t>
      </w:r>
      <w:r>
        <w:t xml:space="preserve"> </w:t>
      </w:r>
      <w:r>
        <w:t>generates numerous defective CaCl</w:t>
      </w:r>
      <w:r>
        <w:rPr>
          <w:vertAlign w:val="subscript"/>
        </w:rPr>
        <w:t>2</w:t>
      </w:r>
      <w:r>
        <w:t>lattices, that effectively induce interpenetration of PAA chains via coordination and establish localized “crystal locks”, producing a rigid network (Young's modulus 448 ± 14.21 MPa). Conversely, a slow cooling at −2°C min</w:t>
      </w:r>
      <w:r>
        <w:t xml:space="preserve"> </w:t>
      </w:r>
      <w:r>
        <w:t>−1</w:t>
      </w:r>
      <w:r>
        <w:t xml:space="preserve"> </w:t>
      </w:r>
      <w:r>
        <w:t>promotes the growth of large‐sized densely packed CaCl</w:t>
      </w:r>
      <w:r>
        <w:rPr>
          <w:vertAlign w:val="subscript"/>
        </w:rPr>
        <w:t>2</w:t>
      </w:r>
      <w:r>
        <w:t>crystals, reduces polymer–crystal coupling, and yields to phase‐separated morphologies. Accordingly, the slowly cooled ionogel exhibits a remarkably high elongation at break (687 ± 18%) and a markedly reduced Young's modulus (11.6 ± 1.15 MPa). Overall, this dynamically controlled salting‐out strategy enables reversible hierarchical modulus regulation range spanning four orders of magnitude. This capability supports applications in reprogrammable adaptive devices, humidity‐driven energy harvesters, rapid‐response fire alarms, and bistable sensors that switch between rigid and ductile states. These findings provide a versatile design strategy for adaptive polymer–inorganic hybrid systems with mechanically programmable strength, electrical conductivity, and multifunctional stimulus responsiveness.</w:t>
      </w:r>
    </w:p>
    <w:p>
      <w:pPr>
        <w:spacing w:before="120" w:after="120"/>
      </w:pPr>
      <w:r>
        <w:rPr>
          <w:sz w:val="18"/>
        </w:rPr>
        <w:t>——————————————————————————————————————————————————————————————————————</w:t>
      </w:r>
    </w:p>
    <w:p>
      <w:pPr>
        <w:spacing w:before="160" w:after="40" w:line="240" w:lineRule="auto"/>
      </w:pPr>
      <w:r>
        <w:rPr>
          <w:b/>
        </w:rPr>
        <w:t xml:space="preserve">[19] </w:t>
      </w:r>
      <w:hyperlink r:id="rId224">
        <w:r>
          <w:rPr>
            <w:color w:val="1155CC"/>
            <w:u w:val="single"/>
          </w:rPr>
          <w:t>有机电致发光中的多尺度电荷转移</w:t>
        </w:r>
      </w:hyperlink>
    </w:p>
    <w:p>
      <w:pPr>
        <w:spacing w:before="0" w:after="80"/>
      </w:pPr>
      <w:r>
        <w:rPr>
          <w:i/>
          <w:sz w:val="20"/>
        </w:rPr>
        <w:t>EN: Multi‐Scale Charge Transfer in Organic Electroluminescence</w:t>
      </w:r>
    </w:p>
    <w:p>
      <w:pPr>
        <w:spacing w:before="0" w:after="120"/>
      </w:pPr>
      <w:r>
        <w:rPr>
          <w:b/>
        </w:rPr>
        <w:t xml:space="preserve">Source: </w:t>
      </w:r>
      <w:r>
        <w:t>Wiley: Advanced Materials: Table of Contents</w:t>
      </w:r>
      <w:r>
        <w:t xml:space="preserve">    </w:t>
      </w:r>
      <w:r>
        <w:rPr>
          <w:b/>
        </w:rPr>
        <w:t xml:space="preserve">Pub date: </w:t>
      </w:r>
      <w:r>
        <w:t>2026-03-21 11:09:12+00:00</w:t>
      </w:r>
      <w:r>
        <w:t xml:space="preserve">    </w:t>
      </w:r>
      <w:r>
        <w:rPr>
          <w:b/>
        </w:rPr>
        <w:t xml:space="preserve">DOI: </w:t>
      </w:r>
      <w:hyperlink r:id="rId225">
        <w:r>
          <w:rPr>
            <w:color w:val="1155CC"/>
            <w:u w:val="single"/>
          </w:rPr>
          <w:t>10.1002/adma.202519387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发光二极管（OLEDs）在过去三十年中在材料科学和设备工程方面取得了显著进展。由于其固有的优势，包括优异的柔性、低驱动电压、宽视角、广色域和高电致发光效率，OLEDs已成功从实验室转向商业应用。关键在于激子的生成和利用，激子是有机发光体内形成的束缚电子-空穴对，它们在决定基于OLED的显示和照明技术的能量效率方面起着决定性作用。特别是，通过电荷转移过程生成的三重态激子尤为重要，因为它们对</w:t>
      </w:r>
    </w:p>
    <w:p>
      <w:pPr>
        <w:spacing w:before="0" w:after="200" w:lineRule="auto" w:line="276"/>
      </w:pPr>
      <w:r>
        <w:rPr>
          <w:b/>
        </w:rPr>
        <w:t xml:space="preserve">Abstract (EN): </w:t>
      </w:r>
      <w:r>
        <w:t>Organic light‐emitting diodes (OLEDs) have witnessed remarkable advances in both materials science and device engineering over the past three decades. Owing to their intrinsic advantages, including excellent flexibility, low driving voltage, wide viewing angles, broad color gamut, and high electroluminescent efficiency, OLEDs have successfully transitioned from laboratory to commercial applications. The key is the generation and utilization of excitons, which are bound electron–hole pairs formed within organic emitters, which play a decisive role in determining the energy efficiency of OLED‐based display and lighting technologies. In particular, triplet excitons generated through charge‐transfer processes are particularly important, as they critically influence the electroluminescent performance of state‐of‐the‐art OLED devices. In this review, charge transfer mechanisms operating in organic emitters are systematically discussed and summarized, encompassing both intermolecular and intramolecular interactions, as well as short‐ and long‐range charge‐transfer processes in organic emitters. By comparing these different interaction modes, we establish a comprehensive perspective on how charge transfer governs exciton formation and emission behavior. Furthermore, a detailed structure–property relationship is analyzed, offering mechanistic insights that are intended to guide the rational molecular design of next‐generation high‐performance materials and devices.</w:t>
      </w:r>
    </w:p>
    <w:p>
      <w:pPr>
        <w:spacing w:before="120" w:after="120"/>
      </w:pPr>
      <w:r>
        <w:rPr>
          <w:sz w:val="18"/>
        </w:rPr>
        <w:t>——————————————————————————————————————————————————————————————————————</w:t>
      </w:r>
    </w:p>
    <w:p>
      <w:pPr>
        <w:spacing w:before="160" w:after="40" w:line="240" w:lineRule="auto"/>
      </w:pPr>
      <w:r>
        <w:rPr>
          <w:b/>
        </w:rPr>
        <w:t xml:space="preserve">[20] </w:t>
      </w:r>
      <w:hyperlink r:id="rId226">
        <w:r>
          <w:rPr>
            <w:color w:val="1155CC"/>
            <w:u w:val="single"/>
          </w:rPr>
          <w:t>在界面耦合的Ni/ZnO纳米网格上直接光转化页岩气为液态氧化物</w:t>
        </w:r>
      </w:hyperlink>
    </w:p>
    <w:p>
      <w:pPr>
        <w:spacing w:before="0" w:after="80"/>
      </w:pPr>
      <w:r>
        <w:rPr>
          <w:i/>
          <w:sz w:val="20"/>
        </w:rPr>
        <w:t>EN: Direct Photoconversion of Shale Gas into Liquid Oxygenates Over Interfacially Coupled Ni/ZnO Nanomesh</w:t>
      </w:r>
    </w:p>
    <w:p>
      <w:pPr>
        <w:spacing w:before="0" w:after="120"/>
      </w:pPr>
      <w:r>
        <w:rPr>
          <w:b/>
        </w:rPr>
        <w:t xml:space="preserve">Source: </w:t>
      </w:r>
      <w:r>
        <w:t>Wiley: Advanced Materials: Table of Contents</w:t>
      </w:r>
      <w:r>
        <w:t xml:space="preserve">    </w:t>
      </w:r>
      <w:r>
        <w:rPr>
          <w:b/>
        </w:rPr>
        <w:t xml:space="preserve">Pub date: </w:t>
      </w:r>
      <w:r>
        <w:t>2026-03-21 14:29:42+00:00</w:t>
      </w:r>
      <w:r>
        <w:t xml:space="preserve">    </w:t>
      </w:r>
      <w:r>
        <w:rPr>
          <w:b/>
        </w:rPr>
        <w:t xml:space="preserve">DOI: </w:t>
      </w:r>
      <w:hyperlink r:id="rId227">
        <w:r>
          <w:rPr>
            <w:color w:val="1155CC"/>
            <w:u w:val="single"/>
          </w:rPr>
          <w:t>10.1002/adma.72867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页岩气是甲烷（CH</w:t>
      </w:r>
      <w:r>
        <w:rPr>
          <w:vertAlign w:val="subscript"/>
        </w:rPr>
        <w:t>4</w:t>
      </w:r>
      <w:r>
        <w:t>）、乙烷（C</w:t>
      </w:r>
      <w:r>
        <w:rPr>
          <w:vertAlign w:val="subscript"/>
        </w:rPr>
        <w:t>2</w:t>
      </w:r>
      <w:r>
        <w:t>H</w:t>
      </w:r>
      <w:r>
        <w:rPr>
          <w:vertAlign w:val="subscript"/>
        </w:rPr>
        <w:t>6</w:t>
      </w:r>
      <w:r>
        <w:t>）和丙烷（C</w:t>
      </w:r>
      <w:r>
        <w:rPr>
          <w:vertAlign w:val="subscript"/>
        </w:rPr>
        <w:t>3</w:t>
      </w:r>
      <w:r>
        <w:t>H</w:t>
      </w:r>
      <w:r>
        <w:rPr>
          <w:vertAlign w:val="subscript"/>
        </w:rPr>
        <w:t>8</w:t>
      </w:r>
      <w:r>
        <w:t>）的混合物，为工业中化学品的生产提供了一种替代原料。随着能源危机和环境问题的加剧，以可持续的方式将页岩气转化为增值化学品已成为一个新的前沿领域，但仍面临巨大挑战。在此，我们实现了在氧气和水的存在下，通过掺入Ni纳米颗粒的ZnO纳米网（Ni/ZnO NM）进行的太阳能驱动的页岩气转化为醇类。具体而言，异丙醇的产量来自</w:t>
      </w:r>
    </w:p>
    <w:p>
      <w:pPr>
        <w:spacing w:before="0" w:after="200" w:lineRule="auto" w:line="276"/>
      </w:pPr>
      <w:r>
        <w:rPr>
          <w:b/>
        </w:rPr>
        <w:t xml:space="preserve">Abstract (EN): </w:t>
      </w:r>
      <w:r>
        <w:t>Shale gas, a mixture of methane (CH</w:t>
      </w:r>
      <w:r>
        <w:rPr>
          <w:vertAlign w:val="subscript"/>
        </w:rPr>
        <w:t>4</w:t>
      </w:r>
      <w:r>
        <w:t>), ethane (C</w:t>
      </w:r>
      <w:r>
        <w:rPr>
          <w:vertAlign w:val="subscript"/>
        </w:rPr>
        <w:t>2</w:t>
      </w:r>
      <w:r>
        <w:t>H</w:t>
      </w:r>
      <w:r>
        <w:rPr>
          <w:vertAlign w:val="subscript"/>
        </w:rPr>
        <w:t>6</w:t>
      </w:r>
      <w:r>
        <w:t>), and propane (C</w:t>
      </w:r>
      <w:r>
        <w:rPr>
          <w:vertAlign w:val="subscript"/>
        </w:rPr>
        <w:t>3</w:t>
      </w:r>
      <w:r>
        <w:t>H</w:t>
      </w:r>
      <w:r>
        <w:rPr>
          <w:vertAlign w:val="subscript"/>
        </w:rPr>
        <w:t>8</w:t>
      </w:r>
      <w:r>
        <w:t>), provides an alternative feedstock for producing chemicals in industry. As the increasing energy crisis and environmental concern, the conversion of shale gas to value‐added chemical in a sustainable manner has emerged as a new frontier yet remains great challenges. Herein, we realize the solar‐driven conversion of shale gas into alcohols over ZnO nanomeshes incorporated with Ni nanoparticles (Ni/ZnO NM) with oxygen and water. Specifically, the isopropanol yield from C</w:t>
      </w:r>
      <w:r>
        <w:rPr>
          <w:vertAlign w:val="subscript"/>
        </w:rPr>
        <w:t>3</w:t>
      </w:r>
      <w:r>
        <w:t>H</w:t>
      </w:r>
      <w:r>
        <w:rPr>
          <w:vertAlign w:val="subscript"/>
        </w:rPr>
        <w:t>8</w:t>
      </w:r>
      <w:r>
        <w:t>oxidation reaches 7.1 mmol  g</w:t>
      </w:r>
      <w:r>
        <w:t xml:space="preserve"> </w:t>
      </w:r>
      <w:r>
        <w:t>−1</w:t>
      </w:r>
      <w:r>
        <w:t xml:space="preserve"> </w:t>
      </w:r>
      <w:r>
        <w:t>h</w:t>
      </w:r>
      <w:r>
        <w:t xml:space="preserve"> </w:t>
      </w:r>
      <w:r>
        <w:t>−1</w:t>
      </w:r>
      <w:r>
        <w:t xml:space="preserve"> </w:t>
      </w:r>
      <w:r>
        <w:t>at a selectivity of 83.5%, with an apparent quantum efficiency (AQE) of 0.65% at 350 nm, surpassing the reported catalysts for propane‐to‐oxygenates. Moreover, both the selectivity of methanol and ethanol surpass 90% from solar‐driven CH</w:t>
      </w:r>
      <w:r>
        <w:rPr>
          <w:vertAlign w:val="subscript"/>
        </w:rPr>
        <w:t>4</w:t>
      </w:r>
      <w:r>
        <w:t>and C</w:t>
      </w:r>
      <w:r>
        <w:rPr>
          <w:vertAlign w:val="subscript"/>
        </w:rPr>
        <w:t>2</w:t>
      </w:r>
      <w:r>
        <w:t>H</w:t>
      </w:r>
      <w:r>
        <w:rPr>
          <w:vertAlign w:val="subscript"/>
        </w:rPr>
        <w:t>6</w:t>
      </w:r>
      <w:r>
        <w:t>oxidation. Impressively, a mixture of methane, ethane, and propane, the analogue of shale gas, can be selectively converted into methanol, ethanol, and isopropanol. Mechanism studies suggest the strong interaction induces electron transfer from ZnO to Ni and creates electron‐rich Ni sites and electron‐deficient oxygen vacancies (Vo) in ZnO NM. Under light irradiation, electron‐rich Ni sites and electron‐deficient Vo can serve as hole and electron acceptors, respectively, promoting the separation of photogenerated carriers and enhancing performance toward alkane oxidation.</w:t>
      </w:r>
    </w:p>
    <w:p>
      <w:pPr>
        <w:spacing w:before="120" w:after="120"/>
      </w:pPr>
      <w:r>
        <w:rPr>
          <w:sz w:val="18"/>
        </w:rPr>
        <w:t>——————————————————————————————————————————————————————————————————————</w:t>
      </w:r>
    </w:p>
    <w:p>
      <w:pPr>
        <w:spacing w:before="160" w:after="40" w:line="240" w:lineRule="auto"/>
      </w:pPr>
      <w:r>
        <w:rPr>
          <w:b/>
        </w:rPr>
        <w:t xml:space="preserve">[21] </w:t>
      </w:r>
      <w:hyperlink r:id="rId228">
        <w:r>
          <w:rPr>
            <w:color w:val="1155CC"/>
            <w:u w:val="single"/>
          </w:rPr>
          <w:t>将短期电力需求预测与可解释AI联系起来：建筑能源应用的综述</w:t>
        </w:r>
      </w:hyperlink>
    </w:p>
    <w:p>
      <w:pPr>
        <w:spacing w:before="0" w:after="80"/>
      </w:pPr>
      <w:r>
        <w:rPr>
          <w:i/>
          <w:sz w:val="20"/>
        </w:rPr>
        <w:t>EN: Linking short-term electricity demand forecasting and explainable AI: A review for building energy applications</w:t>
      </w:r>
    </w:p>
    <w:p>
      <w:pPr>
        <w:spacing w:before="0" w:after="120"/>
      </w:pPr>
      <w:r>
        <w:rPr>
          <w:b/>
        </w:rPr>
        <w:t xml:space="preserve">Source: </w:t>
      </w:r>
      <w:r>
        <w:t>ScienceDirect Publication: Applied Energy</w:t>
      </w:r>
      <w:r>
        <w:t xml:space="preserve">    </w:t>
      </w:r>
      <w:r>
        <w:rPr>
          <w:b/>
        </w:rPr>
        <w:t xml:space="preserve">Pub date: </w:t>
      </w:r>
      <w:r>
        <w:t>2026-03-22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 </w:t>
      </w:r>
      <w:hyperlink r:id="rId229">
        <w:r>
          <w:rPr>
            <w:color w:val="1155CC"/>
            <w:u w:val="single"/>
          </w:rPr>
          <w:t>化石燃料的衰退与寻找可行替代品：在全球社会政治和技术限制下对生物柴油、电力和沼气能源系统的批判性综述</w:t>
        </w:r>
      </w:hyperlink>
    </w:p>
    <w:p>
      <w:pPr>
        <w:spacing w:before="0" w:after="80"/>
      </w:pPr>
      <w:r>
        <w:rPr>
          <w:i/>
          <w:sz w:val="20"/>
        </w:rPr>
        <w:t>EN: The decline of fossil fuels and the search for viable alternatives: A critical review of biodiesel, electric, and biogas energy systems under global socio-political and technical constraints</w:t>
      </w:r>
    </w:p>
    <w:p>
      <w:pPr>
        <w:spacing w:before="0" w:after="120"/>
      </w:pPr>
      <w:r>
        <w:rPr>
          <w:b/>
        </w:rPr>
        <w:t xml:space="preserve">Source: </w:t>
      </w:r>
      <w:r>
        <w:t>ScienceDirect Publication: Applied Energy</w:t>
      </w:r>
      <w:r>
        <w:t xml:space="preserve">    </w:t>
      </w:r>
      <w:r>
        <w:rPr>
          <w:b/>
        </w:rPr>
        <w:t xml:space="preserve">Pub date: </w:t>
      </w:r>
      <w:r>
        <w:t>2026-03-22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 </w:t>
      </w:r>
      <w:hyperlink r:id="rId230">
        <w:r>
          <w:rPr>
            <w:color w:val="1155CC"/>
            <w:u w:val="single"/>
          </w:rPr>
          <w:t>互动多能源市场的能源管理策略：将方法映射到新兴挑战</w:t>
        </w:r>
      </w:hyperlink>
    </w:p>
    <w:p>
      <w:pPr>
        <w:spacing w:before="0" w:after="80"/>
      </w:pPr>
      <w:r>
        <w:rPr>
          <w:i/>
          <w:sz w:val="20"/>
        </w:rPr>
        <w:t>EN: Energy management strategies for interactive multi-energy markets: Mapping approaches to emerging challenges</w:t>
      </w:r>
    </w:p>
    <w:p>
      <w:pPr>
        <w:spacing w:before="0" w:after="120"/>
      </w:pPr>
      <w:r>
        <w:rPr>
          <w:b/>
        </w:rPr>
        <w:t xml:space="preserve">Source: </w:t>
      </w:r>
      <w:r>
        <w:t>ScienceDirect Publication: Applied Energy</w:t>
      </w:r>
      <w:r>
        <w:t xml:space="preserve">    </w:t>
      </w:r>
      <w:r>
        <w:rPr>
          <w:b/>
        </w:rPr>
        <w:t xml:space="preserve">Pub date: </w:t>
      </w:r>
      <w:r>
        <w:t>2026-03-22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 </w:t>
      </w:r>
      <w:hyperlink r:id="rId231">
        <w:r>
          <w:rPr>
            <w:color w:val="1155CC"/>
            <w:u w:val="single"/>
          </w:rPr>
          <w:t>用于能源应用的自愈合聚合物：分子见解、材料设计和电网级可靠性</w:t>
        </w:r>
      </w:hyperlink>
    </w:p>
    <w:p>
      <w:pPr>
        <w:spacing w:before="0" w:after="80"/>
      </w:pPr>
      <w:r>
        <w:rPr>
          <w:i/>
          <w:sz w:val="20"/>
        </w:rPr>
        <w:t>EN: Self-healing polymers for energy applications: molecular insights, material design, and grid-scale reliability</w:t>
      </w:r>
    </w:p>
    <w:p>
      <w:pPr>
        <w:spacing w:before="0" w:after="120"/>
      </w:pPr>
      <w:r>
        <w:rPr>
          <w:b/>
        </w:rPr>
        <w:t xml:space="preserve">Source: </w:t>
      </w:r>
      <w:r>
        <w:t>ScienceDirect Publication: Applied Energy</w:t>
      </w:r>
      <w:r>
        <w:t xml:space="preserve">    </w:t>
      </w:r>
      <w:r>
        <w:rPr>
          <w:b/>
        </w:rPr>
        <w:t xml:space="preserve">Pub date: </w:t>
      </w:r>
      <w:r>
        <w:t>2026-03-22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 </w:t>
      </w:r>
      <w:hyperlink r:id="rId232">
        <w:r>
          <w:rPr>
            <w:color w:val="1155CC"/>
            <w:u w:val="single"/>
          </w:rPr>
          <w:t>光催化水分解微反应器中气泡动力学和脱附机制的最新进展：氢气生产综述</w:t>
        </w:r>
      </w:hyperlink>
    </w:p>
    <w:p>
      <w:pPr>
        <w:spacing w:before="0" w:after="80"/>
      </w:pPr>
      <w:r>
        <w:rPr>
          <w:i/>
          <w:sz w:val="20"/>
        </w:rPr>
        <w:t>EN: Recent progress in bubble dynamics and detachment mechanisms of photocatalytic water splitting microreactors for H₂ production: a review</w:t>
      </w:r>
    </w:p>
    <w:p>
      <w:pPr>
        <w:spacing w:before="0" w:after="120"/>
      </w:pPr>
      <w:r>
        <w:rPr>
          <w:b/>
        </w:rPr>
        <w:t xml:space="preserve">Source: </w:t>
      </w:r>
      <w:r>
        <w:t>ScienceDirect Publication: Applied Energy</w:t>
      </w:r>
      <w:r>
        <w:t xml:space="preserve">    </w:t>
      </w:r>
      <w:r>
        <w:rPr>
          <w:b/>
        </w:rPr>
        <w:t xml:space="preserve">Pub date: </w:t>
      </w:r>
      <w:r>
        <w:t>2026-03-22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 </w:t>
      </w:r>
      <w:hyperlink r:id="rId233">
        <w:r>
          <w:rPr>
            <w:color w:val="1155CC"/>
            <w:u w:val="single"/>
          </w:rPr>
          <w:t>城市发展与能源转型：中国城市的证据</w:t>
        </w:r>
      </w:hyperlink>
    </w:p>
    <w:p>
      <w:pPr>
        <w:spacing w:before="0" w:after="80"/>
      </w:pPr>
      <w:r>
        <w:rPr>
          <w:i/>
          <w:sz w:val="20"/>
        </w:rPr>
        <w:t>EN: Urban development and the energy transition: Evidence from Chinese cities</w:t>
      </w:r>
    </w:p>
    <w:p>
      <w:pPr>
        <w:spacing w:before="0" w:after="120"/>
      </w:pPr>
      <w:r>
        <w:rPr>
          <w:b/>
        </w:rPr>
        <w:t xml:space="preserve">Source: </w:t>
      </w:r>
      <w:r>
        <w:t>ScienceDirect Publication: Energy Policy</w:t>
      </w:r>
      <w:r>
        <w:t xml:space="preserve">    </w:t>
      </w:r>
      <w:r>
        <w:rPr>
          <w:b/>
        </w:rPr>
        <w:t xml:space="preserve">Pub date: </w:t>
      </w:r>
      <w:r>
        <w:t>2026-03-22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 </w:t>
      </w:r>
      <w:hyperlink r:id="rId234">
        <w:r>
          <w:rPr>
            <w:color w:val="1155CC"/>
            <w:u w:val="single"/>
          </w:rPr>
          <w:t>数据基础设施建设能否缓解清洁能源错配？——基于中国省级数据的分析</w:t>
        </w:r>
      </w:hyperlink>
    </w:p>
    <w:p>
      <w:pPr>
        <w:spacing w:before="0" w:after="80"/>
      </w:pPr>
      <w:r>
        <w:rPr>
          <w:i/>
          <w:sz w:val="20"/>
        </w:rPr>
        <w:t>EN: Can data infrastructure construction alleviate clean energy misallocation?—An analysis based on China's provincial data</w:t>
      </w:r>
    </w:p>
    <w:p>
      <w:pPr>
        <w:spacing w:before="0" w:after="120"/>
      </w:pPr>
      <w:r>
        <w:rPr>
          <w:b/>
        </w:rPr>
        <w:t xml:space="preserve">Source: </w:t>
      </w:r>
      <w:r>
        <w:t>ScienceDirect Publication: Energy Policy</w:t>
      </w:r>
      <w:r>
        <w:t xml:space="preserve">    </w:t>
      </w:r>
      <w:r>
        <w:rPr>
          <w:b/>
        </w:rPr>
        <w:t xml:space="preserve">Pub date: </w:t>
      </w:r>
      <w:r>
        <w:t>2026-03-22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 </w:t>
      </w:r>
      <w:hyperlink r:id="rId235">
        <w:r>
          <w:rPr>
            <w:color w:val="1155CC"/>
            <w:u w:val="single"/>
          </w:rPr>
          <w:t>意外延误：绿色技术、金融和能源转型</w:t>
        </w:r>
      </w:hyperlink>
    </w:p>
    <w:p>
      <w:pPr>
        <w:spacing w:before="0" w:after="80"/>
      </w:pPr>
      <w:r>
        <w:rPr>
          <w:i/>
          <w:sz w:val="20"/>
        </w:rPr>
        <w:t>EN: Unintended delays: Green technology, finance, and energy transition</w:t>
      </w:r>
    </w:p>
    <w:p>
      <w:pPr>
        <w:spacing w:before="0" w:after="120"/>
      </w:pPr>
      <w:r>
        <w:rPr>
          <w:b/>
        </w:rPr>
        <w:t xml:space="preserve">Source: </w:t>
      </w:r>
      <w:r>
        <w:t>ScienceDirect Publication: Energy Policy</w:t>
      </w:r>
      <w:r>
        <w:t xml:space="preserve">    </w:t>
      </w:r>
      <w:r>
        <w:rPr>
          <w:b/>
        </w:rPr>
        <w:t xml:space="preserve">Pub date: </w:t>
      </w:r>
      <w:r>
        <w:t>2026-03-22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 </w:t>
      </w:r>
      <w:hyperlink r:id="rId236">
        <w:r>
          <w:rPr>
            <w:color w:val="1155CC"/>
            <w:u w:val="single"/>
          </w:rPr>
          <w:t>能源系统模型如何与现实世界的地平线悲剧对齐？决策者短期偏见和时间不一致偏好的影响</w:t>
        </w:r>
      </w:hyperlink>
    </w:p>
    <w:p>
      <w:pPr>
        <w:spacing w:before="0" w:after="80"/>
      </w:pPr>
      <w:r>
        <w:rPr>
          <w:i/>
          <w:sz w:val="20"/>
        </w:rPr>
        <w:t>EN: How can energy system models align with the real-world tragedy of the horizon? The impact of decision-makers’ short-term biases and temporally-inconsistent preferences</w:t>
      </w:r>
    </w:p>
    <w:p>
      <w:pPr>
        <w:spacing w:before="0" w:after="120"/>
      </w:pPr>
      <w:r>
        <w:rPr>
          <w:b/>
        </w:rPr>
        <w:t xml:space="preserve">Source: </w:t>
      </w:r>
      <w:r>
        <w:t>ScienceDirect Publication: Applied Energy</w:t>
      </w:r>
      <w:r>
        <w:t xml:space="preserve">    </w:t>
      </w:r>
      <w:r>
        <w:rPr>
          <w:b/>
        </w:rPr>
        <w:t xml:space="preserve">Pub date: </w:t>
      </w:r>
      <w:r>
        <w:t>2026-03-22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 </w:t>
      </w:r>
      <w:hyperlink r:id="rId237">
        <w:r>
          <w:rPr>
            <w:color w:val="1155CC"/>
            <w:u w:val="single"/>
          </w:rPr>
          <w:t>低碳微电网中多时长储能的在线调度与可解释参考学习</w:t>
        </w:r>
      </w:hyperlink>
    </w:p>
    <w:p>
      <w:pPr>
        <w:spacing w:before="0" w:after="80"/>
      </w:pPr>
      <w:r>
        <w:rPr>
          <w:i/>
          <w:sz w:val="20"/>
        </w:rPr>
        <w:t>EN: Online dispatch of multi-duration energy storage in low-carbon microgrid with explainable reference learning</w:t>
      </w:r>
    </w:p>
    <w:p>
      <w:pPr>
        <w:spacing w:before="0" w:after="120"/>
      </w:pPr>
      <w:r>
        <w:rPr>
          <w:b/>
        </w:rPr>
        <w:t xml:space="preserve">Source: </w:t>
      </w:r>
      <w:r>
        <w:t>ScienceDirect Publication: Applied Energy</w:t>
      </w:r>
      <w:r>
        <w:t xml:space="preserve">    </w:t>
      </w:r>
      <w:r>
        <w:rPr>
          <w:b/>
        </w:rPr>
        <w:t xml:space="preserve">Pub date: </w:t>
      </w:r>
      <w:r>
        <w:t>2026-03-22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 </w:t>
      </w:r>
      <w:hyperlink r:id="rId238">
        <w:r>
          <w:rPr>
            <w:color w:val="1155CC"/>
            <w:u w:val="single"/>
          </w:rPr>
          <w:t>应对能源三难困境：整合技术创新和数字化转型以实现可持续解决方案</w:t>
        </w:r>
      </w:hyperlink>
    </w:p>
    <w:p>
      <w:pPr>
        <w:spacing w:before="0" w:after="80"/>
      </w:pPr>
      <w:r>
        <w:rPr>
          <w:i/>
          <w:sz w:val="20"/>
        </w:rPr>
        <w:t>EN: Navigating the energy trilemma: integrating technological innovation and digitalization transition for sustainable solutions</w:t>
      </w:r>
    </w:p>
    <w:p>
      <w:pPr>
        <w:spacing w:before="0" w:after="120"/>
      </w:pPr>
      <w:r>
        <w:rPr>
          <w:b/>
        </w:rPr>
        <w:t xml:space="preserve">Source: </w:t>
      </w:r>
      <w:r>
        <w:t>ScienceDirect Publication: Applied Energy</w:t>
      </w:r>
      <w:r>
        <w:t xml:space="preserve">    </w:t>
      </w:r>
      <w:r>
        <w:rPr>
          <w:b/>
        </w:rPr>
        <w:t xml:space="preserve">Pub date: </w:t>
      </w:r>
      <w:r>
        <w:t>2026-03-22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 </w:t>
      </w:r>
      <w:hyperlink r:id="rId239">
        <w:r>
          <w:rPr>
            <w:color w:val="1155CC"/>
            <w:u w:val="single"/>
          </w:rPr>
          <w:t>在行业发展信号下对新能源的创新投资：使用LLM方法捕捉政策和市场信号</w:t>
        </w:r>
      </w:hyperlink>
    </w:p>
    <w:p>
      <w:pPr>
        <w:spacing w:before="0" w:after="80"/>
      </w:pPr>
      <w:r>
        <w:rPr>
          <w:i/>
          <w:sz w:val="20"/>
        </w:rPr>
        <w:t>EN: Innovative investment in new energy under industry development signals: Capturing policy and market signals using LLM method</w:t>
      </w:r>
    </w:p>
    <w:p>
      <w:pPr>
        <w:spacing w:before="0" w:after="120"/>
      </w:pPr>
      <w:r>
        <w:rPr>
          <w:b/>
        </w:rPr>
        <w:t xml:space="preserve">Source: </w:t>
      </w:r>
      <w:r>
        <w:t>ScienceDirect Publication: Energy Policy</w:t>
      </w:r>
      <w:r>
        <w:t xml:space="preserve">    </w:t>
      </w:r>
      <w:r>
        <w:rPr>
          <w:b/>
        </w:rPr>
        <w:t xml:space="preserve">Pub date: </w:t>
      </w:r>
      <w:r>
        <w:t>2026-03-22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 </w:t>
      </w:r>
      <w:hyperlink r:id="rId240">
        <w:r>
          <w:rPr>
            <w:color w:val="1155CC"/>
            <w:u w:val="single"/>
          </w:rPr>
          <w:t>[ASAP] 基于膜的免疫受体组装和相互作用</w:t>
        </w:r>
      </w:hyperlink>
    </w:p>
    <w:p>
      <w:pPr>
        <w:spacing w:before="0" w:after="80"/>
      </w:pPr>
      <w:r>
        <w:rPr>
          <w:i/>
          <w:sz w:val="20"/>
        </w:rPr>
        <w:t>EN: [ASAP] Membrane-Based Assembly and Interactions in Immune Receptors</w:t>
      </w:r>
    </w:p>
    <w:p>
      <w:pPr>
        <w:spacing w:before="0" w:after="120"/>
      </w:pPr>
      <w:r>
        <w:rPr>
          <w:b/>
        </w:rPr>
        <w:t xml:space="preserve">Source: </w:t>
      </w:r>
      <w:r>
        <w:t>Chemical Reviews: Latest Articles (ACS Publications)</w:t>
      </w:r>
      <w:r>
        <w:t xml:space="preserve">    </w:t>
      </w:r>
      <w:r>
        <w:rPr>
          <w:b/>
        </w:rPr>
        <w:t xml:space="preserve">Pub date: </w:t>
      </w:r>
      <w:r>
        <w:t>2026-03-22 13:49:06+00:00</w:t>
      </w:r>
      <w:r>
        <w:t xml:space="preserve">    </w:t>
      </w:r>
      <w:r>
        <w:rPr>
          <w:b/>
        </w:rPr>
        <w:t xml:space="preserve">DOI: </w:t>
      </w:r>
      <w:hyperlink r:id="rId241">
        <w:r>
          <w:rPr>
            <w:color w:val="1155CC"/>
            <w:u w:val="single"/>
          </w:rPr>
          <w:t>10.1021/acs.chemrev.5c00993</w:t>
        </w:r>
      </w:hyperlink>
    </w:p>
    <w:p>
      <w:pPr>
        <w:spacing w:before="0" w:after="120"/>
      </w:pPr>
      <w:r>
        <w:rPr>
          <w:b/>
        </w:rPr>
        <w:t xml:space="preserve">Notes: </w:t>
      </w:r>
      <w:r>
        <w:t>abstract_source=openalex</w:t>
      </w:r>
    </w:p>
    <w:p>
      <w:pPr>
        <w:spacing w:before="0" w:after="80" w:lineRule="auto" w:line="276"/>
      </w:pPr>
      <w:r>
        <w:rPr>
          <w:b/>
        </w:rPr>
        <w:t xml:space="preserve">摘要（ZH）: </w:t>
      </w:r>
      <w:r>
        <w:t>免疫受体是模块化传感器，能够检测指示感染、细胞/组织损伤、致癌转化或过敏原暴露的分子变化，并且它们传递的信号启动和调节免疫反应。这些跨膜受体通常由一个或多个单跨膜蛋白组成，并在两个重要方面是模块化的。首先，许多免疫受体由配体结合模块和信号模块组成，这些模块由在生物合成过程中或通过特定跨膜域（TMD）相互作用激活时结合在一起的独立蛋白质组成。其次，组装的受体复合物包括与其环境相互作用的细胞外模块（结构化蛋白质结构域）和细胞内模块（通常是内在无序的</w:t>
      </w:r>
    </w:p>
    <w:p>
      <w:pPr>
        <w:spacing w:before="0" w:after="200" w:lineRule="auto" w:line="276"/>
      </w:pPr>
      <w:r>
        <w:rPr>
          <w:b/>
        </w:rPr>
        <w:t xml:space="preserve">Abstract (EN): </w:t>
      </w:r>
      <w:r>
        <w:t>Immune receptors are modular sensors that detect molecular changes indicating infection, cell/tissue damage, oncogenic transformation, or exposure to allergens, and the signals they transmit initiate and regulate immune responses. These transmembrane receptors are often composed of one or more single-spanning membrane proteins and are modular in two important aspects. First, many immune receptors assemble from ligand-binding modules and signaling modules made up of separate proteins that come together during biosynthesis or upon activation through specific transmembrane domain (TMD) interactions. Second, the assembled receptor complexes comprise extracellular modules (structured protein domains) that interact with their environments and intracellular modules (often intrinsically unstructured domains) that read out these interactions biochemically. These are connected by and must communicate through the receptor TMDs. Here we review the molecular principles and structural motifs that organize and regulate immune receptors in the lipid bilayer with a view to understanding both how they are built and what roles the molecular interactions with and within the membrane play in their structures and functions. We focus primarily on examples where biochemical and structural data reveal highly specific interactions and show how these represent solutions that appear repeatedly across receptor families and can be exploited in synthetic biology applications.</w:t>
      </w:r>
    </w:p>
    <w:p>
      <w:pPr>
        <w:spacing w:before="120" w:after="120"/>
      </w:pPr>
      <w:r>
        <w:rPr>
          <w:sz w:val="18"/>
        </w:rPr>
        <w:t>——————————————————————————————————————————————————————————————————————</w:t>
      </w:r>
    </w:p>
    <w:p>
      <w:pPr>
        <w:spacing w:before="160" w:after="40" w:line="240" w:lineRule="auto"/>
      </w:pPr>
      <w:r>
        <w:rPr>
          <w:b/>
        </w:rPr>
        <w:t xml:space="preserve">[34] </w:t>
      </w:r>
      <w:hyperlink r:id="rId242">
        <w:r>
          <w:rPr>
            <w:color w:val="1155CC"/>
            <w:u w:val="single"/>
          </w:rPr>
          <w:t>[ASAP] 金属有机框架纳米片中的自适应孔变形以增强酶催化</w:t>
        </w:r>
      </w:hyperlink>
    </w:p>
    <w:p>
      <w:pPr>
        <w:spacing w:before="0" w:after="80"/>
      </w:pPr>
      <w:r>
        <w:rPr>
          <w:i/>
          <w:sz w:val="20"/>
        </w:rPr>
        <w:t>EN: [ASAP] Adaptive Pore Deformation in Metal–Organic Framework Nanosheets for Enhanced Enzymatic 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2026-03-22 17:51:55+00:00</w:t>
      </w:r>
      <w:r>
        <w:t xml:space="preserve">    </w:t>
      </w:r>
      <w:r>
        <w:rPr>
          <w:b/>
        </w:rPr>
        <w:t xml:space="preserve">DOI: </w:t>
      </w:r>
      <w:hyperlink r:id="rId243">
        <w:r>
          <w:rPr>
            <w:color w:val="1155CC"/>
            <w:u w:val="single"/>
          </w:rPr>
          <w:t>10.1021/jacs.5c22730</w:t>
        </w:r>
      </w:hyperlink>
    </w:p>
    <w:p>
      <w:pPr>
        <w:spacing w:before="0" w:after="120"/>
      </w:pPr>
      <w:r>
        <w:rPr>
          <w:b/>
        </w:rPr>
        <w:t xml:space="preserve">Notes: </w:t>
      </w:r>
      <w:r>
        <w:t>abstract_source=pubmed</w:t>
      </w:r>
    </w:p>
    <w:p>
      <w:pPr>
        <w:spacing w:before="0" w:after="80" w:lineRule="auto" w:line="276"/>
      </w:pPr>
      <w:r>
        <w:rPr>
          <w:b/>
        </w:rPr>
        <w:t xml:space="preserve">摘要（ZH）: </w:t>
      </w:r>
      <w:r>
        <w:t>将酶纳米限域在多孔支架内是构建稳健且工业相关生物催化剂的关键策略。然而，对决定催化效率的主客体相互作用的分子水平理解仍然是一个重大挑战，这主要是由于酶客体的固有异质性以及允许在酶加载后对其孔进行原子级研究的合成材料宿主的稀缺性。在此，我们通过将细胞色素c封装在同构金属有机框架（MOF）纳米片的介孔中，报告了两种氧化还原活性生物催化剂的设计，并首次揭示了MOF纳米片中控制生物催化效率的自适应孔变形。使用低剂量电子显微镜，我们直接可视化</w:t>
      </w:r>
    </w:p>
    <w:p>
      <w:pPr>
        <w:spacing w:before="0" w:after="200" w:lineRule="auto" w:line="276"/>
      </w:pPr>
      <w:r>
        <w:rPr>
          <w:b/>
        </w:rPr>
        <w:t xml:space="preserve">Abstract (EN): </w:t>
      </w:r>
      <w:r>
        <w:t>The nanoconfinement of enzymes within porous scaffolds is a pivotal strategy for constructing robust and industrially relevant biocatalysts. However, a molecular-level understanding of the host-guest interactions that dictate catalytic efficiency remains a significant challenge, largely due to the inherent heterogeneity of enzyme guests and the scarcity of synthetic material hosts that permit atomic-level investigation of their pores upon enzyme loading. Here, we report the design of two redox-active biocatalysts via the encapsulation of cytochrome c within the mesopores of isostructural metal-organic framework (MOF) nanosheets and unveil for the first time adaptive pore deformation in MOF nanosheets governing biocatalytic efficiency. Using low-dose electron microscopy, we directly visualize how the nominally "rigid" MOF pores adaptively remodel─expanding or contracting─to accommodate "flexible" enzymes, a process governed by the interplay between pore surface chemistry and biomolecular flexibility. Crucially, pore expansion facilitates a transition in the heme iron configuration of cytochrome c from a six-coordinated (S = 1/2) to a highly active five-coordinated geometry (S = 3/2). This structural rearrangement enhances catalytic oxidation activity by up to an order of magnitude compared with the free enzyme. The synthetic MOF nanosheet biocatalyst exhibits exceptional efficiency in the degradation of toxic organic pollutants via a high-valent iron(IV)-oxo mechanism, surpassing existing nanocatalysts. These findings challenge the conventional view of solid supports as static carriers and provide new insights into enzymatic reactions under pore confinement.</w:t>
      </w:r>
    </w:p>
    <w:p>
      <w:pPr>
        <w:spacing w:before="120" w:after="120"/>
      </w:pPr>
      <w:r>
        <w:rPr>
          <w:sz w:val="18"/>
        </w:rPr>
        <w:t>——————————————————————————————————————————————————————————————————————</w:t>
      </w:r>
    </w:p>
    <w:p>
      <w:pPr>
        <w:spacing w:before="160" w:after="40" w:line="240" w:lineRule="auto"/>
      </w:pPr>
      <w:r>
        <w:rPr>
          <w:b/>
        </w:rPr>
        <w:t xml:space="preserve">[35] </w:t>
      </w:r>
      <w:hyperlink r:id="rId244">
        <w:r>
          <w:rPr>
            <w:color w:val="1155CC"/>
            <w:u w:val="single"/>
          </w:rPr>
          <w:t>[ASAP] 通过遗传字母扩展生成高亲和力六字母DNA XenoAptamer</w:t>
        </w:r>
      </w:hyperlink>
    </w:p>
    <w:p>
      <w:pPr>
        <w:spacing w:before="0" w:after="80"/>
      </w:pPr>
      <w:r>
        <w:rPr>
          <w:i/>
          <w:sz w:val="20"/>
        </w:rPr>
        <w:t>EN: [ASAP] High-Affinity Six-Letter DNA XenoAptamer Generation by Genetic Alphabet Expansion</w:t>
      </w:r>
    </w:p>
    <w:p>
      <w:pPr>
        <w:spacing w:before="0" w:after="120"/>
      </w:pPr>
      <w:r>
        <w:rPr>
          <w:b/>
        </w:rPr>
        <w:t xml:space="preserve">Source: </w:t>
      </w:r>
      <w:r>
        <w:t>Journal of the American Chemical Society: Latest Articles (ACS Publications)</w:t>
      </w:r>
      <w:r>
        <w:t xml:space="preserve">    </w:t>
      </w:r>
      <w:r>
        <w:rPr>
          <w:b/>
        </w:rPr>
        <w:t xml:space="preserve">Pub date: </w:t>
      </w:r>
      <w:r>
        <w:t>2026-03-22 18:24:27+00:00</w:t>
      </w:r>
      <w:r>
        <w:t xml:space="preserve">    </w:t>
      </w:r>
      <w:r>
        <w:rPr>
          <w:b/>
        </w:rPr>
        <w:t xml:space="preserve">DOI: </w:t>
      </w:r>
      <w:hyperlink r:id="rId245">
        <w:r>
          <w:rPr>
            <w:color w:val="1155CC"/>
            <w:u w:val="single"/>
          </w:rPr>
          <w:t>10.1021/jacs.5c21249</w:t>
        </w:r>
      </w:hyperlink>
    </w:p>
    <w:p>
      <w:pPr>
        <w:spacing w:before="0" w:after="120"/>
      </w:pPr>
      <w:r>
        <w:rPr>
          <w:b/>
        </w:rPr>
        <w:t xml:space="preserve">Notes: </w:t>
      </w:r>
      <w:r>
        <w:t>abstract_source=pubmed</w:t>
      </w:r>
    </w:p>
    <w:p>
      <w:pPr>
        <w:spacing w:before="0" w:after="80" w:lineRule="auto" w:line="276"/>
      </w:pPr>
      <w:r>
        <w:rPr>
          <w:b/>
        </w:rPr>
        <w:t xml:space="preserve">摘要（ZH）: </w:t>
      </w:r>
      <w:r>
        <w:t>开发了一种生成高亲和力DNA适配体（XenoAptamers）的方法，该适配体与目标蛋白结合的解离常数（KD）在几十皮摩尔（pM）范围内。该方法使用包含两个疏水非天然碱基（UBs），Ds和Px/Pa'的六字母DNA，通过遗传字母扩展实现。引入Ds增加了DNA的结构多样性，而Px/Pa'直接与目标蛋白的疏水区域相互作用。该方法中的每个过程（六字母ExSELEX）都经过优化，生成了针对白细胞介素-8（IL8）和α-凝血酶（凝血酶）的高亲和力XenoAptamers，KD值分别为61 pM和1.7 pM。使用抗IL8 XenoAptamer-抗体组合的夹心型ELISA显示出比</w:t>
      </w:r>
    </w:p>
    <w:p>
      <w:pPr>
        <w:spacing w:before="0" w:after="200" w:lineRule="auto" w:line="276"/>
      </w:pPr>
      <w:r>
        <w:rPr>
          <w:b/>
        </w:rPr>
        <w:t xml:space="preserve">Abstract (EN): </w:t>
      </w:r>
      <w:r>
        <w:t>A method for generating high-affinity DNA aptamers (XenoAptamers) that bind to target proteins with a dissociation constant (KD) in the tens of pM range was developed using a six-letter DNA containing two hydrophobic unnatural bases (UBs), Ds and Px/Pa', by genetic alphabet expansion. Introducing Ds increases the structural diversity of DNA, and Px/Pa' directly interacts with a hydrophobic region of target proteins. Each process in this method (six-letter ExSELEX) was optimized, resulting in the generation of high-affinity XenoAptamers with KD values of 61 pM targeting interleukin-8 (IL8) and 1.7 pM targeting α-thrombin (thrombin). The sandwich-type ELISA using the anti-IL8 XenoAptamer-antibody combination exhibited higher sensitivity (limit of detection, LOD = 0.107 pg/mL) than that of an antibody-antibody pair (LOD = 1.227 pg/mL). The antithrombin XenoAptamer efficiently inhibits the thrombin-mediated cleavage of fibrinogen to fibrin. The six-letter ExSELEX method, with its increased DNA physicochemical and structural diversity, is expected to be innovative in creating DNA aptamers for diagnostic and therapeutic applications as an alternative to antibodies.</w:t>
      </w:r>
    </w:p>
    <w:p>
      <w:pPr>
        <w:spacing w:before="120" w:after="120"/>
      </w:pPr>
      <w:r>
        <w:rPr>
          <w:sz w:val="18"/>
        </w:rPr>
        <w:t>——————————————————————————————————————————————————————————————————————</w:t>
      </w:r>
    </w:p>
    <w:p>
      <w:pPr>
        <w:spacing w:before="160" w:after="40" w:line="240" w:lineRule="auto"/>
      </w:pPr>
      <w:r>
        <w:rPr>
          <w:b/>
        </w:rPr>
        <w:t xml:space="preserve">[36] </w:t>
      </w:r>
      <w:hyperlink r:id="rId246">
        <w:r>
          <w:rPr>
            <w:color w:val="1155CC"/>
            <w:u w:val="single"/>
          </w:rPr>
          <w:t>上皮细胞群体中的主动润湿和流体化机制</w:t>
        </w:r>
      </w:hyperlink>
    </w:p>
    <w:p>
      <w:pPr>
        <w:spacing w:before="0" w:after="80"/>
      </w:pPr>
      <w:r>
        <w:rPr>
          <w:i/>
          <w:sz w:val="20"/>
        </w:rPr>
        <w:t>EN: Mechanisms of active wetting and fluidification in epithelial cell collectives</w:t>
      </w:r>
    </w:p>
    <w:p>
      <w:pPr>
        <w:spacing w:before="0" w:after="120"/>
      </w:pPr>
      <w:r>
        <w:rPr>
          <w:b/>
        </w:rPr>
        <w:t xml:space="preserve">Source: </w:t>
      </w:r>
      <w:r>
        <w:t>Nature Materials</w:t>
      </w:r>
      <w:r>
        <w:t xml:space="preserve">    </w:t>
      </w:r>
      <w:r>
        <w:rPr>
          <w:b/>
        </w:rPr>
        <w:t xml:space="preserve">Pub date: </w:t>
      </w:r>
      <w:r>
        <w:t>2026-03-23 00:00:00+00:00</w:t>
      </w:r>
      <w:r>
        <w:t xml:space="preserve">    </w:t>
      </w:r>
      <w:r>
        <w:rPr>
          <w:b/>
        </w:rPr>
        <w:t xml:space="preserve">DOI: </w:t>
      </w:r>
      <w:hyperlink r:id="rId247">
        <w:r>
          <w:rPr>
            <w:color w:val="1155CC"/>
            <w:u w:val="single"/>
          </w:rPr>
          <w:t>10.1038/s41563-026-02553-2</w:t>
        </w:r>
      </w:hyperlink>
    </w:p>
    <w:p>
      <w:pPr>
        <w:spacing w:before="0" w:after="120"/>
      </w:pPr>
      <w:r>
        <w:rPr>
          <w:b/>
        </w:rPr>
        <w:t xml:space="preserve">Notes: </w:t>
      </w:r>
      <w:r>
        <w:t>abstract_source=nature_html</w:t>
      </w:r>
    </w:p>
    <w:p>
      <w:pPr>
        <w:spacing w:before="0" w:after="80" w:lineRule="auto" w:line="276"/>
      </w:pPr>
      <w:r>
        <w:rPr>
          <w:b/>
        </w:rPr>
        <w:t xml:space="preserve">摘要（ZH）: </w:t>
      </w:r>
      <w:r>
        <w:t>组织水平的相变正在成为肿瘤发展和转移的关键机制。当变得具有侵袭性时，上皮肿瘤从固态转变为更流体的状态。尽管已知细胞粘附、牵引力和细胞迁移对这种行为的贡献，但控制这些转变的确切生物物理和分子机制尚不完全清楚。在此，我们展示了乳腺癌细胞流动性由IRSp53调节，这是一种将质膜与细胞骨架连接的蛋白质。在二维单层和三维球体中，IRSp53的耗竭增加了流动性和基质的主动润湿性，这是由于细胞间摩擦的减少和局部细胞重排的增强。分子</w:t>
      </w:r>
    </w:p>
    <w:p>
      <w:pPr>
        <w:spacing w:before="0" w:after="200" w:lineRule="auto" w:line="276"/>
      </w:pPr>
      <w:r>
        <w:rPr>
          <w:b/>
        </w:rPr>
        <w:t xml:space="preserve">Abstract (EN): </w:t>
      </w:r>
      <w:r>
        <w:t>Tissue-level phase transitions are emerging as a crucial mechanism in tumour development and metastasis. When becoming invasive, epithelial tumours undergo a transition from a solid-like state to a more fluid-like one. Although the contributions of cell adhesions, traction forces and cell migration for such behaviour are known, the exact biophysical and molecular mechanisms controlling these transitions are not fully understood. Here we show that breast cancer cell fluidity is regulated by IRSp53, a protein linking plasma membranes to the cytoskeleton. In both two-dimensional monolayers and three-dimensional spheroids, the depletion of IRSp53 increases fluidity and active wetting of the substrate due to a decrease in intercellular friction and enhanced local cell rearrangements. Molecularly, IRSp53 interacts with the junctional protein Afadin to control global tensile state and active wetting, establishing these proteins as key regulators of epithelial collectives’ viscosity in breast cancer tumouroids. In breast cancer patient samples, low IRSp53 expression levels and aberrant localization correlate with worse clinical outcomes. These findings support the broader relevance of IRSp53-regulated mechanics in epithelia and their potential prognostic value in cancer.</w:t>
      </w:r>
    </w:p>
    <w:p>
      <w:pPr>
        <w:spacing w:before="120" w:after="120"/>
      </w:pPr>
      <w:r>
        <w:rPr>
          <w:sz w:val="18"/>
        </w:rPr>
        <w:t>——————————————————————————————————————————————————————————————————————</w:t>
      </w:r>
    </w:p>
    <w:p>
      <w:pPr>
        <w:spacing w:before="160" w:after="40" w:line="240" w:lineRule="auto"/>
      </w:pPr>
      <w:r>
        <w:rPr>
          <w:b/>
        </w:rPr>
        <w:t xml:space="preserve">[37] </w:t>
      </w:r>
      <w:hyperlink r:id="rId248">
        <w:r>
          <w:rPr>
            <w:color w:val="1155CC"/>
            <w:u w:val="single"/>
          </w:rPr>
          <w:t>生成扩展的折叠体染料堆叠并揭示其不断演变的激子动力学</w:t>
        </w:r>
      </w:hyperlink>
    </w:p>
    <w:p>
      <w:pPr>
        <w:spacing w:before="0" w:after="80"/>
      </w:pPr>
      <w:r>
        <w:rPr>
          <w:i/>
          <w:sz w:val="20"/>
        </w:rPr>
        <w:t>EN: Generating extended foldamer dye stacks and unravelling their evolving exciton dynamics</w:t>
      </w:r>
    </w:p>
    <w:p>
      <w:pPr>
        <w:spacing w:before="0" w:after="120"/>
      </w:pPr>
      <w:r>
        <w:rPr>
          <w:b/>
        </w:rPr>
        <w:t xml:space="preserve">Source: </w:t>
      </w:r>
      <w:r>
        <w:t>Nature Chemistry</w:t>
      </w:r>
      <w:r>
        <w:t xml:space="preserve">    </w:t>
      </w:r>
      <w:r>
        <w:rPr>
          <w:b/>
        </w:rPr>
        <w:t xml:space="preserve">Pub date: </w:t>
      </w:r>
      <w:r>
        <w:t>2026-03-23 00:00:00+00:00</w:t>
      </w:r>
      <w:r>
        <w:t xml:space="preserve">    </w:t>
      </w:r>
      <w:r>
        <w:rPr>
          <w:b/>
        </w:rPr>
        <w:t xml:space="preserve">DOI: </w:t>
      </w:r>
      <w:hyperlink r:id="rId249">
        <w:r>
          <w:rPr>
            <w:color w:val="1155CC"/>
            <w:u w:val="single"/>
          </w:rPr>
          <w:t>10.1038/s41557-026-02082-0</w:t>
        </w:r>
      </w:hyperlink>
    </w:p>
    <w:p>
      <w:pPr>
        <w:spacing w:before="0" w:after="120"/>
      </w:pPr>
      <w:r>
        <w:rPr>
          <w:b/>
        </w:rPr>
        <w:t xml:space="preserve">Notes: </w:t>
      </w:r>
      <w:r>
        <w:t>abstract_source=nature_html</w:t>
      </w:r>
    </w:p>
    <w:p>
      <w:pPr>
        <w:spacing w:before="0" w:after="80" w:lineRule="auto" w:line="276"/>
      </w:pPr>
      <w:r>
        <w:rPr>
          <w:b/>
        </w:rPr>
        <w:t xml:space="preserve">摘要（ZH）: </w:t>
      </w:r>
      <w:r>
        <w:t>在生物大分子中，需要许多氨基酸或核苷酸来获得定义的二级结构和随之而来的高级功能。然而，当研究人员生成由染料组成的合成模型类似物以预测各自固态聚集体的（光）功能特性时，他们通常使用二聚体模型。在这里，我们介绍了一系列从二聚体到14聚体的紧密π堆积染料折叠体，通过迭代的基于模块的偶联协议获得，使得能够研究寡聚体长度对其光物理特性的影响。光谱技术识别出在大约四到六个染料单元时荧光特性的显著变化——荧光带变窄，总量子产率从二聚体的47%增加到14聚体的75%。</w:t>
      </w:r>
    </w:p>
    <w:p>
      <w:pPr>
        <w:spacing w:before="0" w:after="200" w:lineRule="auto" w:line="276"/>
      </w:pPr>
      <w:r>
        <w:rPr>
          <w:b/>
        </w:rPr>
        <w:t xml:space="preserve">Abstract (EN): </w:t>
      </w:r>
      <w:r>
        <w:t>In biomacromolecules, many amino acids or nucleotides are needed to obtain defined secondary structures and concomitant advanced functionalities. However, when researchers generate synthetic model analogues composed of dyes to predict the (photo-)functional properties of the respective solid-state aggregates they often use dimer models. Here we introduce a foldamer series of closely π-stacked dyes from dimer to 14-mer, obtained by an iterative block-based coupling protocol, that enable the study of oligomer-length effects on their photophysical properties. Spectroscopic techniques identify a distinct change of fluorescence properties at around four to six dye units—affording narrowed fluorescence bands and an increase of the total quantum yield from 47% for the dimer up to 75% for the 14-mer—that is accompanied by the development of a multiexciton state. These results highlight the limitation of the dimer model and motivate future research on well-defined π-stacked foldamers, both as models for solid-state materials and as supramolecular wires for future electronic and photonic applications.</w:t>
      </w:r>
    </w:p>
    <w:p>
      <w:pPr>
        <w:spacing w:before="120" w:after="120"/>
      </w:pPr>
      <w:r>
        <w:rPr>
          <w:sz w:val="18"/>
        </w:rPr>
        <w:t>——————————————————————————————————————————————————————————————————————</w:t>
      </w:r>
    </w:p>
    <w:p>
      <w:pPr>
        <w:spacing w:before="160" w:after="40" w:line="240" w:lineRule="auto"/>
      </w:pPr>
      <w:r>
        <w:rPr>
          <w:b/>
        </w:rPr>
        <w:t xml:space="preserve">[38] </w:t>
      </w:r>
      <w:hyperlink r:id="rId250">
        <w:r>
          <w:rPr>
            <w:color w:val="1155CC"/>
            <w:u w:val="single"/>
          </w:rPr>
          <w:t>如何衡量美好生活——超越GDP的建议</w:t>
        </w:r>
      </w:hyperlink>
    </w:p>
    <w:p>
      <w:pPr>
        <w:spacing w:before="0" w:after="80"/>
      </w:pPr>
      <w:r>
        <w:rPr>
          <w:i/>
          <w:sz w:val="20"/>
        </w:rPr>
        <w:t>EN: How to measure a good life – tips for moving beyond GDP</w:t>
      </w:r>
    </w:p>
    <w:p>
      <w:pPr>
        <w:spacing w:before="0" w:after="120"/>
      </w:pPr>
      <w:r>
        <w:rPr>
          <w:b/>
        </w:rPr>
        <w:t xml:space="preserve">Source: </w:t>
      </w:r>
      <w:r>
        <w:t>Nature</w:t>
      </w:r>
      <w:r>
        <w:t xml:space="preserve">    </w:t>
      </w:r>
      <w:r>
        <w:rPr>
          <w:b/>
        </w:rPr>
        <w:t xml:space="preserve">Pub date: </w:t>
      </w:r>
      <w:r>
        <w:t>2026-03-23 00:00:00+00:00</w:t>
      </w:r>
      <w:r>
        <w:t xml:space="preserve">    </w:t>
      </w:r>
      <w:r>
        <w:rPr>
          <w:b/>
        </w:rPr>
        <w:t xml:space="preserve">DOI: </w:t>
      </w:r>
      <w:hyperlink r:id="rId251">
        <w:r>
          <w:rPr>
            <w:color w:val="1155CC"/>
            <w:u w:val="single"/>
          </w:rPr>
          <w:t>10.1038/d41586-026-00884-3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 </w:t>
      </w:r>
      <w:hyperlink r:id="rId252">
        <w:r>
          <w:rPr>
            <w:color w:val="1155CC"/>
            <w:u w:val="single"/>
          </w:rPr>
          <w:t>每日简报：我们刚刚经历了有记录以来最热的11年</w:t>
        </w:r>
      </w:hyperlink>
    </w:p>
    <w:p>
      <w:pPr>
        <w:spacing w:before="0" w:after="80"/>
      </w:pPr>
      <w:r>
        <w:rPr>
          <w:i/>
          <w:sz w:val="20"/>
        </w:rPr>
        <w:t>EN: Daily briefing: We’ve just had the 11 hottest years on record</w:t>
      </w:r>
    </w:p>
    <w:p>
      <w:pPr>
        <w:spacing w:before="0" w:after="120"/>
      </w:pPr>
      <w:r>
        <w:rPr>
          <w:b/>
        </w:rPr>
        <w:t xml:space="preserve">Source: </w:t>
      </w:r>
      <w:r>
        <w:t>Nature</w:t>
      </w:r>
      <w:r>
        <w:t xml:space="preserve">    </w:t>
      </w:r>
      <w:r>
        <w:rPr>
          <w:b/>
        </w:rPr>
        <w:t xml:space="preserve">Pub date: </w:t>
      </w:r>
      <w:r>
        <w:t>2026-03-23 00:00:00+00:00</w:t>
      </w:r>
      <w:r>
        <w:t xml:space="preserve">    </w:t>
      </w:r>
      <w:r>
        <w:rPr>
          <w:b/>
        </w:rPr>
        <w:t xml:space="preserve">DOI: </w:t>
      </w:r>
      <w:hyperlink r:id="rId253">
        <w:r>
          <w:rPr>
            <w:color w:val="1155CC"/>
            <w:u w:val="single"/>
          </w:rPr>
          <w:t>10.1038/d41586-026-00957-3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 </w:t>
      </w:r>
      <w:hyperlink r:id="rId254">
        <w:r>
          <w:rPr>
            <w:color w:val="1155CC"/>
            <w:u w:val="single"/>
          </w:rPr>
          <w:t>智能幻觉：为什么AI并不像它被描述的那样聪明</w:t>
        </w:r>
      </w:hyperlink>
    </w:p>
    <w:p>
      <w:pPr>
        <w:spacing w:before="0" w:after="80"/>
      </w:pPr>
      <w:r>
        <w:rPr>
          <w:i/>
          <w:sz w:val="20"/>
        </w:rPr>
        <w:t>EN: The intelligence illusion: why AI isn’t as smart as it is made out to be</w:t>
      </w:r>
    </w:p>
    <w:p>
      <w:pPr>
        <w:spacing w:before="0" w:after="120"/>
      </w:pPr>
      <w:r>
        <w:rPr>
          <w:b/>
        </w:rPr>
        <w:t xml:space="preserve">Source: </w:t>
      </w:r>
      <w:r>
        <w:t>Nature</w:t>
      </w:r>
      <w:r>
        <w:t xml:space="preserve">    </w:t>
      </w:r>
      <w:r>
        <w:rPr>
          <w:b/>
        </w:rPr>
        <w:t xml:space="preserve">Pub date: </w:t>
      </w:r>
      <w:r>
        <w:t>2026-03-23 00:00:00+00:00</w:t>
      </w:r>
      <w:r>
        <w:t xml:space="preserve">    </w:t>
      </w:r>
      <w:r>
        <w:rPr>
          <w:b/>
        </w:rPr>
        <w:t xml:space="preserve">DOI: </w:t>
      </w:r>
      <w:hyperlink r:id="rId255">
        <w:r>
          <w:rPr>
            <w:color w:val="1155CC"/>
            <w:u w:val="single"/>
          </w:rPr>
          <w:t>10.1038/d41586-026-00882-5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 </w:t>
      </w:r>
      <w:hyperlink r:id="rId256">
        <w:r>
          <w:rPr>
            <w:color w:val="1155CC"/>
            <w:u w:val="single"/>
          </w:rPr>
          <w:t>世界刚刚经历了有记录以来最热的11年——接下来怎么办？</w:t>
        </w:r>
      </w:hyperlink>
    </w:p>
    <w:p>
      <w:pPr>
        <w:spacing w:before="0" w:after="80"/>
      </w:pPr>
      <w:r>
        <w:rPr>
          <w:i/>
          <w:sz w:val="20"/>
        </w:rPr>
        <w:t>EN: The world just lived through the 11 hottest years on record — what now?</w:t>
      </w:r>
    </w:p>
    <w:p>
      <w:pPr>
        <w:spacing w:before="0" w:after="120"/>
      </w:pPr>
      <w:r>
        <w:rPr>
          <w:b/>
        </w:rPr>
        <w:t xml:space="preserve">Source: </w:t>
      </w:r>
      <w:r>
        <w:t>Nature</w:t>
      </w:r>
      <w:r>
        <w:t xml:space="preserve">    </w:t>
      </w:r>
      <w:r>
        <w:rPr>
          <w:b/>
        </w:rPr>
        <w:t xml:space="preserve">Pub date: </w:t>
      </w:r>
      <w:r>
        <w:t>2026-03-23 00:00:00+00:00</w:t>
      </w:r>
      <w:r>
        <w:t xml:space="preserve">    </w:t>
      </w:r>
      <w:r>
        <w:rPr>
          <w:b/>
        </w:rPr>
        <w:t xml:space="preserve">DOI: </w:t>
      </w:r>
      <w:hyperlink r:id="rId257">
        <w:r>
          <w:rPr>
            <w:color w:val="1155CC"/>
            <w:u w:val="single"/>
          </w:rPr>
          <w:t>10.1038/d41586-026-00946-6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 </w:t>
      </w:r>
      <w:hyperlink r:id="rId258">
        <w:r>
          <w:rPr>
            <w:color w:val="1155CC"/>
            <w:u w:val="single"/>
          </w:rPr>
          <w:t>合作进化关键论文发表45年后的进展</w:t>
        </w:r>
      </w:hyperlink>
    </w:p>
    <w:p>
      <w:pPr>
        <w:spacing w:before="0" w:after="80"/>
      </w:pPr>
      <w:r>
        <w:rPr>
          <w:i/>
          <w:sz w:val="20"/>
        </w:rPr>
        <w:t>EN: Forty-five years of progress after a key paper about the evolution of cooperation</w:t>
      </w:r>
    </w:p>
    <w:p>
      <w:pPr>
        <w:spacing w:before="0" w:after="120"/>
      </w:pPr>
      <w:r>
        <w:rPr>
          <w:b/>
        </w:rPr>
        <w:t xml:space="preserve">Source: </w:t>
      </w:r>
      <w:r>
        <w:t>Nature</w:t>
      </w:r>
      <w:r>
        <w:t xml:space="preserve">    </w:t>
      </w:r>
      <w:r>
        <w:rPr>
          <w:b/>
        </w:rPr>
        <w:t xml:space="preserve">Pub date: </w:t>
      </w:r>
      <w:r>
        <w:t>2026-03-23 00:00:00+00:00</w:t>
      </w:r>
      <w:r>
        <w:t xml:space="preserve">    </w:t>
      </w:r>
      <w:r>
        <w:rPr>
          <w:b/>
        </w:rPr>
        <w:t xml:space="preserve">DOI: </w:t>
      </w:r>
      <w:hyperlink r:id="rId259">
        <w:r>
          <w:rPr>
            <w:color w:val="1155CC"/>
            <w:u w:val="single"/>
          </w:rPr>
          <w:t>10.1038/d41586-026-00802-7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 </w:t>
      </w:r>
      <w:hyperlink r:id="rId260">
        <w:r>
          <w:rPr>
            <w:color w:val="1155CC"/>
            <w:u w:val="single"/>
          </w:rPr>
          <w:t>数据集太多？以下是如何缩减它们的大小</w:t>
        </w:r>
      </w:hyperlink>
    </w:p>
    <w:p>
      <w:pPr>
        <w:spacing w:before="0" w:after="80"/>
      </w:pPr>
      <w:r>
        <w:rPr>
          <w:i/>
          <w:sz w:val="20"/>
        </w:rPr>
        <w:t>EN: Drowning in data sets? Here’s how to cut them down to size</w:t>
      </w:r>
    </w:p>
    <w:p>
      <w:pPr>
        <w:spacing w:before="0" w:after="120"/>
      </w:pPr>
      <w:r>
        <w:rPr>
          <w:b/>
        </w:rPr>
        <w:t xml:space="preserve">Source: </w:t>
      </w:r>
      <w:r>
        <w:t>Nature</w:t>
      </w:r>
      <w:r>
        <w:t xml:space="preserve">    </w:t>
      </w:r>
      <w:r>
        <w:rPr>
          <w:b/>
        </w:rPr>
        <w:t xml:space="preserve">Pub date: </w:t>
      </w:r>
      <w:r>
        <w:t>2026-03-23 00:00:00+00:00</w:t>
      </w:r>
      <w:r>
        <w:t xml:space="preserve">    </w:t>
      </w:r>
      <w:r>
        <w:rPr>
          <w:b/>
        </w:rPr>
        <w:t xml:space="preserve">DOI: </w:t>
      </w:r>
      <w:hyperlink r:id="rId261">
        <w:r>
          <w:rPr>
            <w:color w:val="1155CC"/>
            <w:u w:val="single"/>
          </w:rPr>
          <w:t>10.1038/d41586-026-00880-7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 </w:t>
      </w:r>
      <w:hyperlink r:id="rId262">
        <w:r>
          <w:rPr>
            <w:color w:val="1155CC"/>
            <w:u w:val="single"/>
          </w:rPr>
          <w:t>全基因组关联研究和QTL作图用于偏离正态分布的性状</w:t>
        </w:r>
      </w:hyperlink>
    </w:p>
    <w:p>
      <w:pPr>
        <w:spacing w:before="0" w:after="80"/>
      </w:pPr>
      <w:r>
        <w:rPr>
          <w:i/>
          <w:sz w:val="20"/>
        </w:rPr>
        <w:t>EN: Genome-wide Association Studies and QTL Mapping for Traits Deviating from Normal Distribution</w:t>
      </w:r>
    </w:p>
    <w:p>
      <w:pPr>
        <w:spacing w:before="0" w:after="120"/>
      </w:pPr>
      <w:r>
        <w:rPr>
          <w:b/>
        </w:rPr>
        <w:t xml:space="preserve">Source: </w:t>
      </w:r>
      <w:r>
        <w:t>National Science Review Advance Access</w:t>
      </w:r>
      <w:r>
        <w:t xml:space="preserve">    </w:t>
      </w:r>
      <w:r>
        <w:rPr>
          <w:b/>
        </w:rPr>
        <w:t xml:space="preserve">Pub date: </w:t>
      </w:r>
      <w:r>
        <w:t>2026-03-23 00:00:00+00:00</w:t>
      </w:r>
      <w:r>
        <w:t xml:space="preserve">    </w:t>
      </w:r>
      <w:r>
        <w:rPr>
          <w:b/>
        </w:rPr>
        <w:t xml:space="preserve">DOI: </w:t>
      </w:r>
      <w:hyperlink r:id="rId263">
        <w:r>
          <w:rPr>
            <w:color w:val="1155CC"/>
            <w:u w:val="single"/>
          </w:rPr>
          <w:t>10.1093/nsr/nwag184</w:t>
        </w:r>
      </w:hyperlink>
    </w:p>
    <w:p>
      <w:pPr>
        <w:spacing w:before="0" w:after="120"/>
      </w:pPr>
      <w:r>
        <w:rPr>
          <w:b/>
        </w:rPr>
        <w:t xml:space="preserve">Notes: </w:t>
      </w:r>
      <w:r>
        <w:t>abstract_source=rss_oup</w:t>
      </w:r>
    </w:p>
    <w:p>
      <w:pPr>
        <w:spacing w:before="0" w:after="80" w:lineRule="auto" w:line="276"/>
      </w:pPr>
      <w:r>
        <w:rPr>
          <w:b/>
        </w:rPr>
        <w:t xml:space="preserve">摘要（ZH）: </w:t>
      </w:r>
      <w:r>
        <w:t>数量性状是全基因组关联研究（GWAS）和数量性状位点（QTL）作图的目标。在调整系统效应后，这些性状被假定为正态分布，以便可以使用典型的线性模型（LM）和线性混合模型（LMM）来检测与QTL相关的标记。然而，作物、动物和人类的许多性状并不遵循假定的正态分布，许多甚至不是连续分布的。我们开发了统计模型和软件包，以在广义线性混合模型（GLMM）框架下为这些非正态性状进行QTL作图和关联研究。我们开发了一种伪响应（PSR）方法，通过生成一个伪响应变量来估计多基因方差。</w:t>
      </w:r>
    </w:p>
    <w:p>
      <w:pPr>
        <w:spacing w:before="0" w:after="200" w:lineRule="auto" w:line="276"/>
      </w:pPr>
      <w:r>
        <w:rPr>
          <w:b/>
        </w:rPr>
        <w:t xml:space="preserve">Abstract (EN): </w:t>
      </w:r>
      <w:r>
        <w:t>Quantitative traits are the targets for genome-wide association studies (GWAS) and quantitative trait locus (QTL) mapping. After adjusting for systematic effects, these traits are assumed to be normally distributed so that typical linear models (LM) and linear mixed models (LMM) can be used to detect markers associated with QTLs. Many traits in crops, animals and humans, however, do not follow the assumed normal distribution and many of them are not even continuously distributed. We developed statistical models and software packages to map QTLs and perform association studies for such non-normal traits under the generalized linear mixed model (GLMM) framework. We developed a pseudo response (PSR) method to estimate the polygenic variance by generating a pseudo response variable that is treated as a conventional quantitative trait. We then scanned the genome for markers associated with the PSR variable in the usual linear mixed model. The new method is called the pseudo response generalized linear mixed model (PSR-GLMM). We illustrated the method with the purple color trait of rice (binary trait) and a set of simulated non-normal traits. We then applied the method to four datasets: a binary trait from an Arabidopsis</w:t>
      </w:r>
    </w:p>
    <w:p>
      <w:pPr>
        <w:spacing w:before="120" w:after="120"/>
      </w:pPr>
      <w:r>
        <w:rPr>
          <w:sz w:val="18"/>
        </w:rPr>
        <w:t>——————————————————————————————————————————————————————————————————————</w:t>
      </w:r>
    </w:p>
    <w:p>
      <w:pPr>
        <w:spacing w:before="160" w:after="40" w:line="240" w:lineRule="auto"/>
      </w:pPr>
      <w:r>
        <w:rPr>
          <w:b/>
        </w:rPr>
        <w:t xml:space="preserve">[45] </w:t>
      </w:r>
      <w:hyperlink r:id="rId264">
        <w:r>
          <w:rPr>
            <w:color w:val="1155CC"/>
            <w:u w:val="single"/>
          </w:rPr>
          <w:t>观察到石墨烯中的Floquet诱导间隙</w:t>
        </w:r>
      </w:hyperlink>
    </w:p>
    <w:p>
      <w:pPr>
        <w:spacing w:before="0" w:after="80"/>
      </w:pPr>
      <w:r>
        <w:rPr>
          <w:i/>
          <w:sz w:val="20"/>
        </w:rPr>
        <w:t>EN: Observation of Floquet-induced gap in graphene</w:t>
      </w:r>
    </w:p>
    <w:p>
      <w:pPr>
        <w:spacing w:before="0" w:after="120"/>
      </w:pPr>
      <w:r>
        <w:rPr>
          <w:b/>
        </w:rPr>
        <w:t xml:space="preserve">Source: </w:t>
      </w:r>
      <w:r>
        <w:t>Nature Materials</w:t>
      </w:r>
      <w:r>
        <w:t xml:space="preserve">    </w:t>
      </w:r>
      <w:r>
        <w:rPr>
          <w:b/>
        </w:rPr>
        <w:t xml:space="preserve">Pub date: </w:t>
      </w:r>
      <w:r>
        <w:t>2026-03-23 00:00:00+00:00</w:t>
      </w:r>
      <w:r>
        <w:t xml:space="preserve">    </w:t>
      </w:r>
      <w:r>
        <w:rPr>
          <w:b/>
        </w:rPr>
        <w:t xml:space="preserve">DOI: </w:t>
      </w:r>
      <w:hyperlink r:id="rId265">
        <w:r>
          <w:rPr>
            <w:color w:val="1155CC"/>
            <w:u w:val="single"/>
          </w:rPr>
          <w:t>10.1038/s41563-026-02549-y</w:t>
        </w:r>
      </w:hyperlink>
    </w:p>
    <w:p>
      <w:pPr>
        <w:spacing w:before="0" w:after="120"/>
      </w:pPr>
      <w:r>
        <w:rPr>
          <w:b/>
        </w:rPr>
        <w:t xml:space="preserve">Notes: </w:t>
      </w:r>
      <w:r>
        <w:t>abstract_source=nature_html</w:t>
      </w:r>
    </w:p>
    <w:p>
      <w:pPr>
        <w:spacing w:before="0" w:after="80" w:lineRule="auto" w:line="276"/>
      </w:pPr>
      <w:r>
        <w:rPr>
          <w:b/>
        </w:rPr>
        <w:t xml:space="preserve">摘要（ZH）: </w:t>
      </w:r>
      <w:r>
        <w:t>Floquet工程通过时间周期性驱动提供了一种强大的途径，用于创建具有定制电子结构和特性的非平衡物质相。作为最初的理论原型，石墨烯建立了Floquet拓扑绝缘体的框架，其中提出了光诱导的异常霍尔效应。然而，石墨烯中Floquet工程的定义光谱特征，即Floquet带交叉处的光诱导杂化（避免交叉）间隙，仍然在实验上难以捉摸。在这里，我们报告了在强光场共振驱动下单层石墨烯中Floquet诱导的杂化间隙的直接观察。时间和角分辨光电子能谱揭示了Floquet带交叉处的间隙开启。</w:t>
      </w:r>
    </w:p>
    <w:p>
      <w:pPr>
        <w:spacing w:before="0" w:after="200" w:lineRule="auto" w:line="276"/>
      </w:pPr>
      <w:r>
        <w:rPr>
          <w:b/>
        </w:rPr>
        <w:t xml:space="preserve">Abstract (EN): </w:t>
      </w:r>
      <w:r>
        <w:t>Floquet engineering provides a powerful pathway for creating non-equilibrium phases of matter with tailored electronic structures and properties through time-periodic driving. As the original theoretical prototype, graphene established the framework in which the Floquet topological insulator with the light-induced anomalous Hall effect was proposed. However, the defining spectroscopic signature of Floquet engineering in graphene, light-induced hybridization (avoided-crossing) gap at Floquet band crossings, has remained experimentally elusive. Here we report the direct observation of a Floquet-induced hybridization gap in monolayer graphene under resonant driving by a strong light field. Time- and angle-resolved photoemission spectroscopy reveals a gap opening at Floquet band crossings, accompanied by coherent Floquet sidebands. The gap exhibits pronounced momentum anisotropy, featuring two Dirac nodes protected by spatiotemporal symmetry and tunable by light polarization. These results provide the long-sought experimental demonstration of Floquet band engineering in graphene, opening up opportunities for light-field-engineered quantum phases in graphene and related materials.</w:t>
      </w:r>
    </w:p>
    <w:p>
      <w:pPr>
        <w:spacing w:before="120" w:after="120"/>
      </w:pPr>
      <w:r>
        <w:rPr>
          <w:sz w:val="18"/>
        </w:rPr>
        <w:t>——————————————————————————————————————————————————————————————————————</w:t>
      </w:r>
    </w:p>
    <w:p>
      <w:pPr>
        <w:spacing w:before="160" w:after="40" w:line="240" w:lineRule="auto"/>
      </w:pPr>
      <w:r>
        <w:rPr>
          <w:b/>
        </w:rPr>
        <w:t xml:space="preserve">[46] </w:t>
      </w:r>
      <w:hyperlink r:id="rId266">
        <w:r>
          <w:rPr>
            <w:color w:val="1155CC"/>
            <w:u w:val="single"/>
          </w:rPr>
          <w:t>我如何从公共数据中挤出新鲜科学</w:t>
        </w:r>
      </w:hyperlink>
    </w:p>
    <w:p>
      <w:pPr>
        <w:spacing w:before="0" w:after="80"/>
      </w:pPr>
      <w:r>
        <w:rPr>
          <w:i/>
          <w:sz w:val="20"/>
        </w:rPr>
        <w:t>EN: How I squeeze fresh science from public data</w:t>
      </w:r>
    </w:p>
    <w:p>
      <w:pPr>
        <w:spacing w:before="0" w:after="120"/>
      </w:pPr>
      <w:r>
        <w:rPr>
          <w:b/>
        </w:rPr>
        <w:t xml:space="preserve">Source: </w:t>
      </w:r>
      <w:r>
        <w:t>Nature</w:t>
      </w:r>
      <w:r>
        <w:t xml:space="preserve">    </w:t>
      </w:r>
      <w:r>
        <w:rPr>
          <w:b/>
        </w:rPr>
        <w:t xml:space="preserve">Pub date: </w:t>
      </w:r>
      <w:r>
        <w:t>2026-03-23 00:00:00+00:00</w:t>
      </w:r>
      <w:r>
        <w:t xml:space="preserve">    </w:t>
      </w:r>
      <w:r>
        <w:rPr>
          <w:b/>
        </w:rPr>
        <w:t xml:space="preserve">DOI: </w:t>
      </w:r>
      <w:hyperlink r:id="rId267">
        <w:r>
          <w:rPr>
            <w:color w:val="1155CC"/>
            <w:u w:val="single"/>
          </w:rPr>
          <w:t>10.1038/d41586-026-00434-x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 </w:t>
      </w:r>
      <w:hyperlink r:id="rId268">
        <w:r>
          <w:rPr>
            <w:color w:val="1155CC"/>
            <w:u w:val="single"/>
          </w:rPr>
          <w:t>石墨烯中的Floquet间隙终于打开了</w:t>
        </w:r>
      </w:hyperlink>
    </w:p>
    <w:p>
      <w:pPr>
        <w:spacing w:before="0" w:after="80"/>
      </w:pPr>
      <w:r>
        <w:rPr>
          <w:i/>
          <w:sz w:val="20"/>
        </w:rPr>
        <w:t>EN: A Floquet gap finally opens in graphene</w:t>
      </w:r>
    </w:p>
    <w:p>
      <w:pPr>
        <w:spacing w:before="0" w:after="120"/>
      </w:pPr>
      <w:r>
        <w:rPr>
          <w:b/>
        </w:rPr>
        <w:t xml:space="preserve">Source: </w:t>
      </w:r>
      <w:r>
        <w:t>Nature Materials</w:t>
      </w:r>
      <w:r>
        <w:t xml:space="preserve">    </w:t>
      </w:r>
      <w:r>
        <w:rPr>
          <w:b/>
        </w:rPr>
        <w:t xml:space="preserve">Pub date: </w:t>
      </w:r>
      <w:r>
        <w:t>2026-03-23 00:00:00+00:00</w:t>
      </w:r>
      <w:r>
        <w:t xml:space="preserve">    </w:t>
      </w:r>
      <w:r>
        <w:rPr>
          <w:b/>
        </w:rPr>
        <w:t xml:space="preserve">DOI: </w:t>
      </w:r>
      <w:hyperlink r:id="rId269">
        <w:r>
          <w:rPr>
            <w:color w:val="1155CC"/>
            <w:u w:val="single"/>
          </w:rPr>
          <w:t>10.1038/s41563-026-02548-z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 </w:t>
      </w:r>
      <w:hyperlink r:id="rId270">
        <w:r>
          <w:rPr>
            <w:color w:val="1155CC"/>
            <w:u w:val="single"/>
          </w:rPr>
          <w:t>人类优越于自然的观念是如何被发明的</w:t>
        </w:r>
      </w:hyperlink>
    </w:p>
    <w:p>
      <w:pPr>
        <w:spacing w:before="0" w:after="80"/>
      </w:pPr>
      <w:r>
        <w:rPr>
          <w:i/>
          <w:sz w:val="20"/>
        </w:rPr>
        <w:t>EN: How the idea of human superiority over nature was invented</w:t>
      </w:r>
    </w:p>
    <w:p>
      <w:pPr>
        <w:spacing w:before="0" w:after="120"/>
      </w:pPr>
      <w:r>
        <w:rPr>
          <w:b/>
        </w:rPr>
        <w:t xml:space="preserve">Source: </w:t>
      </w:r>
      <w:r>
        <w:t>Nature</w:t>
      </w:r>
      <w:r>
        <w:t xml:space="preserve">    </w:t>
      </w:r>
      <w:r>
        <w:rPr>
          <w:b/>
        </w:rPr>
        <w:t xml:space="preserve">Pub date: </w:t>
      </w:r>
      <w:r>
        <w:t>2026-03-23 00:00:00+00:00</w:t>
      </w:r>
      <w:r>
        <w:t xml:space="preserve">    </w:t>
      </w:r>
      <w:r>
        <w:rPr>
          <w:b/>
        </w:rPr>
        <w:t xml:space="preserve">DOI: </w:t>
      </w:r>
      <w:hyperlink r:id="rId271">
        <w:r>
          <w:rPr>
            <w:color w:val="1155CC"/>
            <w:u w:val="single"/>
          </w:rPr>
          <w:t>10.1038/d41586-026-00881-6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 </w:t>
      </w:r>
      <w:hyperlink r:id="rId272">
        <w:r>
          <w:rPr>
            <w:color w:val="1155CC"/>
            <w:u w:val="single"/>
          </w:rPr>
          <w:t>用于氮空位中心自旋的CMOS控制器</w:t>
        </w:r>
      </w:hyperlink>
    </w:p>
    <w:p>
      <w:pPr>
        <w:spacing w:before="0" w:after="80"/>
      </w:pPr>
      <w:r>
        <w:rPr>
          <w:i/>
          <w:sz w:val="20"/>
        </w:rPr>
        <w:t>EN: A CMOS controller for nitrogen–vacancy centre spins</w:t>
      </w:r>
    </w:p>
    <w:p>
      <w:pPr>
        <w:spacing w:before="0" w:after="120"/>
      </w:pPr>
      <w:r>
        <w:rPr>
          <w:b/>
        </w:rPr>
        <w:t xml:space="preserve">Source: </w:t>
      </w:r>
      <w:r>
        <w:t>Nature Electronics</w:t>
      </w:r>
      <w:r>
        <w:t xml:space="preserve">    </w:t>
      </w:r>
      <w:r>
        <w:rPr>
          <w:b/>
        </w:rPr>
        <w:t xml:space="preserve">Pub date: </w:t>
      </w:r>
      <w:r>
        <w:t>2026-03-23 00:00:00+00:00</w:t>
      </w:r>
      <w:r>
        <w:t xml:space="preserve">    </w:t>
      </w:r>
      <w:r>
        <w:rPr>
          <w:b/>
        </w:rPr>
        <w:t xml:space="preserve">DOI: </w:t>
      </w:r>
      <w:hyperlink r:id="rId273">
        <w:r>
          <w:rPr>
            <w:color w:val="1155CC"/>
            <w:u w:val="single"/>
          </w:rPr>
          <w:t>10.1038/s41928-026-01603-6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 </w:t>
      </w:r>
      <w:hyperlink r:id="rId274">
        <w:r>
          <w:rPr>
            <w:color w:val="1155CC"/>
            <w:u w:val="single"/>
          </w:rPr>
          <w:t>基于忆阻器芯片的原位光谱重建用于节能计算光谱学</w:t>
        </w:r>
      </w:hyperlink>
    </w:p>
    <w:p>
      <w:pPr>
        <w:spacing w:before="0" w:after="80"/>
      </w:pPr>
      <w:r>
        <w:rPr>
          <w:i/>
          <w:sz w:val="20"/>
        </w:rPr>
        <w:t>EN: In situ spectral reconstruction based on a memristor chip for energy-efficient computational spectrometry</w:t>
      </w:r>
    </w:p>
    <w:p>
      <w:pPr>
        <w:spacing w:before="0" w:after="120"/>
      </w:pPr>
      <w:r>
        <w:rPr>
          <w:b/>
        </w:rPr>
        <w:t xml:space="preserve">Source: </w:t>
      </w:r>
      <w:r>
        <w:t>Nature Electronics</w:t>
      </w:r>
      <w:r>
        <w:t xml:space="preserve">    </w:t>
      </w:r>
      <w:r>
        <w:rPr>
          <w:b/>
        </w:rPr>
        <w:t xml:space="preserve">Pub date: </w:t>
      </w:r>
      <w:r>
        <w:t>2026-03-23 00:00:00+00:00</w:t>
      </w:r>
      <w:r>
        <w:t xml:space="preserve">    </w:t>
      </w:r>
      <w:r>
        <w:rPr>
          <w:b/>
        </w:rPr>
        <w:t xml:space="preserve">DOI: </w:t>
      </w:r>
      <w:hyperlink r:id="rId275">
        <w:r>
          <w:rPr>
            <w:color w:val="1155CC"/>
            <w:u w:val="single"/>
          </w:rPr>
          <w:t>10.1038/s41928-026-01571-x</w:t>
        </w:r>
      </w:hyperlink>
    </w:p>
    <w:p>
      <w:pPr>
        <w:spacing w:before="0" w:after="120"/>
      </w:pPr>
      <w:r>
        <w:rPr>
          <w:b/>
        </w:rPr>
        <w:t xml:space="preserve">Notes: </w:t>
      </w:r>
      <w:r>
        <w:t>abstract_source=nature_html</w:t>
      </w:r>
    </w:p>
    <w:p>
      <w:pPr>
        <w:spacing w:before="0" w:after="80" w:lineRule="auto" w:line="276"/>
      </w:pPr>
      <w:r>
        <w:rPr>
          <w:b/>
        </w:rPr>
        <w:t xml:space="preserve">摘要（ZH）: </w:t>
      </w:r>
      <w:r>
        <w:t>计算光谱仪依赖于重建算法从原始传感器数据中解码光谱信息，具有在便携式、现场光谱分析中的潜在用途。然而，对此类系统的研究主要集中在前端编码设备，而后端解码硬件仍然受到严重的开销限制。在此，我们报告了一种在完全集成的576-Kb忆阻器芯片上实现的原位计算光谱仪。通过系统的鲁棒性分析，我们开发了忆阻正则化和滤波嵌入策略，以克服病态光谱重建的极端敏感性，实现了软件等效的精度。系统级基准测试显示，我们的硬件仅需125.0 ns即可重建一个光谱，消耗6.7 nJ的能量，这是2</w:t>
      </w:r>
    </w:p>
    <w:p>
      <w:pPr>
        <w:spacing w:before="0" w:after="200" w:lineRule="auto" w:line="276"/>
      </w:pPr>
      <w:r>
        <w:rPr>
          <w:b/>
        </w:rPr>
        <w:t xml:space="preserve">Abstract (EN): </w:t>
      </w:r>
      <w:r>
        <w:t>Computational spectrometers, which rely on reconstruction algorithms to decode spectral information from raw sensor data, are of potential use in portable, in-field spectrometry. However, research on such systems primarily focuses on the front-end encoding devices, and back-end decoding hardware remains limited by severe overheads. Here we report an in situ computational spectrometer implemented on a fully integrated 576-Kb memristor chip. With systematic robustness analysis, we develop memristive regularization and filter embedding strategies to overcome the extreme sensitivity of ill-posed spectral reconstruction, achieving software-equivalent accuracy. System-level benchmarking shows that our hardware takes only 125.0 ns to reconstruct one spectrum consuming 6.7 nJ of energy, which is 26.5 times faster and 162.7 times more energy-efficient than state-of-the-art computational spectrometers. Our work illustrates the potential of memristor-chip-based computational spectrometry and provides approaches for efficiently implementing signal processing algorithms on memristor chips.</w:t>
      </w:r>
    </w:p>
    <w:p>
      <w:pPr>
        <w:spacing w:before="120" w:after="120"/>
      </w:pPr>
      <w:r>
        <w:rPr>
          <w:sz w:val="18"/>
        </w:rPr>
        <w:t>——————————————————————————————————————————————————————————————————————</w:t>
      </w:r>
    </w:p>
    <w:p>
      <w:pPr>
        <w:spacing w:before="160" w:after="40" w:line="240" w:lineRule="auto"/>
      </w:pPr>
      <w:r>
        <w:rPr>
          <w:b/>
        </w:rPr>
        <w:t xml:space="preserve">[51] </w:t>
      </w:r>
      <w:hyperlink r:id="rId276">
        <w:r>
          <w:rPr>
            <w:color w:val="1155CC"/>
            <w:u w:val="single"/>
          </w:rPr>
          <w:t>氮化镓中的高迁移率空穴及其量子振荡</w:t>
        </w:r>
      </w:hyperlink>
    </w:p>
    <w:p>
      <w:pPr>
        <w:spacing w:before="0" w:after="80"/>
      </w:pPr>
      <w:r>
        <w:rPr>
          <w:i/>
          <w:sz w:val="20"/>
        </w:rPr>
        <w:t>EN: High-mobility holes in gallium nitride and their quantum oscillations</w:t>
      </w:r>
    </w:p>
    <w:p>
      <w:pPr>
        <w:spacing w:before="0" w:after="120"/>
      </w:pPr>
      <w:r>
        <w:rPr>
          <w:b/>
        </w:rPr>
        <w:t xml:space="preserve">Source: </w:t>
      </w:r>
      <w:r>
        <w:t>Nature Electronics</w:t>
      </w:r>
      <w:r>
        <w:t xml:space="preserve">    </w:t>
      </w:r>
      <w:r>
        <w:rPr>
          <w:b/>
        </w:rPr>
        <w:t xml:space="preserve">Pub date: </w:t>
      </w:r>
      <w:r>
        <w:t>2026-03-23 00:00:00+00:00</w:t>
      </w:r>
      <w:r>
        <w:t xml:space="preserve">    </w:t>
      </w:r>
      <w:r>
        <w:rPr>
          <w:b/>
        </w:rPr>
        <w:t xml:space="preserve">DOI: </w:t>
      </w:r>
      <w:hyperlink r:id="rId277">
        <w:r>
          <w:rPr>
            <w:color w:val="1155CC"/>
            <w:u w:val="single"/>
          </w:rPr>
          <w:t>10.1038/s41928-026-01590-8</w:t>
        </w:r>
      </w:hyperlink>
    </w:p>
    <w:p>
      <w:pPr>
        <w:spacing w:before="0" w:after="120"/>
      </w:pPr>
      <w:r>
        <w:rPr>
          <w:b/>
        </w:rPr>
        <w:t xml:space="preserve">Notes: </w:t>
      </w:r>
      <w:r>
        <w:t>abstract_source=nature_html</w:t>
      </w:r>
    </w:p>
    <w:p>
      <w:pPr>
        <w:spacing w:before="0" w:after="80" w:lineRule="auto" w:line="276"/>
      </w:pPr>
      <w:r>
        <w:rPr>
          <w:b/>
        </w:rPr>
        <w:t xml:space="preserve">摘要（ZH）: </w:t>
      </w:r>
      <w:r>
        <w:t>氮化镓（GaN）用于固态照明和高性能射频及功率电子器件。然而，由于空穴掺杂效率低和空穴迁移率低，尚未观察到p型GaN中的量子振荡，这限制了价带和空穴传输工程的研究。在此，我们报告了在氮化镓/氮化铝界面上极化诱导的二维空穴气体中高空穴迁移率。空穴退化地占据了GaN的两个价带——轻空穴带和重空穴带，并且在2 K时分别具有2,000 cm2 V−1 s−1和400 cm2 V−1 s−1的迁移率。我们使用来自两个价带的空穴的Shubnikov–de Haas振荡来提取它们各自的片密度、量子散射时间和轻空穴的有效质量。</w:t>
      </w:r>
    </w:p>
    <w:p>
      <w:pPr>
        <w:spacing w:before="0" w:after="200" w:lineRule="auto" w:line="276"/>
      </w:pPr>
      <w:r>
        <w:rPr>
          <w:b/>
        </w:rPr>
        <w:t xml:space="preserve">Abstract (EN): </w:t>
      </w:r>
      <w:r>
        <w:t>Gallium nitride (GaN) is used in solid-state lighting and in high-performance radio frequency and power electronics. However, due to inefficient hole doping and low hole mobility, quantum oscillations in p-type GaN have not been observed, which limits studies of valence bands and hole transport engineering. Here we report high hole mobilities in a polarization-induced two-dimensional hole gas at a gallium nitride/aluminium nitride interface. The holes degenerately occupy two valence bands of GaN—the light-hole and heavy-hole bands—and have mobilities of 2,000 cm2 V−1 s−1 and 400 cm2 V−1 s−1 at 2 K, respectively. We use Shubnikov–de Haas oscillations of holes from both valence bands to extract their respective sheet densities and quantum scattering times and the effective masses of light holes and heavy holes. The hole mobilities of our heterostructure highlight the possibility of developing cryogenic GaN complementary metal–oxide–semiconductor technology with potential applications in quantum computing control electronics.</w:t>
      </w:r>
    </w:p>
    <w:p>
      <w:pPr>
        <w:spacing w:before="120" w:after="120"/>
      </w:pPr>
      <w:r>
        <w:rPr>
          <w:sz w:val="18"/>
        </w:rPr>
        <w:t>——————————————————————————————————————————————————————————————————————</w:t>
      </w:r>
    </w:p>
    <w:p>
      <w:pPr>
        <w:spacing w:before="160" w:after="40" w:line="240" w:lineRule="auto"/>
      </w:pPr>
      <w:r>
        <w:rPr>
          <w:b/>
        </w:rPr>
        <w:t xml:space="preserve">[52] </w:t>
      </w:r>
      <w:hyperlink r:id="rId278">
        <w:r>
          <w:rPr>
            <w:color w:val="1155CC"/>
            <w:u w:val="single"/>
          </w:rPr>
          <w:t>自浮COF基双面膜：增强电荷分离的稳健三相界面用于高效H2O2光合成</w:t>
        </w:r>
      </w:hyperlink>
    </w:p>
    <w:p>
      <w:pPr>
        <w:spacing w:before="0" w:after="80"/>
      </w:pPr>
      <w:r>
        <w:rPr>
          <w:i/>
          <w:sz w:val="20"/>
        </w:rPr>
        <w:t>EN: Self-floating COF-based Janus film: A robust triphase interface boosting charge separation for efficient H2O2 photosynthesis</w:t>
      </w:r>
    </w:p>
    <w:p>
      <w:pPr>
        <w:spacing w:before="0" w:after="120"/>
      </w:pPr>
      <w:r>
        <w:rPr>
          <w:b/>
        </w:rPr>
        <w:t xml:space="preserve">Source: </w:t>
      </w:r>
      <w:r>
        <w:t>Matter</w:t>
      </w:r>
      <w:r>
        <w:t xml:space="preserve">    </w:t>
      </w:r>
      <w:r>
        <w:rPr>
          <w:b/>
        </w:rPr>
        <w:t xml:space="preserve">Pub date: </w:t>
      </w:r>
      <w:r>
        <w:t>2026-03-23 00:00:00+00:00</w:t>
      </w:r>
      <w:r>
        <w:t xml:space="preserve">    </w:t>
      </w:r>
      <w:r>
        <w:rPr>
          <w:b/>
        </w:rPr>
        <w:t xml:space="preserve">DOI: </w:t>
      </w:r>
      <w:hyperlink r:id="rId279">
        <w:r>
          <w:rPr>
            <w:color w:val="1155CC"/>
            <w:u w:val="single"/>
          </w:rPr>
          <w:t>10.1016/j.matt.2026.102679</w:t>
        </w:r>
      </w:hyperlink>
    </w:p>
    <w:p>
      <w:pPr>
        <w:spacing w:before="0" w:after="120"/>
      </w:pPr>
      <w:r>
        <w:rPr>
          <w:b/>
        </w:rPr>
        <w:t xml:space="preserve">Notes: </w:t>
      </w:r>
      <w:r>
        <w:t>abstract_source=rss_cell</w:t>
      </w:r>
    </w:p>
    <w:p>
      <w:pPr>
        <w:spacing w:before="0" w:after="80" w:lineRule="auto" w:line="276"/>
      </w:pPr>
      <w:r>
        <w:rPr>
          <w:b/>
        </w:rPr>
        <w:t xml:space="preserve">摘要（ZH）: </w:t>
      </w:r>
      <w:r>
        <w:t>通过一步界面聚合策略设计了一种自浮COF-[NH2-GO] Janus膜，用于高效H2O2光合成，其中引入的石墨烯促进了光生载流子的分离和转移。同时，自浮膜光催化剂实现了气-液-固三相界面的稳定化，显著增强了O2的传质。</w:t>
      </w:r>
    </w:p>
    <w:p>
      <w:pPr>
        <w:spacing w:before="0" w:after="200" w:lineRule="auto" w:line="276"/>
      </w:pPr>
      <w:r>
        <w:rPr>
          <w:b/>
        </w:rPr>
        <w:t xml:space="preserve">Abstract (EN): </w:t>
      </w:r>
      <w:r>
        <w:t>A self-floating COF-[NH2-GO] Janus film was engineered via a one-step interfacial polymerization strategy for efficient H2O2 photosynthesis, in which the introduced graphene promoted the separation and transfer of photogenerated carriers. Meanwhile, the self-floating film photocatalysts enabled the stabilization of gas-liquid-solid triphase interface, significantly enhancing the O2 mass transfer.</w:t>
      </w:r>
    </w:p>
    <w:p>
      <w:pPr>
        <w:spacing w:before="120" w:after="120"/>
      </w:pPr>
      <w:r>
        <w:rPr>
          <w:sz w:val="18"/>
        </w:rPr>
        <w:t>——————————————————————————————————————————————————————————————————————</w:t>
      </w:r>
    </w:p>
    <w:p>
      <w:pPr>
        <w:spacing w:before="160" w:after="40" w:line="240" w:lineRule="auto"/>
      </w:pPr>
      <w:r>
        <w:rPr>
          <w:b/>
        </w:rPr>
        <w:t xml:space="preserve">[53] </w:t>
      </w:r>
      <w:hyperlink r:id="rId280">
        <w:r>
          <w:rPr>
            <w:color w:val="1155CC"/>
            <w:u w:val="single"/>
          </w:rPr>
          <w:t>用于从H2O和CO2形成前生核糖的流体动力空化</w:t>
        </w:r>
      </w:hyperlink>
    </w:p>
    <w:p>
      <w:pPr>
        <w:spacing w:before="0" w:after="80"/>
      </w:pPr>
      <w:r>
        <w:rPr>
          <w:i/>
          <w:sz w:val="20"/>
        </w:rPr>
        <w:t>EN: Hydrodynamic cavitation for prebiotic ribose formation from H2O and CO2</w:t>
      </w:r>
    </w:p>
    <w:p>
      <w:pPr>
        <w:spacing w:before="0" w:after="120"/>
      </w:pPr>
      <w:r>
        <w:rPr>
          <w:b/>
        </w:rPr>
        <w:t xml:space="preserve">Source: </w:t>
      </w:r>
      <w:r>
        <w:t>National Science Review Advance Access</w:t>
      </w:r>
      <w:r>
        <w:t xml:space="preserve">    </w:t>
      </w:r>
      <w:r>
        <w:rPr>
          <w:b/>
        </w:rPr>
        <w:t xml:space="preserve">Pub date: </w:t>
      </w:r>
      <w:r>
        <w:t>2026-03-23 00:00:00+00:00</w:t>
      </w:r>
      <w:r>
        <w:t xml:space="preserve">    </w:t>
      </w:r>
      <w:r>
        <w:rPr>
          <w:b/>
        </w:rPr>
        <w:t xml:space="preserve">DOI: </w:t>
      </w:r>
      <w:hyperlink r:id="rId281">
        <w:r>
          <w:rPr>
            <w:color w:val="1155CC"/>
            <w:u w:val="single"/>
          </w:rPr>
          <w:t>10.1093/nsr/nwag182</w:t>
        </w:r>
      </w:hyperlink>
    </w:p>
    <w:p>
      <w:pPr>
        <w:spacing w:before="0" w:after="120"/>
      </w:pPr>
      <w:r>
        <w:rPr>
          <w:b/>
        </w:rPr>
        <w:t xml:space="preserve">Notes: </w:t>
      </w:r>
      <w:r>
        <w:t>abstract_source=rss_oup</w:t>
      </w:r>
    </w:p>
    <w:p>
      <w:pPr>
        <w:spacing w:before="0" w:after="80" w:lineRule="auto" w:line="276"/>
      </w:pPr>
      <w:r>
        <w:rPr>
          <w:b/>
        </w:rPr>
        <w:t xml:space="preserve">摘要（ZH）: </w:t>
      </w:r>
      <w:r>
        <w:t>H2O和CO2被认为是生物分子前生物形成的基本前体。在早期地球条件下将其转化为生物分子对于理解生命起源至关重要。然而，从这些简单化合物直接形成仍未得到验证，使得H2O的机制作用未解。在此，我们展示了在前生物条件下通过H2O和CO2合成核糖</w:t>
      </w:r>
    </w:p>
    <w:p>
      <w:pPr>
        <w:spacing w:before="0" w:after="200" w:lineRule="auto" w:line="276"/>
      </w:pPr>
      <w:r>
        <w:rPr>
          <w:b/>
        </w:rPr>
        <w:t xml:space="preserve">Abstract (EN): </w:t>
      </w:r>
      <w:r>
        <w:t>H2O and CO2 are considered as fundamental precursors for the prebiotic formation of biomolecules. Their conversion to biomolecules under early Earth conditions is critical for understanding origin of life. However, direct formation from these simple compounds remains unverified, leaving the mechanistic role of H2O unresolved. Herein, we demonstrate ribose synthesis from H2O and CO2 under prebiotic conditions via</w:t>
      </w:r>
    </w:p>
    <w:p>
      <w:pPr>
        <w:spacing w:before="120" w:after="120"/>
      </w:pPr>
      <w:r>
        <w:rPr>
          <w:sz w:val="18"/>
        </w:rPr>
        <w:t>——————————————————————————————————————————————————————————————————————</w:t>
      </w:r>
    </w:p>
    <w:p>
      <w:pPr>
        <w:spacing w:before="160" w:after="40" w:line="240" w:lineRule="auto"/>
      </w:pPr>
      <w:r>
        <w:rPr>
          <w:b/>
        </w:rPr>
        <w:t xml:space="preserve">[54] </w:t>
      </w:r>
      <w:hyperlink r:id="rId282">
        <w:r>
          <w:rPr>
            <w:color w:val="1155CC"/>
            <w:u w:val="single"/>
          </w:rPr>
          <w:t>硅量子处理器中的通用逻辑操作</w:t>
        </w:r>
      </w:hyperlink>
    </w:p>
    <w:p>
      <w:pPr>
        <w:spacing w:before="0" w:after="80"/>
      </w:pPr>
      <w:r>
        <w:rPr>
          <w:i/>
          <w:sz w:val="20"/>
        </w:rPr>
        <w:t>EN: Universal logical operations in a silicon quantum processor</w:t>
      </w:r>
    </w:p>
    <w:p>
      <w:pPr>
        <w:spacing w:before="0" w:after="120"/>
      </w:pPr>
      <w:r>
        <w:rPr>
          <w:b/>
        </w:rPr>
        <w:t xml:space="preserve">Source: </w:t>
      </w:r>
      <w:r>
        <w:t>Nature Nanotechnology</w:t>
      </w:r>
      <w:r>
        <w:t xml:space="preserve">    </w:t>
      </w:r>
      <w:r>
        <w:rPr>
          <w:b/>
        </w:rPr>
        <w:t xml:space="preserve">Pub date: </w:t>
      </w:r>
      <w:r>
        <w:t>2026-03-23 00:00:00+00:00</w:t>
      </w:r>
      <w:r>
        <w:t xml:space="preserve">    </w:t>
      </w:r>
      <w:r>
        <w:rPr>
          <w:b/>
        </w:rPr>
        <w:t xml:space="preserve">DOI: </w:t>
      </w:r>
      <w:hyperlink r:id="rId283">
        <w:r>
          <w:rPr>
            <w:color w:val="1155CC"/>
            <w:u w:val="single"/>
          </w:rPr>
          <w:t>10.1038/s41565-026-02140-1</w:t>
        </w:r>
      </w:hyperlink>
    </w:p>
    <w:p>
      <w:pPr>
        <w:spacing w:before="0" w:after="120"/>
      </w:pPr>
      <w:r>
        <w:rPr>
          <w:b/>
        </w:rPr>
        <w:t xml:space="preserve">Notes: </w:t>
      </w:r>
      <w:r>
        <w:t>abstract_source=nature_html</w:t>
      </w:r>
    </w:p>
    <w:p>
      <w:pPr>
        <w:spacing w:before="0" w:after="80" w:lineRule="auto" w:line="276"/>
      </w:pPr>
      <w:r>
        <w:rPr>
          <w:b/>
        </w:rPr>
        <w:t xml:space="preserve">摘要（ZH）: </w:t>
      </w:r>
      <w:r>
        <w:t>量子误差由环境噪声引起是不可避免的，并且阻碍了实用量子计算的直接实现。容错量子计算提供了一条可行的路径，需要在逻辑量子比特中编码和处理信息以抑制此类误差。尽管最近在构建硅量子计算机方面取得了重大进展，但在硅中仍未实现逻辑操作。在此，我们展示了使用硅中的磷供体簇的逻辑量子处理器。通过实现[[4, 2, 2]]码，我们实现了逻辑操作的基本组件，包括逻辑态的容错制备和包含逻辑单量子比特和双量子比特的通用门集的表征。</w:t>
      </w:r>
    </w:p>
    <w:p>
      <w:pPr>
        <w:spacing w:before="0" w:after="200" w:lineRule="auto" w:line="276"/>
      </w:pPr>
      <w:r>
        <w:rPr>
          <w:b/>
        </w:rPr>
        <w:t xml:space="preserve">Abstract (EN): </w:t>
      </w:r>
      <w:r>
        <w:t>Quantum errors induced by environmental noise are unavoidable and preclude the direct implementation of practical quantum computation. Fault-tolerant quantum computation offers one of the viable paths, necessitating the encoding and processing of information within logical qubits to curb such errors. Although substantial progress has been achieved recently in building silicon quantum computers, logical operations still haven’t been realized in silicon. Here we demonstrate a logical quantum processor using a phosphorus donor cluster in silicon. By implementing the [[4, 2, 2]] code, we realize the essential components for logical operations, which include fault-tolerant preparation of logical states and the characterization of a universal gate set comprising logical single-qubit and two-qubit gates. In particular, the logical T gate is achieved using the gate-by-measurement method, and magic states based on this gate are prepared. Furthermore, we execute the variational quantum eigensolver algorithm using two logical qubits and simulate the ground state of the electronic structure of the water molecule H2O. This work represents a key step towards scalable, fault-tolerant quantum computation in silicon spin qubits.</w:t>
      </w:r>
    </w:p>
    <w:p>
      <w:pPr>
        <w:spacing w:before="120" w:after="120"/>
      </w:pPr>
      <w:r>
        <w:rPr>
          <w:sz w:val="18"/>
        </w:rPr>
        <w:t>——————————————————————————————————————————————————————————————————————</w:t>
      </w:r>
    </w:p>
    <w:p>
      <w:pPr>
        <w:spacing w:before="160" w:after="40" w:line="240" w:lineRule="auto"/>
      </w:pPr>
      <w:r>
        <w:rPr>
          <w:b/>
        </w:rPr>
        <w:t xml:space="preserve">[55] </w:t>
      </w:r>
      <w:hyperlink r:id="rId284">
        <w:r>
          <w:rPr>
            <w:color w:val="1155CC"/>
            <w:u w:val="single"/>
          </w:rPr>
          <w:t>埋藏界面处原子尺度反铁磁有序的磁圆二色性成像</w:t>
        </w:r>
      </w:hyperlink>
    </w:p>
    <w:p>
      <w:pPr>
        <w:spacing w:before="0" w:after="80"/>
      </w:pPr>
      <w:r>
        <w:rPr>
          <w:i/>
          <w:sz w:val="20"/>
        </w:rPr>
        <w:t>EN: Magnetic circular dichroism imaging of atomic-scale antiferromagnetic order at a buried interface</w:t>
      </w:r>
    </w:p>
    <w:p>
      <w:pPr>
        <w:spacing w:before="0" w:after="120"/>
      </w:pPr>
      <w:r>
        <w:rPr>
          <w:b/>
        </w:rPr>
        <w:t xml:space="preserve">Source: </w:t>
      </w:r>
      <w:r>
        <w:t>Nature Nanotechnology</w:t>
      </w:r>
      <w:r>
        <w:t xml:space="preserve">    </w:t>
      </w:r>
      <w:r>
        <w:rPr>
          <w:b/>
        </w:rPr>
        <w:t xml:space="preserve">Pub date: </w:t>
      </w:r>
      <w:r>
        <w:t>2026-03-23 00:00:00+00:00</w:t>
      </w:r>
      <w:r>
        <w:t xml:space="preserve">    </w:t>
      </w:r>
      <w:r>
        <w:rPr>
          <w:b/>
        </w:rPr>
        <w:t xml:space="preserve">DOI: </w:t>
      </w:r>
      <w:hyperlink r:id="rId285">
        <w:r>
          <w:rPr>
            <w:color w:val="1155CC"/>
            <w:u w:val="single"/>
          </w:rPr>
          <w:t>10.1038/s41565-026-02134-z</w:t>
        </w:r>
      </w:hyperlink>
    </w:p>
    <w:p>
      <w:pPr>
        <w:spacing w:before="0" w:after="120"/>
      </w:pPr>
      <w:r>
        <w:rPr>
          <w:b/>
        </w:rPr>
        <w:t xml:space="preserve">Notes: </w:t>
      </w:r>
      <w:r>
        <w:t>abstract_source=nature_html</w:t>
      </w:r>
    </w:p>
    <w:p>
      <w:pPr>
        <w:spacing w:before="0" w:after="80" w:lineRule="auto" w:line="276"/>
      </w:pPr>
      <w:r>
        <w:rPr>
          <w:b/>
        </w:rPr>
        <w:t xml:space="preserve">摘要（ZH）: </w:t>
      </w:r>
      <w:r>
        <w:t>利用电子或X射线的磁圆二色性是研究铁磁体磁性的强大工具，但反铁磁体由于其净磁化消失对该技术构成了严峻挑战。尽管透射电子显微镜已经展示了使用弹性散射电子对反铁磁性进行原子尺度表征，但从占主导地位的静电背景中分离出微弱的磁信号仍然具有挑战性，并且适用性主要限于完美晶体。在此，我们开发了原子柱分辨的电子磁圆二色性，以使用扫描透射电子显微镜解析反铁磁有序。通过利用单个磁性原子柱周围的手性，我们定位了磁性。</w:t>
      </w:r>
    </w:p>
    <w:p>
      <w:pPr>
        <w:spacing w:before="0" w:after="200" w:lineRule="auto" w:line="276"/>
      </w:pPr>
      <w:r>
        <w:rPr>
          <w:b/>
        </w:rPr>
        <w:t xml:space="preserve">Abstract (EN): </w:t>
      </w:r>
      <w:r>
        <w:t>Magnetic circular dichroism utilizing electrons or X-rays serves as a powerful tool for the investigation of magnetism in ferromagnets, but antiferromagnets pose a severe challenge to the technique due to their vanishing net magnetization. Although transmission electron microscopy has demonstrated the atomic-scale characterization of antiferromagnetism using elastically scattered electrons, separating the weak magnetic signal from the dominant electrostatic background remains challenging, and applicability is largely limited to perfect crystals. Here we develop atomic-column-resolved electron magnetic circular dichroism to resolve antiferromagnetic order using a scanning transmission electron microscope. By exploiting chirality around individual magnetic atomic columns, we localize the magnetic circular dichroism signals around the transmitted electron beam with enhanced strength and signal-to-noise ratio, enabling atomic-column magnetic measurements. Applying this technique to antiferromagnets, we not only distinguish the characteristic G-type and C-type antiferromagnetic orderings in DyFeO3 and α-Fe2O3 but also identify a one-unit-cell-thick magnetic dead layer at the buried DyScO3–SmFeO3 interface. Our work establishes a readily accessible method for atomic-scale magnetic order mapping, with potential applications in fields such as interfacial magnetism, topological magnetism, antiferromagnetism and altermagnetism.</w:t>
      </w:r>
    </w:p>
    <w:p>
      <w:pPr>
        <w:spacing w:before="120" w:after="120"/>
      </w:pPr>
      <w:r>
        <w:rPr>
          <w:sz w:val="18"/>
        </w:rPr>
        <w:t>——————————————————————————————————————————————————————————————————————</w:t>
      </w:r>
    </w:p>
    <w:p>
      <w:pPr>
        <w:spacing w:before="160" w:after="40" w:line="240" w:lineRule="auto"/>
      </w:pPr>
      <w:r>
        <w:rPr>
          <w:b/>
        </w:rPr>
        <w:t xml:space="preserve">[56] </w:t>
      </w:r>
      <w:hyperlink r:id="rId286">
        <w:r>
          <w:rPr>
            <w:color w:val="1155CC"/>
            <w:u w:val="single"/>
          </w:rPr>
          <w:t>分子工程化的电子选择性自组装单分子层增强了倒置钙钛矿太阳能电池中的准费米能级分裂</w:t>
        </w:r>
      </w:hyperlink>
    </w:p>
    <w:p>
      <w:pPr>
        <w:spacing w:before="0" w:after="80"/>
      </w:pPr>
      <w:r>
        <w:rPr>
          <w:i/>
          <w:sz w:val="20"/>
        </w:rPr>
        <w:t>EN: A molecularly engineered electron-selective self-assembled monolayer enhances quasi-Fermi level splitting in inverted perovskite solar cells</w:t>
      </w:r>
    </w:p>
    <w:p>
      <w:pPr>
        <w:spacing w:before="0" w:after="120"/>
      </w:pPr>
      <w:r>
        <w:rPr>
          <w:b/>
        </w:rPr>
        <w:t xml:space="preserve">Source: </w:t>
      </w:r>
      <w:r>
        <w:t>Nature Energy</w:t>
      </w:r>
      <w:r>
        <w:t xml:space="preserve">    </w:t>
      </w:r>
      <w:r>
        <w:rPr>
          <w:b/>
        </w:rPr>
        <w:t xml:space="preserve">Pub date: </w:t>
      </w:r>
      <w:r>
        <w:t>2026-03-23 00:00:00+00:00</w:t>
      </w:r>
      <w:r>
        <w:t xml:space="preserve">    </w:t>
      </w:r>
      <w:r>
        <w:rPr>
          <w:b/>
        </w:rPr>
        <w:t xml:space="preserve">DOI: </w:t>
      </w:r>
      <w:hyperlink r:id="rId287">
        <w:r>
          <w:rPr>
            <w:color w:val="1155CC"/>
            <w:u w:val="single"/>
          </w:rPr>
          <w:t>10.1038/s41560-026-02025-6</w:t>
        </w:r>
      </w:hyperlink>
    </w:p>
    <w:p>
      <w:pPr>
        <w:spacing w:before="0" w:after="120"/>
      </w:pPr>
      <w:r>
        <w:rPr>
          <w:b/>
        </w:rPr>
        <w:t xml:space="preserve">Notes: </w:t>
      </w:r>
      <w:r>
        <w:t>abstract_source=nature_html</w:t>
      </w:r>
    </w:p>
    <w:p>
      <w:pPr>
        <w:spacing w:before="0" w:after="80" w:lineRule="auto" w:line="276"/>
      </w:pPr>
      <w:r>
        <w:rPr>
          <w:b/>
        </w:rPr>
        <w:t xml:space="preserve">摘要（ZH）: </w:t>
      </w:r>
      <w:r>
        <w:t>最大化准费米能级分裂对于在钙钛矿太阳能电池中实现高光电压至关重要。传统策略优先考虑在钙钛矿/富勒烯界面处快速电荷提取，可能会耗尽界面载流子群，限制准费米能级分裂和光电压。在此，我们证明了合理的界面设计有利于减缓提取速率，保留界面载流子，同时最小化非辐射复合。我们引入了3PDPA，这是一种分子工程的电子选择性自组装单层，位于钙钛矿/C60界面。3PDPA减缓电子提取，锚定未配位的Pb2+离子，并与FA+阳离子形成稳定的六元氢键环，提供了强大的钝化和优异的化学稳定性。</w:t>
      </w:r>
    </w:p>
    <w:p>
      <w:pPr>
        <w:spacing w:before="0" w:after="200" w:lineRule="auto" w:line="276"/>
      </w:pPr>
      <w:r>
        <w:rPr>
          <w:b/>
        </w:rPr>
        <w:t xml:space="preserve">Abstract (EN): </w:t>
      </w:r>
      <w:r>
        <w:t>Maximizing quasi-Fermi level splitting is essential for achieving high photovoltage in perovskite solar cells. Conventional strategies that prioritize rapid charge extraction at the perovskite/fullerene interface, can deplete interfacial carrier populations, limiting quasi-Fermi level splitting and photovoltage. Here we demonstrate that rational interface design benefits for slowed extraction rate, preserving interfacial carriers while minimizing non-radiative recombination. We introduce 3PDPA, a molecularly engineered electron-selective self-assembled monolayer at the perovskite/C60 interface. 3PDPA slows electron extraction, anchors undercoordinated Pb2+ ions and forms stable six-membered hydrogen-bonded rings with FA+ cations, delivering robust passivation and excellent chemical stability. 3PDPA further enables π–π interactions with C60, improving interfacial contact and reducing potential fluctuations. Inverted cells incorporating 3PDPA achieve efficiencies of 26.82% for 1.53 eV bandgap cells and 21.2% for 1.77 eV bandgap cells, alongside a T90 lifetime of ~1,000 h under International Summit on Organic Photovoltaic Stability (ISOS-L-3) stress conditions.</w:t>
      </w:r>
    </w:p>
    <w:p>
      <w:pPr>
        <w:spacing w:before="120" w:after="120"/>
      </w:pPr>
      <w:r>
        <w:rPr>
          <w:sz w:val="18"/>
        </w:rPr>
        <w:t>——————————————————————————————————————————————————————————————————————</w:t>
      </w:r>
    </w:p>
    <w:p>
      <w:pPr>
        <w:spacing w:before="160" w:after="40" w:line="240" w:lineRule="auto"/>
      </w:pPr>
      <w:r>
        <w:rPr>
          <w:b/>
        </w:rPr>
        <w:t xml:space="preserve">[57] </w:t>
      </w:r>
      <w:hyperlink r:id="rId288">
        <w:r>
          <w:rPr>
            <w:color w:val="1155CC"/>
            <w:u w:val="single"/>
          </w:rPr>
          <w:t>对超宽带电磁干扰的可穿戴织物</w:t>
        </w:r>
      </w:hyperlink>
    </w:p>
    <w:p>
      <w:pPr>
        <w:spacing w:before="0" w:after="80"/>
      </w:pPr>
      <w:r>
        <w:rPr>
          <w:i/>
          <w:sz w:val="20"/>
        </w:rPr>
        <w:t>EN: Wearable fabrics against ultra-broadband electromagnetic interference</w:t>
      </w:r>
    </w:p>
    <w:p>
      <w:pPr>
        <w:spacing w:before="0" w:after="120"/>
      </w:pPr>
      <w:r>
        <w:rPr>
          <w:b/>
        </w:rPr>
        <w:t xml:space="preserve">Source: </w:t>
      </w:r>
      <w:r>
        <w:t>Matter</w:t>
      </w:r>
      <w:r>
        <w:t xml:space="preserve">    </w:t>
      </w:r>
      <w:r>
        <w:rPr>
          <w:b/>
        </w:rPr>
        <w:t xml:space="preserve">Pub date: </w:t>
      </w:r>
      <w:r>
        <w:t>2026-03-23 00:00:00+00:00</w:t>
      </w:r>
      <w:r>
        <w:t xml:space="preserve">    </w:t>
      </w:r>
      <w:r>
        <w:rPr>
          <w:b/>
        </w:rPr>
        <w:t xml:space="preserve">DOI: </w:t>
      </w:r>
      <w:hyperlink r:id="rId289">
        <w:r>
          <w:rPr>
            <w:color w:val="1155CC"/>
            <w:u w:val="single"/>
          </w:rPr>
          <w:t>10.1016/j.matt.2026.102697</w:t>
        </w:r>
      </w:hyperlink>
    </w:p>
    <w:p>
      <w:pPr>
        <w:spacing w:before="0" w:after="120"/>
      </w:pPr>
      <w:r>
        <w:rPr>
          <w:b/>
        </w:rPr>
        <w:t xml:space="preserve">Notes: </w:t>
      </w:r>
      <w:r>
        <w:t>abstract_source=rss_cell</w:t>
      </w:r>
    </w:p>
    <w:p>
      <w:pPr>
        <w:spacing w:before="0" w:after="80" w:lineRule="auto" w:line="276"/>
      </w:pPr>
      <w:r>
        <w:rPr>
          <w:b/>
        </w:rPr>
        <w:t xml:space="preserve">摘要（ZH）: </w:t>
      </w:r>
      <w:r>
        <w:t>通过双重热退火工程化的核壳复合材料在柔性织物上实现了创纪录的宽带EMI屏蔽（在100 kHz时为99.9 dB），并通过体外神经保护验证——为临床医生提供下一代可穿戴保护。</w:t>
      </w:r>
    </w:p>
    <w:p>
      <w:pPr>
        <w:spacing w:before="0" w:after="200" w:lineRule="auto" w:line="276"/>
      </w:pPr>
      <w:r>
        <w:rPr>
          <w:b/>
        </w:rPr>
        <w:t xml:space="preserve">Abstract (EN): </w:t>
      </w:r>
      <w:r>
        <w:t>A core-shell composite, engineered via dual thermal annealing, achieves record broadband EMI shielding (99.9 dB at 100 kHz) on a flexible fabric, validated by in vitro neuroprotection—enabling next-generation wearable protection for clinicians.</w:t>
      </w:r>
    </w:p>
    <w:p>
      <w:pPr>
        <w:spacing w:before="120" w:after="120"/>
      </w:pPr>
      <w:r>
        <w:rPr>
          <w:sz w:val="18"/>
        </w:rPr>
        <w:t>——————————————————————————————————————————————————————————————————————</w:t>
      </w:r>
    </w:p>
    <w:p>
      <w:pPr>
        <w:spacing w:before="160" w:after="40" w:line="240" w:lineRule="auto"/>
      </w:pPr>
      <w:r>
        <w:rPr>
          <w:b/>
        </w:rPr>
        <w:t xml:space="preserve">[58] </w:t>
      </w:r>
      <w:hyperlink r:id="rId290">
        <w:r>
          <w:rPr>
            <w:color w:val="1155CC"/>
            <w:u w:val="single"/>
          </w:rPr>
          <w:t>有机库仑玻璃中的相关电荷传输</w:t>
        </w:r>
      </w:hyperlink>
    </w:p>
    <w:p>
      <w:pPr>
        <w:spacing w:before="0" w:after="80"/>
      </w:pPr>
      <w:r>
        <w:rPr>
          <w:i/>
          <w:sz w:val="20"/>
        </w:rPr>
        <w:t>EN: Correlated Charge Transport in an Organic Coulomb Glass</w:t>
      </w:r>
    </w:p>
    <w:p>
      <w:pPr>
        <w:spacing w:before="0" w:after="120"/>
      </w:pPr>
      <w:r>
        <w:rPr>
          <w:b/>
        </w:rPr>
        <w:t xml:space="preserve">Source: </w:t>
      </w:r>
      <w:r>
        <w:t>Wiley: Advanced Materials: Table of Contents</w:t>
      </w:r>
      <w:r>
        <w:t xml:space="preserve">    </w:t>
      </w:r>
      <w:r>
        <w:rPr>
          <w:b/>
        </w:rPr>
        <w:t xml:space="preserve">Pub date: </w:t>
      </w:r>
      <w:r>
        <w:t>2026-03-23 04:44:16+00:00</w:t>
      </w:r>
      <w:r>
        <w:t xml:space="preserve">    </w:t>
      </w:r>
      <w:r>
        <w:rPr>
          <w:b/>
        </w:rPr>
        <w:t xml:space="preserve">DOI: </w:t>
      </w:r>
      <w:hyperlink r:id="rId291">
        <w:r>
          <w:rPr>
            <w:color w:val="1155CC"/>
            <w:u w:val="single"/>
          </w:rPr>
          <w:t>10.1002/adma.202522965</w:t>
        </w:r>
      </w:hyperlink>
    </w:p>
    <w:p>
      <w:pPr>
        <w:spacing w:before="0" w:after="120"/>
      </w:pPr>
      <w:r>
        <w:rPr>
          <w:b/>
        </w:rPr>
        <w:t xml:space="preserve">Notes: </w:t>
      </w:r>
      <w:r>
        <w:t>abstract_source=crossref</w:t>
      </w:r>
    </w:p>
    <w:p>
      <w:pPr>
        <w:spacing w:before="0" w:after="80" w:lineRule="auto" w:line="276"/>
      </w:pPr>
      <w:r>
        <w:rPr>
          <w:b/>
        </w:rPr>
        <w:t xml:space="preserve">摘要（ZH）: </w:t>
      </w:r>
      <w:r>
        <w:t>摘要 有机场效应晶体管（OFETs）、电控有机半导体（EGOFETs）和有机电化学晶体管（OECTs）的发展进步使这些器件能够在非常高的电荷载流子密度下运行，此时载流子之间的库仑相互作用预计会变得显著。我们使用动力学蒙特卡罗（KMC）模拟研究了这种库仑相互作用在类似OFET结构中的影响。与忽略载流子间相互作用的类似结构相比，我们发现载流子迁移率降低，活化能增加。随着栅极电压（即电荷密度）的增加，这种效应增强。我们将其与不同传输机制的出现联系起来。</w:t>
      </w:r>
    </w:p>
    <w:p>
      <w:pPr>
        <w:spacing w:before="0" w:after="200" w:lineRule="auto" w:line="276"/>
      </w:pPr>
      <w:r>
        <w:rPr>
          <w:b/>
        </w:rPr>
        <w:t xml:space="preserve">Abstract (EN): </w:t>
      </w:r>
      <w:r>
        <w:t>Advances in the development of organic field‐effect transistors (OFETs), electrically gated organic semiconductors (EGOFETs), and organic electrochemical transistors (OECTs) allow for the operation of these devices at very high charge‐carrier densities, where Coulomb interactions between carriers can be expected to become significant. We have studied the effects of such Coulomb interactions in an OFET‐like structure using Kinetic Monte Carlo (KMC) simulations. Compared to an analogous structure where carrier‐carrier interactions are neglected, we find a reduction in carrier mobility and an increase in activation energy. This effect increases with increasing gate voltage, i.e., charge density. We associate this with the emergence of a different transport regime where correlated transport prevails and where a Coulomb gap appears in a dynamic density of states (DOS), consistent with previous work. We demonstrate that at these high densities, the charges in the organic semiconductor behave like those in a Coulomb glass. In this context, the activation energy for transport is reinterpreted to relate to the structural reorganization of the carrier ensemble. Unlike in inorganic semiconductors, for the organic semiconductor system, we find the appearance of a Coulomb gap to occur even at ambient temperature, and it does not require variable‐range hopping.</w:t>
      </w:r>
    </w:p>
    <w:p>
      <w:pPr>
        <w:spacing w:before="120" w:after="120"/>
      </w:pPr>
      <w:r>
        <w:rPr>
          <w:sz w:val="18"/>
        </w:rPr>
        <w:t>——————————————————————————————————————————————————————————————————————</w:t>
      </w:r>
    </w:p>
    <w:p>
      <w:pPr>
        <w:spacing w:before="160" w:after="40" w:line="240" w:lineRule="auto"/>
      </w:pPr>
      <w:r>
        <w:rPr>
          <w:b/>
        </w:rPr>
        <w:t xml:space="preserve">[59] </w:t>
      </w:r>
      <w:hyperlink r:id="rId292">
        <w:r>
          <w:rPr>
            <w:color w:val="1155CC"/>
            <w:u w:val="single"/>
          </w:rPr>
          <w:t>用于基于荧光寿命的温度传感的混合Mn(II)基卤化物凝胶薄膜</w:t>
        </w:r>
      </w:hyperlink>
    </w:p>
    <w:p>
      <w:pPr>
        <w:spacing w:before="0" w:after="80"/>
      </w:pPr>
      <w:r>
        <w:rPr>
          <w:i/>
          <w:sz w:val="20"/>
        </w:rPr>
        <w:t>EN: Hybrid Mn(II)‐Based Halides Gel Films for Fluorescence Lifetime‐Based Temperature Sensing</w:t>
      </w:r>
    </w:p>
    <w:p>
      <w:pPr>
        <w:spacing w:before="0" w:after="120"/>
      </w:pPr>
      <w:r>
        <w:rPr>
          <w:b/>
        </w:rPr>
        <w:t xml:space="preserve">Source: </w:t>
      </w:r>
      <w:r>
        <w:t>Wiley: Advanced Materials: Table of Contents</w:t>
      </w:r>
      <w:r>
        <w:t xml:space="preserve">    </w:t>
      </w:r>
      <w:r>
        <w:rPr>
          <w:b/>
        </w:rPr>
        <w:t xml:space="preserve">Pub date: </w:t>
      </w:r>
      <w:r>
        <w:t>2026-03-23 04:46:06+00:00</w:t>
      </w:r>
      <w:r>
        <w:t xml:space="preserve">    </w:t>
      </w:r>
      <w:r>
        <w:rPr>
          <w:b/>
        </w:rPr>
        <w:t xml:space="preserve">DOI: </w:t>
      </w:r>
      <w:hyperlink r:id="rId293">
        <w:r>
          <w:rPr>
            <w:color w:val="1155CC"/>
            <w:u w:val="single"/>
          </w:rPr>
          <w:t>10.1002/adma.72878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监测荧光材料的温度依赖性发光特性变化来感知温度，对于现代工业、科学研究和日常生活等各种应用领域具有重要意义。然而，光学测温存在两个主要问题，一个是灵敏度低，特别是在高温下，无法满足精确测量的需求；另一个问题是如何在原位环境中应用测温技术。在此，我们设计并报告了一种混合锰基卤化物测温技术，其在463 K时的相对灵敏度（S</w:t>
      </w:r>
      <w:r>
        <w:t xml:space="preserve"> </w:t>
      </w:r>
      <w:r>
        <w:t>r</w:t>
      </w:r>
      <w:r>
        <w:t xml:space="preserve"> </w:t>
      </w:r>
      <w:r>
        <w:t>）为26.368% K</w:t>
      </w:r>
      <w:r>
        <w:t xml:space="preserve"> </w:t>
      </w:r>
      <w:r>
        <w:t>−</w:t>
      </w:r>
      <w:r>
        <w:t>1。我们进一步</w:t>
      </w:r>
    </w:p>
    <w:p>
      <w:pPr>
        <w:spacing w:before="0" w:after="200" w:lineRule="auto" w:line="276"/>
      </w:pPr>
      <w:r>
        <w:rPr>
          <w:b/>
        </w:rPr>
        <w:t xml:space="preserve">Abstract (EN): </w:t>
      </w:r>
      <w:r>
        <w:t>Sensing temperature using fluorescent materials by monitoring alterations in temperature‐dependent luminescence characteristics is of great importance for various application fields, including modern industry, scientific research, and daily life. However, there are two main concerns on optical thermometry, and one is the low sensitivity, particularly at elevated temperatures, failing to meet precise measurement demands; another issue is how we can apply the thermometry in in situ environments. Herein, we design and report a hybrid manganese‐based halide thermometry exhibiting a relative sensitivity (S</w:t>
      </w:r>
      <w:r>
        <w:t xml:space="preserve"> </w:t>
      </w:r>
      <w:r>
        <w:t>r</w:t>
      </w:r>
      <w:r>
        <w:t xml:space="preserve"> </w:t>
      </w:r>
      <w:r>
        <w:t>) of 26.368% K</w:t>
      </w:r>
      <w:r>
        <w:t xml:space="preserve"> </w:t>
      </w:r>
      <w:r>
        <w:t>−</w:t>
      </w:r>
      <w:r>
        <w:rPr>
          <w:vertAlign w:val="subscript"/>
        </w:rPr>
        <w:t>1</w:t>
      </w:r>
      <w:r>
        <w:t>at 463 K. We further propose a facile synthesis method for photopolymerizable hydrogel films containing the crystallized manganese‐based halide thermometry, maintaining the same luminescence and sensing property. The luminescent gel film is applied to chip‐based temperature sensing, demonstrating highly accurate performances as smart sensors and flexible electronic materials. This work opens up a new route to design luminescent metal halide thermometry to enrich the library of temperature sensing. Moreover, the luminescent gel film as optical thermometry can be applied in situ from micro‐electronics to large‐scale industrial systems, supplying new possibilities for advanced sensing and spectroscopy studies.</w:t>
      </w:r>
    </w:p>
    <w:p>
      <w:pPr>
        <w:spacing w:before="120" w:after="120"/>
      </w:pPr>
      <w:r>
        <w:rPr>
          <w:sz w:val="18"/>
        </w:rPr>
        <w:t>——————————————————————————————————————————————————————————————————————</w:t>
      </w:r>
    </w:p>
    <w:p>
      <w:pPr>
        <w:spacing w:before="160" w:after="40" w:line="240" w:lineRule="auto"/>
      </w:pPr>
      <w:r>
        <w:rPr>
          <w:b/>
        </w:rPr>
        <w:t xml:space="preserve">[60] </w:t>
      </w:r>
      <w:hyperlink r:id="rId294">
        <w:r>
          <w:rPr>
            <w:color w:val="1155CC"/>
            <w:u w:val="single"/>
          </w:rPr>
          <w:t>超低漏电流和丝状导电非晶硒化锗纳米颗粒奥伏尼克阈值开关选择器</w:t>
        </w:r>
      </w:hyperlink>
    </w:p>
    <w:p>
      <w:pPr>
        <w:spacing w:before="0" w:after="80"/>
      </w:pPr>
      <w:r>
        <w:rPr>
          <w:i/>
          <w:sz w:val="20"/>
        </w:rPr>
        <w:t>EN: Ultralow‐Leakage‐Current and Filament‐Conductive Amorphous Germanium Selenide Nanoparticle Ovonic Threshold Switching Selectors</w:t>
      </w:r>
    </w:p>
    <w:p>
      <w:pPr>
        <w:spacing w:before="0" w:after="120"/>
      </w:pPr>
      <w:r>
        <w:rPr>
          <w:b/>
        </w:rPr>
        <w:t xml:space="preserve">Source: </w:t>
      </w:r>
      <w:r>
        <w:t>Wiley: Advanced Materials: Table of Contents</w:t>
      </w:r>
      <w:r>
        <w:t xml:space="preserve">    </w:t>
      </w:r>
      <w:r>
        <w:rPr>
          <w:b/>
        </w:rPr>
        <w:t xml:space="preserve">Pub date: </w:t>
      </w:r>
      <w:r>
        <w:t>2026-03-23 04:51:56+00:00</w:t>
      </w:r>
      <w:r>
        <w:t xml:space="preserve">    </w:t>
      </w:r>
      <w:r>
        <w:rPr>
          <w:b/>
        </w:rPr>
        <w:t xml:space="preserve">DOI: </w:t>
      </w:r>
      <w:hyperlink r:id="rId295">
        <w:r>
          <w:rPr>
            <w:color w:val="1155CC"/>
            <w:u w:val="single"/>
          </w:rPr>
          <w:t>10.1002/adma.202523102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大容量存储和高并行计算都需要在先进技术节点上显著提高存储芯片的集成密度。这需要在3D可堆叠交叉点架构中实现超低漏电流（</w:t>
      </w:r>
      <w:r>
        <w:t xml:space="preserve"> </w:t>
      </w:r>
      <w:r>
        <w:t>I</w:t>
      </w:r>
      <w:r>
        <w:t xml:space="preserve"> </w:t>
      </w:r>
      <w:r>
        <w:t>off</w:t>
      </w:r>
      <w:r>
        <w:t xml:space="preserve"> </w:t>
      </w:r>
      <w:r>
        <w:t>）和相对较低的阈值电压（</w:t>
      </w:r>
      <w:r>
        <w:t xml:space="preserve"> </w:t>
      </w:r>
      <w:r>
        <w:t>V</w:t>
      </w:r>
      <w:r>
        <w:t xml:space="preserve"> </w:t>
      </w:r>
      <w:r>
        <w:t>th</w:t>
      </w:r>
      <w:r>
        <w:t xml:space="preserve"> </w:t>
      </w:r>
      <w:r>
        <w:t>）。然而，传统的卤化物阈值开关（OTS）选择器由于其物理属性的冲突，无法同时优化这两个特性。为了解决这一挑战，我们提出了一种热稳定非晶Ge</w:t>
      </w:r>
      <w:r>
        <w:rPr>
          <w:vertAlign w:val="subscript"/>
        </w:rPr>
        <w:t>2</w:t>
      </w:r>
    </w:p>
    <w:p>
      <w:pPr>
        <w:spacing w:before="0" w:after="200" w:lineRule="auto" w:line="276"/>
      </w:pPr>
      <w:r>
        <w:rPr>
          <w:b/>
        </w:rPr>
        <w:t xml:space="preserve">Abstract (EN): </w:t>
      </w:r>
      <w:r>
        <w:t>Both large‐capacity storage and high‐parallel computing demand a significant boost in integration density of memory chips at advanced technological nodes. This necessitates selector components in 3D stackable cross‐point architectures to achieve an ultralow leakage current (</w:t>
      </w:r>
      <w:r>
        <w:t xml:space="preserve"> </w:t>
      </w:r>
      <w:r>
        <w:t>I</w:t>
      </w:r>
      <w:r>
        <w:t xml:space="preserve"> </w:t>
      </w:r>
      <w:r>
        <w:t>off</w:t>
      </w:r>
      <w:r>
        <w:t xml:space="preserve"> </w:t>
      </w:r>
      <w:r>
        <w:t>) and a relatively low threshold voltage (</w:t>
      </w:r>
      <w:r>
        <w:t xml:space="preserve"> </w:t>
      </w:r>
      <w:r>
        <w:t>V</w:t>
      </w:r>
      <w:r>
        <w:t xml:space="preserve"> </w:t>
      </w:r>
      <w:r>
        <w:t>th</w:t>
      </w:r>
      <w:r>
        <w:t xml:space="preserve"> </w:t>
      </w:r>
      <w:r>
        <w:t>). However, conventional ovonic threshold switching (OTS) selectors cannot optimize these two properties simultaneously due to their conflicting physical attributes. To overcome this challenge, we put forward an innovative material design of a thermally‐robust amorphous Ge</w:t>
      </w:r>
      <w:r>
        <w:rPr>
          <w:vertAlign w:val="subscript"/>
        </w:rPr>
        <w:t>2</w:t>
      </w:r>
      <w:r>
        <w:t>Se</w:t>
      </w:r>
      <w:r>
        <w:rPr>
          <w:vertAlign w:val="subscript"/>
        </w:rPr>
        <w:t>3</w:t>
      </w:r>
      <w:r>
        <w:t>nanoparticle (NP)‐assembled nanolayer, by which the resulting selectors have achieved an unprecedentedly low</w:t>
      </w:r>
      <w:r>
        <w:t xml:space="preserve"> </w:t>
      </w:r>
      <w:r>
        <w:t>I</w:t>
      </w:r>
      <w:r>
        <w:t xml:space="preserve"> </w:t>
      </w:r>
      <w:r>
        <w:t>off</w:t>
      </w:r>
      <w:r>
        <w:t xml:space="preserve"> </w:t>
      </w:r>
      <w:r>
        <w:t>of ∼pA, an impressively high selectivity of ∼10</w:t>
      </w:r>
      <w:r>
        <w:rPr>
          <w:vertAlign w:val="subscript"/>
        </w:rPr>
        <w:t>8</w:t>
      </w:r>
      <w:r>
        <w:t>, a low</w:t>
      </w:r>
      <w:r>
        <w:t xml:space="preserve"> </w:t>
      </w:r>
      <w:r>
        <w:t>V</w:t>
      </w:r>
      <w:r>
        <w:t xml:space="preserve"> </w:t>
      </w:r>
      <w:r>
        <w:t>th</w:t>
      </w:r>
      <w:r>
        <w:t xml:space="preserve"> </w:t>
      </w:r>
      <w:r>
        <w:t>of ∼2.4 V, and commendable</w:t>
      </w:r>
      <w:r>
        <w:t xml:space="preserve"> </w:t>
      </w:r>
      <w:r>
        <w:t>V</w:t>
      </w:r>
      <w:r>
        <w:t xml:space="preserve"> </w:t>
      </w:r>
      <w:r>
        <w:t>th</w:t>
      </w:r>
      <w:r>
        <w:t xml:space="preserve"> </w:t>
      </w:r>
      <w:r>
        <w:t>reliability, outperforming existing OTS selectors. Through in situ off‐axis electron holography characterizations, we have presented evidence of nanoscale filamentary conduction within the individual NPs, revealing subthreshold‐conduction and switch‐on behaviors that have hitherto not been directly observed. Our work will inspire further exploration of novel amorphous chalcogenide NPs and deeper research on filamentary conduction physics, advancing the pursuit of superior access performances in OTS selectors.</w:t>
      </w:r>
    </w:p>
    <w:p>
      <w:pPr>
        <w:spacing w:before="120" w:after="120"/>
      </w:pPr>
      <w:r>
        <w:rPr>
          <w:sz w:val="18"/>
        </w:rPr>
        <w:t>——————————————————————————————————————————————————————————————————————</w:t>
      </w:r>
    </w:p>
    <w:p>
      <w:pPr>
        <w:spacing w:before="160" w:after="40" w:line="240" w:lineRule="auto"/>
      </w:pPr>
      <w:r>
        <w:rPr>
          <w:b/>
        </w:rPr>
        <w:t xml:space="preserve">[61] </w:t>
      </w:r>
      <w:hyperlink r:id="rId296">
        <w:r>
          <w:rPr>
            <w:color w:val="1155CC"/>
            <w:u w:val="single"/>
          </w:rPr>
          <w:t>用于极端环境的具有优异高温强度的延展性耐火合金的开发</w:t>
        </w:r>
      </w:hyperlink>
    </w:p>
    <w:p>
      <w:pPr>
        <w:spacing w:before="0" w:after="80"/>
      </w:pPr>
      <w:r>
        <w:rPr>
          <w:i/>
          <w:sz w:val="20"/>
        </w:rPr>
        <w:t>EN: Development of Ductile Refractory Alloys With Excellent High‐Temperature Strength for Extreme Environments</w:t>
      </w:r>
    </w:p>
    <w:p>
      <w:pPr>
        <w:spacing w:before="0" w:after="120"/>
      </w:pPr>
      <w:r>
        <w:rPr>
          <w:b/>
        </w:rPr>
        <w:t xml:space="preserve">Source: </w:t>
      </w:r>
      <w:r>
        <w:t>Wiley: Advanced Materials: Table of Contents</w:t>
      </w:r>
      <w:r>
        <w:t xml:space="preserve">    </w:t>
      </w:r>
      <w:r>
        <w:rPr>
          <w:b/>
        </w:rPr>
        <w:t xml:space="preserve">Pub date: </w:t>
      </w:r>
      <w:r>
        <w:t>2026-03-23 04:54:44+00:00</w:t>
      </w:r>
      <w:r>
        <w:t xml:space="preserve">    </w:t>
      </w:r>
      <w:r>
        <w:rPr>
          <w:b/>
        </w:rPr>
        <w:t xml:space="preserve">DOI: </w:t>
      </w:r>
      <w:hyperlink r:id="rId297">
        <w:r>
          <w:rPr>
            <w:color w:val="1155CC"/>
            <w:u w:val="single"/>
          </w:rPr>
          <w:t>10.1002/adma.202515947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航空航天工业对能够承受极高温度的合金的需求显著增长。这些合金需要在超高温下保持足够的强度，同时仍具有足够的成形能力以制造热端部件。难熔合金，包括难熔中高熵合金，被广泛认为是能够在极端环境中运行的有前途的候选材料。本综述旨在全面评估延展性难熔合金在广泛温度范围内的机械性能。我们首先介绍了用于制备块状难熔合金的制造方法。然后讨论了几个关于其机械性能的重要主题，例如延展性到脆性</w:t>
      </w:r>
    </w:p>
    <w:p>
      <w:pPr>
        <w:spacing w:before="0" w:after="200" w:lineRule="auto" w:line="276"/>
      </w:pPr>
      <w:r>
        <w:rPr>
          <w:b/>
        </w:rPr>
        <w:t xml:space="preserve">Abstract (EN): </w:t>
      </w:r>
      <w:r>
        <w:t>The demand for alloys capable of withstanding extremely high temperatures has grown significantly in the aerospace industry. The alloys need to maintain sufficient strength at ultra‐high temperatures, while still having adequate forming ability to manufacture the hot‐end components. Refractory alloys, including refractory medium‐ and high‐entropy alloys, have been widely recognized as the promising candidates to operate in extreme environments. This review aims to comprehensively assess the mechanical properties of ductile refractory alloys over a broad temperature range. We first present the fabrication methods available for preparing bulk refractory alloys. Several important topics regarding their mechanical properties are then discussed, such as ductile‐to‐brittle transition, strength‐ductility trade‐off at room temperature, and high‐temperature tensile strength and creep resistance. We also summarize the toughening and strengthening strategies often used towards strength‐ductility synergy in refractory alloys. The catastrophic oxidation at elevated temperatures, another critical issue for limiting their widespread applications, is further discussed briefly. Finally, this overview provides an outlook on the challenges and perspectives in this cutting‐edge field.</w:t>
      </w:r>
    </w:p>
    <w:p>
      <w:pPr>
        <w:spacing w:before="120" w:after="120"/>
      </w:pPr>
      <w:r>
        <w:rPr>
          <w:sz w:val="18"/>
        </w:rPr>
        <w:t>——————————————————————————————————————————————————————————————————————</w:t>
      </w:r>
    </w:p>
    <w:p>
      <w:pPr>
        <w:spacing w:before="160" w:after="40" w:line="240" w:lineRule="auto"/>
      </w:pPr>
      <w:r>
        <w:rPr>
          <w:b/>
        </w:rPr>
        <w:t xml:space="preserve">[62] </w:t>
      </w:r>
      <w:hyperlink r:id="rId298">
        <w:r>
          <w:rPr>
            <w:color w:val="1155CC"/>
            <w:u w:val="single"/>
          </w:rPr>
          <w:t>用于可见光区域低蓝色圆偏振光生成的宽带反射胆甾液晶</w:t>
        </w:r>
      </w:hyperlink>
    </w:p>
    <w:p>
      <w:pPr>
        <w:spacing w:before="0" w:after="80"/>
      </w:pPr>
      <w:r>
        <w:rPr>
          <w:i/>
          <w:sz w:val="20"/>
        </w:rPr>
        <w:t>EN: Broadband Reflective Cholesteric Liquid Crystals for Low‐Blue Circularly Polarized Light Generation in the Visible Region</w:t>
      </w:r>
    </w:p>
    <w:p>
      <w:pPr>
        <w:spacing w:before="0" w:after="120"/>
      </w:pPr>
      <w:r>
        <w:rPr>
          <w:b/>
        </w:rPr>
        <w:t xml:space="preserve">Source: </w:t>
      </w:r>
      <w:r>
        <w:t>Wiley: Advanced Materials: Table of Contents</w:t>
      </w:r>
      <w:r>
        <w:t xml:space="preserve">    </w:t>
      </w:r>
      <w:r>
        <w:rPr>
          <w:b/>
        </w:rPr>
        <w:t xml:space="preserve">Pub date: </w:t>
      </w:r>
      <w:r>
        <w:t>2026-03-23 04:54:51+00:00</w:t>
      </w:r>
      <w:r>
        <w:t xml:space="preserve">    </w:t>
      </w:r>
      <w:r>
        <w:rPr>
          <w:b/>
        </w:rPr>
        <w:t xml:space="preserve">DOI: </w:t>
      </w:r>
      <w:hyperlink r:id="rId299">
        <w:r>
          <w:rPr>
            <w:color w:val="1155CC"/>
            <w:u w:val="single"/>
          </w:rPr>
          <w:t>10.1002/adma.72890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这项工作中，通过简单的转化，从廉价的生物质衍生胆固醇首次合成了一种可聚合的手性液晶单体。将这种手性单体与可聚合的非手性液晶单体共同组装，然后进行无引发剂光聚合，得到了一种胆甾液晶（CLC）材料</w:t>
      </w:r>
      <w:r>
        <w:t xml:space="preserve"> </w:t>
      </w:r>
      <w:r>
        <w:t>YMZ-5</w:t>
      </w:r>
      <w:r>
        <w:t xml:space="preserve"> </w:t>
      </w:r>
      <w:r>
        <w:t>，其在可见光区域具有宽反射带并具有蓝色选择性。在去除石英基板后，该材料形成了一种具有良好热稳定性的柔性薄膜。由于布拉格反射，在透射模式下，</w:t>
      </w:r>
      <w:r>
        <w:t xml:space="preserve"> </w:t>
      </w:r>
      <w:r>
        <w:t>YMZ-5</w:t>
      </w:r>
      <w:r>
        <w:t xml:space="preserve"> </w:t>
      </w:r>
      <w:r>
        <w:t>有效地将510–700 nm的非偏振光转换为右旋圆偏振光。</w:t>
      </w:r>
    </w:p>
    <w:p>
      <w:pPr>
        <w:spacing w:before="0" w:after="200" w:lineRule="auto" w:line="276"/>
      </w:pPr>
      <w:r>
        <w:rPr>
          <w:b/>
        </w:rPr>
        <w:t xml:space="preserve">Abstract (EN): </w:t>
      </w:r>
      <w:r>
        <w:t>In this work, a polymerizable chiral liquid‐crystal monomer was first synthesized from inexpensive biomass‐derived cholesterol through a simple transformation. Co‐assembling this chiral monomer with a polymerizable achiral liquid‐crystal monomer and followed by initiator‐free photopolymerization, yielded a cholesteric liquid‐crystal (CLC) material</w:t>
      </w:r>
      <w:r>
        <w:t xml:space="preserve"> </w:t>
      </w:r>
      <w:r>
        <w:t>YMZ‐5</w:t>
      </w:r>
      <w:r>
        <w:t xml:space="preserve"> </w:t>
      </w:r>
      <w:r>
        <w:t>featuring a broad reflection band in the visible region with blue‐selectivity. After removal of the quartz substrates, the material forms a flexible film with good thermal stability. Due to Bragg reflection, under transmission mode,</w:t>
      </w:r>
      <w:r>
        <w:t xml:space="preserve"> </w:t>
      </w:r>
      <w:r>
        <w:t>YMZ‐5</w:t>
      </w:r>
      <w:r>
        <w:t xml:space="preserve"> </w:t>
      </w:r>
      <w:r>
        <w:t>efficiently converts 510–700 nm unpolarized light into right‐handed circularly polarized (</w:t>
      </w:r>
      <w:r>
        <w:t xml:space="preserve"> </w:t>
      </w:r>
      <w:r>
        <w:t>R</w:t>
      </w:r>
      <w:r>
        <w:t xml:space="preserve"> </w:t>
      </w:r>
      <w:r>
        <w:t>‐CP) light with dissymmetry factors (</w:t>
      </w:r>
      <w:r>
        <w:t xml:space="preserve"> </w:t>
      </w:r>
      <w:r>
        <w:t>g</w:t>
      </w:r>
      <w:r>
        <w:t xml:space="preserve"> </w:t>
      </w:r>
      <w:r>
        <w:t>lum</w:t>
      </w:r>
      <w:r>
        <w:t xml:space="preserve"> </w:t>
      </w:r>
      <w:r>
        <w:t>) of −1.6 and even reaching up to −2.0. Placed behind achiral zero‐blue aqueous solutions,</w:t>
      </w:r>
      <w:r>
        <w:t xml:space="preserve"> </w:t>
      </w:r>
      <w:r>
        <w:t>YMZ‐5</w:t>
      </w:r>
      <w:r>
        <w:t xml:space="preserve"> </w:t>
      </w:r>
      <w:r>
        <w:t>enabled multicolour zero‐blue circularly polarized photoluminescence, generating exclusively</w:t>
      </w:r>
      <w:r>
        <w:t xml:space="preserve"> </w:t>
      </w:r>
      <w:r>
        <w:t>R</w:t>
      </w:r>
      <w:r>
        <w:t xml:space="preserve"> </w:t>
      </w:r>
      <w:r>
        <w:t>‐CP light with |</w:t>
      </w:r>
      <w:r>
        <w:t xml:space="preserve"> </w:t>
      </w:r>
      <w:r>
        <w:t>g</w:t>
      </w:r>
      <w:r>
        <w:t xml:space="preserve"> </w:t>
      </w:r>
      <w:r>
        <w:t>lum</w:t>
      </w:r>
      <w:r>
        <w:t xml:space="preserve"> </w:t>
      </w:r>
      <w:r>
        <w:t>| values exceeding 1.6. Additionally, under reflection mode,</w:t>
      </w:r>
      <w:r>
        <w:t xml:space="preserve"> </w:t>
      </w:r>
      <w:r>
        <w:t>YMZ‐5</w:t>
      </w:r>
      <w:r>
        <w:t xml:space="preserve"> </w:t>
      </w:r>
      <w:r>
        <w:t>efficiently converts unpolarized ambient light into 510–700 nm low‐blue left‐handed circularly polarized (</w:t>
      </w:r>
      <w:r>
        <w:t xml:space="preserve"> </w:t>
      </w:r>
      <w:r>
        <w:t>L</w:t>
      </w:r>
      <w:r>
        <w:t xml:space="preserve"> </w:t>
      </w:r>
      <w:r>
        <w:t>‐CP) light. Therefore,</w:t>
      </w:r>
      <w:r>
        <w:t xml:space="preserve"> </w:t>
      </w:r>
      <w:r>
        <w:t>YMZ‐5</w:t>
      </w:r>
      <w:r>
        <w:t xml:space="preserve"> </w:t>
      </w:r>
      <w:r>
        <w:t>exhibited distinctly different colors under varying backgrounds and circular polarizers. Leveraging these behaviors, molecular logic gate and information encryption–decryption were realized. Furthermore, a conceptual design for a low‐blue circularly polarized display device was also demonstrated.</w:t>
      </w:r>
    </w:p>
    <w:p>
      <w:pPr>
        <w:spacing w:before="120" w:after="120"/>
      </w:pPr>
      <w:r>
        <w:rPr>
          <w:sz w:val="18"/>
        </w:rPr>
        <w:t>——————————————————————————————————————————————————————————————————————</w:t>
      </w:r>
    </w:p>
    <w:p>
      <w:pPr>
        <w:spacing w:before="160" w:after="40" w:line="240" w:lineRule="auto"/>
      </w:pPr>
      <w:r>
        <w:rPr>
          <w:b/>
        </w:rPr>
        <w:t xml:space="preserve">[63] </w:t>
      </w:r>
      <w:hyperlink r:id="rId300">
        <w:r>
          <w:rPr>
            <w:color w:val="1155CC"/>
            <w:u w:val="single"/>
          </w:rPr>
          <w:t>由窄带隙有机半导体启用的色不变光热织物用于可穿戴太阳能收集</w:t>
        </w:r>
      </w:hyperlink>
    </w:p>
    <w:p>
      <w:pPr>
        <w:spacing w:before="0" w:after="80"/>
      </w:pPr>
      <w:r>
        <w:rPr>
          <w:i/>
          <w:sz w:val="20"/>
        </w:rPr>
        <w:t>EN: Chromatic‐Invariant Photothermal Fabrics Enabled by Narrow‐Bandgap Organic Semiconductors for Wearable Solar Energy Harvesting</w:t>
      </w:r>
    </w:p>
    <w:p>
      <w:pPr>
        <w:spacing w:before="0" w:after="120"/>
      </w:pPr>
      <w:r>
        <w:rPr>
          <w:b/>
        </w:rPr>
        <w:t xml:space="preserve">Source: </w:t>
      </w:r>
      <w:r>
        <w:t>Wiley: Advanced Materials: Table of Contents</w:t>
      </w:r>
      <w:r>
        <w:t xml:space="preserve">    </w:t>
      </w:r>
      <w:r>
        <w:rPr>
          <w:b/>
        </w:rPr>
        <w:t xml:space="preserve">Pub date: </w:t>
      </w:r>
      <w:r>
        <w:t>2026-03-23 05:14:30+00:00</w:t>
      </w:r>
      <w:r>
        <w:t xml:space="preserve">    </w:t>
      </w:r>
      <w:r>
        <w:rPr>
          <w:b/>
        </w:rPr>
        <w:t xml:space="preserve">DOI: </w:t>
      </w:r>
      <w:hyperlink r:id="rId301">
        <w:r>
          <w:rPr>
            <w:color w:val="1155CC"/>
            <w:u w:val="single"/>
          </w:rPr>
          <w:t>10.1002/adma.202519334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户外运动服装的日益流行对其热舒适性、多功能性和美观性提出了更高的要求。现有的用于寒冷天气的光热织物基于可见光吸收，这限制了颜色设计选项。在此，开发了一种色彩不变的光热材料，并将其集成到织物中以制备新型光热服装，在1000 W m</w:t>
      </w:r>
      <w:r>
        <w:t xml:space="preserve"> </w:t>
      </w:r>
      <w:r>
        <w:t>−</w:t>
      </w:r>
      <w:r>
        <w:rPr>
          <w:vertAlign w:val="subscript"/>
        </w:rPr>
        <w:t>2</w:t>
      </w:r>
      <w:r>
        <w:t>模拟太阳辐射下仅5分钟内实现4°C–8°C的温度升高。它在近红外区域表现出强吸收，并有效地将辐射转化为热能，同时由于高反射率保持织物的原始视觉颜色。</w:t>
      </w:r>
    </w:p>
    <w:p>
      <w:pPr>
        <w:spacing w:before="0" w:after="200" w:lineRule="auto" w:line="276"/>
      </w:pPr>
      <w:r>
        <w:rPr>
          <w:b/>
        </w:rPr>
        <w:t xml:space="preserve">Abstract (EN): </w:t>
      </w:r>
      <w:r>
        <w:t>The increasing popularity of outdoor activewear has placed higher demands on its thermal comfort, multi‐functionality, and esthetics. Existing photothermal fabrics for cold weathers are based on visible light absorption, which limits color design options. Herein, a chromatic‐invariant photothermal material is developed and integrated onto fabrics to prepare novel photothermal clothing, achieving 4°C–8°C temperature increase within only 5 min under 1000 W m</w:t>
      </w:r>
      <w:r>
        <w:t xml:space="preserve"> </w:t>
      </w:r>
      <w:r>
        <w:t>−</w:t>
      </w:r>
      <w:r>
        <w:rPr>
          <w:vertAlign w:val="subscript"/>
        </w:rPr>
        <w:t>2</w:t>
      </w:r>
      <w:r>
        <w:t>simulated solar irradiation. It exhibits strong absorption in the near‐infrared region and effectively converts the radiation into thermal energy, while maintaining the original visual colors of fabrics due to high reflectivity across the visible spectrum. Additionally, this photothermal material does not compromise the original functionality of fabrics and is suitable for application on various types of fabric materials. Furthermore, the prepared fabric achieves a sterilization rate exceeding 95.3% after only 20 min of irradiation under 1000 W m</w:t>
      </w:r>
      <w:r>
        <w:t xml:space="preserve"> </w:t>
      </w:r>
      <w:r>
        <w:t>−</w:t>
      </w:r>
      <w:r>
        <w:rPr>
          <w:vertAlign w:val="subscript"/>
        </w:rPr>
        <w:t>2</w:t>
      </w:r>
      <w:r>
        <w:t>standard simulated solar light to ensure hygiene during outdoor activities. These results demonstrate a versatile wearable strategy with integrated functionality and aesthetic appeal for maintaining personal thermal comfort in cold‐weather outdoor scenarios.</w:t>
      </w:r>
    </w:p>
    <w:p>
      <w:pPr>
        <w:spacing w:before="120" w:after="120"/>
      </w:pPr>
      <w:r>
        <w:rPr>
          <w:sz w:val="18"/>
        </w:rPr>
        <w:t>——————————————————————————————————————————————————————————————————————</w:t>
      </w:r>
    </w:p>
    <w:p>
      <w:pPr>
        <w:spacing w:before="160" w:after="40" w:line="240" w:lineRule="auto"/>
      </w:pPr>
      <w:r>
        <w:rPr>
          <w:b/>
        </w:rPr>
        <w:t xml:space="preserve">[64] </w:t>
      </w:r>
      <w:hyperlink r:id="rId302">
        <w:r>
          <w:rPr>
            <w:color w:val="1155CC"/>
            <w:u w:val="single"/>
          </w:rPr>
          <w:t>通过协同抗氧化和成骨诱导功能用于糖尿病骨再生的成骨纳米酶</w:t>
        </w:r>
      </w:hyperlink>
    </w:p>
    <w:p>
      <w:pPr>
        <w:spacing w:before="0" w:after="80"/>
      </w:pPr>
      <w:r>
        <w:rPr>
          <w:i/>
          <w:sz w:val="20"/>
        </w:rPr>
        <w:t>EN: Osteogenic Nanozymes for Diabetic Bone Regeneration via Synergistic Antioxidant and Osteoinductive Functions</w:t>
      </w:r>
    </w:p>
    <w:p>
      <w:pPr>
        <w:spacing w:before="0" w:after="120"/>
      </w:pPr>
      <w:r>
        <w:rPr>
          <w:b/>
        </w:rPr>
        <w:t xml:space="preserve">Source: </w:t>
      </w:r>
      <w:r>
        <w:t>Wiley: Advanced Materials: Table of Contents</w:t>
      </w:r>
      <w:r>
        <w:t xml:space="preserve">    </w:t>
      </w:r>
      <w:r>
        <w:rPr>
          <w:b/>
        </w:rPr>
        <w:t xml:space="preserve">Pub date: </w:t>
      </w:r>
      <w:r>
        <w:t>2026-03-23 05:20:11+00:00</w:t>
      </w:r>
      <w:r>
        <w:t xml:space="preserve">    </w:t>
      </w:r>
      <w:r>
        <w:rPr>
          <w:b/>
        </w:rPr>
        <w:t xml:space="preserve">DOI: </w:t>
      </w:r>
      <w:hyperlink r:id="rId303">
        <w:r>
          <w:rPr>
            <w:color w:val="1155CC"/>
            <w:u w:val="single"/>
          </w:rPr>
          <w:t>10.1002/adma.72833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糖尿病条件下的骨再生仍然是一个艰巨的挑战，主要是由于持续的氧化应激、慢性炎症和干细胞的成骨潜力受损。纳米酶已被广泛用于调节氧化应激和炎症，被认为是糖尿病骨再生的有前途的候选者。然而，它们的成骨能力有限，这极大地阻碍了它们在骨修复中的直接应用。在此，设计了一系列成骨离子掺杂的普鲁士蓝（PB）纳米酶，以赋予经典抗氧化PB成骨诱导能力，其中铜掺杂的PB（CuPB）表现出最佳性能。筛选出的CuPB纳米酶有效清除各种类型的过量活性氧。</w:t>
      </w:r>
    </w:p>
    <w:p>
      <w:pPr>
        <w:spacing w:before="0" w:after="200" w:lineRule="auto" w:line="276"/>
      </w:pPr>
      <w:r>
        <w:rPr>
          <w:b/>
        </w:rPr>
        <w:t xml:space="preserve">Abstract (EN): </w:t>
      </w:r>
      <w:r>
        <w:t>Bone regeneration under diabetic conditions remains a formidable challenge, predominantly due to persistent oxidative stress, chronic inflammation, and impaired osteogenic potential of stem cells. Nanozymes have been widely employed to modulate oxidative stress and inflammation, and are considered promising candidates for diabetic bone regeneration. However, they have a limited osteogenic capacity, which substantially hinders their direct application in bone repair. Here, a series of osteogenic ion‐doped Prussian blue (PB) nanozymes was designed to endow classical antioxidant PB with osteoinductive capacity, among which copper‐doped PB (CuPB) exhibits optimal performance. The screened CuPB nanozyme effectively scavenges various types of excessive reactive oxygen species, suppresses inflammation, and simultaneously promotes osteogenic differentiation via activation of the phosphoinositide 3‐kinase/protein kinase B (PI3K‐Akt) pathway. In type II diabetic rats, both the CuPB nanoparticulate formulation and the CuPB‐functionalized three‐dimensional scaffold pronouncedly enhance bone regeneration in models of periodontitis‐associated alveolar bone loss and cranial defects, respectively. This study establishes an integrated “osteogenic nanozyme” platform that synergistically couples antioxidant and osteoinductive functions.</w:t>
      </w:r>
    </w:p>
    <w:p>
      <w:pPr>
        <w:spacing w:before="120" w:after="120"/>
      </w:pPr>
      <w:r>
        <w:rPr>
          <w:sz w:val="18"/>
        </w:rPr>
        <w:t>——————————————————————————————————————————————————————————————————————</w:t>
      </w:r>
    </w:p>
    <w:p>
      <w:pPr>
        <w:spacing w:before="160" w:after="40" w:line="240" w:lineRule="auto"/>
      </w:pPr>
      <w:r>
        <w:rPr>
          <w:b/>
        </w:rPr>
        <w:t xml:space="preserve">[65] </w:t>
      </w:r>
      <w:hyperlink r:id="rId304">
        <w:r>
          <w:rPr>
            <w:color w:val="1155CC"/>
            <w:u w:val="single"/>
          </w:rPr>
          <w:t>超越掺杂：稀土介导的多功能电催化剂的合理设计策略</w:t>
        </w:r>
      </w:hyperlink>
    </w:p>
    <w:p>
      <w:pPr>
        <w:spacing w:before="0" w:after="80"/>
      </w:pPr>
      <w:r>
        <w:rPr>
          <w:i/>
          <w:sz w:val="20"/>
        </w:rPr>
        <w:t>EN: Beyond Doping: Rare‐Earth Mediated Strategies for Rational Design of Multifunctional Electrocatalysts</w:t>
      </w:r>
    </w:p>
    <w:p>
      <w:pPr>
        <w:spacing w:before="0" w:after="120"/>
      </w:pPr>
      <w:r>
        <w:rPr>
          <w:b/>
        </w:rPr>
        <w:t xml:space="preserve">Source: </w:t>
      </w:r>
      <w:r>
        <w:t>Wiley: Advanced Energy Materials: Table of Contents</w:t>
      </w:r>
      <w:r>
        <w:t xml:space="preserve">    </w:t>
      </w:r>
      <w:r>
        <w:rPr>
          <w:b/>
        </w:rPr>
        <w:t xml:space="preserve">Pub date: </w:t>
      </w:r>
      <w:r>
        <w:t>2026-03-23 05:36:44+00:00</w:t>
      </w:r>
      <w:r>
        <w:t xml:space="preserve">    </w:t>
      </w:r>
      <w:r>
        <w:rPr>
          <w:b/>
        </w:rPr>
        <w:t xml:space="preserve">DOI: </w:t>
      </w:r>
      <w:hyperlink r:id="rId305">
        <w:r>
          <w:rPr>
            <w:color w:val="1155CC"/>
            <w:u w:val="single"/>
          </w:rPr>
          <w:t>10.1002/aenm.70863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随着可再生能源的快速发展，电催化在可持续能源的转换和储存中扮演了核心角色。稀土（RE）元素以其独特的4f电子构型、可逆的多价态和高度可调的物理化学性质为特征，提供了一条从根本上不同的途径来实现对催化剂电子结构、界面化学和反应路径的精确控制。本文综述了RE元素在先进电催化中的独特、多方面的作用，提供了全面的机制视角。通过系统分析其内在特性，本文阐明了量子化学或</w:t>
      </w:r>
    </w:p>
    <w:p>
      <w:pPr>
        <w:spacing w:before="0" w:after="200" w:lineRule="auto" w:line="276"/>
      </w:pPr>
      <w:r>
        <w:rPr>
          <w:b/>
        </w:rPr>
        <w:t xml:space="preserve">Abstract (EN): </w:t>
      </w:r>
      <w:r>
        <w:t>With the rapid development of renewable energy, electrocatalysis has assumed a central role in the conversion and storage of sustainable energy. Rare‐earth (RE) elements, characterized by their unique</w:t>
      </w:r>
      <w:r>
        <w:t xml:space="preserve"> </w:t>
      </w:r>
      <w:r>
        <w:t>4f</w:t>
      </w:r>
      <w:r>
        <w:t xml:space="preserve"> </w:t>
      </w:r>
      <w:r>
        <w:t>electronic configurations, reversible multivalent states, and highly tunable physicochemical properties, offer a fundamentally distinct pathway for achieving precise control over catalyst electronic structures, interfacial chemistry, and reaction pathways. This review presents a comprehensive and mechanistic perspective on the distinctive, multi‐faceted roles of RE elements in advanced electrocatalysis. By systematically analyzing their intrinsic properties, the review elucidates the quantum‐chemical origins of their advantages in electronic structure modulation, stabilization of high‐energy intermediates, and enhancement of interfacial charge transport. Building upon these foundations, some major catalyst design strategies, encompassing atomic doping, defect engineering, nanostructuring, and interface construction, are critically summarized. Then, recent progress of RE‐based catalysts in various electrocatalytic reactions, including oxygen and hydrogen evolution, and carbon dioxide and nitrogen reduction reactions, are thoroughly reviewed to establish structure‐activity correlations. Finally, the review outlines future prospects and emerging frontiers in RE‐mediated catalysis, such as multi‐electron reaction pathway regulation and the construction of adaptive interfaces. This work aims to provide a fundamental understanding and strategic guidance for the rational design of efficient electrocatalysts enabled by RE elements.</w:t>
      </w:r>
    </w:p>
    <w:p>
      <w:pPr>
        <w:spacing w:before="120" w:after="120"/>
      </w:pPr>
      <w:r>
        <w:rPr>
          <w:sz w:val="18"/>
        </w:rPr>
        <w:t>——————————————————————————————————————————————————————————————————————</w:t>
      </w:r>
    </w:p>
    <w:p>
      <w:pPr>
        <w:spacing w:before="160" w:after="40" w:line="240" w:lineRule="auto"/>
      </w:pPr>
      <w:r>
        <w:rPr>
          <w:b/>
        </w:rPr>
        <w:t xml:space="preserve">[66] </w:t>
      </w:r>
      <w:hyperlink r:id="rId306">
        <w:r>
          <w:rPr>
            <w:color w:val="1155CC"/>
            <w:u w:val="single"/>
          </w:rPr>
          <w:t>可变剪接重构香蕉香气生物合成</w:t>
        </w:r>
      </w:hyperlink>
    </w:p>
    <w:p>
      <w:pPr>
        <w:spacing w:before="0" w:after="80"/>
      </w:pPr>
      <w:r>
        <w:rPr>
          <w:i/>
          <w:sz w:val="20"/>
        </w:rPr>
        <w:t>EN: Alternative splicing rewires banana aroma biosynthesis</w:t>
      </w:r>
    </w:p>
    <w:p>
      <w:pPr>
        <w:spacing w:before="0" w:after="120"/>
      </w:pPr>
      <w:r>
        <w:rPr>
          <w:b/>
        </w:rPr>
        <w:t xml:space="preserve">Source: </w:t>
      </w:r>
      <w:r>
        <w:t>Proceedings of the National Academy of Sciences: Keyword search for query</w:t>
      </w:r>
      <w:r>
        <w:t xml:space="preserve">    </w:t>
      </w:r>
      <w:r>
        <w:rPr>
          <w:b/>
        </w:rPr>
        <w:t xml:space="preserve">Pub date: </w:t>
      </w:r>
      <w:r>
        <w:t>2026-03-23 07:00:00+00:00</w:t>
      </w:r>
      <w:r>
        <w:t xml:space="preserve">    </w:t>
      </w:r>
      <w:r>
        <w:rPr>
          <w:b/>
        </w:rPr>
        <w:t xml:space="preserve">DOI: </w:t>
      </w:r>
      <w:hyperlink r:id="rId307">
        <w:r>
          <w:rPr>
            <w:color w:val="1155CC"/>
            <w:u w:val="single"/>
          </w:rPr>
          <w:t>10.1073/pnas.2603894123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[67] </w:t>
      </w:r>
      <w:hyperlink r:id="rId308">
        <w:r>
          <w:rPr>
            <w:color w:val="1155CC"/>
            <w:u w:val="single"/>
          </w:rPr>
          <w:t>旋转碳和沉降磷：海洋中不匹配的循环</w:t>
        </w:r>
      </w:hyperlink>
    </w:p>
    <w:p>
      <w:pPr>
        <w:spacing w:before="0" w:after="80"/>
      </w:pPr>
      <w:r>
        <w:rPr>
          <w:i/>
          <w:sz w:val="20"/>
        </w:rPr>
        <w:t>EN: Spinning carbon and sinking phosphorus: Misaligned cycles in the sea</w:t>
      </w:r>
    </w:p>
    <w:p>
      <w:pPr>
        <w:spacing w:before="0" w:after="120"/>
      </w:pPr>
      <w:r>
        <w:rPr>
          <w:b/>
        </w:rPr>
        <w:t xml:space="preserve">Source: </w:t>
      </w:r>
      <w:r>
        <w:t>Proceedings of the National Academy of Sciences: Keyword search for query</w:t>
      </w:r>
      <w:r>
        <w:t xml:space="preserve">    </w:t>
      </w:r>
      <w:r>
        <w:rPr>
          <w:b/>
        </w:rPr>
        <w:t xml:space="preserve">Pub date: </w:t>
      </w:r>
      <w:r>
        <w:t>2026-03-23 07:00:00+00:00</w:t>
      </w:r>
      <w:r>
        <w:t xml:space="preserve">    </w:t>
      </w:r>
      <w:r>
        <w:rPr>
          <w:b/>
        </w:rPr>
        <w:t xml:space="preserve">DOI: </w:t>
      </w:r>
      <w:hyperlink r:id="rId309">
        <w:r>
          <w:rPr>
            <w:color w:val="1155CC"/>
            <w:u w:val="single"/>
          </w:rPr>
          <w:t>10.1073/pnas.2602952123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[68] </w:t>
      </w:r>
      <w:hyperlink r:id="rId310">
        <w:r>
          <w:rPr>
            <w:color w:val="1155CC"/>
            <w:u w:val="single"/>
          </w:rPr>
          <w:t>CD47稳定ROBO2通过防止ITCH介导的泛素化来调节胶质母细胞瘤的进展</w:t>
        </w:r>
      </w:hyperlink>
    </w:p>
    <w:p>
      <w:pPr>
        <w:spacing w:before="0" w:after="80"/>
      </w:pPr>
      <w:r>
        <w:rPr>
          <w:i/>
          <w:sz w:val="20"/>
        </w:rPr>
        <w:t>EN: CD47 stabilizes ROBO2 to regulate glioblastoma progression by preventing ITCH-mediated ubiquitination</w:t>
      </w:r>
    </w:p>
    <w:p>
      <w:pPr>
        <w:spacing w:before="0" w:after="120"/>
      </w:pPr>
      <w:r>
        <w:rPr>
          <w:b/>
        </w:rPr>
        <w:t xml:space="preserve">Source: </w:t>
      </w:r>
      <w:r>
        <w:t>Proceedings of the National Academy of Sciences: Keyword search for query</w:t>
      </w:r>
      <w:r>
        <w:t xml:space="preserve">    </w:t>
      </w:r>
      <w:r>
        <w:rPr>
          <w:b/>
        </w:rPr>
        <w:t xml:space="preserve">Pub date: </w:t>
      </w:r>
      <w:r>
        <w:t>2026-03-23 07:00:00+00:00</w:t>
      </w:r>
      <w:r>
        <w:t xml:space="preserve">    </w:t>
      </w:r>
      <w:r>
        <w:rPr>
          <w:b/>
        </w:rPr>
        <w:t xml:space="preserve">DOI: </w:t>
      </w:r>
      <w:hyperlink r:id="rId311">
        <w:r>
          <w:rPr>
            <w:color w:val="1155CC"/>
            <w:u w:val="single"/>
          </w:rPr>
          <w:t>10.1073/pnas.2602460123</w:t>
        </w:r>
      </w:hyperlink>
    </w:p>
    <w:p>
      <w:pPr>
        <w:spacing w:before="0" w:after="120"/>
      </w:pPr>
      <w:r>
        <w:rPr>
          <w:b/>
        </w:rPr>
        <w:t xml:space="preserve">Notes: </w:t>
      </w:r>
      <w:r>
        <w:t>abstract_source=crossref</w:t>
      </w:r>
    </w:p>
    <w:p>
      <w:pPr>
        <w:spacing w:before="0" w:after="80" w:lineRule="auto" w:line="276"/>
      </w:pPr>
      <w:r>
        <w:rPr>
          <w:b/>
        </w:rPr>
        <w:t xml:space="preserve">摘要（ZH）: </w:t>
      </w:r>
      <w:r>
        <w:t>CD47是一个先天免疫检查点，通过抑制髓系细胞的吞噬作用，帮助癌细胞逃避免疫。CD47阻断抗体在胶质母细胞瘤（GBM）中的疗效有限，CD47的细胞内在作用尚不清楚。在本研究中，我们发现CD47在GBM肿瘤的侵袭边缘高度表达，其高表达与患者生存率低相关。我们证明CD47的缺失会削弱GBM细胞的增殖、迁移和侵袭能力，与免疫活动无关，并在体内导致肿瘤负担减少和生存期延长。我们的研究确定了ROBO2信号作为CD47的关键下游效应器，并证明ROBO2的缺失同样减少了GBM细胞的增殖和迁移。重要的是，我们发现</w:t>
      </w:r>
    </w:p>
    <w:p>
      <w:pPr>
        <w:spacing w:before="0" w:after="200" w:lineRule="auto" w:line="276"/>
      </w:pPr>
      <w:r>
        <w:rPr>
          <w:b/>
        </w:rPr>
        <w:t xml:space="preserve">Abstract (EN): </w:t>
      </w:r>
      <w:r>
        <w:t>CD47 is an innate immune checkpoint that inhibits phagocytosis by myeloid cells, contributing to immune evasion by cancer cells. CD47-blocking antibodies have limited efficacy in glioblastoma (GBM), and the cell-intrinsic role of CD47 is poorly understood. In this study, we show that CD47 is highly expressed at the invasive edge of GBM tumors, and its elevated expression correlates with poor patient survival. We demonstrate that CD47 loss impairs GBM cell proliferation, migration, and invasion, independent of immune activity, and leads to reduced tumor burden and prolonged survival in vivo. Our study identifies ROBO2 signaling as a key downstream effector of CD47 and demonstrates that loss of ROBO2 similarly reduces GBM cell proliferation and migration. Importantly, we have uncovered that CD47 stabilizes ROBO2 by sequestering the E3 ubiquitin ligase ITCH, thereby blocking ubiquitination and proteasomal degradation of ROBO2. These findings establish CD47 as a key regulator of GBM cell plasticity and highlight the therapeutic potential of targeting CD47</w:t>
      </w:r>
      <w:r>
        <w:t xml:space="preserve"> </w:t>
      </w:r>
      <w:r>
        <w:t>–</w:t>
      </w:r>
      <w:r>
        <w:t xml:space="preserve"> </w:t>
      </w:r>
      <w:r>
        <w:t>ROBO2 signaling in GBM.</w:t>
      </w:r>
    </w:p>
    <w:p>
      <w:pPr>
        <w:spacing w:before="120" w:after="120"/>
      </w:pPr>
      <w:r>
        <w:rPr>
          <w:sz w:val="18"/>
        </w:rPr>
        <w:t>——————————————————————————————————————————————————————————————————————</w:t>
      </w:r>
    </w:p>
    <w:p>
      <w:pPr>
        <w:spacing w:before="160" w:after="40" w:line="240" w:lineRule="auto"/>
      </w:pPr>
      <w:r>
        <w:rPr>
          <w:b/>
        </w:rPr>
        <w:t xml:space="preserve">[69] </w:t>
      </w:r>
      <w:hyperlink r:id="rId312">
        <w:r>
          <w:rPr>
            <w:color w:val="1155CC"/>
            <w:u w:val="single"/>
          </w:rPr>
          <w:t>跨文化证据表明羞耻是对声誉损害的防御</w:t>
        </w:r>
      </w:hyperlink>
    </w:p>
    <w:p>
      <w:pPr>
        <w:spacing w:before="0" w:after="80"/>
      </w:pPr>
      <w:r>
        <w:rPr>
          <w:i/>
          <w:sz w:val="20"/>
        </w:rPr>
        <w:t>EN: Cross-cultural evidence that shame is a defense against reputational damage</w:t>
      </w:r>
    </w:p>
    <w:p>
      <w:pPr>
        <w:spacing w:before="0" w:after="120"/>
      </w:pPr>
      <w:r>
        <w:rPr>
          <w:b/>
        </w:rPr>
        <w:t xml:space="preserve">Source: </w:t>
      </w:r>
      <w:r>
        <w:t>Proceedings of the National Academy of Sciences: Keyword search for query</w:t>
      </w:r>
      <w:r>
        <w:t xml:space="preserve">    </w:t>
      </w:r>
      <w:r>
        <w:rPr>
          <w:b/>
        </w:rPr>
        <w:t xml:space="preserve">Pub date: </w:t>
      </w:r>
      <w:r>
        <w:t>2026-03-23 07:00:00+00:00</w:t>
      </w:r>
      <w:r>
        <w:t xml:space="preserve">    </w:t>
      </w:r>
      <w:r>
        <w:rPr>
          <w:b/>
        </w:rPr>
        <w:t xml:space="preserve">DOI: </w:t>
      </w:r>
      <w:hyperlink r:id="rId313">
        <w:r>
          <w:rPr>
            <w:color w:val="1155CC"/>
            <w:u w:val="single"/>
          </w:rPr>
          <w:t>10.1073/pnas.2526787123</w:t>
        </w:r>
      </w:hyperlink>
    </w:p>
    <w:p>
      <w:pPr>
        <w:spacing w:before="0" w:after="120"/>
      </w:pPr>
      <w:r>
        <w:rPr>
          <w:b/>
        </w:rPr>
        <w:t xml:space="preserve">Notes: </w:t>
      </w:r>
      <w:r>
        <w:t>abstract_source=crossref</w:t>
      </w:r>
    </w:p>
    <w:p>
      <w:pPr>
        <w:spacing w:before="0" w:after="80" w:lineRule="auto" w:line="276"/>
      </w:pPr>
      <w:r>
        <w:rPr>
          <w:b/>
        </w:rPr>
        <w:t xml:space="preserve">摘要（ZH）: </w:t>
      </w:r>
      <w:r>
        <w:t>由于羞耻感导致逃避、攻击和其他受害者和第三方认为不受欢迎的行为，一个显著的理论认为这种情绪是不适应的。相比之下，另一种适应论理论则询问羞耻是否可能对行为者有益。个体现在提供的利益减少或对他人施加的成本增加的迹象，如果传达到他人心中，会导致该个体在社会上被贬值：他人变得不太愿意帮助她，更倾向于伤害她。因此，适应论理论将羞耻视为一种神经认知适应，旨在最大限度地减少损害声誉的信息泄漏和被贬值的成本。在此，我们报告了在六个国家——美国、荷兰——中基于适应论理论得出的两个预测的测试结果</w:t>
      </w:r>
    </w:p>
    <w:p>
      <w:pPr>
        <w:spacing w:before="0" w:after="200" w:lineRule="auto" w:line="276"/>
      </w:pPr>
      <w:r>
        <w:rPr>
          <w:b/>
        </w:rPr>
        <w:t xml:space="preserve">Abstract (EN): </w:t>
      </w:r>
      <w:r>
        <w:t>Because shame leads to evasions, aggression, and other behaviors that victims and third parties find undesirable, a prominent theory regards this emotion as maladaptive. By contrast, an alternative, adaptationist theory asks whether shame might benefit the actor. Indications that an individual now offers fewer benefits or imposes greater costs on others, if they reach others’ minds, lead the individual to be socially devalued: Others become less inclined to help and more inclined to harm her. Thus, an adaptationist theory views shame as a neurocognitive adaptation designed to minimize the leakage of reputation-damaging information and the cost of being devalued. Here, we report tests of two predictions derived from the adaptationist theory across six countries—the United States, the Netherlands, Portugal, Spain, Japan, and China—and two cultural regions within the United States—Southern states (honor) and Northern states (nonhonor). First, failures that indicate reductions in abilities more highly valued by others will elicit more intense shame. Second, failures will trigger greater shame when they occur in public rather than in private. The data supported both predictions in all six countries and in both US cultural regions. The improbable fit between the severity of the devaluative threat and the intensity of shame suggests that this emotion is an adaptation. Further, the replication of these findings across regions that vary widely along the individualism–collectivism and honor–nonhonor dimensions suggests that shame is part of human nature rather than a cultural construction.</w:t>
      </w:r>
    </w:p>
    <w:p>
      <w:pPr>
        <w:spacing w:before="120" w:after="120"/>
      </w:pPr>
      <w:r>
        <w:rPr>
          <w:sz w:val="18"/>
        </w:rPr>
        <w:t>——————————————————————————————————————————————————————————————————————</w:t>
      </w:r>
    </w:p>
    <w:p>
      <w:pPr>
        <w:spacing w:before="160" w:after="40" w:line="240" w:lineRule="auto"/>
      </w:pPr>
      <w:r>
        <w:rPr>
          <w:b/>
        </w:rPr>
        <w:t xml:space="preserve">[70] </w:t>
      </w:r>
      <w:hyperlink r:id="rId314">
        <w:r>
          <w:rPr>
            <w:color w:val="1155CC"/>
            <w:u w:val="single"/>
          </w:rPr>
          <w:t>南极海冰范围的近期极端变化受海洋热通风调节</w:t>
        </w:r>
      </w:hyperlink>
    </w:p>
    <w:p>
      <w:pPr>
        <w:spacing w:before="0" w:after="80"/>
      </w:pPr>
      <w:r>
        <w:rPr>
          <w:i/>
          <w:sz w:val="20"/>
        </w:rPr>
        <w:t>EN: Recent extremes in Antarctic sea ice extent modulated by ocean heat ventilation</w:t>
      </w:r>
    </w:p>
    <w:p>
      <w:pPr>
        <w:spacing w:before="0" w:after="120"/>
      </w:pPr>
      <w:r>
        <w:rPr>
          <w:b/>
        </w:rPr>
        <w:t xml:space="preserve">Source: </w:t>
      </w:r>
      <w:r>
        <w:t>Proceedings of the National Academy of Sciences: Keyword search for query</w:t>
      </w:r>
      <w:r>
        <w:t xml:space="preserve">    </w:t>
      </w:r>
      <w:r>
        <w:rPr>
          <w:b/>
        </w:rPr>
        <w:t xml:space="preserve">Pub date: </w:t>
      </w:r>
      <w:r>
        <w:t>2026-03-23 07:00:00+00:00</w:t>
      </w:r>
      <w:r>
        <w:t xml:space="preserve">    </w:t>
      </w:r>
      <w:r>
        <w:rPr>
          <w:b/>
        </w:rPr>
        <w:t xml:space="preserve">DOI: </w:t>
      </w:r>
      <w:hyperlink r:id="rId315">
        <w:r>
          <w:rPr>
            <w:color w:val="1155CC"/>
            <w:u w:val="single"/>
          </w:rPr>
          <w:t>10.1073/pnas.2530832123</w:t>
        </w:r>
      </w:hyperlink>
    </w:p>
    <w:p>
      <w:pPr>
        <w:spacing w:before="0" w:after="120"/>
      </w:pPr>
      <w:r>
        <w:rPr>
          <w:b/>
        </w:rPr>
        <w:t xml:space="preserve">Notes: </w:t>
      </w:r>
      <w:r>
        <w:t>abstract_source=crossref</w:t>
      </w:r>
    </w:p>
    <w:p>
      <w:pPr>
        <w:spacing w:before="0" w:after="80" w:lineRule="auto" w:line="276"/>
      </w:pPr>
      <w:r>
        <w:rPr>
          <w:b/>
        </w:rPr>
        <w:t xml:space="preserve">摘要（ZH）: </w:t>
      </w:r>
      <w:r>
        <w:t>南极海冰范围（SIE）在最近几十年经历了前所未有的变化，2015年之前海冰范围创纪录地扩展，随后突然转变为持续下降。利用超过二十年的冰下Argo浮标观测，我们表明海洋热量通风的变化在年际时间尺度上调节了这些极端海冰变化。2007年至2015年间，威德尔海和东南极洲附近的海洋温跃层变暖并上升，前者占南极SIE年际变化的大部分。2016年后，随着南极SIE的下降，表面盐度增加，增强了锐化的温跃层与表层水之间的交换。威德尔海的理想化建模表明，这些上层海洋趋势是由于同时发生的</w:t>
      </w:r>
    </w:p>
    <w:p>
      <w:pPr>
        <w:spacing w:before="0" w:after="200" w:lineRule="auto" w:line="276"/>
      </w:pPr>
      <w:r>
        <w:rPr>
          <w:b/>
        </w:rPr>
        <w:t xml:space="preserve">Abstract (EN): </w:t>
      </w:r>
      <w:r>
        <w:t>Antarctic sea ice extent (SIE) has experienced unprecedented variability in recent decades, with record expansion through 2015, followed by an abrupt transition to sustained decline. Using over two decades of under-ice Argo float observations, we show that changes in ocean heat ventilation have modulated these extreme sea ice variations on interannual timescales. Between 2007 and 2015, the ocean thermocline warmed and shoaled within the Weddell Sea and off East Antarctica, with the former accounting for most of the interannual variability in Antarctic SIE. After 2016, as Antarctic SIE declined, surface salinity increased, enhancing exchange between the sharpened thermocline and surface waters. Idealized modeling of the Weddell Sea indicates that these upper ocean trends were due to concurrent variations in wind-driven Ekman upwelling and precipitation. During the sea ice expansion phase, increased precipitation enhanced ocean stratification, suppressing the upward flux of subsurface heat while promoting sea ice growth. However, between 2014 and 2016, a nearly three-fold increase in upwelling rates weakened the upper ocean stratification, releasing the accumulated subsurface heat. Though a similar sequence of events occurred along the East Antarctic margin, distinct upper-ocean trends and surface forcing in the Pacific sector of the Southern Ocean imply alternative drivers of recent sea ice loss in that region. Nevertheless, these results suggest that future multiyear Antarctic SIE variability will depend on the competing influences of wind-driven upwelling and surface freshwater fluxes.</w:t>
      </w:r>
    </w:p>
    <w:p>
      <w:pPr>
        <w:spacing w:before="120" w:after="120"/>
      </w:pPr>
      <w:r>
        <w:rPr>
          <w:sz w:val="18"/>
        </w:rPr>
        <w:t>——————————————————————————————————————————————————————————————————————</w:t>
      </w:r>
    </w:p>
    <w:p>
      <w:pPr>
        <w:spacing w:before="160" w:after="40" w:line="240" w:lineRule="auto"/>
      </w:pPr>
      <w:r>
        <w:rPr>
          <w:b/>
        </w:rPr>
        <w:t xml:space="preserve">[71] </w:t>
      </w:r>
      <w:hyperlink r:id="rId316">
        <w:r>
          <w:rPr>
            <w:color w:val="1155CC"/>
            <w:u w:val="single"/>
          </w:rPr>
          <w:t>在不同单一人类VH1-2重排小鼠模型中，SARS-CoV-2 Omicron广泛中和的人源化抗体的复发</w:t>
        </w:r>
      </w:hyperlink>
    </w:p>
    <w:p>
      <w:pPr>
        <w:spacing w:before="0" w:after="80"/>
      </w:pPr>
      <w:r>
        <w:rPr>
          <w:i/>
          <w:sz w:val="20"/>
        </w:rPr>
        <w:t>EN: Recurrent SARS-CoV-2 Omicron broadly neutralizing humanized antibodies in different single human VH1-2-rearranging mouse models</w:t>
      </w:r>
    </w:p>
    <w:p>
      <w:pPr>
        <w:spacing w:before="0" w:after="120"/>
      </w:pPr>
      <w:r>
        <w:rPr>
          <w:b/>
        </w:rPr>
        <w:t xml:space="preserve">Source: </w:t>
      </w:r>
      <w:r>
        <w:t>Proceedings of the National Academy of Sciences: Keyword search for query</w:t>
      </w:r>
      <w:r>
        <w:t xml:space="preserve">    </w:t>
      </w:r>
      <w:r>
        <w:rPr>
          <w:b/>
        </w:rPr>
        <w:t xml:space="preserve">Pub date: </w:t>
      </w:r>
      <w:r>
        <w:t>2026-03-23 07:00:00+00:00</w:t>
      </w:r>
      <w:r>
        <w:t xml:space="preserve">    </w:t>
      </w:r>
      <w:r>
        <w:rPr>
          <w:b/>
        </w:rPr>
        <w:t xml:space="preserve">DOI: </w:t>
      </w:r>
      <w:hyperlink r:id="rId317">
        <w:r>
          <w:rPr>
            <w:color w:val="1155CC"/>
            <w:u w:val="single"/>
          </w:rPr>
          <w:t>10.1073/pnas.2537053123</w:t>
        </w:r>
      </w:hyperlink>
    </w:p>
    <w:p>
      <w:pPr>
        <w:spacing w:before="0" w:after="120"/>
      </w:pPr>
      <w:r>
        <w:rPr>
          <w:b/>
        </w:rPr>
        <w:t xml:space="preserve">Notes: </w:t>
      </w:r>
      <w:r>
        <w:t>abstract_source=crossref</w:t>
      </w:r>
    </w:p>
    <w:p>
      <w:pPr>
        <w:spacing w:before="0" w:after="80" w:lineRule="auto" w:line="276"/>
      </w:pPr>
      <w:r>
        <w:rPr>
          <w:b/>
        </w:rPr>
        <w:t xml:space="preserve">摘要（ZH）: </w:t>
      </w:r>
      <w:r>
        <w:t>在V(D)J重组过程中，抗体多样性通过非模板连接修饰得到增强，这些修饰产生了极其多样的重链（HC）和轻链（LC）互补决定区3抗原接触区域（CDR3s）。我们之前开发了一种小鼠模型，通过重排单一的人类V</w:t>
      </w:r>
      <w:r>
        <w:t xml:space="preserve"> </w:t>
      </w:r>
      <w:r>
        <w:t>H</w:t>
      </w:r>
      <w:r>
        <w:t xml:space="preserve"> </w:t>
      </w:r>
      <w:r>
        <w:t>1-2和Vκ1-33，结合通过与小鼠Ds和/或Js的V(D)J重组产生的高度多样的CDR3s，生成多样的抗体库。用SARS-CoV-2 D614G刺突免疫该模型，诱导出一种抗体，该抗体通过Omicron BA.2.754有效中和SARS-CoV-2变体。在此，我们报告了一种相关的小鼠模型，其中单一的V</w:t>
      </w:r>
      <w:r>
        <w:t xml:space="preserve"> </w:t>
      </w:r>
      <w:r>
        <w:t>H</w:t>
      </w:r>
      <w:r>
        <w:t xml:space="preserve"> </w:t>
      </w:r>
      <w:r>
        <w:t>1-2重排至人类D3-3和J</w:t>
      </w:r>
    </w:p>
    <w:p>
      <w:pPr>
        <w:spacing w:before="0" w:after="200" w:lineRule="auto" w:line="276"/>
      </w:pPr>
      <w:r>
        <w:rPr>
          <w:b/>
        </w:rPr>
        <w:t xml:space="preserve">Abstract (EN): </w:t>
      </w:r>
      <w:r>
        <w:t>During V(D)J recombination, antibody diversity is enhanced by nontemplated junctional modifications that generate immensely diverse heavy chain (HC) and light chain (LC) complementarity-determining 3 antigen-contact regions (CDR3s). We previously developed a mouse model that generates diverse antibody repertoires by rearranging a single human V</w:t>
      </w:r>
      <w:r>
        <w:t xml:space="preserve"> </w:t>
      </w:r>
      <w:r>
        <w:t>H</w:t>
      </w:r>
      <w:r>
        <w:t xml:space="preserve"> </w:t>
      </w:r>
      <w:r>
        <w:t>1-2 and Vκ1-33, associated with highly diverse CDR3s generated by V(D)J recombination with mouse Ds and/or Js. Immunization of this model with SARS-CoV-2 D614G spike elicited an antibody that potently neutralized SARS-CoV-2 variants through Omicron BA.2.754. Here, we report a related mouse model in which a single V</w:t>
      </w:r>
      <w:r>
        <w:t xml:space="preserve"> </w:t>
      </w:r>
      <w:r>
        <w:t>H</w:t>
      </w:r>
      <w:r>
        <w:t xml:space="preserve"> </w:t>
      </w:r>
      <w:r>
        <w:t>1-2 rearranges to human D3-3 and J</w:t>
      </w:r>
      <w:r>
        <w:t xml:space="preserve"> </w:t>
      </w:r>
      <w:r>
        <w:t>H</w:t>
      </w:r>
      <w:r>
        <w:t xml:space="preserve"> </w:t>
      </w:r>
      <w:r>
        <w:t>6, generating diverse HC-CDR3s much longer on average than those of our prior model. Omicron BA.4/.5 spike-ferritin nanoparticle-immunization of the new model elicited four highly related humanized antibodies that potently neutralize downstream Omicron subvariants. All four antibodies had 12 AA HC-CDR3s with two aromatic amino acids that engage an epitope comprising a hydrophobic patch opened-up by early Omicron lineage mutations and conserved in subsequent variants. Immunization of our prior, shorter CDR3-based model, elicited slightly less potent neutralizing antibodies that bound the same Omicron epitope, and were similar in all other aspects to those from the long, fully human CDR3 model. One tested antibody from each set reduced lung viral titers in a mouse-adapted BQ1.1 challenge. The antibodies we describe are related in their epitope recognition to recently described antibodies from Omicron-infected humans. These studies validate the utility of single human V</w:t>
      </w:r>
      <w:r>
        <w:t xml:space="preserve"> </w:t>
      </w:r>
      <w:r>
        <w:t>H</w:t>
      </w:r>
      <w:r>
        <w:t xml:space="preserve"> </w:t>
      </w:r>
      <w:r>
        <w:t>- and Vκ-rearranging mice for discovering humanized antibodies that neutralize emerging pathogens.</w:t>
      </w:r>
    </w:p>
    <w:p>
      <w:pPr>
        <w:spacing w:before="120" w:after="120"/>
      </w:pPr>
      <w:r>
        <w:rPr>
          <w:sz w:val="18"/>
        </w:rPr>
        <w:t>——————————————————————————————————————————————————————————————————————</w:t>
      </w:r>
    </w:p>
    <w:p>
      <w:pPr>
        <w:spacing w:before="160" w:after="40" w:line="240" w:lineRule="auto"/>
      </w:pPr>
      <w:r>
        <w:rPr>
          <w:b/>
        </w:rPr>
        <w:t xml:space="preserve">[72] </w:t>
      </w:r>
      <w:hyperlink r:id="rId318">
        <w:r>
          <w:rPr>
            <w:color w:val="1155CC"/>
            <w:u w:val="single"/>
          </w:rPr>
          <w:t>使用小波分解从投影图像中确定结构的维度</w:t>
        </w:r>
      </w:hyperlink>
    </w:p>
    <w:p>
      <w:pPr>
        <w:spacing w:before="0" w:after="80"/>
      </w:pPr>
      <w:r>
        <w:rPr>
          <w:i/>
          <w:sz w:val="20"/>
        </w:rPr>
        <w:t>EN: Using wavelet decomposition to determine the dimension of structures from projected images</w:t>
      </w:r>
    </w:p>
    <w:p>
      <w:pPr>
        <w:spacing w:before="0" w:after="120"/>
      </w:pPr>
      <w:r>
        <w:rPr>
          <w:b/>
        </w:rPr>
        <w:t xml:space="preserve">Source: </w:t>
      </w:r>
      <w:r>
        <w:t>Proceedings of the National Academy of Sciences: Keyword search for query</w:t>
      </w:r>
      <w:r>
        <w:t xml:space="preserve">    </w:t>
      </w:r>
      <w:r>
        <w:rPr>
          <w:b/>
        </w:rPr>
        <w:t xml:space="preserve">Pub date: </w:t>
      </w:r>
      <w:r>
        <w:t>2026-03-23 07:00:00+00:00</w:t>
      </w:r>
      <w:r>
        <w:t xml:space="preserve">    </w:t>
      </w:r>
      <w:r>
        <w:rPr>
          <w:b/>
        </w:rPr>
        <w:t xml:space="preserve">DOI: </w:t>
      </w:r>
      <w:hyperlink r:id="rId319">
        <w:r>
          <w:rPr>
            <w:color w:val="1155CC"/>
            <w:u w:val="single"/>
          </w:rPr>
          <w:t>10.1073/pnas.2534122123</w:t>
        </w:r>
      </w:hyperlink>
    </w:p>
    <w:p>
      <w:pPr>
        <w:spacing w:before="0" w:after="120"/>
      </w:pPr>
      <w:r>
        <w:rPr>
          <w:b/>
        </w:rPr>
        <w:t xml:space="preserve">Notes: </w:t>
      </w:r>
      <w:r>
        <w:t>abstract_source=crossref</w:t>
      </w:r>
    </w:p>
    <w:p>
      <w:pPr>
        <w:spacing w:before="0" w:after="80" w:lineRule="auto" w:line="276"/>
      </w:pPr>
      <w:r>
        <w:rPr>
          <w:b/>
        </w:rPr>
        <w:t xml:space="preserve">摘要（ZH）: </w:t>
      </w:r>
      <w:r>
        <w:t>湍流介质中的中尺度结构通常可以在广泛的尺度范围内描述为分数维。本文的目标是从投影图像中确定结构的维度。我们的方法利用了小波功率谱在投影下的缩放定律，并且对嵌入和投影维度没有任何限制。我们表明，投影的γ维度测度的小波功率谱为Pj=2</w:t>
      </w:r>
    </w:p>
    <w:p>
      <w:pPr>
        <w:spacing w:before="0" w:after="200" w:lineRule="auto" w:line="276"/>
      </w:pPr>
      <w:r>
        <w:rPr>
          <w:b/>
        </w:rPr>
        <w:t xml:space="preserve">Abstract (EN): </w:t>
      </w:r>
      <w:r>
        <w:t>Mesoscale structures in turbulent media can often be described as fractional dimensional across a wide range of scales. The goal of this paper is to determine the structure’s dimension from a projected image. Our method exploits the laws of scaling of wavelet power spectra under projection and does not carry any restrictions on the embedding and projected dimensions. We show that the wavelet power spectrum of a projected</w:t>
      </w:r>
      <w:r>
        <w:t xml:space="preserve"> </w:t>
      </w:r>
      <w:r>
        <w:t>γ</w:t>
      </w:r>
      <w:r>
        <w:t xml:space="preserve"> </w:t>
      </w:r>
      <w:r>
        <w:t>dimensional measure is</w:t>
      </w:r>
      <w:r>
        <w:t xml:space="preserve"> </w:t>
      </w:r>
      <w:r>
        <w:t>P</w:t>
      </w:r>
      <w:r>
        <w:t xml:space="preserve"> </w:t>
      </w:r>
      <w:r>
        <w:t>j</w:t>
      </w:r>
      <w:r>
        <w:t xml:space="preserve"> </w:t>
      </w:r>
      <w:r>
        <w:t>=</w:t>
      </w:r>
      <w:r>
        <w:t xml:space="preserve"> </w:t>
      </w:r>
      <w:r>
        <w:rPr>
          <w:vertAlign w:val="subscript"/>
        </w:rPr>
        <w:t>2</w:t>
      </w:r>
      <w:r>
        <w:t xml:space="preserve"> </w:t>
      </w:r>
      <w:r>
        <w:t>−</w:t>
      </w:r>
      <w:r>
        <w:t>j</w:t>
      </w:r>
      <w:r>
        <w:t xml:space="preserve"> </w:t>
      </w:r>
      <w:r>
        <w:t>γ</w:t>
      </w:r>
      <w:r>
        <w:t xml:space="preserve"> </w:t>
      </w:r>
      <w:r>
        <w:t>, where</w:t>
      </w:r>
      <w:r>
        <w:t xml:space="preserve"> </w:t>
      </w:r>
      <w:r>
        <w:t>j</w:t>
      </w:r>
      <w:r>
        <w:t xml:space="preserve"> </w:t>
      </w:r>
      <w:r>
        <w:t>is the wavelet scale. We contrast the wavelet method with the popular box-counting approach. For projected images, the use of box-counting at fixed thresholds often leads to erroneous results. We apply the method to James Webb Space Telescope (JWST) infrared and Chandra X-ray observations of the supernova remnant Cassiopeia A. We find that the emissions can be represented by projections of mesoscale substructures with fractal dimensions varying from</w:t>
      </w:r>
      <w:r>
        <w:t xml:space="preserve"> </w:t>
      </w:r>
      <w:r>
        <w:t>γ</w:t>
      </w:r>
      <w:r>
        <w:t xml:space="preserve"> </w:t>
      </w:r>
      <w:r>
        <w:t>=</w:t>
      </w:r>
      <w:r>
        <w:t xml:space="preserve"> </w:t>
      </w:r>
      <w:r>
        <w:t>1.69</w:t>
      </w:r>
      <w:r>
        <w:t xml:space="preserve"> </w:t>
      </w:r>
      <w:r>
        <w:t>±</w:t>
      </w:r>
      <w:r>
        <w:t xml:space="preserve"> </w:t>
      </w:r>
      <w:r>
        <w:t>0.02</w:t>
      </w:r>
      <w:r>
        <w:t xml:space="preserve"> </w:t>
      </w:r>
      <w:r>
        <w:t>for the warm CO layer observed by JWST, up to</w:t>
      </w:r>
      <w:r>
        <w:t xml:space="preserve"> </w:t>
      </w:r>
      <w:r>
        <w:t>γ</w:t>
      </w:r>
      <w:r>
        <w:t xml:space="preserve"> </w:t>
      </w:r>
      <w:r>
        <w:t>=</w:t>
      </w:r>
      <w:r>
        <w:t xml:space="preserve"> </w:t>
      </w:r>
      <w:r>
        <w:t>2.49</w:t>
      </w:r>
      <w:r>
        <w:t xml:space="preserve"> </w:t>
      </w:r>
      <w:r>
        <w:t>±</w:t>
      </w:r>
      <w:r>
        <w:t xml:space="preserve"> </w:t>
      </w:r>
      <w:r>
        <w:t>0.03</w:t>
      </w:r>
      <w:r>
        <w:t xml:space="preserve"> </w:t>
      </w:r>
      <w:r>
        <w:t>for the hot X-ray emitting gas layer in the supernova remnant.</w:t>
      </w:r>
    </w:p>
    <w:p>
      <w:pPr>
        <w:spacing w:before="120" w:after="120"/>
      </w:pPr>
      <w:r>
        <w:rPr>
          <w:sz w:val="18"/>
        </w:rPr>
        <w:t>——————————————————————————————————————————————————————————————————————</w:t>
      </w:r>
    </w:p>
    <w:p>
      <w:pPr>
        <w:spacing w:before="160" w:after="40" w:line="240" w:lineRule="auto"/>
      </w:pPr>
      <w:r>
        <w:rPr>
          <w:b/>
        </w:rPr>
        <w:t xml:space="preserve">[73] </w:t>
      </w:r>
      <w:hyperlink r:id="rId320">
        <w:r>
          <w:rPr>
            <w:color w:val="1155CC"/>
            <w:u w:val="single"/>
          </w:rPr>
          <w:t>KLF2推翻了驻留记忆CD8 T细胞分化程序，与KLF3相对立</w:t>
        </w:r>
      </w:hyperlink>
    </w:p>
    <w:p>
      <w:pPr>
        <w:spacing w:before="0" w:after="80"/>
      </w:pPr>
      <w:r>
        <w:rPr>
          <w:i/>
          <w:sz w:val="20"/>
        </w:rPr>
        <w:t>EN: KLF2 overrides the resident memory CD8 T cell differentiation program, in opposition to KLF3</w:t>
      </w:r>
    </w:p>
    <w:p>
      <w:pPr>
        <w:spacing w:before="0" w:after="120"/>
      </w:pPr>
      <w:r>
        <w:rPr>
          <w:b/>
        </w:rPr>
        <w:t xml:space="preserve">Source: </w:t>
      </w:r>
      <w:r>
        <w:t>Proceedings of the National Academy of Sciences: Keyword search for query</w:t>
      </w:r>
      <w:r>
        <w:t xml:space="preserve">    </w:t>
      </w:r>
      <w:r>
        <w:rPr>
          <w:b/>
        </w:rPr>
        <w:t xml:space="preserve">Pub date: </w:t>
      </w:r>
      <w:r>
        <w:t>2026-03-23 07:00:00+00:00</w:t>
      </w:r>
      <w:r>
        <w:t xml:space="preserve">    </w:t>
      </w:r>
      <w:r>
        <w:rPr>
          <w:b/>
        </w:rPr>
        <w:t xml:space="preserve">DOI: </w:t>
      </w:r>
      <w:hyperlink r:id="rId321">
        <w:r>
          <w:rPr>
            <w:color w:val="1155CC"/>
            <w:u w:val="single"/>
          </w:rPr>
          <w:t>10.1073/pnas.2533700123</w:t>
        </w:r>
      </w:hyperlink>
    </w:p>
    <w:p>
      <w:pPr>
        <w:spacing w:before="0" w:after="120"/>
      </w:pPr>
      <w:r>
        <w:rPr>
          <w:b/>
        </w:rPr>
        <w:t xml:space="preserve">Notes: </w:t>
      </w:r>
      <w:r>
        <w:t>abstract_source=crossref</w:t>
      </w:r>
    </w:p>
    <w:p>
      <w:pPr>
        <w:spacing w:before="0" w:after="80" w:lineRule="auto" w:line="276"/>
      </w:pPr>
      <w:r>
        <w:rPr>
          <w:b/>
        </w:rPr>
        <w:t xml:space="preserve">摘要（ZH）: </w:t>
      </w:r>
      <w:r>
        <w:t>许多转录调节因子与导致循环与组织驻留记忆T细胞的分化途径有关。然而，目前尚不清楚这些调节因子的独立、协调表达是否是决定驻留与循环所必需的，或者是否存在某种层次结构，其中某些因子在控制T细胞迁移中起主导作用。我们报告称，在CD8+ T细胞激活期间消除编码Kruppel样因子2（KLF2）的基因会导致快速的转录重编程，使效应T细胞无法循环并过早获得驻留记忆细胞（TRM）的典型表型和转录特征。</w:t>
      </w:r>
    </w:p>
    <w:p>
      <w:pPr>
        <w:spacing w:before="0" w:after="200" w:lineRule="auto" w:line="276"/>
      </w:pPr>
      <w:r>
        <w:rPr>
          <w:b/>
        </w:rPr>
        <w:t xml:space="preserve">Abstract (EN): </w:t>
      </w:r>
      <w:r>
        <w:t>Numerous transcriptional regulators have been associated with the differentiation pathways that lead to recirculating vs. tissue-resident memory T cells. However, it is unclear whether independent, coordinated expression of these regulators is required to determine residency vs. recirculation or whether there is a hierarchy, with some factors playing a dominant role in controlling T cell trafficking. We report that ablation of the gene encoding Kruppel-like factor 2 (KLF2) during CD8</w:t>
      </w:r>
      <w:r>
        <w:t xml:space="preserve"> </w:t>
      </w:r>
      <w:r>
        <w:t>+</w:t>
      </w:r>
      <w:r>
        <w:t xml:space="preserve"> </w:t>
      </w:r>
      <w:r>
        <w:t>T cell activation leads to rapid transcriptional reprogramming, such that effector T cells fail to recirculate and prematurely acquire canonical phenotypic and transcriptional characteristics of resident memory cells (T</w:t>
      </w:r>
      <w:r>
        <w:t xml:space="preserve"> </w:t>
      </w:r>
      <w:r>
        <w:t>RM</w:t>
      </w:r>
      <w:r>
        <w:t xml:space="preserve"> </w:t>
      </w:r>
      <w:r>
        <w:t>).</w:t>
      </w:r>
      <w:r>
        <w:t xml:space="preserve"> </w:t>
      </w:r>
      <w:r>
        <w:t>Klf2</w:t>
      </w:r>
      <w:r>
        <w:t xml:space="preserve"> </w:t>
      </w:r>
      <w:r>
        <w:t>-deficient memory CD8</w:t>
      </w:r>
      <w:r>
        <w:t xml:space="preserve"> </w:t>
      </w:r>
      <w:r>
        <w:t>+</w:t>
      </w:r>
      <w:r>
        <w:t xml:space="preserve"> </w:t>
      </w:r>
      <w:r>
        <w:t>T cells retained the capacity to undergo recall responses, including in vivo pathogen control. These data suggest that KLF2 diverts CD8</w:t>
      </w:r>
      <w:r>
        <w:t xml:space="preserve"> </w:t>
      </w:r>
      <w:r>
        <w:t>+</w:t>
      </w:r>
      <w:r>
        <w:t xml:space="preserve"> </w:t>
      </w:r>
      <w:r>
        <w:t>T cells from the T</w:t>
      </w:r>
      <w:r>
        <w:t xml:space="preserve"> </w:t>
      </w:r>
      <w:r>
        <w:t>RM</w:t>
      </w:r>
      <w:r>
        <w:t xml:space="preserve"> </w:t>
      </w:r>
      <w:r>
        <w:t>differentiation program. In contrast, ablation of another member of the KLF family, KLF3, enhanced differentiation of some recirculating T cell subsets and limited production of T</w:t>
      </w:r>
      <w:r>
        <w:t xml:space="preserve"> </w:t>
      </w:r>
      <w:r>
        <w:t>RM</w:t>
      </w:r>
      <w:r>
        <w:t xml:space="preserve"> </w:t>
      </w:r>
      <w:r>
        <w:t>in lymphoid tissues. However, both KLF2 and KLF3 were required for differentiation of long-lived effector cells, suggesting cooperation between these factors in some situations. These findings indicate that KLFs occupy a central nexus in coordinating activated CD8</w:t>
      </w:r>
      <w:r>
        <w:t xml:space="preserve"> </w:t>
      </w:r>
      <w:r>
        <w:t>+</w:t>
      </w:r>
      <w:r>
        <w:t xml:space="preserve"> </w:t>
      </w:r>
      <w:r>
        <w:t>T cell differentiation and trafficking.</w:t>
      </w:r>
    </w:p>
    <w:p>
      <w:pPr>
        <w:spacing w:before="120" w:after="120"/>
      </w:pPr>
      <w:r>
        <w:rPr>
          <w:sz w:val="18"/>
        </w:rPr>
        <w:t>——————————————————————————————————————————————————————————————————————</w:t>
      </w:r>
    </w:p>
    <w:p>
      <w:pPr>
        <w:spacing w:before="160" w:after="40" w:line="240" w:lineRule="auto"/>
      </w:pPr>
      <w:r>
        <w:rPr>
          <w:b/>
        </w:rPr>
        <w:t xml:space="preserve">[74] </w:t>
      </w:r>
      <w:hyperlink r:id="rId322">
        <w:r>
          <w:rPr>
            <w:color w:val="1155CC"/>
            <w:u w:val="single"/>
          </w:rPr>
          <w:t>通过保留长链增强二氧化硅增强天然橡胶的韧性</w:t>
        </w:r>
      </w:hyperlink>
    </w:p>
    <w:p>
      <w:pPr>
        <w:spacing w:before="0" w:after="80"/>
      </w:pPr>
      <w:r>
        <w:rPr>
          <w:i/>
          <w:sz w:val="20"/>
        </w:rPr>
        <w:t>EN: Amplifying toughness in silica-reinforced natural rubber by preserving long chains</w:t>
      </w:r>
    </w:p>
    <w:p>
      <w:pPr>
        <w:spacing w:before="0" w:after="120"/>
      </w:pPr>
      <w:r>
        <w:rPr>
          <w:b/>
        </w:rPr>
        <w:t xml:space="preserve">Source: </w:t>
      </w:r>
      <w:r>
        <w:t>Proceedings of the National Academy of Sciences: Keyword search for query</w:t>
      </w:r>
      <w:r>
        <w:t xml:space="preserve">    </w:t>
      </w:r>
      <w:r>
        <w:rPr>
          <w:b/>
        </w:rPr>
        <w:t xml:space="preserve">Pub date: </w:t>
      </w:r>
      <w:r>
        <w:t>2026-03-23 07:00:00+00:00</w:t>
      </w:r>
      <w:r>
        <w:t xml:space="preserve">    </w:t>
      </w:r>
      <w:r>
        <w:rPr>
          <w:b/>
        </w:rPr>
        <w:t xml:space="preserve">DOI: </w:t>
      </w:r>
      <w:hyperlink r:id="rId323">
        <w:r>
          <w:rPr>
            <w:color w:val="1155CC"/>
            <w:u w:val="single"/>
          </w:rPr>
          <w:t>10.1073/pnas.2530834123</w:t>
        </w:r>
      </w:hyperlink>
    </w:p>
    <w:p>
      <w:pPr>
        <w:spacing w:before="0" w:after="120"/>
      </w:pPr>
      <w:r>
        <w:rPr>
          <w:b/>
        </w:rPr>
        <w:t xml:space="preserve">Notes: </w:t>
      </w:r>
      <w:r>
        <w:t>abstract_source=crossref</w:t>
      </w:r>
    </w:p>
    <w:p>
      <w:pPr>
        <w:spacing w:before="0" w:after="80" w:lineRule="auto" w:line="276"/>
      </w:pPr>
      <w:r>
        <w:rPr>
          <w:b/>
        </w:rPr>
        <w:t xml:space="preserve">摘要（ZH）: </w:t>
      </w:r>
      <w:r>
        <w:t>天然橡胶因其长链和应变诱导结晶（SIC）而优于合成橡胶。然而，当天然橡胶链在加工过程中被捣碎并加入硅胶颗粒进行增强时，这些优势在很大程度上丧失。捣碎使混合更容易，但缩短了链条并降低了性能。硅胶颗粒需要与橡胶链形成共价交联，但这些交联限制了链的拉伸和对齐，降低了SIC。在此，我们展示了通过保留长的天然橡胶链可以显著提高硅胶增强天然橡胶的性能。我们使用溶剂将天然橡胶乳胶溶解成单个橡胶链，并使用该溶液均匀分散硅胶颗粒。干燥后，未硫化的化合物可以被</w:t>
      </w:r>
    </w:p>
    <w:p>
      <w:pPr>
        <w:spacing w:before="0" w:after="200" w:lineRule="auto" w:line="276"/>
      </w:pPr>
      <w:r>
        <w:rPr>
          <w:b/>
        </w:rPr>
        <w:t xml:space="preserve">Abstract (EN): </w:t>
      </w:r>
      <w:r>
        <w:t>Natural rubber outperforms synthetic rubbers because of its long chains and strain-induced crystallization (SIC). However, these advantages are largely lost when the natural rubber chains are masticated during processing, and silica particles are added for reinforcement. Mastication eases mixing but shortens chains and lowers performance. Silica particles require covalent interlinks with rubber chains, but these interlinks restrict chain stretch and alignment, reducing SIC. Here, we show that the performance of silica-reinforced natural rubber can be markedly enhanced by preserving long natural rubber chains. We use a solvent to dissolve natural rubber latex into individual rubber chains and use the solution to uniformly disperse silica particles. After drying, the uncured compound can be stored and molded prior to curing. The long rubber chains are then sparsely crosslinked with one another and interlinked with the silica particles. The long strands readily align under stretch and increase SIC. Preserving long chains elevates toughness by an order of magnitude, from ~2 to 44 kJ m</w:t>
      </w:r>
      <w:r>
        <w:t xml:space="preserve"> </w:t>
      </w:r>
      <w:r>
        <w:t>–2</w:t>
      </w:r>
      <w:r>
        <w:t xml:space="preserve"> </w:t>
      </w:r>
      <w:r>
        <w:t>. High toughness arises from energy dissipation across multiple length scales, over long rubber strands, silica particles, and a zone of SIC. High modulus of ~19 MPa arises from two interpenetrating networks: the network of densely entangled rubber chains and the network of percolated silica particles. The resulting material achieves high toughness while maintaining high modulus, a combination uncommon in silica-reinforced synthetic and natural rubbers.</w:t>
      </w:r>
    </w:p>
    <w:p>
      <w:pPr>
        <w:spacing w:before="120" w:after="120"/>
      </w:pPr>
      <w:r>
        <w:rPr>
          <w:sz w:val="18"/>
        </w:rPr>
        <w:t>——————————————————————————————————————————————————————————————————————</w:t>
      </w:r>
    </w:p>
    <w:p>
      <w:pPr>
        <w:spacing w:before="160" w:after="40" w:line="240" w:lineRule="auto"/>
      </w:pPr>
      <w:r>
        <w:rPr>
          <w:b/>
        </w:rPr>
        <w:t xml:space="preserve">[75] </w:t>
      </w:r>
      <w:hyperlink r:id="rId324">
        <w:r>
          <w:rPr>
            <w:color w:val="1155CC"/>
            <w:u w:val="single"/>
          </w:rPr>
          <w:t>2025年NIH资助终止如何因研究人员的不同人口群体而异</w:t>
        </w:r>
      </w:hyperlink>
    </w:p>
    <w:p>
      <w:pPr>
        <w:spacing w:before="0" w:after="80"/>
      </w:pPr>
      <w:r>
        <w:rPr>
          <w:i/>
          <w:sz w:val="20"/>
        </w:rPr>
        <w:t>EN: How the 2025 NIH grant terminations varied by researchers’ demographic groups</w:t>
      </w:r>
    </w:p>
    <w:p>
      <w:pPr>
        <w:spacing w:before="0" w:after="120"/>
      </w:pPr>
      <w:r>
        <w:rPr>
          <w:b/>
        </w:rPr>
        <w:t xml:space="preserve">Source: </w:t>
      </w:r>
      <w:r>
        <w:t>Proceedings of the National Academy of Sciences: Keyword search for query</w:t>
      </w:r>
      <w:r>
        <w:t xml:space="preserve">    </w:t>
      </w:r>
      <w:r>
        <w:rPr>
          <w:b/>
        </w:rPr>
        <w:t xml:space="preserve">Pub date: </w:t>
      </w:r>
      <w:r>
        <w:t>2026-03-23 07:00:00+00:00</w:t>
      </w:r>
      <w:r>
        <w:t xml:space="preserve">    </w:t>
      </w:r>
      <w:r>
        <w:rPr>
          <w:b/>
        </w:rPr>
        <w:t xml:space="preserve">DOI: </w:t>
      </w:r>
      <w:hyperlink r:id="rId325">
        <w:r>
          <w:rPr>
            <w:color w:val="1155CC"/>
            <w:u w:val="single"/>
          </w:rPr>
          <w:t>10.1073/pnas.2527755123</w:t>
        </w:r>
      </w:hyperlink>
    </w:p>
    <w:p>
      <w:pPr>
        <w:spacing w:before="0" w:after="120"/>
      </w:pPr>
      <w:r>
        <w:rPr>
          <w:b/>
        </w:rPr>
        <w:t xml:space="preserve">Notes: </w:t>
      </w:r>
      <w:r>
        <w:t>abstract_source=crossref</w:t>
      </w:r>
    </w:p>
    <w:p>
      <w:pPr>
        <w:spacing w:before="0" w:after="80" w:lineRule="auto" w:line="276"/>
      </w:pPr>
      <w:r>
        <w:rPr>
          <w:b/>
        </w:rPr>
        <w:t xml:space="preserve">摘要（ZH）: </w:t>
      </w:r>
      <w:r>
        <w:t>在2025年初，NIH意外终止了2,291项活跃的研究资助，撤回了24.5亿美元，扰乱了数千个项目。虽然这些削减的经济规模是已知的，但对研究人员不同人口群体的影响了解较少。使用一个公开可用记录的原始数据集，我们记录了取消情况如何因性别和职业阶段而异。尽管削减发生在所有地区和机构类型中，统计模式显示，早期职业研究人员——助理教授、博士后学者、学员和研究生——受到的影响尤为严重，女性也是如此。女性的项目平均规模较小，在取消时未使用的资金比例较大，并且更集中于培训和过渡奖项。</w:t>
      </w:r>
    </w:p>
    <w:p>
      <w:pPr>
        <w:spacing w:before="0" w:after="200" w:lineRule="auto" w:line="276"/>
      </w:pPr>
      <w:r>
        <w:rPr>
          <w:b/>
        </w:rPr>
        <w:t xml:space="preserve">Abstract (EN): </w:t>
      </w:r>
      <w:r>
        <w:t>In early 2025, the NIH unexpectedly terminated 2,291 active research grants, withdrawing $2.45 billion and disrupting thousands of projects. While the economic magnitude of these cuts is known, less is understood about how they differed across researchers’ demographic groups. Using an original dataset of publicly available records, we documented how cancelations varied by gender and career stage. Although cuts occurred across all regions and institution types, statistical patterns show that early-career investigators—assistant professors, postdoctoral scholars, trainees, and graduate students—were disproportionately affected, as were women. Women’s projects were smaller on average, had a larger share of unspent funds at cancelation, and were more concentrated in training and transition awards. Although available data cannot determine downstream causal effects, NIH economic multipliers suggest a potentially large unrealized loss to the US research enterprise. These patterns highlight the vulnerability of early-career researchers and women to abrupt funding instability and underscore the need for sustained investment to protect the future scientific workforce.</w:t>
      </w:r>
    </w:p>
    <w:p>
      <w:pPr>
        <w:spacing w:before="120" w:after="120"/>
      </w:pPr>
      <w:r>
        <w:rPr>
          <w:sz w:val="18"/>
        </w:rPr>
        <w:t>——————————————————————————————————————————————————————————————————————</w:t>
      </w:r>
    </w:p>
    <w:p>
      <w:pPr>
        <w:spacing w:before="160" w:after="40" w:line="240" w:lineRule="auto"/>
      </w:pPr>
      <w:r>
        <w:rPr>
          <w:b/>
        </w:rPr>
        <w:t xml:space="preserve">[76] </w:t>
      </w:r>
      <w:hyperlink r:id="rId326">
        <w:r>
          <w:rPr>
            <w:color w:val="1155CC"/>
            <w:u w:val="single"/>
          </w:rPr>
          <w:t>通过TRIM介导的SUMO化抑制冠状病毒外切核酸酶活性</w:t>
        </w:r>
      </w:hyperlink>
    </w:p>
    <w:p>
      <w:pPr>
        <w:spacing w:before="0" w:after="80"/>
      </w:pPr>
      <w:r>
        <w:rPr>
          <w:i/>
          <w:sz w:val="20"/>
        </w:rPr>
        <w:t>EN: Inhibition of coronaviral exoribonuclease activity by TRIM-mediated SUMOylation</w:t>
      </w:r>
    </w:p>
    <w:p>
      <w:pPr>
        <w:spacing w:before="0" w:after="120"/>
      </w:pPr>
      <w:r>
        <w:rPr>
          <w:b/>
        </w:rPr>
        <w:t xml:space="preserve">Source: </w:t>
      </w:r>
      <w:r>
        <w:t>Proceedings of the National Academy of Sciences: Keyword search for query</w:t>
      </w:r>
      <w:r>
        <w:t xml:space="preserve">    </w:t>
      </w:r>
      <w:r>
        <w:rPr>
          <w:b/>
        </w:rPr>
        <w:t xml:space="preserve">Pub date: </w:t>
      </w:r>
      <w:r>
        <w:t>2026-03-23 07:00:00+00:00</w:t>
      </w:r>
      <w:r>
        <w:t xml:space="preserve">    </w:t>
      </w:r>
      <w:r>
        <w:rPr>
          <w:b/>
        </w:rPr>
        <w:t xml:space="preserve">DOI: </w:t>
      </w:r>
      <w:hyperlink r:id="rId327">
        <w:r>
          <w:rPr>
            <w:color w:val="1155CC"/>
            <w:u w:val="single"/>
          </w:rPr>
          <w:t>10.1073/pnas.2528398123</w:t>
        </w:r>
      </w:hyperlink>
    </w:p>
    <w:p>
      <w:pPr>
        <w:spacing w:before="0" w:after="120"/>
      </w:pPr>
      <w:r>
        <w:rPr>
          <w:b/>
        </w:rPr>
        <w:t xml:space="preserve">Notes: </w:t>
      </w:r>
      <w:r>
        <w:t>abstract_source=crossref</w:t>
      </w:r>
    </w:p>
    <w:p>
      <w:pPr>
        <w:spacing w:before="0" w:after="80" w:lineRule="auto" w:line="276"/>
      </w:pPr>
      <w:r>
        <w:rPr>
          <w:b/>
        </w:rPr>
        <w:t xml:space="preserve">摘要（ZH）: </w:t>
      </w:r>
      <w:r>
        <w:t>TRIM E3连接酶家族的成员是宿主对抗各种病毒的先天或内在防御的效应器；然而，特定TRIM蛋白如何对抗冠状病毒感染仍然很大程度上不清楚。通过针对71个人类TRIM基因的RNAi筛选，我们鉴定出多种具有抗病毒或促病毒活性对抗SARS-CoV-2的TRIM蛋白。TRIM32在RING E3连接酶依赖但干扰素非依赖的方式中强烈限制了SARS-CoV-2的复制。在机制上，TRIM32与Nsp14的3′‐to‐5′外切核糖核酸酶（ExoN）结合并进行SUMO化，这是一种对SARS-CoV-2复制至关重要的酶。TRIM32介导的Nsp14在K9和K200的SUMO化分别抑制了RNA结合和Nsp10辅因子的招募，最终抑制了ExoN活性。我们的研究进一步揭示了</w:t>
      </w:r>
    </w:p>
    <w:p>
      <w:pPr>
        <w:spacing w:before="0" w:after="200" w:lineRule="auto" w:line="276"/>
      </w:pPr>
      <w:r>
        <w:rPr>
          <w:b/>
        </w:rPr>
        <w:t xml:space="preserve">Abstract (EN): </w:t>
      </w:r>
      <w:r>
        <w:t>Members of the TRIM E3 ligase family are effectors of the host innate or intrinsic defense against various viruses; however, how specific TRIM proteins antagonize coronavirus infection is still largely elusive. Through an RNAi screen targeting 71 human TRIM genes, we identified multiple TRIM proteins with antiviral or proviral activity against SARS-CoV-2. TRIM32 potently restricted SARS-CoV-2 replication in a RING E3 ligase-dependent but interferon-independent manner. Mechanistically, TRIM32 binds to and SUMOylates the 3′‐to‐5′ exoribonuclease (ExoN) of Nsp14, an enzyme essential for SARS-CoV-2 replication. TRIM32-mediated Nsp14 SUMOylation at K9 and K200 inhibits RNA binding and Nsp10 cofactor recruitment, respectively, ultimately suppressing ExoN activity. Our study further revealed that Nsp14 SUMOylation by TRIM32 and its antiviral activity are broadly conserved for coronaviruses. These results identify the coronaviral Nsp14 protein as a direct target of host restriction via SUMOylation, which may uncover ways to therapeutically inhibit coronavirus infections in humans.</w:t>
      </w:r>
    </w:p>
    <w:p>
      <w:pPr>
        <w:spacing w:before="120" w:after="120"/>
      </w:pPr>
      <w:r>
        <w:rPr>
          <w:sz w:val="18"/>
        </w:rPr>
        <w:t>——————————————————————————————————————————————————————————————————————</w:t>
      </w:r>
    </w:p>
    <w:p>
      <w:pPr>
        <w:spacing w:before="160" w:after="40" w:line="240" w:lineRule="auto"/>
      </w:pPr>
      <w:r>
        <w:rPr>
          <w:b/>
        </w:rPr>
        <w:t xml:space="preserve">[77] </w:t>
      </w:r>
      <w:hyperlink r:id="rId328">
        <w:r>
          <w:rPr>
            <w:color w:val="1155CC"/>
            <w:u w:val="single"/>
          </w:rPr>
          <w:t>Li等人的更正，功能异质的肿瘤内CD4+CD8+双阳性T细胞可以产生单阳性T细胞</w:t>
        </w:r>
      </w:hyperlink>
    </w:p>
    <w:p>
      <w:pPr>
        <w:spacing w:before="0" w:after="80"/>
      </w:pPr>
      <w:r>
        <w:rPr>
          <w:i/>
          <w:sz w:val="20"/>
        </w:rPr>
        <w:t>EN: Correction for Li et al., Functionally heterogeneous intratumoral CD4+CD8+ double-positive T cells can give rise to single-positive T cells</w:t>
      </w:r>
    </w:p>
    <w:p>
      <w:pPr>
        <w:spacing w:before="0" w:after="120"/>
      </w:pPr>
      <w:r>
        <w:rPr>
          <w:b/>
        </w:rPr>
        <w:t xml:space="preserve">Source: </w:t>
      </w:r>
      <w:r>
        <w:t>Proceedings of the National Academy of Sciences: Keyword search for query</w:t>
      </w:r>
      <w:r>
        <w:t xml:space="preserve">    </w:t>
      </w:r>
      <w:r>
        <w:rPr>
          <w:b/>
        </w:rPr>
        <w:t xml:space="preserve">Pub date: </w:t>
      </w:r>
      <w:r>
        <w:t>2026-03-23 07:00:00+00:00</w:t>
      </w:r>
      <w:r>
        <w:t xml:space="preserve">    </w:t>
      </w:r>
      <w:r>
        <w:rPr>
          <w:b/>
        </w:rPr>
        <w:t xml:space="preserve">DOI: </w:t>
      </w:r>
      <w:hyperlink r:id="rId329">
        <w:r>
          <w:rPr>
            <w:color w:val="1155CC"/>
            <w:u w:val="single"/>
          </w:rPr>
          <w:t>10.1073/pnas.2606104123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[78] </w:t>
      </w:r>
      <w:hyperlink r:id="rId330">
        <w:r>
          <w:rPr>
            <w:color w:val="1155CC"/>
            <w:u w:val="single"/>
          </w:rPr>
          <w:t>重新思考同性性行为：从感官错误到社会功能</w:t>
        </w:r>
      </w:hyperlink>
    </w:p>
    <w:p>
      <w:pPr>
        <w:spacing w:before="0" w:after="80"/>
      </w:pPr>
      <w:r>
        <w:rPr>
          <w:i/>
          <w:sz w:val="20"/>
        </w:rPr>
        <w:t>EN: Rethinking same-sex sexual behavior: From sensory error to social function</w:t>
      </w:r>
    </w:p>
    <w:p>
      <w:pPr>
        <w:spacing w:before="0" w:after="120"/>
      </w:pPr>
      <w:r>
        <w:rPr>
          <w:b/>
        </w:rPr>
        <w:t xml:space="preserve">Source: </w:t>
      </w:r>
      <w:r>
        <w:t>Proceedings of the National Academy of Sciences: Keyword search for query</w:t>
      </w:r>
      <w:r>
        <w:t xml:space="preserve">    </w:t>
      </w:r>
      <w:r>
        <w:rPr>
          <w:b/>
        </w:rPr>
        <w:t xml:space="preserve">Pub date: </w:t>
      </w:r>
      <w:r>
        <w:t>2026-03-23 07:00:00+00:00</w:t>
      </w:r>
      <w:r>
        <w:t xml:space="preserve">    </w:t>
      </w:r>
      <w:r>
        <w:rPr>
          <w:b/>
        </w:rPr>
        <w:t xml:space="preserve">DOI: </w:t>
      </w:r>
      <w:hyperlink r:id="rId331">
        <w:r>
          <w:rPr>
            <w:color w:val="1155CC"/>
            <w:u w:val="single"/>
          </w:rPr>
          <w:t>10.1073/pnas.2600926123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[79] </w:t>
      </w:r>
      <w:hyperlink r:id="rId332">
        <w:r>
          <w:rPr>
            <w:color w:val="1155CC"/>
            <w:u w:val="single"/>
          </w:rPr>
          <w:t>在计划外和计划内的学校关闭期间，阅读的性别差距增加</w:t>
        </w:r>
      </w:hyperlink>
    </w:p>
    <w:p>
      <w:pPr>
        <w:spacing w:before="0" w:after="80"/>
      </w:pPr>
      <w:r>
        <w:rPr>
          <w:i/>
          <w:sz w:val="20"/>
        </w:rPr>
        <w:t>EN: Gender gaps in reading increase during unplanned and planned school closures</w:t>
      </w:r>
    </w:p>
    <w:p>
      <w:pPr>
        <w:spacing w:before="0" w:after="120"/>
      </w:pPr>
      <w:r>
        <w:rPr>
          <w:b/>
        </w:rPr>
        <w:t xml:space="preserve">Source: </w:t>
      </w:r>
      <w:r>
        <w:t>Proceedings of the National Academy of Sciences: Keyword search for query</w:t>
      </w:r>
      <w:r>
        <w:t xml:space="preserve">    </w:t>
      </w:r>
      <w:r>
        <w:rPr>
          <w:b/>
        </w:rPr>
        <w:t xml:space="preserve">Pub date: </w:t>
      </w:r>
      <w:r>
        <w:t>2026-03-23 07:00:00+00:00</w:t>
      </w:r>
      <w:r>
        <w:t xml:space="preserve">    </w:t>
      </w:r>
      <w:r>
        <w:rPr>
          <w:b/>
        </w:rPr>
        <w:t xml:space="preserve">DOI: </w:t>
      </w:r>
      <w:hyperlink r:id="rId333">
        <w:r>
          <w:rPr>
            <w:color w:val="1155CC"/>
            <w:u w:val="single"/>
          </w:rPr>
          <w:t>10.1073/pnas.2523152123</w:t>
        </w:r>
      </w:hyperlink>
    </w:p>
    <w:p>
      <w:pPr>
        <w:spacing w:before="0" w:after="120"/>
      </w:pPr>
      <w:r>
        <w:rPr>
          <w:b/>
        </w:rPr>
        <w:t xml:space="preserve">Notes: </w:t>
      </w:r>
      <w:r>
        <w:t>abstract_source=crossref</w:t>
      </w:r>
    </w:p>
    <w:p>
      <w:pPr>
        <w:spacing w:before="0" w:after="80" w:lineRule="auto" w:line="276"/>
      </w:pPr>
      <w:r>
        <w:rPr>
          <w:b/>
        </w:rPr>
        <w:t xml:space="preserve">摘要（ZH）: </w:t>
      </w:r>
      <w:r>
        <w:t>为什么女孩在教育中表现优于男孩？一个可能的因素是女孩比男孩阅读更多，这促进了与教育相关的能力。此外，男孩可能更依赖学校来支持和鼓励阅读，这意味着计划外和计划内的学校关闭对男孩的影响更大。我们使用来自丹麦的两个大规模数据集绘制了2020年至2022年期间的性别阅读差距，一个通过流行的阅读应用程序测量学生在校的每周阅读，另一个测量学生借阅图书馆书籍的情况。我们的数据记录了一个明显的性别阅读差距，这一差距在由于COVID-19大流行导致的计划外学校关闭和由于假期导致的计划内关闭期间有所增加。我们的研究结果强调了学校在缓解性别差异中的作用。</w:t>
      </w:r>
    </w:p>
    <w:p>
      <w:pPr>
        <w:spacing w:before="0" w:after="200" w:lineRule="auto" w:line="276"/>
      </w:pPr>
      <w:r>
        <w:rPr>
          <w:b/>
        </w:rPr>
        <w:t xml:space="preserve">Abstract (EN): </w:t>
      </w:r>
      <w:r>
        <w:t>Why do girls outperform boys in education? One contributing factor might be that girls read more than boys, which fosters competencies relevant in education. Moreover, boys might rely more heavily on schools to support and encourage reading, meaning that unplanned and planned school closures disproportionally affect boys. We map the gender gap in reading in the period 2020 to 2022 using two large-scale datasets from Denmark, one measuring students’ weekly reading in school via a popular reading app and the other measuring students’ borrowing of library books. Our data document a clear gender gap in reading that increased during unplanned school closures due to the COVID-19 pandemic and planned closures due to vacations. Our findings underscore the role of schools in mitigating gender differences in reading.</w:t>
      </w:r>
    </w:p>
    <w:p>
      <w:pPr>
        <w:spacing w:before="120" w:after="120"/>
      </w:pPr>
      <w:r>
        <w:rPr>
          <w:sz w:val="18"/>
        </w:rPr>
        <w:t>——————————————————————————————————————————————————————————————————————</w:t>
      </w:r>
    </w:p>
    <w:p>
      <w:pPr>
        <w:spacing w:before="160" w:after="40" w:line="240" w:lineRule="auto"/>
      </w:pPr>
      <w:r>
        <w:rPr>
          <w:b/>
        </w:rPr>
        <w:t xml:space="preserve">[80] </w:t>
      </w:r>
      <w:hyperlink r:id="rId334">
        <w:r>
          <w:rPr>
            <w:color w:val="1155CC"/>
            <w:u w:val="single"/>
          </w:rPr>
          <w:t>古基因组学对晚期尼安德特人群体历史的见解</w:t>
        </w:r>
      </w:hyperlink>
    </w:p>
    <w:p>
      <w:pPr>
        <w:spacing w:before="0" w:after="80"/>
      </w:pPr>
      <w:r>
        <w:rPr>
          <w:i/>
          <w:sz w:val="20"/>
        </w:rPr>
        <w:t>EN: Archaeogenetic insights into the demographic history of Late Neanderthals</w:t>
      </w:r>
    </w:p>
    <w:p>
      <w:pPr>
        <w:spacing w:before="0" w:after="120"/>
      </w:pPr>
      <w:r>
        <w:rPr>
          <w:b/>
        </w:rPr>
        <w:t xml:space="preserve">Source: </w:t>
      </w:r>
      <w:r>
        <w:t>Proceedings of the National Academy of Sciences: Keyword search for query</w:t>
      </w:r>
      <w:r>
        <w:t xml:space="preserve">    </w:t>
      </w:r>
      <w:r>
        <w:rPr>
          <w:b/>
        </w:rPr>
        <w:t xml:space="preserve">Pub date: </w:t>
      </w:r>
      <w:r>
        <w:t>2026-03-23 07:00:00+00:00</w:t>
      </w:r>
      <w:r>
        <w:t xml:space="preserve">    </w:t>
      </w:r>
      <w:r>
        <w:rPr>
          <w:b/>
        </w:rPr>
        <w:t xml:space="preserve">DOI: </w:t>
      </w:r>
      <w:hyperlink r:id="rId335">
        <w:r>
          <w:rPr>
            <w:color w:val="1155CC"/>
            <w:u w:val="single"/>
          </w:rPr>
          <w:t>10.1073/pnas.2520565123</w:t>
        </w:r>
      </w:hyperlink>
    </w:p>
    <w:p>
      <w:pPr>
        <w:spacing w:before="0" w:after="120"/>
      </w:pPr>
      <w:r>
        <w:rPr>
          <w:b/>
        </w:rPr>
        <w:t xml:space="preserve">Notes: </w:t>
      </w:r>
      <w:r>
        <w:t>abstract_source=crossref</w:t>
      </w:r>
    </w:p>
    <w:p>
      <w:pPr>
        <w:spacing w:before="0" w:after="80" w:lineRule="auto" w:line="276"/>
      </w:pPr>
      <w:r>
        <w:rPr>
          <w:b/>
        </w:rPr>
        <w:t xml:space="preserve">摘要（ZH）: </w:t>
      </w:r>
      <w:r>
        <w:t>尼安德特人的人口历史仅被部分理解。在欧洲，尽管发生了多次随后的多样化事件，但从12万年前（ka）起，已经显示出一定程度的遗传连续性。虽然有人提出在晚期尼安德特人在欧洲出现之前发生了人口更替，但这一事件的范围、时间和地理位置目前尚不清楚。在此，我们报告了来自比利时、法国、德国和塞尔维亚六个考古遗址的十个尼安德特人个体的线粒体DNA序列（mtDNAs），并与49个已发表的mtDNAs一起分析。通过将系统发育和分子年代学分析与广泛的考古数据集相结合，我们能够重建尼安德特人的时间和空间模式。</w:t>
      </w:r>
    </w:p>
    <w:p>
      <w:pPr>
        <w:spacing w:before="0" w:after="200" w:lineRule="auto" w:line="276"/>
      </w:pPr>
      <w:r>
        <w:rPr>
          <w:b/>
        </w:rPr>
        <w:t xml:space="preserve">Abstract (EN): </w:t>
      </w:r>
      <w:r>
        <w:t>The demographic history of Neanderthals is only partially understood. In Europe, some degree of genetic continuity has been shown from 120 thousand years ago (ka) onward despite the occurrence of multiple subsequent diversification events. While it has been proposed that a population turnover preceded the emergence of Late Neanderthals in Europe, the extent, timing, and geographic location of this event are currently unknown. Here, we report ten mitochondrial DNA sequences (mtDNAs) of Neanderthal individuals from six archaeological sites in Belgium, France, Germany and Serbia, and analyze them alongside 49 published mtDNAs. The integration of phylogenetic and molecular dating analyses with an extensive archaeological dataset enabled us to reconstruct temporal and spatial patterns in Neanderthal distribution. Remarkably, nearly all Late Neanderthal individuals across Europe belong to a single mtDNA lineage that diversified recently, confirming a large-scale genetic replacement. Our analyses date this diversification event to approximately 65 ka and suggest that it likely originated from a population refugium in southwestern France from which Neanderthals appear to have undergone a major range dispersal across Europe. In addition, we detect a sharp decline in the Neanderthal mtDNA effective population size beginning ~45 ka and reaching a minimum ~42 ka, shortly before their extinction. This study demonstrates that integrating molecular and archaeological datasets provides a more detailed understanding of the Late Neanderthal population’s history, and highlights the critical role of climate-driven refugia and subsequent range expansions in shaping the genetic landscape of Neanderthals through time.</w:t>
      </w:r>
    </w:p>
    <w:p>
      <w:pPr>
        <w:spacing w:before="120" w:after="120"/>
      </w:pPr>
      <w:r>
        <w:rPr>
          <w:sz w:val="18"/>
        </w:rPr>
        <w:t>——————————————————————————————————————————————————————————————————————</w:t>
      </w:r>
    </w:p>
    <w:p>
      <w:pPr>
        <w:spacing w:before="160" w:after="40" w:line="240" w:lineRule="auto"/>
      </w:pPr>
      <w:r>
        <w:rPr>
          <w:b/>
        </w:rPr>
        <w:t xml:space="preserve">[81] </w:t>
      </w:r>
      <w:hyperlink r:id="rId336">
        <w:r>
          <w:rPr>
            <w:color w:val="1155CC"/>
            <w:u w:val="single"/>
          </w:rPr>
          <w:t>Sun等人的更正，日本群岛在晚更新世期间庇护了洞狮，而不是老虎</w:t>
        </w:r>
      </w:hyperlink>
    </w:p>
    <w:p>
      <w:pPr>
        <w:spacing w:before="0" w:after="80"/>
      </w:pPr>
      <w:r>
        <w:rPr>
          <w:i/>
          <w:sz w:val="20"/>
        </w:rPr>
        <w:t>EN: Correction for Sun et al., The Japanese Archipelago sheltered cave lions, not tigers, during the Late Pleistocene</w:t>
      </w:r>
    </w:p>
    <w:p>
      <w:pPr>
        <w:spacing w:before="0" w:after="120"/>
      </w:pPr>
      <w:r>
        <w:rPr>
          <w:b/>
        </w:rPr>
        <w:t xml:space="preserve">Source: </w:t>
      </w:r>
      <w:r>
        <w:t>Proceedings of the National Academy of Sciences: Keyword search for query</w:t>
      </w:r>
      <w:r>
        <w:t xml:space="preserve">    </w:t>
      </w:r>
      <w:r>
        <w:rPr>
          <w:b/>
        </w:rPr>
        <w:t xml:space="preserve">Pub date: </w:t>
      </w:r>
      <w:r>
        <w:t>2026-03-23 07:00:00+00:00</w:t>
      </w:r>
      <w:r>
        <w:t xml:space="preserve">    </w:t>
      </w:r>
      <w:r>
        <w:rPr>
          <w:b/>
        </w:rPr>
        <w:t xml:space="preserve">DOI: </w:t>
      </w:r>
      <w:hyperlink r:id="rId337">
        <w:r>
          <w:rPr>
            <w:color w:val="1155CC"/>
            <w:u w:val="single"/>
          </w:rPr>
          <w:t>10.1073/pnas.2608062123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[82] </w:t>
      </w:r>
      <w:hyperlink r:id="rId338">
        <w:r>
          <w:rPr>
            <w:color w:val="1155CC"/>
            <w:u w:val="single"/>
          </w:rPr>
          <w:t>趋同进化通过SNPs和BOR1及BOR2的串联重复增加了拟南芥中的硼运输</w:t>
        </w:r>
      </w:hyperlink>
    </w:p>
    <w:p>
      <w:pPr>
        <w:spacing w:before="0" w:after="80"/>
      </w:pPr>
      <w:r>
        <w:rPr>
          <w:i/>
          <w:sz w:val="20"/>
        </w:rPr>
        <w:t>EN: Convergent evolution increases boron transport through SNPs and tandem duplications at BOR1 and BOR2 in Arabidopsis thaliana</w:t>
      </w:r>
    </w:p>
    <w:p>
      <w:pPr>
        <w:spacing w:before="0" w:after="120"/>
      </w:pPr>
      <w:r>
        <w:rPr>
          <w:b/>
        </w:rPr>
        <w:t xml:space="preserve">Source: </w:t>
      </w:r>
      <w:r>
        <w:t>Proceedings of the National Academy of Sciences: Keyword search for query</w:t>
      </w:r>
      <w:r>
        <w:t xml:space="preserve">    </w:t>
      </w:r>
      <w:r>
        <w:rPr>
          <w:b/>
        </w:rPr>
        <w:t xml:space="preserve">Pub date: </w:t>
      </w:r>
      <w:r>
        <w:t>2026-03-23 07:00:00+00:00</w:t>
      </w:r>
      <w:r>
        <w:t xml:space="preserve">    </w:t>
      </w:r>
      <w:r>
        <w:rPr>
          <w:b/>
        </w:rPr>
        <w:t xml:space="preserve">DOI: </w:t>
      </w:r>
      <w:hyperlink r:id="rId339">
        <w:r>
          <w:rPr>
            <w:color w:val="1155CC"/>
            <w:u w:val="single"/>
          </w:rPr>
          <w:t>10.1073/pnas.2525676123</w:t>
        </w:r>
      </w:hyperlink>
    </w:p>
    <w:p>
      <w:pPr>
        <w:spacing w:before="0" w:after="120"/>
      </w:pPr>
      <w:r>
        <w:rPr>
          <w:b/>
        </w:rPr>
        <w:t xml:space="preserve">Notes: </w:t>
      </w:r>
      <w:r>
        <w:t>abstract_source=crossref</w:t>
      </w:r>
    </w:p>
    <w:p>
      <w:pPr>
        <w:spacing w:before="0" w:after="80" w:lineRule="auto" w:line="276"/>
      </w:pPr>
      <w:r>
        <w:rPr>
          <w:b/>
        </w:rPr>
        <w:t xml:space="preserve">摘要（ZH）: </w:t>
      </w:r>
      <w:r>
        <w:t>硼（B）是一种重要的微量营养素，特别是在火山土壤中，其缺乏会阻碍农业发展。在此，我们研究了在佛得角火山岛上定居的拟南芥（Arabidopsis thaliana）自然种群中叶片B积累的遗传基础。通过结合全基因组关联研究（GWAS）和重组交叉群体中的定位，我们发现了一种趋同表型进化的案例，其中在两个主要B转运蛋白基因BOR1和BOR2中存在的多个变体平行增加了叶片B的积累。这些包括在BOR1中的多个串联重复，这些重复是独立产生的。</w:t>
      </w:r>
    </w:p>
    <w:p>
      <w:pPr>
        <w:spacing w:before="0" w:after="200" w:lineRule="auto" w:line="276"/>
      </w:pPr>
      <w:r>
        <w:rPr>
          <w:b/>
        </w:rPr>
        <w:t xml:space="preserve">Abstract (EN): </w:t>
      </w:r>
      <w:r>
        <w:t>Boron (B) is a crucial micronutrient, particularly in volcanic soils where its deficiency hampers agriculture. Here, we investigate the genetic basis of leaf B accumulation in natural populations of</w:t>
      </w:r>
      <w:r>
        <w:t xml:space="preserve"> </w:t>
      </w:r>
      <w:r>
        <w:t>Arabidopsis thaliana</w:t>
      </w:r>
      <w:r>
        <w:t xml:space="preserve"> </w:t>
      </w:r>
      <w:r>
        <w:t>that colonized volcanic islands in Cape Verde. Using a combination of genome-wide association studies (GWAS) and mapping in a recombinant intercross population, we identified a case of convergent phenotypic evolution in which multiple variants in the two principal B transporter genes,</w:t>
      </w:r>
      <w:r>
        <w:t xml:space="preserve"> </w:t>
      </w:r>
      <w:r>
        <w:t>BOR1</w:t>
      </w:r>
      <w:r>
        <w:t xml:space="preserve"> </w:t>
      </w:r>
      <w:r>
        <w:t>and</w:t>
      </w:r>
      <w:r>
        <w:t xml:space="preserve"> </w:t>
      </w:r>
      <w:r>
        <w:t>BOR2</w:t>
      </w:r>
      <w:r>
        <w:t xml:space="preserve"> </w:t>
      </w:r>
      <w:r>
        <w:t>, increase leaf B accumulation in parallel. These include multiple tandem duplications at</w:t>
      </w:r>
      <w:r>
        <w:t xml:space="preserve"> </w:t>
      </w:r>
      <w:r>
        <w:t>BOR1</w:t>
      </w:r>
      <w:r>
        <w:t xml:space="preserve"> </w:t>
      </w:r>
      <w:r>
        <w:t>that arose independently in different populations. Overall, this study reveals a remarkable case of convergent evolution occurring within a relatively short time scale, where different types of de novo mutations at B efflux transporter genes achieve similar phenotypic outcomes. Further, our findings show that integrating recombinant populations with GWAS in natural populations can improve power to overcome allelic heterogeneity.</w:t>
      </w:r>
    </w:p>
    <w:p>
      <w:pPr>
        <w:spacing w:before="120" w:after="120"/>
      </w:pPr>
      <w:r>
        <w:rPr>
          <w:sz w:val="18"/>
        </w:rPr>
        <w:t>——————————————————————————————————————————————————————————————————————</w:t>
      </w:r>
    </w:p>
    <w:p>
      <w:pPr>
        <w:spacing w:before="160" w:after="40" w:line="240" w:lineRule="auto"/>
      </w:pPr>
      <w:r>
        <w:rPr>
          <w:b/>
        </w:rPr>
        <w:t xml:space="preserve">[83] </w:t>
      </w:r>
      <w:hyperlink r:id="rId340">
        <w:r>
          <w:rPr>
            <w:color w:val="1155CC"/>
            <w:u w:val="single"/>
          </w:rPr>
          <w:t>癫痫中的线粒体-神经炎症-D-丝氨酸连接</w:t>
        </w:r>
      </w:hyperlink>
    </w:p>
    <w:p>
      <w:pPr>
        <w:spacing w:before="0" w:after="80"/>
      </w:pPr>
      <w:r>
        <w:rPr>
          <w:i/>
          <w:sz w:val="20"/>
        </w:rPr>
        <w:t>EN: A mitochondrial–neuroinflammation–D-serine connection in epilepsy</w:t>
      </w:r>
    </w:p>
    <w:p>
      <w:pPr>
        <w:spacing w:before="0" w:after="120"/>
      </w:pPr>
      <w:r>
        <w:rPr>
          <w:b/>
        </w:rPr>
        <w:t xml:space="preserve">Source: </w:t>
      </w:r>
      <w:r>
        <w:t>Proceedings of the National Academy of Sciences: Keyword search for query</w:t>
      </w:r>
      <w:r>
        <w:t xml:space="preserve">    </w:t>
      </w:r>
      <w:r>
        <w:rPr>
          <w:b/>
        </w:rPr>
        <w:t xml:space="preserve">Pub date: </w:t>
      </w:r>
      <w:r>
        <w:t>2026-03-23 07:00:00+00:00</w:t>
      </w:r>
      <w:r>
        <w:t xml:space="preserve">    </w:t>
      </w:r>
      <w:r>
        <w:rPr>
          <w:b/>
        </w:rPr>
        <w:t xml:space="preserve">DOI: </w:t>
      </w:r>
      <w:hyperlink r:id="rId341">
        <w:r>
          <w:rPr>
            <w:color w:val="1155CC"/>
            <w:u w:val="single"/>
          </w:rPr>
          <w:t>10.1073/pnas.2604050123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[84] </w:t>
      </w:r>
      <w:hyperlink r:id="rId342">
        <w:r>
          <w:rPr>
            <w:color w:val="1155CC"/>
            <w:u w:val="single"/>
          </w:rPr>
          <w:t>揭示p53变体p53psi的发育和抑癌作用</w:t>
        </w:r>
      </w:hyperlink>
    </w:p>
    <w:p>
      <w:pPr>
        <w:spacing w:before="0" w:after="80"/>
      </w:pPr>
      <w:r>
        <w:rPr>
          <w:i/>
          <w:sz w:val="20"/>
        </w:rPr>
        <w:t>EN: Unveiling the developmental and tumor-suppressive roles of the p53 variant p53psi</w:t>
      </w:r>
    </w:p>
    <w:p>
      <w:pPr>
        <w:spacing w:before="0" w:after="120"/>
      </w:pPr>
      <w:r>
        <w:rPr>
          <w:b/>
        </w:rPr>
        <w:t xml:space="preserve">Source: </w:t>
      </w:r>
      <w:r>
        <w:t>Proceedings of the National Academy of Sciences: Keyword search for query</w:t>
      </w:r>
      <w:r>
        <w:t xml:space="preserve">    </w:t>
      </w:r>
      <w:r>
        <w:rPr>
          <w:b/>
        </w:rPr>
        <w:t xml:space="preserve">Pub date: </w:t>
      </w:r>
      <w:r>
        <w:t>2026-03-23 07:00:00+00:00</w:t>
      </w:r>
      <w:r>
        <w:t xml:space="preserve">    </w:t>
      </w:r>
      <w:r>
        <w:rPr>
          <w:b/>
        </w:rPr>
        <w:t xml:space="preserve">DOI: </w:t>
      </w:r>
      <w:hyperlink r:id="rId343">
        <w:r>
          <w:rPr>
            <w:color w:val="1155CC"/>
            <w:u w:val="single"/>
          </w:rPr>
          <w:t>10.1073/pnas.2427242123</w:t>
        </w:r>
      </w:hyperlink>
    </w:p>
    <w:p>
      <w:pPr>
        <w:spacing w:before="0" w:after="120"/>
      </w:pPr>
      <w:r>
        <w:rPr>
          <w:b/>
        </w:rPr>
        <w:t xml:space="preserve">Notes: </w:t>
      </w:r>
      <w:r>
        <w:t>abstract_source=crossref</w:t>
      </w:r>
    </w:p>
    <w:p>
      <w:pPr>
        <w:spacing w:before="0" w:after="80" w:lineRule="auto" w:line="276"/>
      </w:pPr>
      <w:r>
        <w:rPr>
          <w:b/>
        </w:rPr>
        <w:t xml:space="preserve">摘要（ZH）: </w:t>
      </w:r>
      <w:r>
        <w:t>通过选择性剪接，TP53基因可以生成具有不同生化特性的多种蛋白质亚型。p53psi亚型被鉴定为比全长p53更短的变体，因为它由于在内含子6中使用了替代的3'剪接位点而缺乏核定位、寡聚化和部分DNA结合域。包括产生p53psi的那些在内的几种TP53截断突变已在相当比例的人类肿瘤中被检测到。然而，这些截断的p53蛋白的机制作用仍然知之甚少。在此，我们描述了一种基因工程小鼠模型的生成和分析，该模型表达p53psi蛋白以替代全长p53蛋白。在C57/BL6J遗传背景下，杂合的老鼠</w:t>
      </w:r>
    </w:p>
    <w:p>
      <w:pPr>
        <w:spacing w:before="0" w:after="200" w:lineRule="auto" w:line="276"/>
      </w:pPr>
      <w:r>
        <w:rPr>
          <w:b/>
        </w:rPr>
        <w:t xml:space="preserve">Abstract (EN): </w:t>
      </w:r>
      <w:r>
        <w:t>Through alternative splicing, the TP53 gene can generate multiple protein isoforms with distinct biochemical properties. The p53psi isoform has been identified as a shorter variant than full-length p53 as it lacks nuclear localization, oligomerization, and part of the DNA binding domains due to the use of an alternative 3’ splice site in intron 6. Several TP53-truncating mutations, including those producing p53psi, have been detected in a significant proportion of human tumors. However, the mechanistic roles of these truncated p53 proteins remain poorly understood. Here, we describe the generation and analysis of a genetically engineered mouse model that expresses the p53psi protein in place of the full-length p53 protein. In the C57/BL6J genetic background, mice heterozygous for the targeted p53psi allele (p53</w:t>
      </w:r>
      <w:r>
        <w:t xml:space="preserve"> </w:t>
      </w:r>
      <w:r>
        <w:t>KI/+</w:t>
      </w:r>
      <w:r>
        <w:t xml:space="preserve"> </w:t>
      </w:r>
      <w:r>
        <w:t>) appear phenotypically normal, survive to adulthood, and reproduce. However, heterozygote matings fail to yield viable p53psi homozygote knock-in (p53</w:t>
      </w:r>
      <w:r>
        <w:t xml:space="preserve"> </w:t>
      </w:r>
      <w:r>
        <w:t>KI/KI</w:t>
      </w:r>
      <w:r>
        <w:t xml:space="preserve"> </w:t>
      </w:r>
      <w:r>
        <w:t>) pups, indicating that forced p53psi expression disrupts embryogenesis. Timed matings revealed that homozygous p53psi expression is embryonically lethal on day E16.5. E14.5-16.5 embryos were pale, reduced in size, and exhibited exencephaly, a defect typically associated with neural tube closure failure. Mouse embryonic fibroblasts (MEFs) derived from p53psi embryos and transformed with the E1A and H-RasV12 oncogenes formed tumors with a decreased growth rate compared to their p53</w:t>
      </w:r>
      <w:r>
        <w:t xml:space="preserve"> </w:t>
      </w:r>
      <w:r>
        <w:t>null</w:t>
      </w:r>
      <w:r>
        <w:t xml:space="preserve"> </w:t>
      </w:r>
      <w:r>
        <w:t>counterparts, suggesting that p53psi retains at least some tumor-suppressive functions. Our mechanistic studies suggest that p53psi modulates tumorigenesis by triggering senescence. These findings provide insights into the role of the p53psi variant, paving the way for a better interpretation of TP53 mutational patterns in human cancers.</w:t>
      </w:r>
    </w:p>
    <w:p>
      <w:pPr>
        <w:spacing w:before="120" w:after="120"/>
      </w:pPr>
      <w:r>
        <w:rPr>
          <w:sz w:val="18"/>
        </w:rPr>
        <w:t>——————————————————————————————————————————————————————————————————————</w:t>
      </w:r>
    </w:p>
    <w:p>
      <w:pPr>
        <w:spacing w:before="160" w:after="40" w:line="240" w:lineRule="auto"/>
      </w:pPr>
      <w:r>
        <w:rPr>
          <w:b/>
        </w:rPr>
        <w:t xml:space="preserve">[85] </w:t>
      </w:r>
      <w:hyperlink r:id="rId344">
        <w:r>
          <w:rPr>
            <w:color w:val="1155CC"/>
            <w:u w:val="single"/>
          </w:rPr>
          <w:t>奥司他韦氮杂环丁烷是有效的流感神经氨酸酶抑制剂和成像剂</w:t>
        </w:r>
      </w:hyperlink>
    </w:p>
    <w:p>
      <w:pPr>
        <w:spacing w:before="0" w:after="80"/>
      </w:pPr>
      <w:r>
        <w:rPr>
          <w:i/>
          <w:sz w:val="20"/>
        </w:rPr>
        <w:t>EN: Oseltamivir aziridines are potent influenza neuraminidase inhibitors and imaging agents</w:t>
      </w:r>
    </w:p>
    <w:p>
      <w:pPr>
        <w:spacing w:before="0" w:after="120"/>
      </w:pPr>
      <w:r>
        <w:rPr>
          <w:b/>
        </w:rPr>
        <w:t xml:space="preserve">Source: </w:t>
      </w:r>
      <w:r>
        <w:t>Proceedings of the National Academy of Sciences: Keyword search for query</w:t>
      </w:r>
      <w:r>
        <w:t xml:space="preserve">    </w:t>
      </w:r>
      <w:r>
        <w:rPr>
          <w:b/>
        </w:rPr>
        <w:t xml:space="preserve">Pub date: </w:t>
      </w:r>
      <w:r>
        <w:t>2026-03-23 07:00:00+00:00</w:t>
      </w:r>
      <w:r>
        <w:t xml:space="preserve">    </w:t>
      </w:r>
      <w:r>
        <w:rPr>
          <w:b/>
        </w:rPr>
        <w:t xml:space="preserve">DOI: </w:t>
      </w:r>
      <w:hyperlink r:id="rId345">
        <w:r>
          <w:rPr>
            <w:color w:val="1155CC"/>
            <w:u w:val="single"/>
          </w:rPr>
          <w:t>10.1073/pnas.2504045123</w:t>
        </w:r>
      </w:hyperlink>
    </w:p>
    <w:p>
      <w:pPr>
        <w:spacing w:before="0" w:after="120"/>
      </w:pPr>
      <w:r>
        <w:rPr>
          <w:b/>
        </w:rPr>
        <w:t xml:space="preserve">Notes: </w:t>
      </w:r>
      <w:r>
        <w:t>abstract_source=crossref</w:t>
      </w:r>
    </w:p>
    <w:p>
      <w:pPr>
        <w:spacing w:before="0" w:after="80" w:lineRule="auto" w:line="276"/>
      </w:pPr>
      <w:r>
        <w:rPr>
          <w:b/>
        </w:rPr>
        <w:t xml:space="preserve">摘要（ZH）: </w:t>
      </w:r>
      <w:r>
        <w:t>流感神经氨酸酶（NA）是季节性和大流行抗病毒药物的关键靶点，包括当前关注的毒株。当前的治疗方法，如扎那米韦和奥司他韦，受到非共价结合和新兴耐药性的限制。我们假设奥司他韦氮丙啶可以结合过渡态模拟以实现紧密结合，并通过氮丙啶实现催化酪氨酸的共价捕获，从而支持治疗和基于活性的量化。在此，我们展示了基于奥司他韦的氮丙啶，受环菲醇化学启发，作为共价抑制剂和基于活性的探针，通过N-酰氮丙啶战斗头。自由能计算和NMR观察表明</w:t>
      </w:r>
    </w:p>
    <w:p>
      <w:pPr>
        <w:spacing w:before="0" w:after="200" w:lineRule="auto" w:line="276"/>
      </w:pPr>
      <w:r>
        <w:rPr>
          <w:b/>
        </w:rPr>
        <w:t xml:space="preserve">Abstract (EN): </w:t>
      </w:r>
      <w:r>
        <w:t>Influenza neuraminidase (NA) is a critical target for seasonal and pandemic antivirals, including the strains of current concern. Current treatments, such as Zanamivir and Oseltamivir, are limited by noncovalent binding and emerging resistance. We hypothesized that Oseltamivir aziridines would unite transition-state mimicry for tight binding, with aziridine-enabled covalent capture of the catalytic tyrosine, thereby supporting both therapy and activity-based quantification. Here, we present oseltamivir-based aziridines, inspired by cyclophellitol chemistry, that act as covalent inhibitors and activity-based probes via an</w:t>
      </w:r>
      <w:r>
        <w:t xml:space="preserve"> </w:t>
      </w:r>
      <w:r>
        <w:t>N</w:t>
      </w:r>
      <w:r>
        <w:t xml:space="preserve"> </w:t>
      </w:r>
      <w:r>
        <w:t>-acylaziridine warhead. Free-energy calculations, and NMR observations, indicate a</w:t>
      </w:r>
      <w:r>
        <w:rPr>
          <w:vertAlign w:val="subscript"/>
        </w:rPr>
        <w:t>4</w:t>
      </w:r>
      <w:r>
        <w:t>H</w:t>
      </w:r>
      <w:r>
        <w:rPr>
          <w:vertAlign w:val="subscript"/>
        </w:rPr>
        <w:t>5</w:t>
      </w:r>
      <w:r>
        <w:t>half-chair preference consistent with the NA transition state, and selected analogues inhibit multiple NA subtypes with low nanomolar binding constants. Diverse evidence establishes covalency: time-dependent inactivation, inhibitor washout, intact-mass shifts, MS/MS identification of a tyrosine adduct, and QM/MM reaction profiles, while cryoEM of N1 aligns with the proposed binding mode, revealing an elimination product. The inhibitors demonstrate formidable activity against diverse viral neuraminidases, including H5N1, and further enable imaging and quantification of active NA. With their dual therapeutic and diagnostic potential, these first-in-class inhibitors indeed benefit from transition state mimicry and covalency, and thus offer a powerful platform for antiviral development and neuraminidase imaging, addressing urgent global health needs in influenza treatment and prevention.</w:t>
      </w:r>
    </w:p>
    <w:p>
      <w:pPr>
        <w:spacing w:before="120" w:after="120"/>
      </w:pPr>
      <w:r>
        <w:rPr>
          <w:sz w:val="18"/>
        </w:rPr>
        <w:t>——————————————————————————————————————————————————————————————————————</w:t>
      </w:r>
    </w:p>
    <w:p>
      <w:pPr>
        <w:spacing w:before="160" w:after="40" w:line="240" w:lineRule="auto"/>
      </w:pPr>
      <w:r>
        <w:rPr>
          <w:b/>
        </w:rPr>
        <w:t xml:space="preserve">[86] </w:t>
      </w:r>
      <w:hyperlink r:id="rId346">
        <w:r>
          <w:rPr>
            <w:color w:val="1155CC"/>
            <w:u w:val="single"/>
          </w:rPr>
          <w:t>Te等人的更正，广泛的beta-CoV免疫和通过单剂量减毒活疫苗的非典型密码子使用实现的传播阻断</w:t>
        </w:r>
      </w:hyperlink>
    </w:p>
    <w:p>
      <w:pPr>
        <w:spacing w:before="0" w:after="80"/>
      </w:pPr>
      <w:r>
        <w:rPr>
          <w:i/>
          <w:sz w:val="20"/>
        </w:rPr>
        <w:t>EN: Correction for Te et al., Broad beta-CoV immunity and transmission blockade by a single-dose live-attenuated vaccine with atypical codon usage</w:t>
      </w:r>
    </w:p>
    <w:p>
      <w:pPr>
        <w:spacing w:before="0" w:after="120"/>
      </w:pPr>
      <w:r>
        <w:rPr>
          <w:b/>
        </w:rPr>
        <w:t xml:space="preserve">Source: </w:t>
      </w:r>
      <w:r>
        <w:t>Proceedings of the National Academy of Sciences: Keyword search for query</w:t>
      </w:r>
      <w:r>
        <w:t xml:space="preserve">    </w:t>
      </w:r>
      <w:r>
        <w:rPr>
          <w:b/>
        </w:rPr>
        <w:t xml:space="preserve">Pub date: </w:t>
      </w:r>
      <w:r>
        <w:t>2026-03-23 07:00:00+00:00</w:t>
      </w:r>
      <w:r>
        <w:t xml:space="preserve">    </w:t>
      </w:r>
      <w:r>
        <w:rPr>
          <w:b/>
        </w:rPr>
        <w:t xml:space="preserve">DOI: </w:t>
      </w:r>
      <w:hyperlink r:id="rId347">
        <w:r>
          <w:rPr>
            <w:color w:val="1155CC"/>
            <w:u w:val="single"/>
          </w:rPr>
          <w:t>10.1073/pnas.2607878123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[87] </w:t>
      </w:r>
      <w:hyperlink r:id="rId348">
        <w:r>
          <w:rPr>
            <w:color w:val="1155CC"/>
            <w:u w:val="single"/>
          </w:rPr>
          <w:t>2023-2024年干旱期间亚马逊雨林的前所未有的破坏</w:t>
        </w:r>
      </w:hyperlink>
    </w:p>
    <w:p>
      <w:pPr>
        <w:spacing w:before="0" w:after="80"/>
      </w:pPr>
      <w:r>
        <w:rPr>
          <w:i/>
          <w:sz w:val="20"/>
        </w:rPr>
        <w:t>EN: Unprecedented Amazonian rainforests damage during the 2023–2024 droughts</w:t>
      </w:r>
    </w:p>
    <w:p>
      <w:pPr>
        <w:spacing w:before="0" w:after="120"/>
      </w:pPr>
      <w:r>
        <w:rPr>
          <w:b/>
        </w:rPr>
        <w:t xml:space="preserve">Source: </w:t>
      </w:r>
      <w:r>
        <w:t>Proceedings of the National Academy of Sciences: Keyword search for query</w:t>
      </w:r>
      <w:r>
        <w:t xml:space="preserve">    </w:t>
      </w:r>
      <w:r>
        <w:rPr>
          <w:b/>
        </w:rPr>
        <w:t xml:space="preserve">Pub date: </w:t>
      </w:r>
      <w:r>
        <w:t>2026-03-23 07:00:00+00:00</w:t>
      </w:r>
      <w:r>
        <w:t xml:space="preserve">    </w:t>
      </w:r>
      <w:r>
        <w:rPr>
          <w:b/>
        </w:rPr>
        <w:t xml:space="preserve">DOI: </w:t>
      </w:r>
      <w:hyperlink r:id="rId349">
        <w:r>
          <w:rPr>
            <w:color w:val="1155CC"/>
            <w:u w:val="single"/>
          </w:rPr>
          <w:t>10.1073/pnas.2514066123</w:t>
        </w:r>
      </w:hyperlink>
    </w:p>
    <w:p>
      <w:pPr>
        <w:spacing w:before="0" w:after="120"/>
      </w:pPr>
      <w:r>
        <w:rPr>
          <w:b/>
        </w:rPr>
        <w:t xml:space="preserve">Notes: </w:t>
      </w:r>
      <w:r>
        <w:t>abstract_source=crossref</w:t>
      </w:r>
    </w:p>
    <w:p>
      <w:pPr>
        <w:spacing w:before="0" w:after="80" w:lineRule="auto" w:line="276"/>
      </w:pPr>
      <w:r>
        <w:rPr>
          <w:b/>
        </w:rPr>
        <w:t xml:space="preserve">摘要（ZH）: </w:t>
      </w:r>
      <w:r>
        <w:t>在2023年至2024年间，亚马逊雨林经历了两次连续的破纪录干旱——每次都比以往观察到的更为强烈——但其影响仍然大多未被量化。利用新开发的每月雷达卫星观测（1992年至2025年），跟踪森林湿度和生物量动态，我们分析了完整的亚马逊雨林对过去主要干旱的长期响应——特别是2023-2024事件——并预测了它们的干旱后恢复。我们发现2023-2024年期间雷达信号在生物群落范围内急剧下降，标志着自1992年以来观察到的最低水平。在空间上，26.8%的森林在此期间达到了三十年来的最低点，主要集中在亚马逊东部。这个比例是2005年干旱期间记录的11.0%的两倍多</w:t>
      </w:r>
    </w:p>
    <w:p>
      <w:pPr>
        <w:spacing w:before="0" w:after="200" w:lineRule="auto" w:line="276"/>
      </w:pPr>
      <w:r>
        <w:rPr>
          <w:b/>
        </w:rPr>
        <w:t xml:space="preserve">Abstract (EN): </w:t>
      </w:r>
      <w:r>
        <w:t>Between 2023 and 2024, Amazonian rainforests experienced two consecutive, record-breaking droughts—each more intense than any previously observed—yet their impacts remain largely unquantified. Using newly developed monthly radar satellite observations (1992 to 2025) that track forest moisture and biomass dynamics, we analyzed the long-term responses of intact Amazonian rainforests to past major droughts—particularly the 2023–2024 event—and projected their post-drought recovery. We found a biome-wide sharp decline in radar signal during 2023–2024, marking the lowest level observed since 1992. Spatially, 26.8% of the forests reached their three-decade minima during this period, primarily in eastern Amazonia. This ratio is more than double that recorded during the 2005 drought, when 11.0% of the forests reached such minima. Moreover, projections based on both historical and future CMIP6 precipitation scenarios consistently indicated that, even 7 y after the 2023–2024 droughts, less than 50% of the affected areas are expected to recover to predrought conditions, and these forests are associated with lower soil cation concentrations, higher soil sand content, and lower canopy height—characteristics that lessen the risk of hydraulic failure. Given that severe droughts have occurred approximately every 7 y over the past three decades, Amazonian rainforests may face another drought before fully recovering from the 2023–2024 event. Our results therefore highlight the growing vulnerability of the Amazonian rainforests to intensifying climate extremes driven by El Niño events and ongoing anthropogenic climate change, providing evidence that these forests are approaching the limits of their preindustrial operating space.</w:t>
      </w:r>
    </w:p>
    <w:p>
      <w:pPr>
        <w:spacing w:before="120" w:after="120"/>
      </w:pPr>
      <w:r>
        <w:rPr>
          <w:sz w:val="18"/>
        </w:rPr>
        <w:t>——————————————————————————————————————————————————————————————————————</w:t>
      </w:r>
    </w:p>
    <w:p>
      <w:pPr>
        <w:spacing w:before="160" w:after="40" w:line="240" w:lineRule="auto"/>
      </w:pPr>
      <w:r>
        <w:rPr>
          <w:b/>
        </w:rPr>
        <w:t xml:space="preserve">[88] </w:t>
      </w:r>
      <w:hyperlink r:id="rId350">
        <w:r>
          <w:rPr>
            <w:color w:val="1155CC"/>
            <w:u w:val="single"/>
          </w:rPr>
          <w:t>识别癌症治疗靶点：细胞-SELEX识别用于适配体介导的生长抑制的膜蛋白</w:t>
        </w:r>
      </w:hyperlink>
    </w:p>
    <w:p>
      <w:pPr>
        <w:spacing w:before="0" w:after="80"/>
      </w:pPr>
      <w:r>
        <w:rPr>
          <w:i/>
          <w:sz w:val="20"/>
        </w:rPr>
        <w:t>EN: Identifying a cancer therapeutic target: Cell-SELEX identifies a membrane protein for aptamer-mediated growth suppression</w:t>
      </w:r>
    </w:p>
    <w:p>
      <w:pPr>
        <w:spacing w:before="0" w:after="120"/>
      </w:pPr>
      <w:r>
        <w:rPr>
          <w:b/>
        </w:rPr>
        <w:t xml:space="preserve">Source: </w:t>
      </w:r>
      <w:r>
        <w:t>Proceedings of the National Academy of Sciences: Keyword search for query</w:t>
      </w:r>
      <w:r>
        <w:t xml:space="preserve">    </w:t>
      </w:r>
      <w:r>
        <w:rPr>
          <w:b/>
        </w:rPr>
        <w:t xml:space="preserve">Pub date: </w:t>
      </w:r>
      <w:r>
        <w:t>2026-03-23 07:00:00+00:00</w:t>
      </w:r>
      <w:r>
        <w:t xml:space="preserve">    </w:t>
      </w:r>
      <w:r>
        <w:rPr>
          <w:b/>
        </w:rPr>
        <w:t xml:space="preserve">DOI: </w:t>
      </w:r>
      <w:hyperlink r:id="rId351">
        <w:r>
          <w:rPr>
            <w:color w:val="1155CC"/>
            <w:u w:val="single"/>
          </w:rPr>
          <w:t>10.1073/pnas.2514681123</w:t>
        </w:r>
      </w:hyperlink>
    </w:p>
    <w:p>
      <w:pPr>
        <w:spacing w:before="0" w:after="120"/>
      </w:pPr>
      <w:r>
        <w:rPr>
          <w:b/>
        </w:rPr>
        <w:t xml:space="preserve">Notes: </w:t>
      </w:r>
      <w:r>
        <w:t>abstract_source=crossref</w:t>
      </w:r>
    </w:p>
    <w:p>
      <w:pPr>
        <w:spacing w:before="0" w:after="80" w:lineRule="auto" w:line="276"/>
      </w:pPr>
      <w:r>
        <w:rPr>
          <w:b/>
        </w:rPr>
        <w:t xml:space="preserve">摘要（ZH）: </w:t>
      </w:r>
      <w:r>
        <w:t>在天然条件下识别功能性配体-膜蛋白相互作用仍然是癌症生物学中的一大挑战。通过使用细胞系统的配体指数富集进化，我们识别出一种高亲和力的DNA适配体CW06，针对乳腺癌细胞。为了精确识别其天然膜靶标，我们开发了适配体介导的代谢糖基标记邻近杂交（Apt-MGPH），揭示了线粒体溶质载体SLC25A24为特定靶标。出乎意料的是，CW06处理上调了SLC25A24的表达，扰乱了蛋氨酸代谢，耗尽了细胞质SAM，并通过p21–HMGA1轴诱导G1细胞周期停滞和衰老。在小鼠异种移植模型中，CW06显著抑制了肿瘤生长而不影响健康组织。</w:t>
      </w:r>
    </w:p>
    <w:p>
      <w:pPr>
        <w:spacing w:before="0" w:after="200" w:lineRule="auto" w:line="276"/>
      </w:pPr>
      <w:r>
        <w:rPr>
          <w:b/>
        </w:rPr>
        <w:t xml:space="preserve">Abstract (EN): </w:t>
      </w:r>
      <w:r>
        <w:t>The identification of functional ligand-membrane protein interactions under native conditions remains a major challenge in cancer biology. Using cell-systematic evolution of ligands by exponential enrichment, we identified a high-affinity DNA aptamer, CW06, against breast cancer cells. To precisely identify its native membrane target, we developed Aptamer-mediated Metabolic Glycan-labeling Proximity Hybridization (Apt-MGPH), which revealed the mitochondrial solute carrier SLC25A24 as the specific target. Unexpectedly, CW06 treatment upregulated SLC25A24 expression, disrupting methionine metabolism, depleting cytosolic SAM, and inducing G1 cell cycle arrest and senescence via the p21–HMGA1 axis. In mouse xenograft models, CW06 significantly inhibited tumor growth without affecting healthy tissues. Targeted degradation of SLC25A24 reverses these effects, confirming its regulatory role in the metabolism–senescence axis. Our study establishes Apt-MGPH as a robust tool for membrane target identification and highlights aptamer-induced target overexpression as a strategy for cancer therapy.</w:t>
      </w:r>
    </w:p>
    <w:p>
      <w:pPr>
        <w:spacing w:before="120" w:after="120"/>
      </w:pPr>
      <w:r>
        <w:rPr>
          <w:sz w:val="18"/>
        </w:rPr>
        <w:t>——————————————————————————————————————————————————————————————————————</w:t>
      </w:r>
    </w:p>
    <w:p>
      <w:pPr>
        <w:spacing w:before="160" w:after="40" w:line="240" w:lineRule="auto"/>
      </w:pPr>
      <w:r>
        <w:rPr>
          <w:b/>
        </w:rPr>
        <w:t xml:space="preserve">[89] </w:t>
      </w:r>
      <w:hyperlink r:id="rId352">
        <w:r>
          <w:rPr>
            <w:color w:val="1155CC"/>
            <w:u w:val="single"/>
          </w:rPr>
          <w:t>一般和选择性镍电催化交叉电亲核C*(sp2)–C(sp2)偶联</w:t>
        </w:r>
      </w:hyperlink>
    </w:p>
    <w:p>
      <w:pPr>
        <w:spacing w:before="0" w:after="80"/>
      </w:pPr>
      <w:r>
        <w:rPr>
          <w:i/>
          <w:sz w:val="20"/>
        </w:rPr>
        <w:t>EN: General and selective nickel-electrocatalyzed cross-electrophile C*(sp2)–C(sp2) coupling</w:t>
      </w:r>
    </w:p>
    <w:p>
      <w:pPr>
        <w:spacing w:before="0" w:after="120"/>
      </w:pPr>
      <w:r>
        <w:rPr>
          <w:b/>
        </w:rPr>
        <w:t xml:space="preserve">Source: </w:t>
      </w:r>
      <w:r>
        <w:t>Proceedings of the National Academy of Sciences: Keyword search for query</w:t>
      </w:r>
      <w:r>
        <w:t xml:space="preserve">    </w:t>
      </w:r>
      <w:r>
        <w:rPr>
          <w:b/>
        </w:rPr>
        <w:t xml:space="preserve">Pub date: </w:t>
      </w:r>
      <w:r>
        <w:t>2026-03-23 07:00:00+00:00</w:t>
      </w:r>
      <w:r>
        <w:t xml:space="preserve">    </w:t>
      </w:r>
      <w:r>
        <w:rPr>
          <w:b/>
        </w:rPr>
        <w:t xml:space="preserve">DOI: </w:t>
      </w:r>
      <w:hyperlink r:id="rId353">
        <w:r>
          <w:rPr>
            <w:color w:val="1155CC"/>
            <w:u w:val="single"/>
          </w:rPr>
          <w:t>10.1073/pnas.2515413123</w:t>
        </w:r>
      </w:hyperlink>
    </w:p>
    <w:p>
      <w:pPr>
        <w:spacing w:before="0" w:after="120"/>
      </w:pPr>
      <w:r>
        <w:rPr>
          <w:b/>
        </w:rPr>
        <w:t xml:space="preserve">Notes: </w:t>
      </w:r>
      <w:r>
        <w:t>abstract_source=crossref</w:t>
      </w:r>
    </w:p>
    <w:p>
      <w:pPr>
        <w:spacing w:before="0" w:after="80" w:lineRule="auto" w:line="276"/>
      </w:pPr>
      <w:r>
        <w:rPr>
          <w:b/>
        </w:rPr>
        <w:t xml:space="preserve">摘要（ZH）: </w:t>
      </w:r>
      <w:r>
        <w:t>过渡金属催化的两种相似电亲物的交叉偶联（XEC）以构建C(sp2)–C(sp2)键是一种强大的新兴合成方法。然而，如何有效且选择性地进行XEC以从等摩尔试剂中创造异偶联C*(sp2)–C(sp2)连接，同时抑制竞争性自偶联，构成了一个合成挑战。在此，我们描述了一种通过电催化合成来解决这一挑战的有前景的方法。该方法利用可再生且易得的电力替代传统的氧化还原试剂，最小化</w:t>
      </w:r>
    </w:p>
    <w:p>
      <w:pPr>
        <w:spacing w:before="0" w:after="200" w:lineRule="auto" w:line="276"/>
      </w:pPr>
      <w:r>
        <w:rPr>
          <w:b/>
        </w:rPr>
        <w:t xml:space="preserve">Abstract (EN): </w:t>
      </w:r>
      <w:r>
        <w:t>Transition metal-catalyzed cross-coupling of two similar electrophiles (XEC) to construct C(</w:t>
      </w:r>
      <w:r>
        <w:t xml:space="preserve"> </w:t>
      </w:r>
      <w:r>
        <w:t>sp</w:t>
      </w:r>
      <w:r>
        <w:rPr>
          <w:vertAlign w:val="subscript"/>
        </w:rPr>
        <w:t>2</w:t>
      </w:r>
      <w:r>
        <w:t>)–C(</w:t>
      </w:r>
      <w:r>
        <w:t xml:space="preserve"> </w:t>
      </w:r>
      <w:r>
        <w:t>sp</w:t>
      </w:r>
      <w:r>
        <w:rPr>
          <w:vertAlign w:val="subscript"/>
        </w:rPr>
        <w:t>2</w:t>
      </w:r>
      <w:r>
        <w:t>) bonds is a powerful emerging synthetic methodology. However, efficient and selective XEC to create heterocoupled C*(</w:t>
      </w:r>
      <w:r>
        <w:t xml:space="preserve"> </w:t>
      </w:r>
      <w:r>
        <w:t>sp</w:t>
      </w:r>
      <w:r>
        <w:rPr>
          <w:vertAlign w:val="subscript"/>
        </w:rPr>
        <w:t>2</w:t>
      </w:r>
      <w:r>
        <w:t>)–C(</w:t>
      </w:r>
      <w:r>
        <w:t xml:space="preserve"> </w:t>
      </w:r>
      <w:r>
        <w:t>sp</w:t>
      </w:r>
      <w:r>
        <w:rPr>
          <w:vertAlign w:val="subscript"/>
        </w:rPr>
        <w:t>2</w:t>
      </w:r>
      <w:r>
        <w:t>) linkages from equimolar reagents while suppressing competing homocoupling, presents a synthetic challenge. Here, we describe a promising approach to address this challenge via electrocatalytic synthesis. This approach utilizes renewable and readily available electricity to replace traditional redox reagents, minimizing chemical use and chemical waste generation, while controlling the reaction pathway by the applied potential. This highly selective and general electrocatalytic eXEC process to construct C*(</w:t>
      </w:r>
      <w:r>
        <w:t xml:space="preserve"> </w:t>
      </w:r>
      <w:r>
        <w:t>sp</w:t>
      </w:r>
      <w:r>
        <w:rPr>
          <w:vertAlign w:val="subscript"/>
        </w:rPr>
        <w:t>2</w:t>
      </w:r>
      <w:r>
        <w:t>)–C(</w:t>
      </w:r>
      <w:r>
        <w:t xml:space="preserve"> </w:t>
      </w:r>
      <w:r>
        <w:t>sp</w:t>
      </w:r>
      <w:r>
        <w:rPr>
          <w:vertAlign w:val="subscript"/>
        </w:rPr>
        <w:t>2</w:t>
      </w:r>
      <w:r>
        <w:t>) bonds is enabled by sequential and controllable eXEC oxidative addition processes, and supported mechanistically by experiment and DFT computation. Generality and efficacy are demonstrated by more than 80 examples, including important biaryl, fluorophore, and pharmaceutical products. Notably, the stoichiometric precision of eXEC enables the first synthesis of solution-processable low polydispersity conjugated opto-electronic polymers. Therefore, this report provides a conceptually attractive method to selectively create diverse and useful C*(</w:t>
      </w:r>
      <w:r>
        <w:t xml:space="preserve"> </w:t>
      </w:r>
      <w:r>
        <w:t>sp</w:t>
      </w:r>
      <w:r>
        <w:rPr>
          <w:vertAlign w:val="subscript"/>
        </w:rPr>
        <w:t>2</w:t>
      </w:r>
      <w:r>
        <w:t>)–C(</w:t>
      </w:r>
      <w:r>
        <w:t xml:space="preserve"> </w:t>
      </w:r>
      <w:r>
        <w:t>sp</w:t>
      </w:r>
      <w:r>
        <w:rPr>
          <w:vertAlign w:val="subscript"/>
        </w:rPr>
        <w:t>2</w:t>
      </w:r>
      <w:r>
        <w:t>) coupled molecules and macromolecules.</w:t>
      </w:r>
    </w:p>
    <w:p>
      <w:pPr>
        <w:spacing w:before="120" w:after="120"/>
      </w:pPr>
      <w:r>
        <w:rPr>
          <w:sz w:val="18"/>
        </w:rPr>
        <w:t>——————————————————————————————————————————————————————————————————————</w:t>
      </w:r>
    </w:p>
    <w:p>
      <w:pPr>
        <w:spacing w:before="160" w:after="40" w:line="240" w:lineRule="auto"/>
      </w:pPr>
      <w:r>
        <w:rPr>
          <w:b/>
        </w:rPr>
        <w:t xml:space="preserve">[90] </w:t>
      </w:r>
      <w:hyperlink r:id="rId354">
        <w:r>
          <w:rPr>
            <w:color w:val="1155CC"/>
            <w:u w:val="single"/>
          </w:rPr>
          <w:t>矿物促进的水合成氢氰酸从原始丰富的氨基酸中进行化学进化</w:t>
        </w:r>
      </w:hyperlink>
    </w:p>
    <w:p>
      <w:pPr>
        <w:spacing w:before="0" w:after="80"/>
      </w:pPr>
      <w:r>
        <w:rPr>
          <w:i/>
          <w:sz w:val="20"/>
        </w:rPr>
        <w:t>EN: Mineral-facilitated aqueous synthesis of hydrogen cyanide from prebiotically abundant amino acids for chemical evolution</w:t>
      </w:r>
    </w:p>
    <w:p>
      <w:pPr>
        <w:spacing w:before="0" w:after="120"/>
      </w:pPr>
      <w:r>
        <w:rPr>
          <w:b/>
        </w:rPr>
        <w:t xml:space="preserve">Source: </w:t>
      </w:r>
      <w:r>
        <w:t>Proceedings of the National Academy of Sciences: Keyword search for query</w:t>
      </w:r>
      <w:r>
        <w:t xml:space="preserve">    </w:t>
      </w:r>
      <w:r>
        <w:rPr>
          <w:b/>
        </w:rPr>
        <w:t xml:space="preserve">Pub date: </w:t>
      </w:r>
      <w:r>
        <w:t>2026-03-23 07:00:00+00:00</w:t>
      </w:r>
      <w:r>
        <w:t xml:space="preserve">    </w:t>
      </w:r>
      <w:r>
        <w:rPr>
          <w:b/>
        </w:rPr>
        <w:t xml:space="preserve">DOI: </w:t>
      </w:r>
      <w:hyperlink r:id="rId355">
        <w:r>
          <w:rPr>
            <w:color w:val="1155CC"/>
            <w:u w:val="single"/>
          </w:rPr>
          <w:t>10.1073/pnas.2515805123</w:t>
        </w:r>
      </w:hyperlink>
    </w:p>
    <w:p>
      <w:pPr>
        <w:spacing w:before="0" w:after="120"/>
      </w:pPr>
      <w:r>
        <w:rPr>
          <w:b/>
        </w:rPr>
        <w:t xml:space="preserve">Notes: </w:t>
      </w:r>
      <w:r>
        <w:t>abstract_source=crossref</w:t>
      </w:r>
    </w:p>
    <w:p>
      <w:pPr>
        <w:spacing w:before="0" w:after="80" w:lineRule="auto" w:line="276"/>
      </w:pPr>
      <w:r>
        <w:rPr>
          <w:b/>
        </w:rPr>
        <w:t xml:space="preserve">摘要（ZH）: </w:t>
      </w:r>
      <w:r>
        <w:t>最近在前生化学方面的进展表明，氰化氢（HCN）是几乎所有生命起源所需的基本生物分子和原代谢过程的基础前体。尽管现有的内源性氰化物生产模型依赖于大气中的甲烷，但甲烷的可用性仍不确定。与甲烷不同，氨基酸可能在前生化环境中丰富，通过多种合成途径在无甲烷、非还原性大气下形成。在此，我们展示了在无氧水溶液中，蛋白质氨基酸在地球化学可得的矿物质的促进下可以形成HCN，提供了一种在非还原性大气下克服HCN稀缺性的途径。在二氧化锰上，甘氨酸到氰化物的转化在广泛的条件下进行。</w:t>
      </w:r>
    </w:p>
    <w:p>
      <w:pPr>
        <w:spacing w:before="0" w:after="200" w:lineRule="auto" w:line="276"/>
      </w:pPr>
      <w:r>
        <w:rPr>
          <w:b/>
        </w:rPr>
        <w:t xml:space="preserve">Abstract (EN): </w:t>
      </w:r>
      <w:r>
        <w:t>Recent advances in prebiotic chemistry suggest that hydrogen cyanide (HCN) serves as a fundamental precursor for nearly all essential biomolecules and protometabolic processes for life’s emergence. Although prevailing models of endogenous cyanide production rely on atmospheric methane, the availability of methane remains uncertain. Unlike methane, amino acids were likely prebiotically abundant, forming through multiple synthetic pathways under a methane-free, nonreducing atmosphere. Here, we demonstrate that HCN can form from proteinogenic amino acids in anaerobic aqueous solutions facilitated by geochemically available minerals, offering a route to overcome HCN scarcity under a nonreducing atmosphere. On manganese dioxide, the glycine-to-cyanide conversion proceeded across a broad range of pHs (2.0 to 12.6) and substrate concentrations (1 μM to 100 mM), achieving a maximum selectivity of 57%. The reaction involves α-proton abstraction in amino acids, which is distinct from conventional chemical decarboxylation processes of amino acids, highlighting the unique role of MnO</w:t>
      </w:r>
      <w:r>
        <w:rPr>
          <w:vertAlign w:val="subscript"/>
        </w:rPr>
        <w:t>2</w:t>
      </w:r>
      <w:r>
        <w:t>in activating the α-C-H bond to form HCN. HCN generation was observed for nearly all proteinogenic amino acids and short peptides. Because amino acids can be synthesized from HCN-independent pathways from abundant carbon sources such as CO</w:t>
      </w:r>
      <w:r>
        <w:rPr>
          <w:vertAlign w:val="subscript"/>
        </w:rPr>
        <w:t>2</w:t>
      </w:r>
      <w:r>
        <w:t>and CO, amino acid-derived HCN alleviates the requirement on atmospheric methane and can sustain continued chemical evolution in ambient aqueous environments.</w:t>
      </w:r>
    </w:p>
    <w:p>
      <w:pPr>
        <w:spacing w:before="120" w:after="120"/>
      </w:pPr>
      <w:r>
        <w:rPr>
          <w:sz w:val="18"/>
        </w:rPr>
        <w:t>——————————————————————————————————————————————————————————————————————</w:t>
      </w:r>
    </w:p>
    <w:p>
      <w:pPr>
        <w:spacing w:before="160" w:after="40" w:line="240" w:lineRule="auto"/>
      </w:pPr>
      <w:r>
        <w:rPr>
          <w:b/>
        </w:rPr>
        <w:t xml:space="preserve">[91] </w:t>
      </w:r>
      <w:hyperlink r:id="rId356">
        <w:r>
          <w:rPr>
            <w:color w:val="1155CC"/>
            <w:u w:val="single"/>
          </w:rPr>
          <w:t>观众塑造了蜜蜂摇摆舞的信息内容</w:t>
        </w:r>
      </w:hyperlink>
    </w:p>
    <w:p>
      <w:pPr>
        <w:spacing w:before="0" w:after="80"/>
      </w:pPr>
      <w:r>
        <w:rPr>
          <w:i/>
          <w:sz w:val="20"/>
        </w:rPr>
        <w:t>EN: The audience shapes the information content of the honey bee waggle dance</w:t>
      </w:r>
    </w:p>
    <w:p>
      <w:pPr>
        <w:spacing w:before="0" w:after="120"/>
      </w:pPr>
      <w:r>
        <w:rPr>
          <w:b/>
        </w:rPr>
        <w:t xml:space="preserve">Source: </w:t>
      </w:r>
      <w:r>
        <w:t>Proceedings of the National Academy of Sciences: Keyword search for query</w:t>
      </w:r>
      <w:r>
        <w:t xml:space="preserve">    </w:t>
      </w:r>
      <w:r>
        <w:rPr>
          <w:b/>
        </w:rPr>
        <w:t xml:space="preserve">Pub date: </w:t>
      </w:r>
      <w:r>
        <w:t>2026-03-23 07:00:00+00:00</w:t>
      </w:r>
      <w:r>
        <w:t xml:space="preserve">    </w:t>
      </w:r>
      <w:r>
        <w:rPr>
          <w:b/>
        </w:rPr>
        <w:t xml:space="preserve">DOI: </w:t>
      </w:r>
      <w:hyperlink r:id="rId357">
        <w:r>
          <w:rPr>
            <w:color w:val="1155CC"/>
            <w:u w:val="single"/>
          </w:rPr>
          <w:t>10.1073/pnas.2518687123</w:t>
        </w:r>
      </w:hyperlink>
    </w:p>
    <w:p>
      <w:pPr>
        <w:spacing w:before="0" w:after="120"/>
      </w:pPr>
      <w:r>
        <w:rPr>
          <w:b/>
        </w:rPr>
        <w:t xml:space="preserve">Notes: </w:t>
      </w:r>
      <w:r>
        <w:t>abstract_source=crossref</w:t>
      </w:r>
    </w:p>
    <w:p>
      <w:pPr>
        <w:spacing w:before="0" w:after="80" w:lineRule="auto" w:line="276"/>
      </w:pPr>
      <w:r>
        <w:rPr>
          <w:b/>
        </w:rPr>
        <w:t xml:space="preserve">摘要（ZH）: </w:t>
      </w:r>
      <w:r>
        <w:t>蜜蜂的摇摆舞，编码了食物的位置，通常被认为只涉及从舞者到信号接收者的单向信息传递。在这里，我们展示了舞蹈的信息内容受到跟随者的存在和蜂巢中适龄潜在跟随者数量的影响，而不是舞池上蜜蜂的总数。当舞者的实际和潜在跟随者较少时，他们减少了方向和距离交流的精确度。即使舞池上挤满了不跟随舞蹈的年轻蜜蜂，舞者也表现出相同的精确度下降。这些下降似乎是在返回跑步期间寻求观众的副产品，当舞者跟随者较少时，他们花费更多时间移动并覆盖更大的距离。</w:t>
      </w:r>
    </w:p>
    <w:p>
      <w:pPr>
        <w:spacing w:before="0" w:after="200" w:lineRule="auto" w:line="276"/>
      </w:pPr>
      <w:r>
        <w:rPr>
          <w:b/>
        </w:rPr>
        <w:t xml:space="preserve">Abstract (EN): </w:t>
      </w:r>
      <w:r>
        <w:t>The honey bee waggle dance, which encodes food location, is often thought to involve only one-way information transfer from dancers to signal receivers. Here, we show that the information content of the dance is influenced by the presence of followers and the number of appropriately aged potential followers in the hive, rather than the total number of bees on the dance floor. Dancers reduced the precision of directional and distance communication when they had fewer actual and potential followers. Even when the dance floor was crowded with young bees that do not follow dances, dancers showed the same declines in precision. These declines appear to arise as a byproduct of audience seeking during the return run, when dancers with fewer followers spent more time moving and covered greater distances across the dance floor. Although their mean waggle run duration and the distance covered per waggle run remained unchanged, both measures became markedly more variable when followers were scarce. Dancers likely use quorum sensing of tactile contacts and, potentially, age-specific odors to sense audience size. These results reveal that waggle dancing is a socially responsive process shaped by feedback from followers, demonstrating bidirectional information flow within this communication system.</w:t>
      </w:r>
    </w:p>
    <w:p>
      <w:pPr>
        <w:spacing w:before="120" w:after="120"/>
      </w:pPr>
      <w:r>
        <w:rPr>
          <w:sz w:val="18"/>
        </w:rPr>
        <w:t>——————————————————————————————————————————————————————————————————————</w:t>
      </w:r>
    </w:p>
    <w:p>
      <w:pPr>
        <w:spacing w:before="160" w:after="40" w:line="240" w:lineRule="auto"/>
      </w:pPr>
      <w:r>
        <w:rPr>
          <w:b/>
        </w:rPr>
        <w:t xml:space="preserve">[92] </w:t>
      </w:r>
      <w:hyperlink r:id="rId358">
        <w:r>
          <w:rPr>
            <w:color w:val="1155CC"/>
            <w:u w:val="single"/>
          </w:rPr>
          <w:t>m5C协调子NSUN7驱动SPARC/HMGB1轴介导的炎症加剧肾损伤</w:t>
        </w:r>
      </w:hyperlink>
    </w:p>
    <w:p>
      <w:pPr>
        <w:spacing w:before="0" w:after="80"/>
      </w:pPr>
      <w:r>
        <w:rPr>
          <w:i/>
          <w:sz w:val="20"/>
        </w:rPr>
        <w:t>EN: The m5C orchestrator NSUN7 drives SPARC/HMGB1 axis–mediated inflammation to exacerbate kidney injury</w:t>
      </w:r>
    </w:p>
    <w:p>
      <w:pPr>
        <w:spacing w:before="0" w:after="120"/>
      </w:pPr>
      <w:r>
        <w:rPr>
          <w:b/>
        </w:rPr>
        <w:t xml:space="preserve">Source: </w:t>
      </w:r>
      <w:r>
        <w:t>Proceedings of the National Academy of Sciences: Keyword search for query</w:t>
      </w:r>
      <w:r>
        <w:t xml:space="preserve">    </w:t>
      </w:r>
      <w:r>
        <w:rPr>
          <w:b/>
        </w:rPr>
        <w:t xml:space="preserve">Pub date: </w:t>
      </w:r>
      <w:r>
        <w:t>2026-03-23 07:00:00+00:00</w:t>
      </w:r>
      <w:r>
        <w:t xml:space="preserve">    </w:t>
      </w:r>
      <w:r>
        <w:rPr>
          <w:b/>
        </w:rPr>
        <w:t xml:space="preserve">DOI: </w:t>
      </w:r>
      <w:hyperlink r:id="rId359">
        <w:r>
          <w:rPr>
            <w:color w:val="1155CC"/>
            <w:u w:val="single"/>
          </w:rPr>
          <w:t>10.1073/pnas.2511296123</w:t>
        </w:r>
      </w:hyperlink>
    </w:p>
    <w:p>
      <w:pPr>
        <w:spacing w:before="0" w:after="120"/>
      </w:pPr>
      <w:r>
        <w:rPr>
          <w:b/>
        </w:rPr>
        <w:t xml:space="preserve">Notes: </w:t>
      </w:r>
      <w:r>
        <w:t>abstract_source=crossref</w:t>
      </w:r>
    </w:p>
    <w:p>
      <w:pPr>
        <w:spacing w:before="0" w:after="80" w:lineRule="auto" w:line="276"/>
      </w:pPr>
      <w:r>
        <w:rPr>
          <w:b/>
        </w:rPr>
        <w:t xml:space="preserve">摘要（ZH）: </w:t>
      </w:r>
      <w:r>
        <w:t>越来越多的证据表明，肾脏炎症是各种肾脏疾病病理发生的主要因素，包括急性肾损伤（AKI）。尽管RNA修饰已被认为在调节肾脏炎症中起作用，但其确切角色仍然很大程度上未知。在这里，我们展示了肾脏炎症和损伤与RNA 5-甲基胞嘧啶（m5C）修饰的升高有关，主要由NOP2/Sun RNA甲基转移酶家族成员7（NSUN7）驱动。小鼠中Nsun7的全局和肾脏特异性删除减少了m5C丰度，减轻了炎症反应，并减少了巨噬细胞浸润，强调了其在肾脏中的促炎作用。在机制上，我们识别了分泌蛋白酸性和半胱氨酸。</w:t>
      </w:r>
    </w:p>
    <w:p>
      <w:pPr>
        <w:spacing w:before="0" w:after="200" w:lineRule="auto" w:line="276"/>
      </w:pPr>
      <w:r>
        <w:rPr>
          <w:b/>
        </w:rPr>
        <w:t xml:space="preserve">Abstract (EN): </w:t>
      </w:r>
      <w:r>
        <w:t>Growing evidence indicates that kidney inflammation is a major contributor to the pathogenesis of various renal diseases, including acute kidney injury (AKI). Although RNA modifications have been implicated in regulating kidney inflammation, their precise roles remain largely unknown. Here, we show that kidney inflammation and injury were associated with elevated RNA 5-methylcytosine (m5C) modifications, primarily driven by the NOP2/Sun RNA methyltransferase family member 7 (NSUN7). Both global and kidney-specific deletion of</w:t>
      </w:r>
      <w:r>
        <w:t xml:space="preserve"> </w:t>
      </w:r>
      <w:r>
        <w:t>Nsun7</w:t>
      </w:r>
      <w:r>
        <w:t xml:space="preserve"> </w:t>
      </w:r>
      <w:r>
        <w:t>in mice reduced m5C abundance, attenuated inflammatory responses, and decreased macrophage infiltration, underscoring its proinflammatory role in the kidney. Mechanistically, we identified secreted protein acidic and cysteine-rich (SPARC) as a major downstream effector of NSUN7. SPARC upregulation amplified inflammatory responses in renal tubular epithelial cells by interacting with high mobility group box 1 and further promoted proinflammatory macrophage infiltration via tubular-macrophage crosstalk. Notably, therapeutic silencing of</w:t>
      </w:r>
      <w:r>
        <w:t xml:space="preserve"> </w:t>
      </w:r>
      <w:r>
        <w:t>Nsun7</w:t>
      </w:r>
      <w:r>
        <w:t xml:space="preserve"> </w:t>
      </w:r>
      <w:r>
        <w:t>using a kidney-specific DNA tetrahedral molecular carrier developed for this study effectively alleviated inflammation and improved renal outcomes in AKI models. Collectively, our findings identify NSUN7 as a key driver of renal inflammation via SPARC regulation and underscore its potential as a therapeutic target in inflammatory kidney diseases.</w:t>
      </w:r>
    </w:p>
    <w:p>
      <w:pPr>
        <w:spacing w:before="120" w:after="120"/>
      </w:pPr>
      <w:r>
        <w:rPr>
          <w:sz w:val="18"/>
        </w:rPr>
        <w:t>——————————————————————————————————————————————————————————————————————</w:t>
      </w:r>
    </w:p>
    <w:p>
      <w:pPr>
        <w:spacing w:before="160" w:after="40" w:line="240" w:lineRule="auto"/>
      </w:pPr>
      <w:r>
        <w:rPr>
          <w:b/>
        </w:rPr>
        <w:t xml:space="preserve">[93] </w:t>
      </w:r>
      <w:hyperlink r:id="rId360">
        <w:r>
          <w:rPr>
            <w:color w:val="1155CC"/>
            <w:u w:val="single"/>
          </w:rPr>
          <w:t>[ASAP] 钯的电化学加氢受环境气体种类的影响</w:t>
        </w:r>
      </w:hyperlink>
    </w:p>
    <w:p>
      <w:pPr>
        <w:spacing w:before="0" w:after="80"/>
      </w:pPr>
      <w:r>
        <w:rPr>
          <w:i/>
          <w:sz w:val="20"/>
        </w:rPr>
        <w:t>EN: [ASAP] Electrochemical Loading of Palladium with Hydrogen Is Governed by Ambient Gas Species</w:t>
      </w:r>
    </w:p>
    <w:p>
      <w:pPr>
        <w:spacing w:before="0" w:after="120"/>
      </w:pPr>
      <w:r>
        <w:rPr>
          <w:b/>
        </w:rPr>
        <w:t xml:space="preserve">Source: </w:t>
      </w:r>
      <w:r>
        <w:t>Journal of the American Chemical Society: Latest Articles (ACS Publications)</w:t>
      </w:r>
      <w:r>
        <w:t xml:space="preserve">    </w:t>
      </w:r>
      <w:r>
        <w:rPr>
          <w:b/>
        </w:rPr>
        <w:t xml:space="preserve">Pub date: </w:t>
      </w:r>
      <w:r>
        <w:t>2026-03-23 08:09:36+00:00</w:t>
      </w:r>
      <w:r>
        <w:t xml:space="preserve">    </w:t>
      </w:r>
      <w:r>
        <w:rPr>
          <w:b/>
        </w:rPr>
        <w:t xml:space="preserve">DOI: </w:t>
      </w:r>
      <w:hyperlink r:id="rId361">
        <w:r>
          <w:rPr>
            <w:color w:val="1155CC"/>
            <w:u w:val="single"/>
          </w:rPr>
          <w:t>10.1021/jacs.5c18512</w:t>
        </w:r>
      </w:hyperlink>
    </w:p>
    <w:p>
      <w:pPr>
        <w:spacing w:before="0" w:after="120"/>
      </w:pPr>
      <w:r>
        <w:rPr>
          <w:b/>
        </w:rPr>
        <w:t xml:space="preserve">Notes: </w:t>
      </w:r>
      <w:r>
        <w:t>abstract_source=pubmed</w:t>
      </w:r>
    </w:p>
    <w:p>
      <w:pPr>
        <w:spacing w:before="0" w:after="80" w:lineRule="auto" w:line="276"/>
      </w:pPr>
      <w:r>
        <w:rPr>
          <w:b/>
        </w:rPr>
        <w:t xml:space="preserve">摘要（ZH）: </w:t>
      </w:r>
      <w:r>
        <w:t>我们报告了气体如何影响钯金属晶格中的氢浓度在电化学氢加载期间的变化。我们构建了一个独特的原位X射线衍射池，其中钯膜的一面被电化学加载氢，另一面面对气体流。在N2和CO2气体下，α-Pd到β-PdH的快速相变发生在适中的H/Pd比率0.63 ± 0.02和0.64 ± 0.01下。在CO气体下，α → β相变也很快，但H/Pd比率增加到0.752 ± 0.001。相比之下，O2气体引发了更渐进的α → β相变，达到最大H/Pd比率0.66 ± 0.03，随后是逆向的β → α相变。气相色谱证实了在CO气体下增加的H/Pd比率。</w:t>
      </w:r>
    </w:p>
    <w:p>
      <w:pPr>
        <w:spacing w:before="0" w:after="200" w:lineRule="auto" w:line="276"/>
      </w:pPr>
      <w:r>
        <w:rPr>
          <w:b/>
        </w:rPr>
        <w:t xml:space="preserve">Abstract (EN): </w:t>
      </w:r>
      <w:r>
        <w:t>We report how gases impact the hydrogen concentration in the palladium metal lattice during electrochemical hydrogen loading. We built a unique in situ X-ray diffraction cell, where one surface of a palladium membrane is electrochemically loaded with hydrogen and the other surface faces a gas flow. Under N2 and CO2 gas, rapid phase transformation from α-Pd to β-PdH occurred with moderate H/Pd ratios of 0.63 ± 0.02 and 0.64 ± 0.01, respectively. Under CO gas, the α → β phase transformation was also fast, but the H/Pd ratio increased to 0.752 ± 0.001. In contrast, the O2 gas induced a more gradual α → β phase transformation, achieving the maximum H/Pd ratio of 0.66 ± 0.03, followed by the reverse β → α phase transformation. Gas chromatography confirmed that the increased H/Pd ratio under CO originates from the suppressed recombination of hydrogen atoms into H2 gas. Additionally, we found that O2 reacts with hydrogen on the Pd surface to form water and hydrogen peroxide, which together promote hydrogen removal. These findings demonstrate that electrochemical hydrogen loading of Pd is governed not only by the applied electrochemical potential but also by gas-surface interactions.</w:t>
      </w:r>
    </w:p>
    <w:p>
      <w:pPr>
        <w:spacing w:before="120" w:after="120"/>
      </w:pPr>
      <w:r>
        <w:rPr>
          <w:sz w:val="18"/>
        </w:rPr>
        <w:t>——————————————————————————————————————————————————————————————————————</w:t>
      </w:r>
    </w:p>
    <w:p>
      <w:pPr>
        <w:spacing w:before="160" w:after="40" w:line="240" w:lineRule="auto"/>
      </w:pPr>
      <w:r>
        <w:rPr>
          <w:b/>
        </w:rPr>
        <w:t xml:space="preserve">[94] </w:t>
      </w:r>
      <w:hyperlink r:id="rId362">
        <w:r>
          <w:rPr>
            <w:color w:val="1155CC"/>
            <w:u w:val="single"/>
          </w:rPr>
          <w:t>[ASAP] 共价有机框架模板分子接触用于倒置钙钛矿太阳能电池</w:t>
        </w:r>
      </w:hyperlink>
    </w:p>
    <w:p>
      <w:pPr>
        <w:spacing w:before="0" w:after="80"/>
      </w:pPr>
      <w:r>
        <w:rPr>
          <w:i/>
          <w:sz w:val="20"/>
        </w:rPr>
        <w:t>EN: [ASAP] Covalent Organic Framework-Templated Molecular Contacts for Inverted Perovskite Solar Cells</w:t>
      </w:r>
    </w:p>
    <w:p>
      <w:pPr>
        <w:spacing w:before="0" w:after="120"/>
      </w:pPr>
      <w:r>
        <w:rPr>
          <w:b/>
        </w:rPr>
        <w:t xml:space="preserve">Source: </w:t>
      </w:r>
      <w:r>
        <w:t>ACS Energy Letters: Latest Articles (ACS Publications)</w:t>
      </w:r>
      <w:r>
        <w:t xml:space="preserve">    </w:t>
      </w:r>
      <w:r>
        <w:rPr>
          <w:b/>
        </w:rPr>
        <w:t xml:space="preserve">Pub date: </w:t>
      </w:r>
      <w:r>
        <w:t>2026-03-23 08:41:09+00:00</w:t>
      </w:r>
      <w:r>
        <w:t xml:space="preserve">    </w:t>
      </w:r>
      <w:r>
        <w:rPr>
          <w:b/>
        </w:rPr>
        <w:t xml:space="preserve">DOI: </w:t>
      </w:r>
      <w:hyperlink r:id="rId363">
        <w:r>
          <w:rPr>
            <w:color w:val="1155CC"/>
            <w:u w:val="single"/>
          </w:rPr>
          <w:t>10.1021/acsenergylett.6c00031</w:t>
        </w:r>
      </w:hyperlink>
    </w:p>
    <w:p>
      <w:pPr>
        <w:spacing w:before="0" w:after="120"/>
      </w:pPr>
      <w:r>
        <w:rPr>
          <w:b/>
        </w:rPr>
        <w:t xml:space="preserve">Notes: </w:t>
      </w:r>
      <w:r>
        <w:t>abstract_source=openalex</w:t>
      </w:r>
    </w:p>
    <w:p>
      <w:pPr>
        <w:spacing w:before="0" w:after="80" w:lineRule="auto" w:line="276"/>
      </w:pPr>
      <w:r>
        <w:rPr>
          <w:b/>
        </w:rPr>
        <w:t xml:space="preserve">摘要（ZH）: </w:t>
      </w:r>
      <w:r>
        <w:t>基于自组装分子的空穴选择性接触对于高效倒置钙钛矿太阳能电池（PeSCs）至关重要，但传统的自组装单分子层（SAMs）存在润湿性差和界面能量损失的问题。在此，我们将SAMs与亚胺键合共价有机框架（ILCOFs）结合，构建了具有超润湿特性和改进形貌的ILCOF/SAM插层空穴选择性层（HSL）。ILCOF纳米片作为结构调节剂，引导SAM的组织并促进高质量钙钛矿薄膜的生长，减少界面缺陷。这种分层接触还增强了能级对齐和界面耦合，减少了电压损失并提高了热稳定性。因此，包含ILCOF/SAM的PeSCs</w:t>
      </w:r>
    </w:p>
    <w:p>
      <w:pPr>
        <w:spacing w:before="0" w:after="200" w:lineRule="auto" w:line="276"/>
      </w:pPr>
      <w:r>
        <w:rPr>
          <w:b/>
        </w:rPr>
        <w:t xml:space="preserve">Abstract (EN): </w:t>
      </w:r>
      <w:r>
        <w:t>Self-assembled molecule-based hole-selective contacts are critical for high-efficiency inverted perovskite solar cells (PeSCs), yet conventional self-assembled monolayers (SAMs) suffer from poor wettability and interfacial energy losses. Here, we integrate SAMs with imine-linked covalent organic frameworks (ILCOFs) to construct an ILCOF/SAM-intercalated hole-selective layer (HSL) featuring superwetting properties and improved morphology. The ILCOF nanosheets act as structural regulators, guiding SAM organization and promoting the growth of high-quality perovskite films with reduced interfacial defects. This hierarchical contact also enhances energy-level alignment and interfacial coupling, reducing voltage loss and improving thermal stability. As a result, PeSCs incorporating ILCOF/SAM deliver a power conversion efficiency of 26.06% and exhibit negligible performance degradation over 2,020 h of continuous operation. Furthermore, this strategy is compatible with scalable fabrication, yielding mini-modules with 22.95% efficiency over a 12.5 cm2 aperture area.</w:t>
      </w:r>
    </w:p>
    <w:p>
      <w:pPr>
        <w:spacing w:before="120" w:after="120"/>
      </w:pPr>
      <w:r>
        <w:rPr>
          <w:sz w:val="18"/>
        </w:rPr>
        <w:t>——————————————————————————————————————————————————————————————————————</w:t>
      </w:r>
    </w:p>
    <w:p>
      <w:pPr>
        <w:spacing w:before="160" w:after="40" w:line="240" w:lineRule="auto"/>
      </w:pPr>
      <w:r>
        <w:rPr>
          <w:b/>
        </w:rPr>
        <w:t xml:space="preserve">[95] </w:t>
      </w:r>
      <w:hyperlink r:id="rId364">
        <w:r>
          <w:rPr>
            <w:color w:val="1155CC"/>
            <w:u w:val="single"/>
          </w:rPr>
          <w:t>[ASAP] 对“具有生物正交荧光探针和携带靶向基团的工程化报告酶的低背景癌症成像”的更正</w:t>
        </w:r>
      </w:hyperlink>
    </w:p>
    <w:p>
      <w:pPr>
        <w:spacing w:before="0" w:after="80"/>
      </w:pPr>
      <w:r>
        <w:rPr>
          <w:i/>
          <w:sz w:val="20"/>
        </w:rPr>
        <w:t>EN: [ASAP] Correction to “Low-Background Cancer Imaging with a Bioorthogonal Fluorescence Probe and Engineered Reporter Enzyme Bearing a Targeting Moiety”</w:t>
      </w:r>
    </w:p>
    <w:p>
      <w:pPr>
        <w:spacing w:before="0" w:after="120"/>
      </w:pPr>
      <w:r>
        <w:rPr>
          <w:b/>
        </w:rPr>
        <w:t xml:space="preserve">Source: </w:t>
      </w:r>
      <w:r>
        <w:t>Journal of the American Chemical Society: Latest Articles (ACS Publications)</w:t>
      </w:r>
      <w:r>
        <w:t xml:space="preserve">    </w:t>
      </w:r>
      <w:r>
        <w:rPr>
          <w:b/>
        </w:rPr>
        <w:t xml:space="preserve">Pub date: </w:t>
      </w:r>
      <w:r>
        <w:t>2026-03-23 10:25:22+00:00</w:t>
      </w:r>
      <w:r>
        <w:t xml:space="preserve">    </w:t>
      </w:r>
      <w:r>
        <w:rPr>
          <w:b/>
        </w:rPr>
        <w:t xml:space="preserve">DOI: </w:t>
      </w:r>
      <w:hyperlink r:id="rId365">
        <w:r>
          <w:rPr>
            <w:color w:val="1155CC"/>
            <w:u w:val="single"/>
          </w:rPr>
          <w:t>10.1021/jacs.6c04784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[96] </w:t>
      </w:r>
      <w:hyperlink r:id="rId366">
        <w:r>
          <w:rPr>
            <w:color w:val="1155CC"/>
            <w:u w:val="single"/>
          </w:rPr>
          <w:t>[ASAP] 仿生扩散限制的共聚体组装硅化使智能纳米环实现深度和敏感的肿瘤穿透</w:t>
        </w:r>
      </w:hyperlink>
    </w:p>
    <w:p>
      <w:pPr>
        <w:spacing w:before="0" w:after="80"/>
      </w:pPr>
      <w:r>
        <w:rPr>
          <w:i/>
          <w:sz w:val="20"/>
        </w:rPr>
        <w:t>EN: [ASAP] Bioinspired Diffusion-Limited Silicification in Coacervate Assemblies Enables Smart Nanotoroids for Deep and Sensitive Tumor Penetration</w:t>
      </w:r>
    </w:p>
    <w:p>
      <w:pPr>
        <w:spacing w:before="0" w:after="120"/>
      </w:pPr>
      <w:r>
        <w:rPr>
          <w:b/>
        </w:rPr>
        <w:t xml:space="preserve">Source: </w:t>
      </w:r>
      <w:r>
        <w:t>Journal of the American Chemical Society: Latest Articles (ACS Publications)</w:t>
      </w:r>
      <w:r>
        <w:t xml:space="preserve">    </w:t>
      </w:r>
      <w:r>
        <w:rPr>
          <w:b/>
        </w:rPr>
        <w:t xml:space="preserve">Pub date: </w:t>
      </w:r>
      <w:r>
        <w:t>2026-03-23 11:45:36+00:00</w:t>
      </w:r>
      <w:r>
        <w:t xml:space="preserve">    </w:t>
      </w:r>
      <w:r>
        <w:rPr>
          <w:b/>
        </w:rPr>
        <w:t xml:space="preserve">DOI: </w:t>
      </w:r>
      <w:hyperlink r:id="rId367">
        <w:r>
          <w:rPr>
            <w:color w:val="1155CC"/>
            <w:u w:val="single"/>
          </w:rPr>
          <w:t>10.1021/jacs.5c22993</w:t>
        </w:r>
      </w:hyperlink>
    </w:p>
    <w:p>
      <w:pPr>
        <w:spacing w:before="0" w:after="120"/>
      </w:pPr>
      <w:r>
        <w:rPr>
          <w:b/>
        </w:rPr>
        <w:t xml:space="preserve">Notes: </w:t>
      </w:r>
      <w:r>
        <w:t>abstract_source=pubmed</w:t>
      </w:r>
    </w:p>
    <w:p>
      <w:pPr>
        <w:spacing w:before="0" w:after="80" w:lineRule="auto" w:line="276"/>
      </w:pPr>
      <w:r>
        <w:rPr>
          <w:b/>
        </w:rPr>
        <w:t xml:space="preserve">摘要（ZH）: </w:t>
      </w:r>
      <w:r>
        <w:t>控制介孔材料的自组装超越平衡仍然是一个基本挑战。传统的模板系统通过能量最小化的共组装形成有序结构，但缺乏产生不对称或拓扑复杂结构所需的动力学和空间自由。在此，我们报告了一种仿生的共聚物引导硅化策略，该策略能够在软模板内实现扩散限制和空间不对称的凝结，产生有序的六方介孔纳米环。在该系统中，聚（丙烯酸）(PAA)与阳离子表面活性剂十六烷基三甲基溴化铵(CTAB)静电结合，驱动液-液相分离并形成盘状共聚物组装体。内外反应-扩散不平衡</w:t>
      </w:r>
    </w:p>
    <w:p>
      <w:pPr>
        <w:spacing w:before="0" w:after="200" w:lineRule="auto" w:line="276"/>
      </w:pPr>
      <w:r>
        <w:rPr>
          <w:b/>
        </w:rPr>
        <w:t xml:space="preserve">Abstract (EN): </w:t>
      </w:r>
      <w:r>
        <w:t>Controlling the self-assembly of mesoporous materials beyond equilibrium remains a fundamental challenge. Conventional templating systems form ordered structures through energy-minimizing coassembly but lack the kinetic and spatial freedom required to produce asymmetric or topologically complex architectures. Here, we report a bioinspired coacervate-directed silicification strategy that enables diffusion-limited and spatially asymmetric condensation within soft templates, yielding ordered hexagonal mesoporous nanotoroids. In this system, poly(acrylic acid) (PAA) electrostatically associates with the cationic surfactant cetyltrimethylammonium bromide (CTAB), driving liquid-liquid phase separation and forming disc-like coacervate assemblies. Reaction-diffusion imbalance across the inner and outer interfaces within these templates induces asymmetric silicification, driving an interior collapse and toroidal self-transformation. By tuning PAA concentration, the diffusion-condensation kinetics can be precisely modulated, allowing programmable control over collapse dynamics and final topology, with enlarged central cavities (14-71 nm) and reduced rim thickness (15-35 nm). These nanotoroids exhibit uniform sub-100 nm size, high surface area (846 m2 g-1), and abundant mesopores (∼2.0 nm). The nanotoroids (rim thickness ∼15 nm, height ∼40 nm) display markedly prolonged blood circulation, enhanced tumor accumulation (+173%), improved vascular extravasation, and deeper intratumoral penetration, while reducing hepatic and splenic uptake by 19% and 14%, respectively, compared with spherical analogues. These combined advantages translate into potent antitumor efficacy in both subcutaneous and spinal metastasis models. This work establishes a new paradigm for sol-gel topology control by bridging reaction-diffusion dynamics with bioinspired silicification based on the chemistry of LLPS (liquid-liquid phase separation), thereby unlocking the untapped biomedical potential of toroidal topologies that were rarely accessible.</w:t>
      </w:r>
    </w:p>
    <w:p>
      <w:pPr>
        <w:spacing w:before="120" w:after="120"/>
      </w:pPr>
      <w:r>
        <w:rPr>
          <w:sz w:val="18"/>
        </w:rPr>
        <w:t>——————————————————————————————————————————————————————————————————————</w:t>
      </w:r>
    </w:p>
    <w:p>
      <w:pPr>
        <w:spacing w:before="160" w:after="40" w:line="240" w:lineRule="auto"/>
      </w:pPr>
      <w:r>
        <w:rPr>
          <w:b/>
        </w:rPr>
        <w:t xml:space="preserve">[97] </w:t>
      </w:r>
      <w:hyperlink r:id="rId368">
        <w:r>
          <w:rPr>
            <w:color w:val="1155CC"/>
            <w:u w:val="single"/>
          </w:rPr>
          <w:t>[ASAP] 金属-绝缘体-半导体光阳极氢诱导钝化机制的缺陷密度空间定量分析</w:t>
        </w:r>
      </w:hyperlink>
    </w:p>
    <w:p>
      <w:pPr>
        <w:spacing w:before="0" w:after="80"/>
      </w:pPr>
      <w:r>
        <w:rPr>
          <w:i/>
          <w:sz w:val="20"/>
        </w:rPr>
        <w:t>EN: [ASAP] Spatially Quantitative Profiling of Defect Density for Hydrogen-Induced Passivation Mechanism of Metal–Insulator–Semiconductor Photoanodes</w:t>
      </w:r>
    </w:p>
    <w:p>
      <w:pPr>
        <w:spacing w:before="0" w:after="120"/>
      </w:pPr>
      <w:r>
        <w:rPr>
          <w:b/>
        </w:rPr>
        <w:t xml:space="preserve">Source: </w:t>
      </w:r>
      <w:r>
        <w:t>Journal of the American Chemical Society: Latest Articles (ACS Publications)</w:t>
      </w:r>
      <w:r>
        <w:t xml:space="preserve">    </w:t>
      </w:r>
      <w:r>
        <w:rPr>
          <w:b/>
        </w:rPr>
        <w:t xml:space="preserve">Pub date: </w:t>
      </w:r>
      <w:r>
        <w:t>2026-03-23 12:01:46+00:00</w:t>
      </w:r>
      <w:r>
        <w:t xml:space="preserve">    </w:t>
      </w:r>
      <w:r>
        <w:rPr>
          <w:b/>
        </w:rPr>
        <w:t xml:space="preserve">DOI: </w:t>
      </w:r>
      <w:hyperlink r:id="rId369">
        <w:r>
          <w:rPr>
            <w:color w:val="1155CC"/>
            <w:u w:val="single"/>
          </w:rPr>
          <w:t>10.1021/jacs.6c01240</w:t>
        </w:r>
      </w:hyperlink>
    </w:p>
    <w:p>
      <w:pPr>
        <w:spacing w:before="0" w:after="120"/>
      </w:pPr>
      <w:r>
        <w:rPr>
          <w:b/>
        </w:rPr>
        <w:t xml:space="preserve">Notes: </w:t>
      </w:r>
      <w:r>
        <w:t>abstract_source=pubmed</w:t>
      </w:r>
    </w:p>
    <w:p>
      <w:pPr>
        <w:spacing w:before="0" w:after="80" w:lineRule="auto" w:line="276"/>
      </w:pPr>
      <w:r>
        <w:rPr>
          <w:b/>
        </w:rPr>
        <w:t xml:space="preserve">摘要（ZH）: </w:t>
      </w:r>
      <w:r>
        <w:t>基于硅的金属-绝缘体-半导体(MIS)光电极为光电化学水分解提供了内建电场，但由于空间电荷区内缺陷位点的载流子复合，导致电荷传输效率低下。通过原子层沉积(ALD)制备的绝缘层对于缺陷钝化至关重要，并需要精心设计的沉积和退火工艺以实现最佳性能。这需要对缺陷密度分布进行定量分析。然而，传统单电容技术的固有局限性和隧道泄漏电流的影响阻碍了这种分析。本文描述了一种集成的多电容方法，结合了驱动电平电容剖面(DLCP</w:t>
      </w:r>
    </w:p>
    <w:p>
      <w:pPr>
        <w:spacing w:before="0" w:after="200" w:lineRule="auto" w:line="276"/>
      </w:pPr>
      <w:r>
        <w:rPr>
          <w:b/>
        </w:rPr>
        <w:t xml:space="preserve">Abstract (EN): </w:t>
      </w:r>
      <w:r>
        <w:t>Silicon-based metal-insulator-semiconductor (MIS) photoelectrodes provide a built-in field for photoelectrochemical water splitting but suffer from inefficient charge transport due to carrier recombination at defect sites within the space-charge region. The insulating layer fabricated by atomic layer deposition (ALD) is critical for defect passivation and requires carefully engineered deposition and annealing processes for optimal performance. This necessitates the quantitative analysis of defect density distribution. However, such analysis remains impeded by intrinsic limitations of conventional single-capacitance techniques and the influence of tunneling leakage currents. This paper describes an integrated multicapacitance methodology that combines drive-level capacitance profiling (DLCP) and capacitance-voltage (C-V) techniques to quantify both interface (Nit) and bulk defect charge density (NDLCP) within the space-charge region, using the space-charge capacitance refined by MIS-adapted multicomponent equivalent circuit modeling. This approach reveals that Al2O3 reduces the Nit at n-Si/ITO interface from approximately 2.9 × 1016 to 1.4 × 1016 cm-3, while simultaneously profiling the variation of NDLCP and depletion width. Furthermore, systematic DLCP/C-V analysis enables the design of a tailored passivation protocol by tuning ALD deposition (Tdep) and annealing temperatures to leverage the hydrogen-induced mechanism. Optimal passivation is achieved at a moderate Tdep (∼160 °C) followed by 350 °C annealing, which balances sufficient hydrogen content and suitable structural properties of the Al2O3 film without introducing additional bulk defects during annealing. Eventually, the optimized n-Si/SiOx/Al2O3/ITO/Ni photoanode exhibits an onset potential of 0.88 V vs RHE and an applied bias photon-to-current efficiency (ABPE) of 2.91%, with a long-term stability of 120 h.</w:t>
      </w:r>
    </w:p>
    <w:p>
      <w:pPr>
        <w:spacing w:before="120" w:after="120"/>
      </w:pPr>
      <w:r>
        <w:rPr>
          <w:sz w:val="18"/>
        </w:rPr>
        <w:t>——————————————————————————————————————————————————————————————————————</w:t>
      </w:r>
    </w:p>
    <w:p>
      <w:pPr>
        <w:spacing w:before="160" w:after="40" w:line="240" w:lineRule="auto"/>
      </w:pPr>
      <w:r>
        <w:rPr>
          <w:b/>
        </w:rPr>
        <w:t xml:space="preserve">[98] </w:t>
      </w:r>
      <w:hyperlink r:id="rId370">
        <w:r>
          <w:rPr>
            <w:color w:val="1155CC"/>
            <w:u w:val="single"/>
          </w:rPr>
          <w:t>[ASAP] 金属酶催化的在天然酶学中未知或不常见的自由基反应</w:t>
        </w:r>
      </w:hyperlink>
    </w:p>
    <w:p>
      <w:pPr>
        <w:spacing w:before="0" w:after="80"/>
      </w:pPr>
      <w:r>
        <w:rPr>
          <w:i/>
          <w:sz w:val="20"/>
        </w:rPr>
        <w:t>EN: [ASAP] Metalloenzyme-Catalyzed Radical Reactions Unknown or Uncommon in Native Enzymology</w:t>
      </w:r>
    </w:p>
    <w:p>
      <w:pPr>
        <w:spacing w:before="0" w:after="120"/>
      </w:pPr>
      <w:r>
        <w:rPr>
          <w:b/>
        </w:rPr>
        <w:t xml:space="preserve">Source: </w:t>
      </w:r>
      <w:r>
        <w:t>Chemical Reviews: Latest Articles (ACS Publications)</w:t>
      </w:r>
      <w:r>
        <w:t xml:space="preserve">    </w:t>
      </w:r>
      <w:r>
        <w:rPr>
          <w:b/>
        </w:rPr>
        <w:t xml:space="preserve">Pub date: </w:t>
      </w:r>
      <w:r>
        <w:t>2026-03-23 12:04:38+00:00</w:t>
      </w:r>
      <w:r>
        <w:t xml:space="preserve">    </w:t>
      </w:r>
      <w:r>
        <w:rPr>
          <w:b/>
        </w:rPr>
        <w:t xml:space="preserve">DOI: </w:t>
      </w:r>
      <w:hyperlink r:id="rId371">
        <w:r>
          <w:rPr>
            <w:color w:val="1155CC"/>
            <w:u w:val="single"/>
          </w:rPr>
          <w:t>10.1021/acs.chemrev.5c00837</w:t>
        </w:r>
      </w:hyperlink>
    </w:p>
    <w:p>
      <w:pPr>
        <w:spacing w:before="0" w:after="120"/>
      </w:pPr>
      <w:r>
        <w:rPr>
          <w:b/>
        </w:rPr>
        <w:t xml:space="preserve">Notes: </w:t>
      </w:r>
      <w:r>
        <w:t>abstract_source=pubmed</w:t>
      </w:r>
    </w:p>
    <w:p>
      <w:pPr>
        <w:spacing w:before="0" w:after="80" w:lineRule="auto" w:line="276"/>
      </w:pPr>
      <w:r>
        <w:rPr>
          <w:b/>
        </w:rPr>
        <w:t xml:space="preserve">摘要（ZH）: </w:t>
      </w:r>
      <w:r>
        <w:t>过去十年见证了金属酶催化的自由基转化的突破性发展，这在原生金属酶学中是未知或不常见的。在有机、金属有机和生物化学的机制理解指导下，使用基于第一排过渡金属辅因子（包括Fe、Co和Cu）的各种金属蛋白催化剂开发了一系列自由基反应。金属蛋白的结构和功能多样性以及易于调节的活性位点环境为解决合成化学家在自由基介导的转化中面临的化学选择性、区域选择性和立体选择性问题提供了绝佳机会。在本综述中，我们总结了基于反应性</w:t>
      </w:r>
    </w:p>
    <w:p>
      <w:pPr>
        <w:spacing w:before="0" w:after="200" w:lineRule="auto" w:line="276"/>
      </w:pPr>
      <w:r>
        <w:rPr>
          <w:b/>
        </w:rPr>
        <w:t xml:space="preserve">Abstract (EN): </w:t>
      </w:r>
      <w:r>
        <w:t>The past decade has witnessed groundbreaking developments in metalloenzyme-catalyzed free radical transformations, which were previously unknown or uncommon in native metalloenzymology. Guided by mechanistic understandings from organic, organometallic, and biochemistry, an array of radical reactions has been developed using various metalloprotein catalysts based on first-row transition metal cofactors including Fe, Co, and Cu. The structural and functional diversity and the readily tunable active-site environment of metalloproteins offer an excellent opportunity to solve the challenging chemo-, regio-, and stereoselectivity problems in radical-mediated transformations facing synthetic chemists. In this Review, we summarize metalloprotein-catalyzed radical reactions based on the reactive intermediates involved, including carbon-centered radicals, nitrogen-centered radicals, oxygen-centered radicals, and metal carbenoids and nitrenoids with radical character. We further survey the reaction mechanism, enzyme engineering strategies, and substrate scope of these metalloprotein-catalyzed radical transformations, providing an overview of the current status of metalloenzymology that is unknown or uncommon in native biochemistry.</w:t>
      </w:r>
    </w:p>
    <w:p>
      <w:pPr>
        <w:spacing w:before="120" w:after="120"/>
      </w:pPr>
      <w:r>
        <w:rPr>
          <w:sz w:val="18"/>
        </w:rPr>
        <w:t>——————————————————————————————————————————————————————————————————————</w:t>
      </w:r>
    </w:p>
    <w:p>
      <w:pPr>
        <w:spacing w:before="160" w:after="40" w:line="240" w:lineRule="auto"/>
      </w:pPr>
      <w:r>
        <w:rPr>
          <w:b/>
        </w:rPr>
        <w:t xml:space="preserve">[99] </w:t>
      </w:r>
      <w:hyperlink r:id="rId372">
        <w:r>
          <w:rPr>
            <w:color w:val="1155CC"/>
            <w:u w:val="single"/>
          </w:rPr>
          <w:t>[ASAP] 镍催化的醛的交叉脱氢烯丙基化</w:t>
        </w:r>
      </w:hyperlink>
    </w:p>
    <w:p>
      <w:pPr>
        <w:spacing w:before="0" w:after="80"/>
      </w:pPr>
      <w:r>
        <w:rPr>
          <w:i/>
          <w:sz w:val="20"/>
        </w:rPr>
        <w:t>EN: [ASAP] Nickel-Catalyzed Cross-Dehydrogenative Allylation of Aldehydes</w:t>
      </w:r>
    </w:p>
    <w:p>
      <w:pPr>
        <w:spacing w:before="0" w:after="120"/>
      </w:pPr>
      <w:r>
        <w:rPr>
          <w:b/>
        </w:rPr>
        <w:t xml:space="preserve">Source: </w:t>
      </w:r>
      <w:r>
        <w:t>Journal of the American Chemical Society: Latest Articles (ACS Publications)</w:t>
      </w:r>
      <w:r>
        <w:t xml:space="preserve">    </w:t>
      </w:r>
      <w:r>
        <w:rPr>
          <w:b/>
        </w:rPr>
        <w:t xml:space="preserve">Pub date: </w:t>
      </w:r>
      <w:r>
        <w:t>2026-03-23 12:51:44+00:00</w:t>
      </w:r>
      <w:r>
        <w:t xml:space="preserve">    </w:t>
      </w:r>
      <w:r>
        <w:rPr>
          <w:b/>
        </w:rPr>
        <w:t xml:space="preserve">DOI: </w:t>
      </w:r>
      <w:hyperlink r:id="rId373">
        <w:r>
          <w:rPr>
            <w:color w:val="1155CC"/>
            <w:u w:val="single"/>
          </w:rPr>
          <w:t>10.1021/jacs.5c20798</w:t>
        </w:r>
      </w:hyperlink>
    </w:p>
    <w:p>
      <w:pPr>
        <w:spacing w:before="0" w:after="120"/>
      </w:pPr>
      <w:r>
        <w:rPr>
          <w:b/>
        </w:rPr>
        <w:t xml:space="preserve">Notes: </w:t>
      </w:r>
      <w:r>
        <w:t>abstract_source=pubmed</w:t>
      </w:r>
    </w:p>
    <w:p>
      <w:pPr>
        <w:spacing w:before="0" w:after="80" w:lineRule="auto" w:line="276"/>
      </w:pPr>
      <w:r>
        <w:rPr>
          <w:b/>
        </w:rPr>
        <w:t xml:space="preserve">摘要（ZH）: </w:t>
      </w:r>
      <w:r>
        <w:t>醛的亲核加成在合成化学中起着核心作用。虽然有机金属亲核试剂的加成常被采用，但诸如交叉电亲核偶联和涉及各种π-系统的还原偶联等替代催化过程也已被开发并广泛使用。在本研究中，我们描述了一种通过醛和烯烃的直接镍催化交叉脱氢偶联实现醛-烯烃偶联的互补方法。该过程利用锌粉和二叔丁基过氧化物的组合，促进交叉脱氢偶联，从而通过醛和烯烃底物生成的酰基自由基和烯丙基自由基的催化结合合成β,γ-不饱和酮。底物组合的多样性</w:t>
      </w:r>
    </w:p>
    <w:p>
      <w:pPr>
        <w:spacing w:before="0" w:after="200" w:lineRule="auto" w:line="276"/>
      </w:pPr>
      <w:r>
        <w:rPr>
          <w:b/>
        </w:rPr>
        <w:t xml:space="preserve">Abstract (EN): </w:t>
      </w:r>
      <w:r>
        <w:t>Nucleophilic additions to aldehydes play a central role in synthetic chemistry. While additions of organometallic nucleophiles are commonly employed, alternative catalytic processes such as cross-electrophile couplings and reductive couplings involving various π-systems have also been developed and extensively used. In this study, we describe a complementary approach to aldehyde-alkene couplings via direct nickel-catalyzed cross-dehydrogenative coupling of aldehydes and alkenes. The process utilizes a combination of zinc powder and di-tert-butyl peroxide, enabling cross-dehydrogenative coupling to allow the synthesis of β,γ-unsaturated ketones through the catalytic union of acyl radicals and allylic radicals generated from the aldehyde and alkene substrates. An array of substrate combinations is demonstrated, and both experimental and computational studies support the involvement of a double hydrogen-atom-transfer (HAT) mechanism. Comparative analysis of di-tert-butyl peroxide with an alternate oxidant, 2-bromo-1,3-bis(trifluoromethyl)benzene, illustrates the substrate-dependent complementarity of the oxidants and shows an important interdependence of relative substrate concentrations. Quantum chemical estimates of the thermodynamics of the two simultaneous HAT events, generating acyl radicals and allylic radicals, show a correlation between calculated free energies of reaction and the optimal experimental protocol.</w:t>
      </w:r>
    </w:p>
    <w:p>
      <w:pPr>
        <w:spacing w:before="120" w:after="120"/>
      </w:pPr>
      <w:r>
        <w:rPr>
          <w:sz w:val="18"/>
        </w:rPr>
        <w:t>——————————————————————————————————————————————————————————————————————</w:t>
      </w:r>
    </w:p>
    <w:p>
      <w:pPr>
        <w:spacing w:before="160" w:after="40" w:line="240" w:lineRule="auto"/>
      </w:pPr>
      <w:r>
        <w:rPr>
          <w:b/>
        </w:rPr>
        <w:t xml:space="preserve">[100] </w:t>
      </w:r>
      <w:hyperlink r:id="rId374">
        <w:r>
          <w:rPr>
            <w:color w:val="1155CC"/>
            <w:u w:val="single"/>
          </w:rPr>
          <w:t>[ASAP] 调节非共价相互作用构建高温多轴无铅金属卤化物混合铁电体</w:t>
        </w:r>
      </w:hyperlink>
    </w:p>
    <w:p>
      <w:pPr>
        <w:spacing w:before="0" w:after="80"/>
      </w:pPr>
      <w:r>
        <w:rPr>
          <w:i/>
          <w:sz w:val="20"/>
        </w:rPr>
        <w:t>EN: [ASAP] Regulating Noncovalent Interactions to Construct High-Temperature Multiaxial Lead-Free Metal Halide Hybrid Ferroelectrics</w:t>
      </w:r>
    </w:p>
    <w:p>
      <w:pPr>
        <w:spacing w:before="0" w:after="120"/>
      </w:pPr>
      <w:r>
        <w:rPr>
          <w:b/>
        </w:rPr>
        <w:t xml:space="preserve">Source: </w:t>
      </w:r>
      <w:r>
        <w:t>Journal of the American Chemical Society: Latest Articles (ACS Publications)</w:t>
      </w:r>
      <w:r>
        <w:t xml:space="preserve">    </w:t>
      </w:r>
      <w:r>
        <w:rPr>
          <w:b/>
        </w:rPr>
        <w:t xml:space="preserve">Pub date: </w:t>
      </w:r>
      <w:r>
        <w:t>2026-03-23 12:52:28+00:00</w:t>
      </w:r>
      <w:r>
        <w:t xml:space="preserve">    </w:t>
      </w:r>
      <w:r>
        <w:rPr>
          <w:b/>
        </w:rPr>
        <w:t xml:space="preserve">DOI: </w:t>
      </w:r>
      <w:hyperlink r:id="rId375">
        <w:r>
          <w:rPr>
            <w:color w:val="1155CC"/>
            <w:u w:val="single"/>
          </w:rPr>
          <w:t>10.1021/jacs.5c21648</w:t>
        </w:r>
      </w:hyperlink>
    </w:p>
    <w:p>
      <w:pPr>
        <w:spacing w:before="0" w:after="120"/>
      </w:pPr>
      <w:r>
        <w:rPr>
          <w:b/>
        </w:rPr>
        <w:t xml:space="preserve">Notes: </w:t>
      </w:r>
      <w:r>
        <w:t>abstract_source=pubmed</w:t>
      </w:r>
    </w:p>
    <w:p>
      <w:pPr>
        <w:spacing w:before="0" w:after="80" w:lineRule="auto" w:line="276"/>
      </w:pPr>
      <w:r>
        <w:rPr>
          <w:b/>
        </w:rPr>
        <w:t xml:space="preserve">摘要（ZH）: </w:t>
      </w:r>
      <w:r>
        <w:t>无铅分子铁电体因其环境友好性和功能多样性而有望促进绿色电子技术的发展。然而，种类有限、居里温度（Tc）低和单轴特性在其应用中构成了重大障碍。在此基础上，以（PMA）3MBr6（PMA+为苄基铵，M为Bi3+或Sb3+）为基础，我们通过阳离子混合策略构建了一系列无铅金属卤化物杂化物（PMA）2(A)MBr6（A为二甲基铵（DMA+）、甲脒（FA+）或胍（GA+））。阳离子混合策略引入了阳离子-π相互作用，并有效调节了结构中的氢键网络。结构中非共价相互作用的不同强度导致了差异</w:t>
      </w:r>
    </w:p>
    <w:p>
      <w:pPr>
        <w:spacing w:before="0" w:after="200" w:lineRule="auto" w:line="276"/>
      </w:pPr>
      <w:r>
        <w:rPr>
          <w:b/>
        </w:rPr>
        <w:t xml:space="preserve">Abstract (EN): </w:t>
      </w:r>
      <w:r>
        <w:t>Lead-free molecular ferroelectrics are expected to promote the development of green electronics technology due to their environmental friendliness and functional diversity. Nevertheless, the limited variety, low Curie temperature (Tc), and uniaxial characteristics pose significant obstacles in their application. Herein, on the basis of (PMA)3MBr6 (PMA+ is benzylammonium, and M is Bi3+ or Sb3+), we constructed a series of lead-free metal halide hybrids (PMA)2(A)MBr6 (A is dimethylammonium (DMA+), formamidinium (FA+), or guanidinium (GA+)) using a cation mixing strategy. The cation mixing strategy introduces cation-π interactions and effectively regulates the hydrogen bonding network in the structure. The different strengths of noncovalent interactions in the structures lead to differences in the phase transition temperature and ferroelectricity of (PMA)2(A)MBr6. In (PMA)2(GA)MBr6 and (PMA)2(FA)MBr6, the excessively strong hydrogen bond network and cation-π interactions result in the system lacking the necessary kinetic degrees of freedom to achieve ferroelectric inversion. It is worth noting that moderate noncovalent interactions can ensure spontaneous polarization below the Curie temperature (Tc) and provide necessary dynamic channels for the flipping of polar units, thus successfully achieving ferroelectricity in (PMA)2(DMA)MBr6 (3̅mFm). The results revealed that in the design of molecular ferroelectrics, a delicate balance needs to be struck between the different strengths of noncovalent interactions. This finding provides a significant and effective pathway to design high-Tc and multiaxial environmentally friendly ferroelectrics.</w:t>
      </w:r>
    </w:p>
    <w:p>
      <w:pPr>
        <w:spacing w:before="120" w:after="120"/>
      </w:pPr>
      <w:r>
        <w:rPr>
          <w:sz w:val="18"/>
        </w:rPr>
        <w:t>——————————————————————————————————————————————————————————————————————</w:t>
      </w:r>
    </w:p>
    <w:p>
      <w:pPr>
        <w:spacing w:before="160" w:after="40" w:line="240" w:lineRule="auto"/>
      </w:pPr>
      <w:r>
        <w:rPr>
          <w:b/>
        </w:rPr>
        <w:t xml:space="preserve">[101] </w:t>
      </w:r>
      <w:hyperlink r:id="rId376">
        <w:r>
          <w:rPr>
            <w:color w:val="1155CC"/>
            <w:u w:val="single"/>
          </w:rPr>
          <w:t>Flavio Siro Brigiano</w:t>
        </w:r>
      </w:hyperlink>
    </w:p>
    <w:p>
      <w:pPr>
        <w:spacing w:before="0" w:after="120"/>
      </w:pPr>
      <w:r>
        <w:rPr>
          <w:b/>
        </w:rPr>
        <w:t xml:space="preserve">Source: </w:t>
      </w:r>
      <w:r>
        <w:t>Wiley: Angewandte Chemie International Edition: Table of Contents</w:t>
      </w:r>
      <w:r>
        <w:t xml:space="preserve">    </w:t>
      </w:r>
      <w:r>
        <w:rPr>
          <w:b/>
        </w:rPr>
        <w:t xml:space="preserve">Pub date: </w:t>
      </w:r>
      <w:r>
        <w:t>2026-03-23 12:53:51+00:00</w:t>
      </w:r>
      <w:r>
        <w:t xml:space="preserve">    </w:t>
      </w:r>
      <w:r>
        <w:rPr>
          <w:b/>
        </w:rPr>
        <w:t xml:space="preserve">DOI: </w:t>
      </w:r>
      <w:hyperlink r:id="rId377">
        <w:r>
          <w:rPr>
            <w:color w:val="1155CC"/>
            <w:u w:val="single"/>
          </w:rPr>
          <w:t>10.1002/anie.5315152</w:t>
        </w:r>
      </w:hyperlink>
    </w:p>
    <w:p>
      <w:pPr>
        <w:spacing w:before="0" w:after="120"/>
      </w:pPr>
      <w:r>
        <w:rPr>
          <w:b/>
        </w:rPr>
        <w:t xml:space="preserve">Notes: </w:t>
      </w:r>
      <w:r>
        <w:t>abstract_source=openalex</w:t>
      </w:r>
    </w:p>
    <w:p>
      <w:pPr>
        <w:spacing w:before="0" w:after="80" w:lineRule="auto" w:line="276"/>
      </w:pPr>
      <w:r>
        <w:rPr>
          <w:b/>
        </w:rPr>
        <w:t xml:space="preserve">摘要（ZH）: </w:t>
      </w:r>
      <w:r>
        <w:t>“我最喜欢的分子是CH&lt;sub&gt;5&lt;/sub&gt; &lt;sup&gt;+&lt;/sup&gt;，因为尽管它是短暂的，但在从超酸到我们刚刚发现的极端条件下的水环境中，它在许多不同化学环境中的转化中起着关键作用……” “我职业生涯的一个转折点是决定开辟一条关于行星条件下物质转化的新研究路线，从化学家的角度接近这些系统……” 了解更多关于Flavio Siro Brigiano的信息，请参阅他的介绍……个人资料。</w:t>
      </w:r>
    </w:p>
    <w:p>
      <w:pPr>
        <w:spacing w:before="0" w:after="200" w:lineRule="auto" w:line="276"/>
      </w:pPr>
      <w:r>
        <w:rPr>
          <w:b/>
        </w:rPr>
        <w:t xml:space="preserve">Abstract (EN): </w:t>
      </w:r>
      <w:r>
        <w:t>"My favorite molecule is CH&lt;sub&gt;5&lt;/sub&gt; &lt;sup&gt;+&lt;/sup&gt; because, despite its transient nature, it plays a key role in many transformations across different chemical environments, from superacids to, as we have just discovered, aqueous environments under extreme conditions …" "A turning point in my career was deciding to open a new line of research on the transformation of matter under planetary conditions, approaching these systems from a chemist's perspective …" Find out more about Flavio Siro Brigiano in his Introducing… Profile.</w:t>
      </w:r>
    </w:p>
    <w:p>
      <w:pPr>
        <w:spacing w:before="120" w:after="120"/>
      </w:pPr>
      <w:r>
        <w:rPr>
          <w:sz w:val="18"/>
        </w:rPr>
        <w:t>——————————————————————————————————————————————————————————————————————</w:t>
      </w:r>
    </w:p>
    <w:p>
      <w:pPr>
        <w:spacing w:before="160" w:after="40" w:line="240" w:lineRule="auto"/>
      </w:pPr>
      <w:r>
        <w:rPr>
          <w:b/>
        </w:rPr>
        <w:t xml:space="preserve">[102] </w:t>
      </w:r>
      <w:hyperlink r:id="rId378">
        <w:r>
          <w:rPr>
            <w:color w:val="1155CC"/>
            <w:u w:val="single"/>
          </w:rPr>
          <w:t>自然启发的磁性纤毛用于血管狭窄的检测和早期干预</w:t>
        </w:r>
      </w:hyperlink>
    </w:p>
    <w:p>
      <w:pPr>
        <w:spacing w:before="0" w:after="80"/>
      </w:pPr>
      <w:r>
        <w:rPr>
          <w:i/>
          <w:sz w:val="20"/>
        </w:rPr>
        <w:t>EN: Nature‐Inspired Magnetic Cilia for Detection and Early Intervention of Vascular Stenosis</w:t>
      </w:r>
    </w:p>
    <w:p>
      <w:pPr>
        <w:spacing w:before="0" w:after="120"/>
      </w:pPr>
      <w:r>
        <w:rPr>
          <w:b/>
        </w:rPr>
        <w:t xml:space="preserve">Source: </w:t>
      </w:r>
      <w:r>
        <w:t>Wiley: Advanced Materials: Table of Contents</w:t>
      </w:r>
      <w:r>
        <w:t xml:space="preserve">    </w:t>
      </w:r>
      <w:r>
        <w:rPr>
          <w:b/>
        </w:rPr>
        <w:t xml:space="preserve">Pub date: </w:t>
      </w:r>
      <w:r>
        <w:t>2026-03-23 12:54:01+00:00</w:t>
      </w:r>
      <w:r>
        <w:t xml:space="preserve">    </w:t>
      </w:r>
      <w:r>
        <w:rPr>
          <w:b/>
        </w:rPr>
        <w:t xml:space="preserve">DOI: </w:t>
      </w:r>
      <w:hyperlink r:id="rId379">
        <w:r>
          <w:rPr>
            <w:color w:val="1155CC"/>
            <w:u w:val="single"/>
          </w:rPr>
          <w:t>10.1002/adma.202520941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生物体液提供了组织健康的关键线索，但大多数监测技术仅限于表面信号，无法检测到更深层的病理生理变化，例如导致血管狭窄的变化，直到晚期才被发现。在此，我们报告了一种仿生磁性人工纤毛（MAC）平台，该平台将无线流量传感与局部药物递送相结合，以进行早期血管干预。该系统集成了机械响应的EcoFlex–NdFeB复合纤毛与活性氧（ROS）激活的纳米囊泡（NVs）。在病理性血流动力学干扰下，MAC变形重新定向了编程的剩磁并重新分布了杂散磁场，从而实现了无需植入电极的近场外部检测。</w:t>
      </w:r>
    </w:p>
    <w:p>
      <w:pPr>
        <w:spacing w:before="0" w:after="200" w:lineRule="auto" w:line="276"/>
      </w:pPr>
      <w:r>
        <w:rPr>
          <w:b/>
        </w:rPr>
        <w:t xml:space="preserve">Abstract (EN): </w:t>
      </w:r>
      <w:r>
        <w:t>Biological fluids provide critical cues of tissue health, yet most monitoring technologies are constrained to superficial signals, leaving deeper pathophysiological changes—such as those driving vascular stenosis—undetected until advanced stages. Here we report a bioinspired magnetic artificial cilia (MAC) platform that couples wireless flow sensing with localized drug delivery for early vascular intervention. The system integrates mechanically responsive EcoFlex–NdFeB composite cilia with reactive oxygen species (ROS)–activated nanovesicles (NVs). Under pathological hemodynamic disturbances, MAC deformation reorients the programmed remanent magnetization and redistributes the stray magnetic field, enabling near‐field external detection in without implanted electronics. Concurrently, thioketal‐functionalized NVs release anti‐inflammatory agents in response to elevated ROS at stenotic sites. In vitro flow simulations and endothelial cell co‐culture experiments validate the platform's dual capacity for real‐time hemodynamic readout and on‐demand therapeutic release. By uniting wireless mechanosensing with autonomous biochemical regulation, this hybrid system establishes a paradigm for intelligent, minimally invasive management of fluid‐associated pathologies and offers a pathway toward early diagnosis and precision therapy.</w:t>
      </w:r>
    </w:p>
    <w:p>
      <w:pPr>
        <w:spacing w:before="120" w:after="120"/>
      </w:pPr>
      <w:r>
        <w:rPr>
          <w:sz w:val="18"/>
        </w:rPr>
        <w:t>——————————————————————————————————————————————————————————————————————</w:t>
      </w:r>
    </w:p>
    <w:p>
      <w:pPr>
        <w:spacing w:before="160" w:after="40" w:line="240" w:lineRule="auto"/>
      </w:pPr>
      <w:r>
        <w:rPr>
          <w:b/>
        </w:rPr>
        <w:t xml:space="preserve">[103] </w:t>
      </w:r>
      <w:hyperlink r:id="rId380">
        <w:r>
          <w:rPr>
            <w:color w:val="1155CC"/>
            <w:u w:val="single"/>
          </w:rPr>
          <w:t>Michał Ociepa</w:t>
        </w:r>
      </w:hyperlink>
    </w:p>
    <w:p>
      <w:pPr>
        <w:spacing w:before="0" w:after="120"/>
      </w:pPr>
      <w:r>
        <w:rPr>
          <w:b/>
        </w:rPr>
        <w:t xml:space="preserve">Source: </w:t>
      </w:r>
      <w:r>
        <w:t>Wiley: Angewandte Chemie International Edition: Table of Contents</w:t>
      </w:r>
      <w:r>
        <w:t xml:space="preserve">    </w:t>
      </w:r>
      <w:r>
        <w:rPr>
          <w:b/>
        </w:rPr>
        <w:t xml:space="preserve">Pub date: </w:t>
      </w:r>
      <w:r>
        <w:t>2026-03-23 12:55:49+00:00</w:t>
      </w:r>
      <w:r>
        <w:t xml:space="preserve">    </w:t>
      </w:r>
      <w:r>
        <w:rPr>
          <w:b/>
        </w:rPr>
        <w:t xml:space="preserve">DOI: </w:t>
      </w:r>
      <w:hyperlink r:id="rId381">
        <w:r>
          <w:rPr>
            <w:color w:val="1155CC"/>
            <w:u w:val="single"/>
          </w:rPr>
          <w:t>10.1002/anie.3791425</w:t>
        </w:r>
      </w:hyperlink>
    </w:p>
    <w:p>
      <w:pPr>
        <w:spacing w:before="0" w:after="120"/>
      </w:pPr>
      <w:r>
        <w:rPr>
          <w:b/>
        </w:rPr>
        <w:t xml:space="preserve">Notes: </w:t>
      </w:r>
      <w:r>
        <w:t>abstract_source=openalex</w:t>
      </w:r>
    </w:p>
    <w:p>
      <w:pPr>
        <w:spacing w:before="0" w:after="80" w:lineRule="auto" w:line="276"/>
      </w:pPr>
      <w:r>
        <w:rPr>
          <w:b/>
        </w:rPr>
        <w:t xml:space="preserve">摘要（ZH）: </w:t>
      </w:r>
      <w:r>
        <w:t>"我选择化学作为职业是因为我在中学时有一位了不起的老师，我喜欢创造新分子的创造过程……我建议我的学生超越他们的研究领域去阅读文献，因为最好的想法来自意想不到的地方……" 了解更多关于Michał Ociepa的信息，请参阅他的介绍……简介。</w:t>
      </w:r>
    </w:p>
    <w:p>
      <w:pPr>
        <w:spacing w:before="0" w:after="200" w:lineRule="auto" w:line="276"/>
      </w:pPr>
      <w:r>
        <w:rPr>
          <w:b/>
        </w:rPr>
        <w:t xml:space="preserve">Abstract (EN): </w:t>
      </w:r>
      <w:r>
        <w:t>"I chose chemistry as a career because I had an amazing teacher in middle school, and I enjoy the creative process of making new molecules (…) I advise my students to follow the literature beyond their research field, as the best ideas come from unexpected places (…)" Find out more about Michał Ociepa in his Introducing… Profile.</w:t>
      </w:r>
    </w:p>
    <w:p>
      <w:pPr>
        <w:spacing w:before="120" w:after="120"/>
      </w:pPr>
      <w:r>
        <w:rPr>
          <w:sz w:val="18"/>
        </w:rPr>
        <w:t>——————————————————————————————————————————————————————————————————————</w:t>
      </w:r>
    </w:p>
    <w:p>
      <w:pPr>
        <w:spacing w:before="160" w:after="40" w:line="240" w:lineRule="auto"/>
      </w:pPr>
      <w:r>
        <w:rPr>
          <w:b/>
        </w:rPr>
        <w:t xml:space="preserve">[104] </w:t>
      </w:r>
      <w:hyperlink r:id="rId382">
        <w:r>
          <w:rPr>
            <w:color w:val="1155CC"/>
            <w:u w:val="single"/>
          </w:rPr>
          <w:t>由液晶弹性体单元阵列组成的电可重构太赫兹超表面</w:t>
        </w:r>
      </w:hyperlink>
    </w:p>
    <w:p>
      <w:pPr>
        <w:spacing w:before="0" w:after="80"/>
      </w:pPr>
      <w:r>
        <w:rPr>
          <w:i/>
          <w:sz w:val="20"/>
        </w:rPr>
        <w:t>EN: Electrically Reconfigurable Terahertz Metasurface Composed of a Liquid Crystal Elastomer Unit‐Cell Array</w:t>
      </w:r>
    </w:p>
    <w:p>
      <w:pPr>
        <w:spacing w:before="0" w:after="120"/>
      </w:pPr>
      <w:r>
        <w:rPr>
          <w:b/>
        </w:rPr>
        <w:t xml:space="preserve">Source: </w:t>
      </w:r>
      <w:r>
        <w:t>Wiley: Advanced Materials: Table of Contents</w:t>
      </w:r>
      <w:r>
        <w:t xml:space="preserve">    </w:t>
      </w:r>
      <w:r>
        <w:rPr>
          <w:b/>
        </w:rPr>
        <w:t xml:space="preserve">Pub date: </w:t>
      </w:r>
      <w:r>
        <w:t>2026-03-23 12:56:17+00:00</w:t>
      </w:r>
      <w:r>
        <w:t xml:space="preserve">    </w:t>
      </w:r>
      <w:r>
        <w:rPr>
          <w:b/>
        </w:rPr>
        <w:t xml:space="preserve">DOI: </w:t>
      </w:r>
      <w:hyperlink r:id="rId383">
        <w:r>
          <w:rPr>
            <w:color w:val="1155CC"/>
            <w:u w:val="single"/>
          </w:rPr>
          <w:t>10.1002/adma.202519564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重构太赫兹超表面对于下一代无线通信、光学计算和太赫兹成像至关重要。然而，大多数平面有源超表面受限于二维设计自由度，并受到有源材料导电性变化引起的欧姆损耗的影响。据我们所知，我们首次提出了一种由电驱动单元阵列液晶弹性体（LCE）元原子组成的太赫兹软MEMS平台，具有等离子体诱导透明（PIT）图案，其中每个元原子可以实现可逆的三维机械弯曲。施加电流的热效应驱动单个LCE元原子，元原子的渐进弯曲和相应的PIT光谱调制高达26.13%。</w:t>
      </w:r>
    </w:p>
    <w:p>
      <w:pPr>
        <w:spacing w:before="0" w:after="200" w:lineRule="auto" w:line="276"/>
      </w:pPr>
      <w:r>
        <w:rPr>
          <w:b/>
        </w:rPr>
        <w:t xml:space="preserve">Abstract (EN): </w:t>
      </w:r>
      <w:r>
        <w:t>Reconfigurable terahertz metasurfaces are crucial for next‐generation wireless communication, optical computing, and terahertz imaging. However, most planar active metasurfaces are limited by the 2D design freedom and suffer from the ohmic losses induced by the conductivity alteration in the active materials. Here, to our best knowledge, we first present a terahertz soft‐MEMS platform composed of electrically driven unit‐cell arrayed liquid crystal elastomer (LCE) meta‐atoms with plasmon‐induced transparency (PIT) pattern, in which each meta‐atom can realize reversible 3D mechanical bending. The thermal effect of applied current actuates the individual LCE meta‐atom, and the progressive bending of meta‐atoms and corresponding PIT spectra modulation up to 26.13% were experimentally observed. Notably, through a 10‐fold “heating‐recovery” measurement, the high repeatability and stability of LCE meta‐atoms are demonstrated, which represents a distinct advantage among reported terahertz MEMS metasurfaces. This platform is compatible with a wide variety of meta‐atom architectures and does not require direct physical connection between the meta‐atoms and the driving circuit, thus offering a novel approach for the investigation of intelligent, reconfigurable metasurfaces with diverse functionalities, which holds significant promise in next‐generation wireless communication and advanced terahertz imaging technologies, as key components to realize smart beam steering, reconfigurable optical mask, and spatial light modulation.</w:t>
      </w:r>
    </w:p>
    <w:p>
      <w:pPr>
        <w:spacing w:before="120" w:after="120"/>
      </w:pPr>
      <w:r>
        <w:rPr>
          <w:sz w:val="18"/>
        </w:rPr>
        <w:t>——————————————————————————————————————————————————————————————————————</w:t>
      </w:r>
    </w:p>
    <w:p>
      <w:pPr>
        <w:spacing w:before="160" w:after="40" w:line="240" w:lineRule="auto"/>
      </w:pPr>
      <w:r>
        <w:rPr>
          <w:b/>
        </w:rPr>
        <w:t xml:space="preserve">[105] </w:t>
      </w:r>
      <w:hyperlink r:id="rId384">
        <w:r>
          <w:rPr>
            <w:color w:val="1155CC"/>
            <w:u w:val="single"/>
          </w:rPr>
          <w:t>环辛四烯基金属有机八面体及其从3D笼到2D纳米片的转变</w:t>
        </w:r>
      </w:hyperlink>
    </w:p>
    <w:p>
      <w:pPr>
        <w:spacing w:before="0" w:after="80"/>
      </w:pPr>
      <w:r>
        <w:rPr>
          <w:i/>
          <w:sz w:val="20"/>
        </w:rPr>
        <w:t>EN: Cyclooctatetraenyl Metal−Organic Octahedra and Their 3D Cage to 2D Nanosheet Transformations</w:t>
      </w:r>
    </w:p>
    <w:p>
      <w:pPr>
        <w:spacing w:before="0" w:after="120"/>
      </w:pPr>
      <w:r>
        <w:rPr>
          <w:b/>
        </w:rPr>
        <w:t xml:space="preserve">Source: </w:t>
      </w:r>
      <w:r>
        <w:t>Wiley: Angewandte Chemie International Edition: Table of Contents</w:t>
      </w:r>
      <w:r>
        <w:t xml:space="preserve">    </w:t>
      </w:r>
      <w:r>
        <w:rPr>
          <w:b/>
        </w:rPr>
        <w:t xml:space="preserve">Pub date: </w:t>
      </w:r>
      <w:r>
        <w:t>2026-03-23 12:58:02+00:00</w:t>
      </w:r>
      <w:r>
        <w:t xml:space="preserve">    </w:t>
      </w:r>
      <w:r>
        <w:rPr>
          <w:b/>
        </w:rPr>
        <w:t xml:space="preserve">DOI: </w:t>
      </w:r>
      <w:hyperlink r:id="rId385">
        <w:r>
          <w:rPr>
            <w:color w:val="1155CC"/>
            <w:u w:val="single"/>
          </w:rPr>
          <w:t>10.1002/anie.4205687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生物系统中，某些基本的生物大分子，如蛋白质和DNA，通过刺激引发的结构变化来履行特定的生物功能。在此，我们报告了两种变构调节金属有机八面体（S1和S2）的合成，这些八面体具有定制的腔体/窗口。两个笼子都表现出不同的聚集诱导发光（AIE）颜色和量子产率。单晶X射线衍射显示，S2具有较长的臂，采用更密集的π堆积排列，解释了其优越的发光性能。动力学驱动的多组分异配八面体混合物形成</w:t>
      </w:r>
    </w:p>
    <w:p>
      <w:pPr>
        <w:spacing w:before="0" w:after="200" w:lineRule="auto" w:line="276"/>
      </w:pPr>
      <w:r>
        <w:rPr>
          <w:b/>
        </w:rPr>
        <w:t xml:space="preserve">Abstract (EN): </w:t>
      </w:r>
      <w:r>
        <w:t>In biological systems, certain fundamental biomacromolecules, such as proteins and DNA, fulfill specific biological functions via structural changes triggered by stimuli. Herein, we report the synthesis of two allosteric regulation metal−organic octahedra (</w:t>
      </w:r>
      <w:r>
        <w:t xml:space="preserve"> </w:t>
      </w:r>
      <w:r>
        <w:t>S1</w:t>
      </w:r>
      <w:r>
        <w:t xml:space="preserve"> </w:t>
      </w:r>
      <w:r>
        <w:t>and</w:t>
      </w:r>
      <w:r>
        <w:t xml:space="preserve"> </w:t>
      </w:r>
      <w:r>
        <w:t>S2</w:t>
      </w:r>
      <w:r>
        <w:t xml:space="preserve"> </w:t>
      </w:r>
      <w:r>
        <w:t>) with tailored cavities/windows. Both cages exhibit distinct aggregation‐induced emission (AIE) colors and quantum yields. Single‐crystal x‐ray diffraction reveals that</w:t>
      </w:r>
      <w:r>
        <w:t xml:space="preserve"> </w:t>
      </w:r>
      <w:r>
        <w:t>S2</w:t>
      </w:r>
      <w:r>
        <w:t xml:space="preserve"> </w:t>
      </w:r>
      <w:r>
        <w:t>, featuring longer arms, adopts a denser π‐stacking arrangement, rationalizing its superior emissive properties. The kinetically driven multicomponent heteroleptic octahedral mixtures formed under ambient temperature assembly conditions transformed into self‐sorted</w:t>
      </w:r>
      <w:r>
        <w:t xml:space="preserve"> </w:t>
      </w:r>
      <w:r>
        <w:t>S1</w:t>
      </w:r>
      <w:r>
        <w:t xml:space="preserve"> </w:t>
      </w:r>
      <w:r>
        <w:t>and</w:t>
      </w:r>
      <w:r>
        <w:t xml:space="preserve"> </w:t>
      </w:r>
      <w:r>
        <w:t>S2</w:t>
      </w:r>
      <w:r>
        <w:t xml:space="preserve"> </w:t>
      </w:r>
      <w:r>
        <w:t>upon heating. The addition of competitive building blocks enabled the transformation from</w:t>
      </w:r>
      <w:r>
        <w:t xml:space="preserve"> </w:t>
      </w:r>
      <w:r>
        <w:t>S1</w:t>
      </w:r>
      <w:r>
        <w:t xml:space="preserve"> </w:t>
      </w:r>
      <w:r>
        <w:t>to</w:t>
      </w:r>
      <w:r>
        <w:t xml:space="preserve"> </w:t>
      </w:r>
      <w:r>
        <w:t>S2</w:t>
      </w:r>
      <w:r>
        <w:t xml:space="preserve"> </w:t>
      </w:r>
      <w:r>
        <w:t>. Notably, 365 nm light irradiation induces planarization of the COT units, driving a rapid structural transformation from three‐dimensional (3D) octahedra to two‐dimensional (2D) metal–organic nanosheets (</w:t>
      </w:r>
      <w:r>
        <w:t xml:space="preserve"> </w:t>
      </w:r>
      <w:r>
        <w:t>NS‐1</w:t>
      </w:r>
      <w:r>
        <w:t xml:space="preserve"> </w:t>
      </w:r>
      <w:r>
        <w:t>and</w:t>
      </w:r>
      <w:r>
        <w:t xml:space="preserve"> </w:t>
      </w:r>
      <w:r>
        <w:t>NS‐2</w:t>
      </w:r>
      <w:r>
        <w:t xml:space="preserve"> </w:t>
      </w:r>
      <w:r>
        <w:t>) within minutes. This work provides a novel approach for designing responsive systems and demonstrates broad potential applications in areas such as optoelectronics, targeted delivery, and smart materials.</w:t>
      </w:r>
    </w:p>
    <w:p>
      <w:pPr>
        <w:spacing w:before="120" w:after="120"/>
      </w:pPr>
      <w:r>
        <w:rPr>
          <w:sz w:val="18"/>
        </w:rPr>
        <w:t>——————————————————————————————————————————————————————————————————————</w:t>
      </w:r>
    </w:p>
    <w:p>
      <w:pPr>
        <w:spacing w:before="160" w:after="40" w:line="240" w:lineRule="auto"/>
      </w:pPr>
      <w:r>
        <w:rPr>
          <w:b/>
        </w:rPr>
        <w:t xml:space="preserve">[106] </w:t>
      </w:r>
      <w:hyperlink r:id="rId386">
        <w:r>
          <w:rPr>
            <w:color w:val="1155CC"/>
            <w:u w:val="single"/>
          </w:rPr>
          <w:t>合理设计的自组装单分子层用于双位点钝化，实现高效且稳定的钙钛矿太阳能电池</w:t>
        </w:r>
      </w:hyperlink>
    </w:p>
    <w:p>
      <w:pPr>
        <w:spacing w:before="0" w:after="80"/>
      </w:pPr>
      <w:r>
        <w:rPr>
          <w:i/>
          <w:sz w:val="20"/>
        </w:rPr>
        <w:t>EN: Rationally Designed Self‐Assembled Monolayer for Dual‐Site Passivation Enables Efficient and Stable Perovskite Solar Cells</w:t>
      </w:r>
    </w:p>
    <w:p>
      <w:pPr>
        <w:spacing w:before="0" w:after="120"/>
      </w:pPr>
      <w:r>
        <w:rPr>
          <w:b/>
        </w:rPr>
        <w:t xml:space="preserve">Source: </w:t>
      </w:r>
      <w:r>
        <w:t>Wiley: Advanced Materials: Table of Contents</w:t>
      </w:r>
      <w:r>
        <w:t xml:space="preserve">    </w:t>
      </w:r>
      <w:r>
        <w:rPr>
          <w:b/>
        </w:rPr>
        <w:t xml:space="preserve">Pub date: </w:t>
      </w:r>
      <w:r>
        <w:t>2026-03-23 13:02:27+00:00</w:t>
      </w:r>
      <w:r>
        <w:t xml:space="preserve">    </w:t>
      </w:r>
      <w:r>
        <w:rPr>
          <w:b/>
        </w:rPr>
        <w:t xml:space="preserve">DOI: </w:t>
      </w:r>
      <w:hyperlink r:id="rId387">
        <w:r>
          <w:rPr>
            <w:color w:val="1155CC"/>
            <w:u w:val="single"/>
          </w:rPr>
          <w:t>10.1002/adma.202523249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自组装单分子层（SAMs）已成为倒置钙钛矿太阳能电池（PSCs）中有前景的空穴传输层，但其实际应用受到分子聚集、不完美的表面覆盖以及与钙钛矿层的界面相互作用较弱的阻碍。这些问题导致显著的界面能量损失，限制了光电转换效率（PCE）和器件稳定性的进一步提高。在此，我们提出了一种合理的位点特异性卤化策略，通过晶格匹配的双位点钝化来增强SAM-钙钛矿相互作用。使用（4-（3,6-二苯基-9H-咔唑-9-基）丁基）膦酸（Ph-4PACz）作为一种具有内在改进分散性的扭曲咔唑基骨架，我们</w:t>
      </w:r>
    </w:p>
    <w:p>
      <w:pPr>
        <w:spacing w:before="0" w:after="200" w:lineRule="auto" w:line="276"/>
      </w:pPr>
      <w:r>
        <w:rPr>
          <w:b/>
        </w:rPr>
        <w:t xml:space="preserve">Abstract (EN): </w:t>
      </w:r>
      <w:r>
        <w:t>Self‐assembled monolayers (SAMs) have emerged as promising hole transport layers in inverted perovskite solar cells (PSCs), yet their practical application is hindered by molecular aggregation, imperfect surface coverage, and weak interfacial interactions with the perovskite layer. These issues induce considerable interfacial energy losses, constraining further improvements in power conversion efficiency (PCE) and device stability. Here, we present a rational site‐specific halogenation strategy that strengthens SAM‐perovskite interactions through lattice‐matched, dual‐site passivation. Using (4‐(3,6‐diphenyl‐9H‐carbazol‐9‐yl) butyl) phosphonic acid (Ph‐4PACz) as a twisted carbazole‐based scaffold with intrinsically improved dispersibility, we synthesize three dichlorinated positional isomers (o‐Cl‐, m‐Cl‐, and p‐Cl‐Ph‐4PACz) by selectively introducing chlorine atoms at designated positions on the peripheral phenyl ring. This structural tuning modulates the molecular dipole moment and spatial configuration, effectively suppresses molecular aggregation and promotes strong coordination with neighboring Pb</w:t>
      </w:r>
      <w:r>
        <w:t xml:space="preserve"> </w:t>
      </w:r>
      <w:r>
        <w:t>2+</w:t>
      </w:r>
      <w:r>
        <w:t xml:space="preserve"> </w:t>
      </w:r>
      <w:r>
        <w:t>defect sites in the perovskite lattice. Among them, p‐Cl‐Ph‐4PACz exhibits ideal spatial matching, enabling robust dual‐site coordination, improved crystallinity, reduced interfacial defects, and suppressed nonradiative recombination. As a result, inverted PSCs based on p‐Cl‐Ph‐4PACz achieve a PCE of 26.58% (certified at 26.13%) and exhibit excellent operational stability, retaining 95.9% of their initial efficiency after 1000 h of continuous illumination under the ISOS‐L‐2 protocol.</w:t>
      </w:r>
    </w:p>
    <w:p>
      <w:pPr>
        <w:spacing w:before="120" w:after="120"/>
      </w:pPr>
      <w:r>
        <w:rPr>
          <w:sz w:val="18"/>
        </w:rPr>
        <w:t>——————————————————————————————————————————————————————————————————————</w:t>
      </w:r>
    </w:p>
    <w:p>
      <w:pPr>
        <w:spacing w:before="160" w:after="40" w:line="240" w:lineRule="auto"/>
      </w:pPr>
      <w:r>
        <w:rPr>
          <w:b/>
        </w:rPr>
        <w:t xml:space="preserve">[107] </w:t>
      </w:r>
      <w:hyperlink r:id="rId388">
        <w:r>
          <w:rPr>
            <w:color w:val="1155CC"/>
            <w:u w:val="single"/>
          </w:rPr>
          <w:t>通过可逆的主体-客体和电荷转移调制实现二恶烷异构体的固态选择性识别的分子门策略</w:t>
        </w:r>
      </w:hyperlink>
    </w:p>
    <w:p>
      <w:pPr>
        <w:spacing w:before="0" w:after="80"/>
      </w:pPr>
      <w:r>
        <w:rPr>
          <w:i/>
          <w:sz w:val="20"/>
        </w:rPr>
        <w:t>EN: Molecular‐Gate Strategy for Solid‐State Selective Recognition of Dioxane Isomers via Reversible Host–Guest and Charge‐Transfer Modulation</w:t>
      </w:r>
    </w:p>
    <w:p>
      <w:pPr>
        <w:spacing w:before="0" w:after="120"/>
      </w:pPr>
      <w:r>
        <w:rPr>
          <w:b/>
        </w:rPr>
        <w:t xml:space="preserve">Source: </w:t>
      </w:r>
      <w:r>
        <w:t>Wiley: Angewandte Chemie International Edition: Table of Contents</w:t>
      </w:r>
      <w:r>
        <w:t xml:space="preserve">    </w:t>
      </w:r>
      <w:r>
        <w:rPr>
          <w:b/>
        </w:rPr>
        <w:t xml:space="preserve">Pub date: </w:t>
      </w:r>
      <w:r>
        <w:t>2026-03-23 13:03:16+00:00</w:t>
      </w:r>
      <w:r>
        <w:t xml:space="preserve">    </w:t>
      </w:r>
      <w:r>
        <w:rPr>
          <w:b/>
        </w:rPr>
        <w:t xml:space="preserve">DOI: </w:t>
      </w:r>
      <w:hyperlink r:id="rId389">
        <w:r>
          <w:rPr>
            <w:color w:val="1155CC"/>
            <w:u w:val="single"/>
          </w:rPr>
          <w:t>10.1002/anie.3482686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固态中实现高度选择性的分子识别仍然是超分子化学中的一大挑战。在此，我们引入了一种分子门策略，通过竞争性结合和固态重组动态放大宏环主客体系统中固态识别选择性的内在选择性。一个全乙基化的倾斜柱[6]芳烃（EtLP6）在固态中容纳了1,3-和1,4-二氧六环异构体，仅表现出适度的内在选择性。值得注意的是，独立的、可逆的、具有电荷转移活性的分子门四氟对苯二腈（TFTN）的引入，将这种微弱的偏好转化为高度选择性的识别。结合力更强的1,4-二氧六环取代TFTN打开门并形成一个</w:t>
      </w:r>
    </w:p>
    <w:p>
      <w:pPr>
        <w:spacing w:before="0" w:after="200" w:lineRule="auto" w:line="276"/>
      </w:pPr>
      <w:r>
        <w:rPr>
          <w:b/>
        </w:rPr>
        <w:t xml:space="preserve">Abstract (EN): </w:t>
      </w:r>
      <w:r>
        <w:t>Achieving highly selective molecular recognition in the solid state remains a major challenge in supramolecular chemistry. Herein, we introduce a molecular‐gate strategy that dynamically amplifies intrinsic solid‐state recognition selectivity in a macrocyclic host–guest system. A perethylated leaning pillar[6]arene (EtLP6) accommodates both 1,3‐ and 1,4‐dioxane isomers in the solid state, exhibiting only modest inherent selectivity. Remarkably, incorporation of an independent, reversible, charge‐transfer‐active molecular gate, tetrafluoroterephthalonitrile (TFTN), converts this weak preference into highly selective recognition through competitive binding and solid‐state reorganization. The stronger‐binding 1,4‐dioxane displaces TFTN to open the gate and form a host–guest complex, whereas the weaker‐binding 1,3‐dioxane stabilizes a gated CT assembly that suppresses complexation. This gate‐controlled process couples selective recognition with switchable CT interactions, enabling vapochromic discrimination of dioxane isomers. Furthermore, sequential competitive binding enables dynamic regulation of solid‐state assemblies, including room‐temperature‐controlled guest release, and host recyclability. This work establishes molecular gating as a general and conceptually simple strategy for regulating selectivity and functionality in solid‐state macrocyclic host–guest systems.</w:t>
      </w:r>
    </w:p>
    <w:p>
      <w:pPr>
        <w:spacing w:before="120" w:after="120"/>
      </w:pPr>
      <w:r>
        <w:rPr>
          <w:sz w:val="18"/>
        </w:rPr>
        <w:t>——————————————————————————————————————————————————————————————————————</w:t>
      </w:r>
    </w:p>
    <w:p>
      <w:pPr>
        <w:spacing w:before="160" w:after="40" w:line="240" w:lineRule="auto"/>
      </w:pPr>
      <w:r>
        <w:rPr>
          <w:b/>
        </w:rPr>
        <w:t xml:space="preserve">[108] </w:t>
      </w:r>
      <w:hyperlink r:id="rId390">
        <w:r>
          <w:rPr>
            <w:color w:val="1155CC"/>
            <w:u w:val="single"/>
          </w:rPr>
          <w:t>氢原子转移诱导碳基多共振TADF发射体的光降解</w:t>
        </w:r>
      </w:hyperlink>
    </w:p>
    <w:p>
      <w:pPr>
        <w:spacing w:before="0" w:after="80"/>
      </w:pPr>
      <w:r>
        <w:rPr>
          <w:i/>
          <w:sz w:val="20"/>
        </w:rPr>
        <w:t>EN: Hydrogen Atom Transfer Induces Photodegradation in Carbonyl‐Based Multi‐Resonance TADF Emitters</w:t>
      </w:r>
    </w:p>
    <w:p>
      <w:pPr>
        <w:spacing w:before="0" w:after="120"/>
      </w:pPr>
      <w:r>
        <w:rPr>
          <w:b/>
        </w:rPr>
        <w:t xml:space="preserve">Source: </w:t>
      </w:r>
      <w:r>
        <w:t>Wiley: Angewandte Chemie International Edition: Table of Contents</w:t>
      </w:r>
      <w:r>
        <w:t xml:space="preserve">    </w:t>
      </w:r>
      <w:r>
        <w:rPr>
          <w:b/>
        </w:rPr>
        <w:t xml:space="preserve">Pub date: </w:t>
      </w:r>
      <w:r>
        <w:t>2026-03-23 13:08:31+00:00</w:t>
      </w:r>
      <w:r>
        <w:t xml:space="preserve">    </w:t>
      </w:r>
      <w:r>
        <w:rPr>
          <w:b/>
        </w:rPr>
        <w:t xml:space="preserve">DOI: </w:t>
      </w:r>
      <w:hyperlink r:id="rId391">
        <w:r>
          <w:rPr>
            <w:color w:val="1155CC"/>
            <w:u w:val="single"/>
          </w:rPr>
          <w:t>10.1002/anie.2490607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氮/羰基（N/C═O）的多共振热激活延迟荧光（MR-TADF）发射体因其窄带延迟发射而具有吸引力。在此，通过空间包裹一个叔丁基化的DiKTa核心，开发了四种MR-TADF发射体。通过调节短程和空间电荷转移，三重态收集效率从tDiKTa中的1%提升至tDiKTa-GCz中的52%（kRISC = 1.37 × 10^6 s−1）在脱气的甲苯中。然而，令人惊讶的是，这些</w:t>
      </w:r>
    </w:p>
    <w:p>
      <w:pPr>
        <w:spacing w:before="0" w:after="200" w:lineRule="auto" w:line="276"/>
      </w:pPr>
      <w:r>
        <w:rPr>
          <w:b/>
        </w:rPr>
        <w:t xml:space="preserve">Abstract (EN): </w:t>
      </w:r>
      <w:r>
        <w:t>Nitrogen/carbonyl (N/C═O) based multi‐resonant thermally activated delayed fluorescence (MR‐TADF) emitters are attractive due to their narrowband delayed emission. Here, four MR‐TADF emitters were developed by sterically wrapping a</w:t>
      </w:r>
      <w:r>
        <w:t xml:space="preserve"> </w:t>
      </w:r>
      <w:r>
        <w:t>tert</w:t>
      </w:r>
      <w:r>
        <w:t xml:space="preserve"> </w:t>
      </w:r>
      <w:r>
        <w:t>‐butylated DiKTa core. Through modulation of short‐range and through‐space charge transfer, triplet harvesting efficiency was boosted from 1% in</w:t>
      </w:r>
      <w:r>
        <w:t xml:space="preserve"> </w:t>
      </w:r>
      <w:r>
        <w:t>tDiKTa</w:t>
      </w:r>
      <w:r>
        <w:t xml:space="preserve"> </w:t>
      </w:r>
      <w:r>
        <w:t>to 52% in</w:t>
      </w:r>
      <w:r>
        <w:t xml:space="preserve"> </w:t>
      </w:r>
      <w:r>
        <w:t>tDiKTa‐GCz</w:t>
      </w:r>
      <w:r>
        <w:t xml:space="preserve"> </w:t>
      </w:r>
      <w:r>
        <w:t>(</w:t>
      </w:r>
      <w:r>
        <w:t xml:space="preserve"> </w:t>
      </w:r>
      <w:r>
        <w:t>k</w:t>
      </w:r>
      <w:r>
        <w:t xml:space="preserve"> </w:t>
      </w:r>
      <w:r>
        <w:t>RISC</w:t>
      </w:r>
      <w:r>
        <w:t xml:space="preserve"> </w:t>
      </w:r>
      <w:r>
        <w:t>= 1.37 × 10</w:t>
      </w:r>
      <w:r>
        <w:rPr>
          <w:vertAlign w:val="subscript"/>
        </w:rPr>
        <w:t>6</w:t>
      </w:r>
      <w:r>
        <w:t>s</w:t>
      </w:r>
      <w:r>
        <w:t xml:space="preserve"> </w:t>
      </w:r>
      <w:r>
        <w:t>−1</w:t>
      </w:r>
      <w:r>
        <w:t xml:space="preserve"> </w:t>
      </w:r>
      <w:r>
        <w:t>) in degassed toluene. Surprisingly, however, these improvements were accompanied by rapid photodegradation, while that same degradation was not observed in toluene under air. Our studies revealed that triplet excited states trigger hydrogen‐atom transfer (HAT) from the solvent to the carbonyl group of the emitter, leading to fast, irreversible chemical change. Moreover, this phenomenon was found to be general for several previously published MR‐TADF compounds. Using natural population analysis and bond dissociation energies, we show that the electrophilicity of the donor hydrogen atom governs the observed reactivity. This work uncovers a previously unrecognized photochemical vulnerability in N/C═O MR‐TADF systems, and suggests that researchers studying them must be aware of their sensitivity toward HAT‐induced photodegradation. We also call for a careful re‐examination of published data on these compounds, as even brief exposure to light was sufficient to cause observable degradation in certain solvents.</w:t>
      </w:r>
    </w:p>
    <w:p>
      <w:pPr>
        <w:spacing w:before="120" w:after="120"/>
      </w:pPr>
      <w:r>
        <w:rPr>
          <w:sz w:val="18"/>
        </w:rPr>
        <w:t>——————————————————————————————————————————————————————————————————————</w:t>
      </w:r>
    </w:p>
    <w:p>
      <w:pPr>
        <w:spacing w:before="160" w:after="40" w:line="240" w:lineRule="auto"/>
      </w:pPr>
      <w:r>
        <w:rPr>
          <w:b/>
        </w:rPr>
        <w:t xml:space="preserve">[109] </w:t>
      </w:r>
      <w:hyperlink r:id="rId392">
        <w:r>
          <w:rPr>
            <w:color w:val="1155CC"/>
            <w:u w:val="single"/>
          </w:rPr>
          <w:t>浅陷阱钙钛矿闪烁体用于高分辨率、无鬼影X射线成像</w:t>
        </w:r>
      </w:hyperlink>
    </w:p>
    <w:p>
      <w:pPr>
        <w:spacing w:before="0" w:after="80"/>
      </w:pPr>
      <w:r>
        <w:rPr>
          <w:i/>
          <w:sz w:val="20"/>
        </w:rPr>
        <w:t>EN: Shallow‐Trap Perovskite Scintillators for High‐Resolution, Ghosting‐Free X‐Ray Imaging</w:t>
      </w:r>
    </w:p>
    <w:p>
      <w:pPr>
        <w:spacing w:before="0" w:after="120"/>
      </w:pPr>
      <w:r>
        <w:rPr>
          <w:b/>
        </w:rPr>
        <w:t xml:space="preserve">Source: </w:t>
      </w:r>
      <w:r>
        <w:t>Wiley: Angewandte Chemie International Edition: Table of Contents</w:t>
      </w:r>
      <w:r>
        <w:t xml:space="preserve">    </w:t>
      </w:r>
      <w:r>
        <w:rPr>
          <w:b/>
        </w:rPr>
        <w:t xml:space="preserve">Pub date: </w:t>
      </w:r>
      <w:r>
        <w:t>2026-03-23 13:12:10+00:00</w:t>
      </w:r>
      <w:r>
        <w:t xml:space="preserve">    </w:t>
      </w:r>
      <w:r>
        <w:rPr>
          <w:b/>
        </w:rPr>
        <w:t xml:space="preserve">DOI: </w:t>
      </w:r>
      <w:hyperlink r:id="rId393">
        <w:r>
          <w:rPr>
            <w:color w:val="1155CC"/>
            <w:u w:val="single"/>
          </w:rPr>
          <w:t>10.1002/anie.4716874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溶液加工的闪烁体在X射线照射下表现出持久的辐射发光，这为柔性和高分辨率的X射线成像提供了巨大潜力。然而，其实际应用通常受到深电子陷阱的阻碍，这些陷阱需要在高温下进行热刺激读出以释放存储的电荷，导致图像残影和有限的可回收性。在此，我们报告了Cs</w:t>
      </w:r>
      <w:r>
        <w:rPr>
          <w:vertAlign w:val="subscript"/>
        </w:rPr>
        <w:t>2</w:t>
      </w:r>
      <w:r>
        <w:t>ZrCl</w:t>
      </w:r>
      <w:r>
        <w:rPr>
          <w:vertAlign w:val="subscript"/>
        </w:rPr>
        <w:t>6</w:t>
      </w:r>
      <w:r>
        <w:t>:Te</w:t>
      </w:r>
      <w:r>
        <w:t xml:space="preserve"> </w:t>
      </w:r>
      <w:r>
        <w:t>4+</w:t>
      </w:r>
      <w:r>
        <w:t xml:space="preserve"> </w:t>
      </w:r>
      <w:r>
        <w:t>钙钛矿闪烁体，其特征是X射线诱导的Frenkel缺陷相关的浅陷阱，使得在室温下实现持久的辐射发光。光谱和理论研究揭示了X</w:t>
      </w:r>
    </w:p>
    <w:p>
      <w:pPr>
        <w:spacing w:before="0" w:after="200" w:lineRule="auto" w:line="276"/>
      </w:pPr>
      <w:r>
        <w:rPr>
          <w:b/>
        </w:rPr>
        <w:t xml:space="preserve">Abstract (EN): </w:t>
      </w:r>
      <w:r>
        <w:t>Solution‐processed scintillators exhibiting long‐lasting radioluminescence upon X‐ray irradiation hold great promise for flexible and high‐resolution X‐ray imaging. However, their practical implementation is typically impeded by deep electronic traps that require thermally stimulated readout at high temperature to release stored charges, leading to image ghosting and limited recyclability. Here, we report Cs</w:t>
      </w:r>
      <w:r>
        <w:rPr>
          <w:vertAlign w:val="subscript"/>
        </w:rPr>
        <w:t>2</w:t>
      </w:r>
      <w:r>
        <w:t>ZrCl</w:t>
      </w:r>
      <w:r>
        <w:rPr>
          <w:vertAlign w:val="subscript"/>
        </w:rPr>
        <w:t>6</w:t>
      </w:r>
      <w:r>
        <w:t>:Te</w:t>
      </w:r>
      <w:r>
        <w:t xml:space="preserve"> </w:t>
      </w:r>
      <w:r>
        <w:t>4+</w:t>
      </w:r>
      <w:r>
        <w:t xml:space="preserve"> </w:t>
      </w:r>
      <w:r>
        <w:t>perovskite scintillators featuring X‐ray‐induced Frenkel defect–associated shallow traps that enable long‐lasting radioluminescence at room temperature. Spectroscopic and theoretical studies reveal that X‐ray irradiation generates shallow electron–hole traps, which facilitate efficient charge capture and thermal release, producing persistent luminescence under ambient conditions. Te</w:t>
      </w:r>
      <w:r>
        <w:t xml:space="preserve"> </w:t>
      </w:r>
      <w:r>
        <w:t>4+</w:t>
      </w:r>
      <w:r>
        <w:t xml:space="preserve"> </w:t>
      </w:r>
      <w:r>
        <w:t>doping optimizes the defect landscape, stabilizing shallow traps and promoting favorable charge trapping–detrapping dynamics. By embedding these microcrystals into a flexible PDMS matrix, we fabricate a scintillating film capable of high‐resolution, ghosting‐free, time‐lapse X‐ray imaging with a spatial resolution of 18.5 lp mm</w:t>
      </w:r>
      <w:r>
        <w:t xml:space="preserve"> </w:t>
      </w:r>
      <w:r>
        <w:t>−1</w:t>
      </w:r>
      <w:r>
        <w:t xml:space="preserve"> </w:t>
      </w:r>
      <w:r>
        <w:t>and recyclable imaging performance. This study highlights the potential of shallow‐trap perovskite scintillators for next‐generation flexible X‐ray imaging technologies.</w:t>
      </w:r>
    </w:p>
    <w:p>
      <w:pPr>
        <w:spacing w:before="120" w:after="120"/>
      </w:pPr>
      <w:r>
        <w:rPr>
          <w:sz w:val="18"/>
        </w:rPr>
        <w:t>——————————————————————————————————————————————————————————————————————</w:t>
      </w:r>
    </w:p>
    <w:p>
      <w:pPr>
        <w:spacing w:before="160" w:after="40" w:line="240" w:lineRule="auto"/>
      </w:pPr>
      <w:r>
        <w:rPr>
          <w:b/>
        </w:rPr>
        <w:t xml:space="preserve">[110] </w:t>
      </w:r>
      <w:hyperlink r:id="rId394">
        <w:r>
          <w:rPr>
            <w:color w:val="1155CC"/>
            <w:u w:val="single"/>
          </w:rPr>
          <w:t>封面文章：由噻吩双吡啶基电化学离子门控启发的高性能类脑设备</w:t>
        </w:r>
      </w:hyperlink>
    </w:p>
    <w:p>
      <w:pPr>
        <w:spacing w:before="0" w:after="80"/>
      </w:pPr>
      <w:r>
        <w:rPr>
          <w:i/>
          <w:sz w:val="20"/>
        </w:rPr>
        <w:t>EN: Frontispiece: Bioinspired High‐Performance Neuromorphic Devices Enabled by Thienoviologen‐Based Electrochemical Ion Gating</w:t>
      </w:r>
    </w:p>
    <w:p>
      <w:pPr>
        <w:spacing w:before="0" w:after="120"/>
      </w:pPr>
      <w:r>
        <w:rPr>
          <w:b/>
        </w:rPr>
        <w:t xml:space="preserve">Source: </w:t>
      </w:r>
      <w:r>
        <w:t>Wiley: Angewandte Chemie International Edition: Table of Contents</w:t>
      </w:r>
      <w:r>
        <w:t xml:space="preserve">    </w:t>
      </w:r>
      <w:r>
        <w:rPr>
          <w:b/>
        </w:rPr>
        <w:t xml:space="preserve">Pub date: </w:t>
      </w:r>
      <w:r>
        <w:t>2026-03-23 13:32:11+00:00</w:t>
      </w:r>
      <w:r>
        <w:t xml:space="preserve">    </w:t>
      </w:r>
      <w:r>
        <w:rPr>
          <w:b/>
        </w:rPr>
        <w:t xml:space="preserve">DOI: </w:t>
      </w:r>
      <w:hyperlink r:id="rId395">
        <w:r>
          <w:rPr>
            <w:color w:val="1155CC"/>
            <w:u w:val="single"/>
          </w:rPr>
          <w:t>10.1002/anie.2026-m2702061800</w:t>
        </w:r>
      </w:hyperlink>
    </w:p>
    <w:p>
      <w:pPr>
        <w:spacing w:before="0" w:after="120"/>
      </w:pPr>
      <w:r>
        <w:rPr>
          <w:b/>
        </w:rPr>
        <w:t xml:space="preserve">Notes: </w:t>
      </w:r>
      <w:r>
        <w:t>abstract_source=openalex</w:t>
      </w:r>
    </w:p>
    <w:p>
      <w:pPr>
        <w:spacing w:before="0" w:after="80" w:lineRule="auto" w:line="276"/>
      </w:pPr>
      <w:r>
        <w:rPr>
          <w:b/>
        </w:rPr>
        <w:t xml:space="preserve">摘要（ZH）: </w:t>
      </w:r>
      <w:r>
        <w:t>噻吩双吡啶工程通过离域化自由基电荷和协调离子-电子耦合来稳定氧化还原活性电解质。由此产生的仿生电化学神经形态设备实现了低电压、模拟电导调制，用于突触学习、逻辑计算和神经网络处理，展示了下一代神经形态电子学的多功能分子平台。更多内容请参见研究文章（e23345），何刚及其合作者。</w:t>
      </w:r>
    </w:p>
    <w:p>
      <w:pPr>
        <w:spacing w:before="0" w:after="200" w:lineRule="auto" w:line="276"/>
      </w:pPr>
      <w:r>
        <w:rPr>
          <w:b/>
        </w:rPr>
        <w:t xml:space="preserve">Abstract (EN): </w:t>
      </w:r>
      <w:r>
        <w:t>Thienoviologen engineering stabilizes redox-active electrolytes by delocalizing radical charge and orchestrating ion-electron coupling. The resulting bioinspired electrochemical neuromorphic device enables low-voltage, analog conductance modulation for synaptic learning, logic computation, and neural network processing, showcasing a versatile molecular platform for next-generation neuromorphic electronics. More in the Research Article (e23345), Gang He and co-workers.</w:t>
      </w:r>
    </w:p>
    <w:p>
      <w:pPr>
        <w:spacing w:before="120" w:after="120"/>
      </w:pPr>
      <w:r>
        <w:rPr>
          <w:sz w:val="18"/>
        </w:rPr>
        <w:t>——————————————————————————————————————————————————————————————————————</w:t>
      </w:r>
    </w:p>
    <w:p>
      <w:pPr>
        <w:spacing w:before="160" w:after="40" w:line="240" w:lineRule="auto"/>
      </w:pPr>
      <w:r>
        <w:rPr>
          <w:b/>
        </w:rPr>
        <w:t xml:space="preserve">[111] </w:t>
      </w:r>
      <w:hyperlink r:id="rId396">
        <w:r>
          <w:rPr>
            <w:color w:val="1155CC"/>
            <w:u w:val="single"/>
          </w:rPr>
          <w:t>[ASAP] 级联自由基异构化聚合以设计聚合物主链</w:t>
        </w:r>
      </w:hyperlink>
    </w:p>
    <w:p>
      <w:pPr>
        <w:spacing w:before="0" w:after="80"/>
      </w:pPr>
      <w:r>
        <w:rPr>
          <w:i/>
          <w:sz w:val="20"/>
        </w:rPr>
        <w:t>EN: [ASAP] Cascade Radical Isomerization Polymerization to Engineer Polymer Backbones</w:t>
      </w:r>
    </w:p>
    <w:p>
      <w:pPr>
        <w:spacing w:before="0" w:after="120"/>
      </w:pPr>
      <w:r>
        <w:rPr>
          <w:b/>
        </w:rPr>
        <w:t xml:space="preserve">Source: </w:t>
      </w:r>
      <w:r>
        <w:t>Journal of the American Chemical Society: Latest Articles (ACS Publications)</w:t>
      </w:r>
      <w:r>
        <w:t xml:space="preserve">    </w:t>
      </w:r>
      <w:r>
        <w:rPr>
          <w:b/>
        </w:rPr>
        <w:t xml:space="preserve">Pub date: </w:t>
      </w:r>
      <w:r>
        <w:t>2026-03-23 13:41:22+00:00</w:t>
      </w:r>
      <w:r>
        <w:t xml:space="preserve">    </w:t>
      </w:r>
      <w:r>
        <w:rPr>
          <w:b/>
        </w:rPr>
        <w:t xml:space="preserve">DOI: </w:t>
      </w:r>
      <w:hyperlink r:id="rId397">
        <w:r>
          <w:rPr>
            <w:color w:val="1155CC"/>
            <w:u w:val="single"/>
          </w:rPr>
          <w:t>10.1021/jacs.5c21559</w:t>
        </w:r>
      </w:hyperlink>
    </w:p>
    <w:p>
      <w:pPr>
        <w:spacing w:before="0" w:after="120"/>
      </w:pPr>
      <w:r>
        <w:rPr>
          <w:b/>
        </w:rPr>
        <w:t xml:space="preserve">Notes: </w:t>
      </w:r>
      <w:r>
        <w:t>abstract_source=openalex</w:t>
      </w:r>
    </w:p>
    <w:p>
      <w:pPr>
        <w:spacing w:before="0" w:after="80" w:lineRule="auto" w:line="276"/>
      </w:pPr>
      <w:r>
        <w:rPr>
          <w:b/>
        </w:rPr>
        <w:t xml:space="preserve">摘要（ZH）: </w:t>
      </w:r>
      <w:r>
        <w:t>我们设计了带有芳基磺酰基取代基和含有自由基稳定基团（即苯）的烷基取代基的二取代丙烯酰胺单体，以生产其主链通过聚合过程中自由基迁移（异构化）结合酰胺键的聚合物。单体结构经过设计，使得在自由基加成到乙烯基后，1,4-Smiles重排到芳基磺酰基，SO&lt;sub&gt;2&lt;/sub&gt;挤出，以及分子内1,5-氢原子转移到苄基能够依次进行，生成能够与单体的电子缺乏乙烯基进行传播的亲核苄基自由基。通过改变聚合条件并对所得聚合物进行详细的NMR结构分析，我们实现了</w:t>
      </w:r>
    </w:p>
    <w:p>
      <w:pPr>
        <w:spacing w:before="0" w:after="200" w:lineRule="auto" w:line="276"/>
      </w:pPr>
      <w:r>
        <w:rPr>
          <w:b/>
        </w:rPr>
        <w:t xml:space="preserve">Abstract (EN): </w:t>
      </w:r>
      <w:r>
        <w:t>We designed disubstituted acrylamide monomers bearing an arylsulfonyl substituent and an alkyl substituent containing a radical-stabilizing group (i.e., benzene) to produce polymers whose backbones incorporate amide linkages through radical migration (isomerization) during polymerization. The monomer structure was engineered so that, after radical addition to the vinyl group, a 1,4-Smiles rearrangement to the arylsulfonyl group, SO&lt;sub&gt;2&lt;/sub&gt; extrusion, and intramolecular 1,5-hydrogen atom transfer to the benzyl group would proceed sequentially, generating a nucleophilic benzyl radical capable of propagating with the electron-deficient vinyl group of the monomer. By varying the polymerization conditions and conducting detailed NMR structural analyses of the resulting polymers, we achieved up to 92% incorporation of the repeat unit formed through the cascade isomerization among all repeating units. Moreover, structural modification of the monomer framework with diverse substituents allowed tuning of the glass-transition temperature (&lt;i&gt;T&lt;/i&gt;&lt;sub&gt;g&lt;/sub&gt;) with the cascade-unit content and imparted a degradable character under acidic conditions through incorporation of an ether linkage in the polymer backbone.</w:t>
      </w:r>
    </w:p>
    <w:p>
      <w:pPr>
        <w:spacing w:before="120" w:after="120"/>
      </w:pPr>
      <w:r>
        <w:rPr>
          <w:sz w:val="18"/>
        </w:rPr>
        <w:t>——————————————————————————————————————————————————————————————————————</w:t>
      </w:r>
    </w:p>
    <w:p>
      <w:pPr>
        <w:spacing w:before="160" w:after="40" w:line="240" w:lineRule="auto"/>
      </w:pPr>
      <w:r>
        <w:rPr>
          <w:b/>
        </w:rPr>
        <w:t xml:space="preserve">[112] </w:t>
      </w:r>
      <w:hyperlink r:id="rId398">
        <w:r>
          <w:rPr>
            <w:color w:val="1155CC"/>
            <w:u w:val="single"/>
          </w:rPr>
          <w:t>[ASAP] 体内时空保护和识别循环肿瘤DNA用于早期癌症诊断和监测</w:t>
        </w:r>
      </w:hyperlink>
    </w:p>
    <w:p>
      <w:pPr>
        <w:spacing w:before="0" w:after="80"/>
      </w:pPr>
      <w:r>
        <w:rPr>
          <w:i/>
          <w:sz w:val="20"/>
        </w:rPr>
        <w:t>EN: [ASAP] In Vivo Spatiotemporal Protection and Recognition of Circulating Tumor DNA for Early Cancer Diagnosis and Monitoring</w:t>
      </w:r>
    </w:p>
    <w:p>
      <w:pPr>
        <w:spacing w:before="0" w:after="120"/>
      </w:pPr>
      <w:r>
        <w:rPr>
          <w:b/>
        </w:rPr>
        <w:t xml:space="preserve">Source: </w:t>
      </w:r>
      <w:r>
        <w:t>Journal of the American Chemical Society: Latest Articles (ACS Publications)</w:t>
      </w:r>
      <w:r>
        <w:t xml:space="preserve">    </w:t>
      </w:r>
      <w:r>
        <w:rPr>
          <w:b/>
        </w:rPr>
        <w:t xml:space="preserve">Pub date: </w:t>
      </w:r>
      <w:r>
        <w:t>2026-03-23 14:25:14+00:00</w:t>
      </w:r>
      <w:r>
        <w:t xml:space="preserve">    </w:t>
      </w:r>
      <w:r>
        <w:rPr>
          <w:b/>
        </w:rPr>
        <w:t xml:space="preserve">DOI: </w:t>
      </w:r>
      <w:hyperlink r:id="rId399">
        <w:r>
          <w:rPr>
            <w:color w:val="1155CC"/>
            <w:u w:val="single"/>
          </w:rPr>
          <w:t>10.1021/jacs.6c00261</w:t>
        </w:r>
      </w:hyperlink>
    </w:p>
    <w:p>
      <w:pPr>
        <w:spacing w:before="0" w:after="120"/>
      </w:pPr>
      <w:r>
        <w:rPr>
          <w:b/>
        </w:rPr>
        <w:t xml:space="preserve">Notes: </w:t>
      </w:r>
      <w:r>
        <w:t>abstract_source=pubmed</w:t>
      </w:r>
    </w:p>
    <w:p>
      <w:pPr>
        <w:spacing w:before="0" w:after="80" w:lineRule="auto" w:line="276"/>
      </w:pPr>
      <w:r>
        <w:rPr>
          <w:b/>
        </w:rPr>
        <w:t xml:space="preserve">摘要（ZH）: </w:t>
      </w:r>
      <w:r>
        <w:t>循环肿瘤DNA（ctDNA）为无创癌症诊断和预后提供了一个有前途的途径，但其有效利用受到体内快速清除和核酸酶介导降解的根本限制，导致极低的生物利用度。此外，传统的体外识别基础的ctDNA检测方法可能会影响诊断准确性。在此，我们报告了一种体内时空保护和识别策略，积极增强ctDNA的生物利用度，从而实现准确的早期癌症诊断以及疾病进展和治疗反应的定量监测。该策略整合了免疫球蛋白G修饰的脂质体，以暂时饱和单核吞噬细胞系统，从而抑制ctDNA清除，同时结合</w:t>
      </w:r>
    </w:p>
    <w:p>
      <w:pPr>
        <w:spacing w:before="0" w:after="200" w:lineRule="auto" w:line="276"/>
      </w:pPr>
      <w:r>
        <w:rPr>
          <w:b/>
        </w:rPr>
        <w:t xml:space="preserve">Abstract (EN): </w:t>
      </w:r>
      <w:r>
        <w:t>Circulating tumor DNA (ctDNA) offers a promising avenue for noninvasive cancer diagnosis and prognosis, yet its effective utilization is fundamentally limited by rapid in vivo clearance and nuclease-mediated degradation, resulting in extremely low bioavailability. In addition, conventional in vitro recognition-based ctDNA detection means may potentially compromise the diagnostic accuracy. Here, we report an in vivo spatiotemporal protection and recognition strategy that actively enhances ctDNA bioavailability, enabling accurate early cancer diagnosis and quantitative monitoring of disease progression and therapeutic response. This strategy integrates immunoglobulin G-modified liposomes to transiently saturate the mononuclear phagocyte system, thereby suppressing ctDNA clearance, together with systemically administered anti-dsDNA monoclonal antibodies that protect ctDNA from nuclease degradation. The synergistic in vivo intervention enhances recoverable ctDNA levels by up to 56.2-fold relative to unprotected controls. The protected ctDNA subsequently undergoes sequence-specific hybridization with an in vivo recognition nanoprobe, triggering the release and renal excretion of locked nucleic acid (LNA) reporter strands. These urinary LNAs further induce the dissolution of a horseradish peroxidase (HRP)-encapsulated DNA gel to liberate HRP, which generates highly amplified current on a disposable sensor electrode, thereby markedly improving detection sensitivity for noninvasive identification of small tumors down to 30 mm3. This methodology further enables quantitative monitoring of tumor progression and assessment of doxorubicin (DOX)-mediated therapeutic efficacy, underscoring its robust broad potential for convenient and accurate cancer diagnosis and treatment evaluation.</w:t>
      </w:r>
    </w:p>
    <w:p>
      <w:pPr>
        <w:spacing w:before="120" w:after="120"/>
      </w:pPr>
      <w:r>
        <w:rPr>
          <w:sz w:val="18"/>
        </w:rPr>
        <w:t>——————————————————————————————————————————————————————————————————————</w:t>
      </w:r>
    </w:p>
    <w:p>
      <w:pPr>
        <w:spacing w:before="160" w:after="40" w:line="240" w:lineRule="auto"/>
      </w:pPr>
      <w:r>
        <w:rPr>
          <w:b/>
        </w:rPr>
        <w:t xml:space="preserve">[113] </w:t>
      </w:r>
      <w:hyperlink r:id="rId400">
        <w:r>
          <w:rPr>
            <w:color w:val="1155CC"/>
            <w:u w:val="single"/>
          </w:rPr>
          <w:t>[ASAP] 方向可控的MOF膜实现可切换的H2/CO2分离</w:t>
        </w:r>
      </w:hyperlink>
    </w:p>
    <w:p>
      <w:pPr>
        <w:spacing w:before="0" w:after="80"/>
      </w:pPr>
      <w:r>
        <w:rPr>
          <w:i/>
          <w:sz w:val="20"/>
        </w:rPr>
        <w:t>EN: [ASAP] Orientation-Controlled MOF Membranes Enabling Switchable H2/CO2 Separation</w:t>
      </w:r>
    </w:p>
    <w:p>
      <w:pPr>
        <w:spacing w:before="0" w:after="120"/>
      </w:pPr>
      <w:r>
        <w:rPr>
          <w:b/>
        </w:rPr>
        <w:t xml:space="preserve">Source: </w:t>
      </w:r>
      <w:r>
        <w:t>Journal of the American Chemical Society: Latest Articles (ACS Publications)</w:t>
      </w:r>
      <w:r>
        <w:t xml:space="preserve">    </w:t>
      </w:r>
      <w:r>
        <w:rPr>
          <w:b/>
        </w:rPr>
        <w:t xml:space="preserve">Pub date: </w:t>
      </w:r>
      <w:r>
        <w:t>2026-03-23 15:22:52+00:00</w:t>
      </w:r>
      <w:r>
        <w:t xml:space="preserve">    </w:t>
      </w:r>
      <w:r>
        <w:rPr>
          <w:b/>
        </w:rPr>
        <w:t xml:space="preserve">DOI: </w:t>
      </w:r>
      <w:hyperlink r:id="rId401">
        <w:r>
          <w:rPr>
            <w:color w:val="1155CC"/>
            <w:u w:val="single"/>
          </w:rPr>
          <w:t>10.1021/jacs.5c22587</w:t>
        </w:r>
      </w:hyperlink>
    </w:p>
    <w:p>
      <w:pPr>
        <w:spacing w:before="0" w:after="120"/>
      </w:pPr>
      <w:r>
        <w:rPr>
          <w:b/>
        </w:rPr>
        <w:t xml:space="preserve">Notes: </w:t>
      </w:r>
      <w:r>
        <w:t>abstract_source=pubmed</w:t>
      </w:r>
    </w:p>
    <w:p>
      <w:pPr>
        <w:spacing w:before="0" w:after="80" w:lineRule="auto" w:line="276"/>
      </w:pPr>
      <w:r>
        <w:rPr>
          <w:b/>
        </w:rPr>
        <w:t xml:space="preserve">摘要（ZH）: </w:t>
      </w:r>
      <w:r>
        <w:t>控制金属有机框架（MOF）膜的晶体取向为化学分离引入了一个新的维度，因为各向异性孔道的对齐决定了膜的分离性能。在此，我们展示了通过调整晶体取向可以可逆地切换MOF膜的气体分离行为。通过溶剂诱导的液-气沉积（LVD）策略，我们实现了高度（112）取向的超薄KAUST-7膜的直接、无种子生长。作为对比，通过二次生长制备了（001）孔对齐的KAUST-7膜。与传统的物理尺寸优先取向相比，这里的通道对齐变化重新配置了富氟NbOF52-吸附中心对CO2的暴露，</w:t>
      </w:r>
    </w:p>
    <w:p>
      <w:pPr>
        <w:spacing w:before="0" w:after="200" w:lineRule="auto" w:line="276"/>
      </w:pPr>
      <w:r>
        <w:rPr>
          <w:b/>
        </w:rPr>
        <w:t xml:space="preserve">Abstract (EN): </w:t>
      </w:r>
      <w:r>
        <w:t>Controlling the crystal orientation of metal-organic framework (MOF) membranes introduces a new dimension to chemical separations, as the alignment of anisotropic pore channels dictates the membrane's separation performance. Here, we demonstrate that the gas separation behavior of the MOF membrane can be reversibly switched by tailoring their crystal orientation. Through a solvent-induced liquid-vapor deposition (LVD) strategy, we realize the direct, seed-free growth of a highly (112)-oriented ultrathin KAUST-7 membrane. For comparison, a (001)-pore-aligned KAUST-7 membrane is prepared via secondary growth. In contrast to conventional physical size-preferred orientations, variation in channel alignment here reconfigures the exposure of fluorine-rich NbOF52- adsorption centers toward CO2, establishing a chemical-preferred orientation that induces transition between entropy and enthalpy dominant molecular transport. Consequently, gas permeation tests reveal that the (112)-oriented KAUST-7 membrane exhibits an H2/CO2 selectivity of 52.7, whereas the (001)-pore-aligned KAUST-7 membrane shows a reversed CO2/H2 selectivity of 4.7. This marked contrast underscores that the separation properties of MOF membranes are not solely material-dependent but can be deliberately switched and optimized through crystal orientation engineering, offering a versatile design strategy for adaptive separation membranes.</w:t>
      </w:r>
    </w:p>
    <w:p>
      <w:pPr>
        <w:spacing w:before="120" w:after="120"/>
      </w:pPr>
      <w:r>
        <w:rPr>
          <w:sz w:val="18"/>
        </w:rPr>
        <w:t>——————————————————————————————————————————————————————————————————————</w:t>
      </w:r>
    </w:p>
    <w:p>
      <w:pPr>
        <w:spacing w:before="160" w:after="40" w:line="240" w:lineRule="auto"/>
      </w:pPr>
      <w:r>
        <w:rPr>
          <w:b/>
        </w:rPr>
        <w:t xml:space="preserve">[114] </w:t>
      </w:r>
      <w:hyperlink r:id="rId402">
        <w:r>
          <w:rPr>
            <w:color w:val="1155CC"/>
            <w:u w:val="single"/>
          </w:rPr>
          <w:t>[ASAP] 四重融合卟啉外围的氮掺杂及其多步质子耦合电子转移形成34π芳香分子</w:t>
        </w:r>
      </w:hyperlink>
    </w:p>
    <w:p>
      <w:pPr>
        <w:spacing w:before="0" w:after="80"/>
      </w:pPr>
      <w:r>
        <w:rPr>
          <w:i/>
          <w:sz w:val="20"/>
        </w:rPr>
        <w:t>EN: [ASAP] Nitrogen Doping at the Periphery of a Quadruply-Fused Porphyrin and Its Multi-Step Proton-Coupled Electron Transfer to Form a 34π Aromatic Molecule</w:t>
      </w:r>
    </w:p>
    <w:p>
      <w:pPr>
        <w:spacing w:before="0" w:after="120"/>
      </w:pPr>
      <w:r>
        <w:rPr>
          <w:b/>
        </w:rPr>
        <w:t xml:space="preserve">Source: </w:t>
      </w:r>
      <w:r>
        <w:t>Journal of the American Chemical Society: Latest Articles (ACS Publications)</w:t>
      </w:r>
      <w:r>
        <w:t xml:space="preserve">    </w:t>
      </w:r>
      <w:r>
        <w:rPr>
          <w:b/>
        </w:rPr>
        <w:t xml:space="preserve">Pub date: </w:t>
      </w:r>
      <w:r>
        <w:t>2026-03-23 16:20:40+00:00</w:t>
      </w:r>
      <w:r>
        <w:t xml:space="preserve">    </w:t>
      </w:r>
      <w:r>
        <w:rPr>
          <w:b/>
        </w:rPr>
        <w:t xml:space="preserve">DOI: </w:t>
      </w:r>
      <w:hyperlink r:id="rId403">
        <w:r>
          <w:rPr>
            <w:color w:val="1155CC"/>
            <w:u w:val="single"/>
          </w:rPr>
          <w:t>10.1021/jacs.6c00542</w:t>
        </w:r>
      </w:hyperlink>
    </w:p>
    <w:p>
      <w:pPr>
        <w:spacing w:before="0" w:after="120"/>
      </w:pPr>
      <w:r>
        <w:rPr>
          <w:b/>
        </w:rPr>
        <w:t xml:space="preserve">Notes: </w:t>
      </w:r>
      <w:r>
        <w:t>abstract_source=pubmed</w:t>
      </w:r>
    </w:p>
    <w:p>
      <w:pPr>
        <w:spacing w:before="0" w:after="80" w:lineRule="auto" w:line="276"/>
      </w:pPr>
      <w:r>
        <w:rPr>
          <w:b/>
        </w:rPr>
        <w:t xml:space="preserve">摘要（ZH）: </w:t>
      </w:r>
      <w:r>
        <w:t>芳香化合物的四电子还原以产生四电子还原化合物一直极为困难，因为其还原电位高度负值。在此，我们首次报告通过在四重融合卟啉（1）的ZnII配合物外围位置进行氮掺杂，形成稳定的四电子还原芳香分子，其中包含四个亚氨基氮在“形式上”的30π芳香回路中。外围氮原子已被证明可以形成氢键，这由X射线衍射分析表明。加入强酸如三氟甲磺酸（TfOH）可使1发生双质子化，1的双质子化形式（H212+）显示出第一个还原电位的大幅正移。此外，在过量TfOH存在下，</w:t>
      </w:r>
    </w:p>
    <w:p>
      <w:pPr>
        <w:spacing w:before="0" w:after="200" w:lineRule="auto" w:line="276"/>
      </w:pPr>
      <w:r>
        <w:rPr>
          <w:b/>
        </w:rPr>
        <w:t xml:space="preserve">Abstract (EN): </w:t>
      </w:r>
      <w:r>
        <w:t>Four-electron reduction of aromatic compounds to produce four-electron reduced compounds has been extremely difficult because of the highly negative reduction potentials. Herein, we report for the first time formation of stable four-electron reduced aromatic molecules using nitrogen-doping at the peripheral positions of a ZnII complex of a quadruply fused porphyrin (1), containing four imino-nitrogens in the "formal" 30π aromatic circuit. Peripheral nitrogen atoms have been demonstrated to form hydrogen bonds, as indicated by X-ray diffraction analysis. Addition of a strong acid such as triflic acid (TfOH) enables diprotonation of 1 and the diprotonated form (H212+) of 1 shows a large positive shift of the first reduction potential. Furthermore, in the presence of an excess amount of TfOH, chemical or electrochemical reduction causes further protonation of the imino-nitrogen atoms of 1, allowing further reduction of 1 through a proton-coupled electron transfer (PCET) mechanism. The multielectron PCET processes are supported by DFT calculations to clarify a large change in the pKa of the outer imine nitrogens before and after the 1e--reduction. Consequently, 1 undergoes its tetraprotonation and four-electron-reduction at a relatively positive potential to form H410, which bears the 34π aromaticity despite the fact that it is unable to draw an aromatic circuit with alternating single and double bonds. It should be noted that this is the first time to demonstrate multistep PCET of a π-expanded aromatic system and to achieve the emergence of unique aromatic conjugation with 34π electrons.</w:t>
      </w:r>
    </w:p>
    <w:p>
      <w:pPr>
        <w:spacing w:before="120" w:after="120"/>
      </w:pPr>
      <w:r>
        <w:rPr>
          <w:sz w:val="18"/>
        </w:rPr>
        <w:t>——————————————————————————————————————————————————————————————————————</w:t>
      </w:r>
    </w:p>
    <w:p>
      <w:pPr>
        <w:spacing w:before="160" w:after="40" w:line="240" w:lineRule="auto"/>
      </w:pPr>
      <w:r>
        <w:rPr>
          <w:b/>
        </w:rPr>
        <w:t xml:space="preserve">[115] </w:t>
      </w:r>
      <w:hyperlink r:id="rId404">
        <w:r>
          <w:rPr>
            <w:color w:val="1155CC"/>
            <w:u w:val="single"/>
          </w:rPr>
          <w:t>对“配体效应在区域和对映选择性钴催化的未活化1,3-二烯-8-炔和1,3-二烯-8-烯的分子内[4 + 2]和[2 + 2]环加成反应中的作用”的更正</w:t>
        </w:r>
      </w:hyperlink>
    </w:p>
    <w:p>
      <w:pPr>
        <w:spacing w:before="0" w:after="80"/>
      </w:pPr>
      <w:r>
        <w:rPr>
          <w:i/>
          <w:sz w:val="20"/>
        </w:rPr>
        <w:t>EN: Correction to “Ligand Effects in Regio‐ and Enantioselective Cobalt‐Catalyzed Intramolecular [4 + 2]‐ and [2 + 2]‐Cycloaddition Reactions of Unactivated 1,3‐Diene‐8‐ynes and 1,3‐Diene‐8‐enes”</w:t>
      </w:r>
    </w:p>
    <w:p>
      <w:pPr>
        <w:spacing w:before="0" w:after="120"/>
      </w:pPr>
      <w:r>
        <w:rPr>
          <w:b/>
        </w:rPr>
        <w:t xml:space="preserve">Source: </w:t>
      </w:r>
      <w:r>
        <w:t>Wiley: Angewandte Chemie International Edition: Table of Contents</w:t>
      </w:r>
      <w:r>
        <w:t xml:space="preserve">    </w:t>
      </w:r>
      <w:r>
        <w:rPr>
          <w:b/>
        </w:rPr>
        <w:t xml:space="preserve">Pub date: </w:t>
      </w:r>
      <w:r>
        <w:t>2026-03-23 16:30:02+00:00</w:t>
      </w:r>
      <w:r>
        <w:t xml:space="preserve">    </w:t>
      </w:r>
      <w:r>
        <w:rPr>
          <w:b/>
        </w:rPr>
        <w:t xml:space="preserve">DOI: </w:t>
      </w:r>
      <w:hyperlink r:id="rId405">
        <w:r>
          <w:rPr>
            <w:color w:val="1155CC"/>
            <w:u w:val="single"/>
          </w:rPr>
          <w:t>10.1002/anie.4150982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[116] </w:t>
      </w:r>
      <w:hyperlink r:id="rId406">
        <w:r>
          <w:rPr>
            <w:color w:val="1155CC"/>
            <w:u w:val="single"/>
          </w:rPr>
          <w:t>纳米酶介导的PROTACs递送用于靶向蛋白降解和前列腺癌中的铁死亡敏化</w:t>
        </w:r>
      </w:hyperlink>
    </w:p>
    <w:p>
      <w:pPr>
        <w:spacing w:before="0" w:after="80"/>
      </w:pPr>
      <w:r>
        <w:rPr>
          <w:i/>
          <w:sz w:val="20"/>
        </w:rPr>
        <w:t>EN: Nanozyme‐Mediated PROTACs Delivery for Targeted Protein Degradation and Ferroptosis Sensitization in Prostate Cancer</w:t>
      </w:r>
    </w:p>
    <w:p>
      <w:pPr>
        <w:spacing w:before="0" w:after="120"/>
      </w:pPr>
      <w:r>
        <w:rPr>
          <w:b/>
        </w:rPr>
        <w:t xml:space="preserve">Source: </w:t>
      </w:r>
      <w:r>
        <w:t>Wiley: Angewandte Chemie International Edition: Table of Contents</w:t>
      </w:r>
      <w:r>
        <w:t xml:space="preserve">    </w:t>
      </w:r>
      <w:r>
        <w:rPr>
          <w:b/>
        </w:rPr>
        <w:t xml:space="preserve">Pub date: </w:t>
      </w:r>
      <w:r>
        <w:t>2026-03-23 16:36:05+00:00</w:t>
      </w:r>
      <w:r>
        <w:t xml:space="preserve">    </w:t>
      </w:r>
      <w:r>
        <w:rPr>
          <w:b/>
        </w:rPr>
        <w:t xml:space="preserve">DOI: </w:t>
      </w:r>
      <w:hyperlink r:id="rId407">
        <w:r>
          <w:rPr>
            <w:color w:val="1155CC"/>
            <w:u w:val="single"/>
          </w:rPr>
          <w:t>10.1002/anie.6657773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去势抵抗性前列腺癌（CRPC）由于对常规雄激素受体（AR）靶向疗法的耐药性，仍然是一个主要的临床挑战。蛋白水解靶向嵌合体（PROTACs）药物，如ARV-771，可以选择性降解致癌蛋白，但面临主要的递送挑战，限制了其疗效和安全性。在此，我们报告了一种纳米工程的PROTAC平台，ARV@MIL-HA-ss-HA，显著改善了ARV-771的递送、药代动力学和治疗效果。该系统采用MIL-101纳米颗粒作为载体和纳米酶，经过透明质酸-二硫化物-透明质酸（HA-ss-HA）水凝胶修饰，以实现CD44介导的肿瘤靶向和谷胱甘肽（GSH）触发释放。利用催化</w:t>
      </w:r>
    </w:p>
    <w:p>
      <w:pPr>
        <w:spacing w:before="0" w:after="200" w:lineRule="auto" w:line="276"/>
      </w:pPr>
      <w:r>
        <w:rPr>
          <w:b/>
        </w:rPr>
        <w:t xml:space="preserve">Abstract (EN): </w:t>
      </w:r>
      <w:r>
        <w:t>Castration‐resistant prostate cancer (CRPC) remains a major clinical challenge due to its resistance to conventional androgen receptor (AR)‐targeted therapies. Proteolysis‐targeting chimeras (PROTACs) drugs, such as ARV‐771, can selectively degrade cancer‐driving proteins but face major delivery challenges that limit their efficacy and safety. Here, we report a nanoengineered PROTAC platform, ARV@MIL‐HA‐ss‐HA, that markedly improves ARV‐771 delivery, pharmacokinetics, and therapeutic efficacy. The system employs MIL‐101 nanoparticles as both a carrier and a nanozyme, modified with hyaluronic acid‐disulfide‐hyaluronic acid (HA‐ss‐HA) hydrogel to achieve CD44‐mediated tumor targeting and glutathione (GSH)‐triggered release. Leveraging the catalytic activity of MIL‐101 and the GSH‐depleting capacity of HA‐ss‐HA, ARV@MIL‐HA‐ss‐HA converts intracellular H</w:t>
      </w:r>
      <w:r>
        <w:rPr>
          <w:vertAlign w:val="subscript"/>
        </w:rPr>
        <w:t>2</w:t>
      </w:r>
      <w:r>
        <w:t>O</w:t>
      </w:r>
      <w:r>
        <w:rPr>
          <w:vertAlign w:val="subscript"/>
        </w:rPr>
        <w:t>2</w:t>
      </w:r>
      <w:r>
        <w:t>into hydroxyl radicals (·OH) and suppresses GSH levels, thereby inducing ferroptosis. Concurrently, ARV‐771‐mediated BRD4 degradation sensitizes tumor cells to ferroptosis, establishing a dual‐action synergistic mechanism. In vitro and in vivo studies in CRPC models confirmed efficient BRD4 degradation, enhanced ferroptotic cell death, and superior antitumor efficacy with minimal systemic toxicity. Our findings position this nano‐PROTAC strategy as a clinically promising dual‐mechanism therapy capable of overcoming resistance in CRPC.</w:t>
      </w:r>
    </w:p>
    <w:p>
      <w:pPr>
        <w:spacing w:before="120" w:after="120"/>
      </w:pPr>
      <w:r>
        <w:rPr>
          <w:sz w:val="18"/>
        </w:rPr>
        <w:t>——————————————————————————————————————————————————————————————————————</w:t>
      </w:r>
    </w:p>
    <w:p>
      <w:pPr>
        <w:spacing w:before="160" w:after="40" w:line="240" w:lineRule="auto"/>
      </w:pPr>
      <w:r>
        <w:rPr>
          <w:b/>
        </w:rPr>
        <w:t xml:space="preserve">[117] </w:t>
      </w:r>
      <w:hyperlink r:id="rId408">
        <w:r>
          <w:rPr>
            <w:color w:val="1155CC"/>
            <w:u w:val="single"/>
          </w:rPr>
          <w:t>预测和合理化消旋生物有机分子晶体中的压电性</w:t>
        </w:r>
      </w:hyperlink>
    </w:p>
    <w:p>
      <w:pPr>
        <w:spacing w:before="0" w:after="80"/>
      </w:pPr>
      <w:r>
        <w:rPr>
          <w:i/>
          <w:sz w:val="20"/>
        </w:rPr>
        <w:t>EN: Predicting and Rationalizing Piezoelectricity in Racemic Bioorganic Molecular Crystals</w:t>
      </w:r>
    </w:p>
    <w:p>
      <w:pPr>
        <w:spacing w:before="0" w:after="120"/>
      </w:pPr>
      <w:r>
        <w:rPr>
          <w:b/>
        </w:rPr>
        <w:t xml:space="preserve">Source: </w:t>
      </w:r>
      <w:r>
        <w:t>Wiley: Angewandte Chemie International Edition: Table of Contents</w:t>
      </w:r>
      <w:r>
        <w:t xml:space="preserve">    </w:t>
      </w:r>
      <w:r>
        <w:rPr>
          <w:b/>
        </w:rPr>
        <w:t xml:space="preserve">Pub date: </w:t>
      </w:r>
      <w:r>
        <w:t>2026-03-23 16:36:44+00:00</w:t>
      </w:r>
      <w:r>
        <w:t xml:space="preserve">    </w:t>
      </w:r>
      <w:r>
        <w:rPr>
          <w:b/>
        </w:rPr>
        <w:t xml:space="preserve">DOI: </w:t>
      </w:r>
      <w:hyperlink r:id="rId409">
        <w:r>
          <w:rPr>
            <w:color w:val="1155CC"/>
            <w:u w:val="single"/>
          </w:rPr>
          <w:t>10.1002/anie.202524346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消旋晶体通常被认为倾向于中心对称堆积且缺乏极性功能，但它们隐藏了一种不太可能且未被充分探索的纵向压电能力。在此，我们报告了一项广泛的计算探索，表明某些生物有机消旋系统表现出显著的压电响应，可与领先的单晶材料相媲美。尽管在分子层面上具有固有的镜像对称性，但建模的晶体结构缺乏反演对称性，从而在机械应力下产生显著的电极化，这与我们的密度泛函理论（DFT）计算预测一致。我们表现最佳的稳定消旋晶体表现出高达28 pC/N的有效纵向压电应变响应，超过两倍</w:t>
      </w:r>
    </w:p>
    <w:p>
      <w:pPr>
        <w:spacing w:before="0" w:after="200" w:lineRule="auto" w:line="276"/>
      </w:pPr>
      <w:r>
        <w:rPr>
          <w:b/>
        </w:rPr>
        <w:t xml:space="preserve">Abstract (EN): </w:t>
      </w:r>
      <w:r>
        <w:t>Racemic crystals, often presumed to favour centrosymmetric packing and lack polar functionality, conceal an unlikely and underexplored capacity for longitudinal piezoelectricity. Here, we report a broad computational exploration demonstrating that certain bioorganic racemic systems exhibit pronounced piezoelectric responses, comparable to leading single‐crystal materials. Despite their inherent mirror symmetry at the molecular level, the modelled crystal structures lack inversion symmetry, giving rise to significant electrical polarisation under mechanical stress, as predicted by our density functional theory (DFT) calculations. Our top‐performing stable racemic crystals exhibit effective longitudinal piezoelectric strain response of up to 28 pC/N, more than twice that of benchmark DL‐alanine (12.5 pC/N), combined with low dielectric constants (&amp;lt;5) and high mechanical flexibility. These results position our modelled racemic molecular systems as a promising, bio‐friendly platform for soft, sustainable and lead‐free piezoelectric devices. Our findings overturn conventional assumptions about the structural and functional limitations of racemic crystals as a material class, revealing their suitability for next‐generation piezoelectric applications. Six of the racemic organic systems studied exhibit piezoelectric strain coefficients exceeding 10 pC/N, highlighting their viability as efficient and environmentally friendly alternatives to conventional inorganic materials.</w:t>
      </w:r>
    </w:p>
    <w:p>
      <w:pPr>
        <w:spacing w:before="120" w:after="120"/>
      </w:pPr>
      <w:r>
        <w:rPr>
          <w:sz w:val="18"/>
        </w:rPr>
        <w:t>——————————————————————————————————————————————————————————————————————</w:t>
      </w:r>
    </w:p>
    <w:p>
      <w:pPr>
        <w:spacing w:before="160" w:after="40" w:line="240" w:lineRule="auto"/>
      </w:pPr>
      <w:r>
        <w:rPr>
          <w:b/>
        </w:rPr>
        <w:t xml:space="preserve">[118] </w:t>
      </w:r>
      <w:hyperlink r:id="rId410">
        <w:r>
          <w:rPr>
            <w:color w:val="1155CC"/>
            <w:u w:val="single"/>
          </w:rPr>
          <w:t>[ASAP] 氮基多环芳烃宇宙尘埃的合成模拟物：制备和初步冲击电离质谱研究</w:t>
        </w:r>
      </w:hyperlink>
    </w:p>
    <w:p>
      <w:pPr>
        <w:spacing w:before="0" w:after="80"/>
      </w:pPr>
      <w:r>
        <w:rPr>
          <w:i/>
          <w:sz w:val="20"/>
        </w:rPr>
        <w:t>EN: [ASAP] Synthetic Mimics for Nitrogen-Based Polycyclic Aromatic Hydrocarbon Cosmic Dust: Preparation and Preliminary Impact Ionization Mass Spectrometry Studies</w:t>
      </w:r>
    </w:p>
    <w:p>
      <w:pPr>
        <w:spacing w:before="0" w:after="120"/>
      </w:pPr>
      <w:r>
        <w:rPr>
          <w:b/>
        </w:rPr>
        <w:t xml:space="preserve">Source: </w:t>
      </w:r>
      <w:r>
        <w:t>Journal of the American Chemical Society: Latest Articles (ACS Publications)</w:t>
      </w:r>
      <w:r>
        <w:t xml:space="preserve">    </w:t>
      </w:r>
      <w:r>
        <w:rPr>
          <w:b/>
        </w:rPr>
        <w:t xml:space="preserve">Pub date: </w:t>
      </w:r>
      <w:r>
        <w:t>2026-03-23 16:53:18+00:00</w:t>
      </w:r>
      <w:r>
        <w:t xml:space="preserve">    </w:t>
      </w:r>
      <w:r>
        <w:rPr>
          <w:b/>
        </w:rPr>
        <w:t xml:space="preserve">DOI: </w:t>
      </w:r>
      <w:hyperlink r:id="rId411">
        <w:r>
          <w:rPr>
            <w:color w:val="1155CC"/>
            <w:u w:val="single"/>
          </w:rPr>
          <w:t>10.1021/jacs.5c18079</w:t>
        </w:r>
      </w:hyperlink>
    </w:p>
    <w:p>
      <w:pPr>
        <w:spacing w:before="0" w:after="120"/>
      </w:pPr>
      <w:r>
        <w:rPr>
          <w:b/>
        </w:rPr>
        <w:t xml:space="preserve">Notes: </w:t>
      </w:r>
      <w:r>
        <w:t>abstract_source=pubmed</w:t>
      </w:r>
    </w:p>
    <w:p>
      <w:pPr>
        <w:spacing w:before="0" w:after="80" w:lineRule="auto" w:line="276"/>
      </w:pPr>
      <w:r>
        <w:rPr>
          <w:b/>
        </w:rPr>
        <w:t xml:space="preserve">摘要（ZH）: </w:t>
      </w:r>
      <w:r>
        <w:t>我们报告了首个亚微米级氮基多环芳烃（PANH）宇宙尘埃的合成模拟物的制备。为两种二元混合物构建了熔点相图，分别由N-苯基咔唑（熔点96 °C）与N-乙基咔唑（熔点71 °C）或N-丙基咔唑（熔点50 °C）组成，以识别其各自的共晶组成。然后将每种共晶组成在其共晶温度以上通过热乳化处理，使用商业水溶性聚合物乳化剂：高剪切均质化产生了约60-70 μm直径的多分散熔融PANH液滴。然后将每种前体乳液进行高压微流化，以生产更细的亚微米级PANH液滴。在冷却至20 °C时，这些混合</w:t>
      </w:r>
    </w:p>
    <w:p>
      <w:pPr>
        <w:spacing w:before="0" w:after="200" w:lineRule="auto" w:line="276"/>
      </w:pPr>
      <w:r>
        <w:rPr>
          <w:b/>
        </w:rPr>
        <w:t xml:space="preserve">Abstract (EN): </w:t>
      </w:r>
      <w:r>
        <w:t>We report the preparation of the first synthetic mimic for submicron-sized nitrogen-based polycyclic aromatic hydrocarbon (PANH) cosmic dust. Melting point phase diagrams were constructed for two binary mixtures comprising N-phenylcarbazole (mp 96 °C) with either N-ethylcarbazole (mp 71 °C) or N-propylcarbazole (mp 50 °C) to identify their respective eutectic compositions. Each eutectic composition was then processed above its eutectic temperature via hot emulsification using a commercial water-soluble polymeric emulsifier: high-shear homogenization produced polydisperse molten PANH droplets of approximately 60-70 μm diameter. Each precursor emulsion was then subjected to high-pressure microfluidization to produce much finer submicron-sized PANH droplets. On cooling to 20 °C, these hybrid PANH microparticles were coated with an ultrathin overlayer of polypyrrole (PPy). This electrically conductive coating enabled the efficient accumulation of surface charge, which in turn allowed the electrostatic acceleration of such PPy-coated PANH microparticles up to the hypervelocity regime using a high-voltage dust accelerator. Firing such PPy-coated PANH microparticles into a gold target at 1.9-5.0 km s-1 led to their impact ionization and the in situ generation of an ionic plasma. Subsequent impact ionization mass spectrometry analysis confirmed the formation of the characteristic parent cations for N-phenylcarbazole and either N-propylcarbazole or N-ethylcarbazole, respectively. Such laboratory-based experiments augur well for the unambiguous identification of PANH-based cosmic dust by next-generation impact ionization mass spectrometers to be deployed in current and future space missions.</w:t>
      </w:r>
    </w:p>
    <w:p>
      <w:pPr>
        <w:spacing w:before="120" w:after="120"/>
      </w:pPr>
      <w:r>
        <w:rPr>
          <w:sz w:val="18"/>
        </w:rPr>
        <w:t>——————————————————————————————————————————————————————————————————————</w:t>
      </w:r>
    </w:p>
    <w:p>
      <w:pPr>
        <w:spacing w:before="160" w:after="40" w:line="240" w:lineRule="auto"/>
      </w:pPr>
      <w:r>
        <w:rPr>
          <w:b/>
        </w:rPr>
        <w:t xml:space="preserve">[119] </w:t>
      </w:r>
      <w:hyperlink r:id="rId412">
        <w:r>
          <w:rPr>
            <w:color w:val="1155CC"/>
            <w:u w:val="single"/>
          </w:rPr>
          <w:t>[ASAP] 构象切换控制黄素-色氨酸二聚体中的双自由基自旋动力学</w:t>
        </w:r>
      </w:hyperlink>
    </w:p>
    <w:p>
      <w:pPr>
        <w:spacing w:before="0" w:after="80"/>
      </w:pPr>
      <w:r>
        <w:rPr>
          <w:i/>
          <w:sz w:val="20"/>
        </w:rPr>
        <w:t>EN: [ASAP] Conformational Switching Controls Biradical Spin Dynamics in Flavin–Tryptophan Dyads</w:t>
      </w:r>
    </w:p>
    <w:p>
      <w:pPr>
        <w:spacing w:before="0" w:after="120"/>
      </w:pPr>
      <w:r>
        <w:rPr>
          <w:b/>
        </w:rPr>
        <w:t xml:space="preserve">Source: </w:t>
      </w:r>
      <w:r>
        <w:t>Journal of the American Chemical Society: Latest Articles (ACS Publications)</w:t>
      </w:r>
      <w:r>
        <w:t xml:space="preserve">    </w:t>
      </w:r>
      <w:r>
        <w:rPr>
          <w:b/>
        </w:rPr>
        <w:t xml:space="preserve">Pub date: </w:t>
      </w:r>
      <w:r>
        <w:t>2026-03-23 19:05:48+00:00</w:t>
      </w:r>
      <w:r>
        <w:t xml:space="preserve">    </w:t>
      </w:r>
      <w:r>
        <w:rPr>
          <w:b/>
        </w:rPr>
        <w:t xml:space="preserve">DOI: </w:t>
      </w:r>
      <w:hyperlink r:id="rId413">
        <w:r>
          <w:rPr>
            <w:color w:val="1155CC"/>
            <w:u w:val="single"/>
          </w:rPr>
          <w:t>10.1021/jacs.5c22947</w:t>
        </w:r>
      </w:hyperlink>
    </w:p>
    <w:p>
      <w:pPr>
        <w:spacing w:before="0" w:after="120"/>
      </w:pPr>
      <w:r>
        <w:rPr>
          <w:b/>
        </w:rPr>
        <w:t xml:space="preserve">Notes: </w:t>
      </w:r>
      <w:r>
        <w:t>abstract_source=pubmed</w:t>
      </w:r>
    </w:p>
    <w:p>
      <w:pPr>
        <w:spacing w:before="0" w:after="80" w:lineRule="auto" w:line="276"/>
      </w:pPr>
      <w:r>
        <w:rPr>
          <w:b/>
        </w:rPr>
        <w:t xml:space="preserve">摘要（ZH）: </w:t>
      </w:r>
      <w:r>
        <w:t>通过寡脯氨酸链连接的黄素-色氨酸二聚体用于探测脯氨酸顺反异构化如何在光-CIDNP条件下调节自旋动力学。场循环NMR揭示了含有少量顺式构象的构象形成了支持分子内双自由基重组的紧凑几何结构。这些状态显示出J─共振光-CIDNP的特征：均匀的发射极化和在5-20 mT的显著最大值，而它们的信号在高场下消失。相比之下，主要的全反式（PPII）构象和较长的连接体仅产生与分子间自由基相遇一致的Δg─主导模式。时间分辨光-CIDNP证实，在大多数系统中，分子间过程占主导地位，四脯氨酸二聚体显示出额外的分子内贡献。</w:t>
      </w:r>
    </w:p>
    <w:p>
      <w:pPr>
        <w:spacing w:before="0" w:after="200" w:lineRule="auto" w:line="276"/>
      </w:pPr>
      <w:r>
        <w:rPr>
          <w:b/>
        </w:rPr>
        <w:t xml:space="preserve">Abstract (EN): </w:t>
      </w:r>
      <w:r>
        <w:t>Flavin-tryptophan dyads linked by oligoproline chains were used to probe how proline cis-trans isomerization modulates spin dynamics under photo-CIDNP conditions. Field-cycling NMR revealed that minor cis-containing conformers form compact geometries that support intramolecular biradical recombination. These states display the features of J─resonance photo-CIDNP: uniform emissive polarization and pronounced maxima at 5-20 mT, while their signals vanish at high fields. In contrast, the dominant all-trans (PPII) conformers and longer linkers produce only Δg─dominated patterns consistent with intermolecular radical encounters. Time-resolved photo-CIDNP confirmed that intermolecular processes prevail in most systems, with the four-proline dyad showing additional intramolecular contributions. The results establish that proline isomerization serves as a structural switch that governs the donor-acceptor distance and, consequently, the balance between intra- and intermolecular spin-selective pathways. The study further highlights field-cycling photo-CIDNP as a promising tool for identifying transient biradical states in biomolecular model systems.</w:t>
      </w:r>
    </w:p>
    <w:p>
      <w:pPr>
        <w:spacing w:before="120" w:after="120"/>
      </w:pPr>
      <w:r>
        <w:rPr>
          <w:sz w:val="18"/>
        </w:rPr>
        <w:t>——————————————————————————————————————————————————————————————————————</w:t>
      </w:r>
    </w:p>
    <w:p>
      <w:pPr>
        <w:spacing w:before="160" w:after="40" w:line="240" w:lineRule="auto"/>
      </w:pPr>
      <w:r>
        <w:rPr>
          <w:b/>
        </w:rPr>
        <w:t xml:space="preserve">[120] </w:t>
      </w:r>
      <w:hyperlink r:id="rId414">
        <w:r>
          <w:rPr>
            <w:color w:val="1155CC"/>
            <w:u w:val="single"/>
          </w:rPr>
          <w:t>[ASAP] 磷脂酰甘油的氢键-静电耦合识别驱动抗性抑制微型肽模拟物的设计</w:t>
        </w:r>
      </w:hyperlink>
    </w:p>
    <w:p>
      <w:pPr>
        <w:spacing w:before="0" w:after="80"/>
      </w:pPr>
      <w:r>
        <w:rPr>
          <w:i/>
          <w:sz w:val="20"/>
        </w:rPr>
        <w:t>EN: [ASAP] Coupled Hydrogen-Bond–Electrostatic Recognition of Phosphatidylglycerol Drives the Design of Resistance-Suppressing Miniature Peptidomimetics</w:t>
      </w:r>
    </w:p>
    <w:p>
      <w:pPr>
        <w:spacing w:before="0" w:after="120"/>
      </w:pPr>
      <w:r>
        <w:rPr>
          <w:b/>
        </w:rPr>
        <w:t xml:space="preserve">Source: </w:t>
      </w:r>
      <w:r>
        <w:t>Journal of the American Chemical Society: Latest Articles (ACS Publications)</w:t>
      </w:r>
      <w:r>
        <w:t xml:space="preserve">    </w:t>
      </w:r>
      <w:r>
        <w:rPr>
          <w:b/>
        </w:rPr>
        <w:t xml:space="preserve">Pub date: </w:t>
      </w:r>
      <w:r>
        <w:t>2026-03-23 19:43:20+00:00</w:t>
      </w:r>
      <w:r>
        <w:t xml:space="preserve">    </w:t>
      </w:r>
      <w:r>
        <w:rPr>
          <w:b/>
        </w:rPr>
        <w:t xml:space="preserve">DOI: </w:t>
      </w:r>
      <w:hyperlink r:id="rId415">
        <w:r>
          <w:rPr>
            <w:color w:val="1155CC"/>
            <w:u w:val="single"/>
          </w:rPr>
          <w:t>10.1021/jacs.6c03697</w:t>
        </w:r>
      </w:hyperlink>
    </w:p>
    <w:p>
      <w:pPr>
        <w:spacing w:before="0" w:after="120"/>
      </w:pPr>
      <w:r>
        <w:rPr>
          <w:b/>
        </w:rPr>
        <w:t xml:space="preserve">Notes: </w:t>
      </w:r>
      <w:r>
        <w:t>abstract_source=pubmed</w:t>
      </w:r>
    </w:p>
    <w:p>
      <w:pPr>
        <w:spacing w:before="0" w:after="80" w:lineRule="auto" w:line="276"/>
      </w:pPr>
      <w:r>
        <w:rPr>
          <w:b/>
        </w:rPr>
        <w:t xml:space="preserve">摘要（ZH）: </w:t>
      </w:r>
      <w:r>
        <w:t>多重耐药（MDR）病原体的出现促使我们寻找新的抗菌策略。磷脂酰甘油（PG）是一个有吸引力的细菌特异性脂质靶点，但目前只有一种临床药物达托霉素针对它。然而，达托霉素与大多数报道的PG结合剂一样，通过不精确的疏水-静电模式结合PG，需要相对较大的分子尺寸。这一要求，加上其严格的Ca2+依赖性，显著限制了其效力。在此，我们报告了双吡啶酰胺（BisPAs），这是一类经过合理设计的小分子，能够通过酰胺-二醇氢键结合与吡啶-磷酸阴离子-π相互作用精确识别PG，而不依赖于Ca2+等环境条件。主导化合物BisPA14，具有∼</w:t>
      </w:r>
    </w:p>
    <w:p>
      <w:pPr>
        <w:spacing w:before="0" w:after="200" w:lineRule="auto" w:line="276"/>
      </w:pPr>
      <w:r>
        <w:rPr>
          <w:b/>
        </w:rPr>
        <w:t xml:space="preserve">Abstract (EN): </w:t>
      </w:r>
      <w:r>
        <w:t>The emergence of multidrug-resistant (MDR) pathogens has urged us to find new antimicrobial strategies. Phosphatidylglycerol (PG) is an attractive bacterial-specific lipid target but is targeted by only one clinical agent, daptomycin. Yet daptomycin, like most reported PG binders, binds PG through an imprecise hydrophobic-electrostatic mode, necessitating a relatively large molecular size. This requirement, together with its strict Ca2+ dependence, significantly limits its efficacy. Here, we report bis-pyridinium amides (BisPAs), a rationally designed class of small molecules capable of precisely recognizing PG through amide-diol hydrogen bonding coupled with pyridinium-phosphate anionic-π interaction, independent of environmental conditions such as Ca2+. The lead compound, BisPA14, with ∼one-third the molecular weight of daptomycin, exhibits comparable PG-binding affinity, with Kd(BisPA14) = 1.4 × 10-6 M versus Kd(daptomycin-Ca2+) = 0.9 × 10-6 M. BisPA14 disrupts PG self-assembly and membrane integrity and simultaneously engages bacterial DNA as a secondary intracellular target. This dual-targeting mechanism enables BisPA14 to eradicate proliferating, tolerant, and persister bacterial populations while suppressing resistance evolution. It remains active in serum-containing environments, protects host cells from bacterial damage, and demonstrates excellent biocompatibility and strong therapeutic efficacy in intraperitoneal, pulmonary, and bloodstream methicillin-resistant Staphylococcus aureus infection models. As a synthetically accessible small molecule that functionally mimics and improves upon daptomycin's lipid-targeting mechanism, this work establishes a secondary-bonding-driven PG-recognition paradigm for combating MDR bacterial infections.</w:t>
      </w:r>
    </w:p>
    <w:p>
      <w:pPr>
        <w:spacing w:before="120" w:after="120"/>
      </w:pPr>
      <w:r>
        <w:rPr>
          <w:sz w:val="18"/>
        </w:rPr>
        <w:t>——————————————————————————————————————————————————————————————————————</w:t>
      </w:r>
    </w:p>
    <w:p>
      <w:pPr>
        <w:spacing w:before="160" w:after="40" w:line="240" w:lineRule="auto"/>
      </w:pPr>
      <w:r>
        <w:rPr>
          <w:b/>
        </w:rPr>
        <w:t xml:space="preserve">[121] </w:t>
      </w:r>
      <w:hyperlink r:id="rId416">
        <w:r>
          <w:rPr>
            <w:color w:val="1155CC"/>
            <w:u w:val="single"/>
          </w:rPr>
          <w:t>反物质首次被运输——在CERN的卡车后部</w:t>
        </w:r>
      </w:hyperlink>
    </w:p>
    <w:p>
      <w:pPr>
        <w:spacing w:before="0" w:after="80"/>
      </w:pPr>
      <w:r>
        <w:rPr>
          <w:i/>
          <w:sz w:val="20"/>
        </w:rPr>
        <w:t>EN: Antimatter has been transported for the first time ever — in the back of CERN's truck</w:t>
      </w:r>
    </w:p>
    <w:p>
      <w:pPr>
        <w:spacing w:before="0" w:after="120"/>
      </w:pPr>
      <w:r>
        <w:rPr>
          <w:b/>
        </w:rPr>
        <w:t xml:space="preserve">Source: </w:t>
      </w:r>
      <w:r>
        <w:t>Nature</w:t>
      </w:r>
      <w:r>
        <w:t xml:space="preserve">    </w:t>
      </w:r>
      <w:r>
        <w:rPr>
          <w:b/>
        </w:rPr>
        <w:t xml:space="preserve">Pub date: </w:t>
      </w:r>
      <w:r>
        <w:t>2026-03-24 00:00:00+00:00</w:t>
      </w:r>
      <w:r>
        <w:t xml:space="preserve">    </w:t>
      </w:r>
      <w:r>
        <w:rPr>
          <w:b/>
        </w:rPr>
        <w:t xml:space="preserve">DOI: </w:t>
      </w:r>
      <w:hyperlink r:id="rId417">
        <w:r>
          <w:rPr>
            <w:color w:val="1155CC"/>
            <w:u w:val="single"/>
          </w:rPr>
          <w:t>10.1038/d41586-026-00950-w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[122] </w:t>
      </w:r>
      <w:hyperlink r:id="rId418">
        <w:r>
          <w:rPr>
            <w:color w:val="1155CC"/>
            <w:u w:val="single"/>
          </w:rPr>
          <w:t>这些医学X光片都是深度伪造的——甚至连放射科医生都被骗了</w:t>
        </w:r>
      </w:hyperlink>
    </w:p>
    <w:p>
      <w:pPr>
        <w:spacing w:before="0" w:after="80"/>
      </w:pPr>
      <w:r>
        <w:rPr>
          <w:i/>
          <w:sz w:val="20"/>
        </w:rPr>
        <w:t>EN: These medical X-rays are all deepfakes — and they fool even radiologists</w:t>
      </w:r>
    </w:p>
    <w:p>
      <w:pPr>
        <w:spacing w:before="0" w:after="120"/>
      </w:pPr>
      <w:r>
        <w:rPr>
          <w:b/>
        </w:rPr>
        <w:t xml:space="preserve">Source: </w:t>
      </w:r>
      <w:r>
        <w:t>Nature</w:t>
      </w:r>
      <w:r>
        <w:t xml:space="preserve">    </w:t>
      </w:r>
      <w:r>
        <w:rPr>
          <w:b/>
        </w:rPr>
        <w:t xml:space="preserve">Pub date: </w:t>
      </w:r>
      <w:r>
        <w:t>2026-03-24 00:00:00+00:00</w:t>
      </w:r>
      <w:r>
        <w:t xml:space="preserve">    </w:t>
      </w:r>
      <w:r>
        <w:rPr>
          <w:b/>
        </w:rPr>
        <w:t xml:space="preserve">DOI: </w:t>
      </w:r>
      <w:hyperlink r:id="rId419">
        <w:r>
          <w:rPr>
            <w:color w:val="1155CC"/>
            <w:u w:val="single"/>
          </w:rPr>
          <w:t>10.1038/d41586-026-00892-3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[123] </w:t>
      </w:r>
      <w:hyperlink r:id="rId420">
        <w:r>
          <w:rPr>
            <w:color w:val="1155CC"/>
            <w:u w:val="single"/>
          </w:rPr>
          <w:t>为什么人工智能尚未引发就业危机——到目前为止</w:t>
        </w:r>
      </w:hyperlink>
    </w:p>
    <w:p>
      <w:pPr>
        <w:spacing w:before="0" w:after="80"/>
      </w:pPr>
      <w:r>
        <w:rPr>
          <w:i/>
          <w:sz w:val="20"/>
        </w:rPr>
        <w:t>EN: Why AI hasn’t caused a job apocalypse — so far</w:t>
      </w:r>
    </w:p>
    <w:p>
      <w:pPr>
        <w:spacing w:before="0" w:after="120"/>
      </w:pPr>
      <w:r>
        <w:rPr>
          <w:b/>
        </w:rPr>
        <w:t xml:space="preserve">Source: </w:t>
      </w:r>
      <w:r>
        <w:t>Nature</w:t>
      </w:r>
      <w:r>
        <w:t xml:space="preserve">    </w:t>
      </w:r>
      <w:r>
        <w:rPr>
          <w:b/>
        </w:rPr>
        <w:t xml:space="preserve">Pub date: </w:t>
      </w:r>
      <w:r>
        <w:t>2026-03-24 00:00:00+00:00</w:t>
      </w:r>
      <w:r>
        <w:t xml:space="preserve">    </w:t>
      </w:r>
      <w:r>
        <w:rPr>
          <w:b/>
        </w:rPr>
        <w:t xml:space="preserve">DOI: </w:t>
      </w:r>
      <w:hyperlink r:id="rId421">
        <w:r>
          <w:rPr>
            <w:color w:val="1155CC"/>
            <w:u w:val="single"/>
          </w:rPr>
          <w:t>10.1038/d41586-026-00883-4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[124] </w:t>
      </w:r>
      <w:hyperlink r:id="rId422">
        <w:r>
          <w:rPr>
            <w:color w:val="1155CC"/>
            <w:u w:val="single"/>
          </w:rPr>
          <w:t>土壤中的DNA如何撼动人类起源研究</w:t>
        </w:r>
      </w:hyperlink>
    </w:p>
    <w:p>
      <w:pPr>
        <w:spacing w:before="0" w:after="80"/>
      </w:pPr>
      <w:r>
        <w:rPr>
          <w:i/>
          <w:sz w:val="20"/>
        </w:rPr>
        <w:t>EN: How DNA in dirt is shaking up the study of human origins</w:t>
      </w:r>
    </w:p>
    <w:p>
      <w:pPr>
        <w:spacing w:before="0" w:after="120"/>
      </w:pPr>
      <w:r>
        <w:rPr>
          <w:b/>
        </w:rPr>
        <w:t xml:space="preserve">Source: </w:t>
      </w:r>
      <w:r>
        <w:t>Nature</w:t>
      </w:r>
      <w:r>
        <w:t xml:space="preserve">    </w:t>
      </w:r>
      <w:r>
        <w:rPr>
          <w:b/>
        </w:rPr>
        <w:t xml:space="preserve">Pub date: </w:t>
      </w:r>
      <w:r>
        <w:t>2026-03-24 00:00:00+00:00</w:t>
      </w:r>
      <w:r>
        <w:t xml:space="preserve">    </w:t>
      </w:r>
      <w:r>
        <w:rPr>
          <w:b/>
        </w:rPr>
        <w:t xml:space="preserve">DOI: </w:t>
      </w:r>
      <w:hyperlink r:id="rId423">
        <w:r>
          <w:rPr>
            <w:color w:val="1155CC"/>
            <w:u w:val="single"/>
          </w:rPr>
          <w:t>10.1038/d41586-026-00879-0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[125] </w:t>
      </w:r>
      <w:hyperlink r:id="rId424">
        <w:r>
          <w:rPr>
            <w:color w:val="1155CC"/>
            <w:u w:val="single"/>
          </w:rPr>
          <w:t>北半球中纬度地区的大气氧化能力正达到一个转折点</w:t>
        </w:r>
      </w:hyperlink>
    </w:p>
    <w:p>
      <w:pPr>
        <w:spacing w:before="0" w:after="80"/>
      </w:pPr>
      <w:r>
        <w:rPr>
          <w:i/>
          <w:sz w:val="20"/>
        </w:rPr>
        <w:t>EN: Atmospheric oxidation capacity at northern midlatitude regions is reaching a turning point</w:t>
      </w:r>
    </w:p>
    <w:p>
      <w:pPr>
        <w:spacing w:before="0" w:after="120"/>
      </w:pPr>
      <w:r>
        <w:rPr>
          <w:b/>
        </w:rPr>
        <w:t xml:space="preserve">Source: </w:t>
      </w:r>
      <w:r>
        <w:t>National Science Review Advance Access</w:t>
      </w:r>
      <w:r>
        <w:t xml:space="preserve">    </w:t>
      </w:r>
      <w:r>
        <w:rPr>
          <w:b/>
        </w:rPr>
        <w:t xml:space="preserve">Pub date: </w:t>
      </w:r>
      <w:r>
        <w:t>2026-03-24 00:00:00+00:00</w:t>
      </w:r>
      <w:r>
        <w:t xml:space="preserve">    </w:t>
      </w:r>
      <w:r>
        <w:rPr>
          <w:b/>
        </w:rPr>
        <w:t xml:space="preserve">DOI: </w:t>
      </w:r>
      <w:hyperlink r:id="rId425">
        <w:r>
          <w:rPr>
            <w:color w:val="1155CC"/>
            <w:u w:val="single"/>
          </w:rPr>
          <w:t>10.1093/nsr/nwag178</w:t>
        </w:r>
      </w:hyperlink>
    </w:p>
    <w:p>
      <w:pPr>
        <w:spacing w:before="0" w:after="120"/>
      </w:pPr>
      <w:r>
        <w:rPr>
          <w:b/>
        </w:rPr>
        <w:t xml:space="preserve">Notes: </w:t>
      </w:r>
      <w:r>
        <w:t>abstract_source=rss_oup</w:t>
      </w:r>
    </w:p>
    <w:p>
      <w:pPr>
        <w:spacing w:before="0" w:after="80" w:lineRule="auto" w:line="276"/>
      </w:pPr>
      <w:r>
        <w:rPr>
          <w:b/>
        </w:rPr>
        <w:t xml:space="preserve">摘要（ZH）: </w:t>
      </w:r>
      <w:r>
        <w:t>羟基自由基（OH）是主要的大气氧化剂，控制着甲烷等短寿命温室气体的去除以及臭氧等二次污染物的形成。表征长期的OH变化对于理解大气氧化能力和制定空气质量改善策略至关重要。尽管先前的研究将OH的增加与人为排放，特别是氮氧化物（NOx）联系起来，但OH的历史演变仍然缺乏约束。在此，我们开发了一种基于观测的方法（OBM）来量化地表OH浓度的时空变化，并识别其在中国、欧洲和美国的关键转折点。与清洁地区相比，OH浓度增加了约300%</w:t>
      </w:r>
    </w:p>
    <w:p>
      <w:pPr>
        <w:spacing w:before="0" w:after="200" w:lineRule="auto" w:line="276"/>
      </w:pPr>
      <w:r>
        <w:rPr>
          <w:b/>
        </w:rPr>
        <w:t xml:space="preserve">Abstract (EN): </w:t>
      </w:r>
      <w:r>
        <w:t>The hydroxyl radical (OH) constitutes the primary atmospheric oxidant, governing the removal of short-lived greenhouse gases such as methane and the formation of secondary pollutants, including ozone. Characterizing long-term OH variability is critical for understanding atmospheric oxidation capacity and formulation of air quality improvement strategies. Although previous studies have linked OH increases to anthropogenic emissions, particularly nitrogen oxides (NOx), the historical evolution of OH remains poorly constrained. Here, we develop an observation-based method (OBM) to quantify spatiotemporal variability of surface OH concentration and identify its key turning points for China, Europe and the United States. Relative to clean regions, OH concentrations have increased by about 300% in all three regions, mainly attributable to enhanced NOx emissions. However, OBM-derived trends reveal that OH levels have reached a turning point, with statistically significant decreases observed at ∼10% of stations in Europe and the United States, while ∼85% of stations continue to increase. At hemispheric mid-latitudes, OH levels have remained near peak values of (5–9) × 106 cm−3 over the past 50–60 years, and it may take another several decades to fully return to the NOx-limited regime, beyond the turning point. These findings challenge prior assessments of OH increases or stability and suggest an emerging decline in mid-latitude atmospheric oxidation capacity, as well as provide a novel indicator of regional ozone control strategies.</w:t>
      </w:r>
    </w:p>
    <w:p>
      <w:pPr>
        <w:spacing w:before="120" w:after="120"/>
      </w:pPr>
      <w:r>
        <w:rPr>
          <w:sz w:val="18"/>
        </w:rPr>
        <w:t>——————————————————————————————————————————————————————————————————————</w:t>
      </w:r>
    </w:p>
    <w:p>
      <w:pPr>
        <w:spacing w:before="160" w:after="40" w:line="240" w:lineRule="auto"/>
      </w:pPr>
      <w:r>
        <w:rPr>
          <w:b/>
        </w:rPr>
        <w:t xml:space="preserve">[126] </w:t>
      </w:r>
      <w:hyperlink r:id="rId426">
        <w:r>
          <w:rPr>
            <w:color w:val="1155CC"/>
            <w:u w:val="single"/>
          </w:rPr>
          <w:t>拓扑工程的共价有机框架通过构象锁定增强了电子供体-受体复合物的光激活</w:t>
        </w:r>
      </w:hyperlink>
    </w:p>
    <w:p>
      <w:pPr>
        <w:spacing w:before="0" w:after="80"/>
      </w:pPr>
      <w:r>
        <w:rPr>
          <w:i/>
          <w:sz w:val="20"/>
        </w:rPr>
        <w:t>EN: Topological engineering of covalent organic frameworks enhances photoactivation of electron donor–acceptor complexes via conformational locking</w:t>
      </w:r>
    </w:p>
    <w:p>
      <w:pPr>
        <w:spacing w:before="0" w:after="120"/>
      </w:pPr>
      <w:r>
        <w:rPr>
          <w:b/>
        </w:rPr>
        <w:t xml:space="preserve">Source: </w:t>
      </w:r>
      <w:r>
        <w:t>National Science Review Advance Access</w:t>
      </w:r>
      <w:r>
        <w:t xml:space="preserve">    </w:t>
      </w:r>
      <w:r>
        <w:rPr>
          <w:b/>
        </w:rPr>
        <w:t xml:space="preserve">Pub date: </w:t>
      </w:r>
      <w:r>
        <w:t>2026-03-24 00:00:00+00:00</w:t>
      </w:r>
      <w:r>
        <w:t xml:space="preserve">    </w:t>
      </w:r>
      <w:r>
        <w:rPr>
          <w:b/>
        </w:rPr>
        <w:t xml:space="preserve">DOI: </w:t>
      </w:r>
      <w:hyperlink r:id="rId427">
        <w:r>
          <w:rPr>
            <w:color w:val="1155CC"/>
            <w:u w:val="single"/>
          </w:rPr>
          <w:t>10.1093/nsr/nwag183</w:t>
        </w:r>
      </w:hyperlink>
    </w:p>
    <w:p>
      <w:pPr>
        <w:spacing w:before="0" w:after="120"/>
      </w:pPr>
      <w:r>
        <w:rPr>
          <w:b/>
        </w:rPr>
        <w:t xml:space="preserve">Notes: </w:t>
      </w:r>
      <w:r>
        <w:t>abstract_source=rss_oup</w:t>
      </w:r>
    </w:p>
    <w:p>
      <w:pPr>
        <w:spacing w:before="0" w:after="80" w:lineRule="auto" w:line="276"/>
      </w:pPr>
      <w:r>
        <w:rPr>
          <w:b/>
        </w:rPr>
        <w:t xml:space="preserve">摘要（ZH）: </w:t>
      </w:r>
      <w:r>
        <w:t>电子供体-受体（EDA）复合物光激活为有机合成提供了一条有价值的途径，但开发高效的催化系统仍然是一个重大挑战。我们提出了一种基于共价有机框架（COFs）内拓扑构象锁定的新策略，以设计高性能供体平台。具体而言，我们从构象灵活的构建块4,4ʹ,4ʹʹ,4ʹʹʹ-(1,4-苯撑双(氮三烯基))四苯甲醛（PATB）构建了一个三维（3D）COF和两个二维（2D）类似物。与2D结构不同，3D结构本质上限制了分子灵活性，稳定了锁定构象，显著增强了受体结合亲和力，并促进了高效的EDA复合物形成和电</w:t>
      </w:r>
    </w:p>
    <w:p>
      <w:pPr>
        <w:spacing w:before="0" w:after="200" w:lineRule="auto" w:line="276"/>
      </w:pPr>
      <w:r>
        <w:rPr>
          <w:b/>
        </w:rPr>
        <w:t xml:space="preserve">Abstract (EN): </w:t>
      </w:r>
      <w:r>
        <w:t>Electron donor–acceptor (EDA) complex photoactivation offers a valuable route for organic synthesis, yet the development of efficient catalytic systems remains a significant challenge. We present a novel strategy based on topological conformational locking within covalent organic frameworks (COFs) to engineer high-performance donor platforms. Specifically, we constructed a three-dimensional (3D) COF and two two-dimensional (2D) analogues from the conformationally flexible building block 4,4ʹ,4ʹʹ,4ʹʹʹ-(1,4-phenylenebis(azanetriyl))tetrabenzaldehyde (PATB). Unlike the 2D structures, the 3D architecture intrinsically restricts molecular flexibility, stabilizing a locked conformation that significantly enhances acceptor binding affinity and facilitates efficient EDA complex formation and electron transfer. The 3D-PATB COF exhibits superior photocatalytic activity across a range of transformations, including C–H functionalization and [3+2] cyclization, and supports gram-scale synthesis with outstanding structural stability. Both experimental and computational analyses underscore the critical role of conformational locking in boosting catalytic performance, establishing topological engineering as a powerful approach for advancing EDA complex photochemistry.</w:t>
      </w:r>
    </w:p>
    <w:p>
      <w:pPr>
        <w:spacing w:before="120" w:after="120"/>
      </w:pPr>
      <w:r>
        <w:rPr>
          <w:sz w:val="18"/>
        </w:rPr>
        <w:t>——————————————————————————————————————————————————————————————————————</w:t>
      </w:r>
    </w:p>
    <w:p>
      <w:pPr>
        <w:spacing w:before="160" w:after="40" w:line="240" w:lineRule="auto"/>
      </w:pPr>
      <w:r>
        <w:rPr>
          <w:b/>
        </w:rPr>
        <w:t xml:space="preserve">[127] </w:t>
      </w:r>
      <w:hyperlink r:id="rId428">
        <w:r>
          <w:rPr>
            <w:color w:val="1155CC"/>
            <w:u w:val="single"/>
          </w:rPr>
          <w:t>SWOT揭示了南极洲周围的高海岸涡流活动</w:t>
        </w:r>
      </w:hyperlink>
    </w:p>
    <w:p>
      <w:pPr>
        <w:spacing w:before="0" w:after="80"/>
      </w:pPr>
      <w:r>
        <w:rPr>
          <w:i/>
          <w:sz w:val="20"/>
        </w:rPr>
        <w:t>EN: High coastal eddy activity around Antarctica revealed by SWOT</w:t>
      </w:r>
    </w:p>
    <w:p>
      <w:pPr>
        <w:spacing w:before="0" w:after="120"/>
      </w:pPr>
      <w:r>
        <w:rPr>
          <w:b/>
        </w:rPr>
        <w:t xml:space="preserve">Source: </w:t>
      </w:r>
      <w:r>
        <w:t>National Science Review Advance Access</w:t>
      </w:r>
      <w:r>
        <w:t xml:space="preserve">    </w:t>
      </w:r>
      <w:r>
        <w:rPr>
          <w:b/>
        </w:rPr>
        <w:t xml:space="preserve">Pub date: </w:t>
      </w:r>
      <w:r>
        <w:t>2026-03-24 00:00:00+00:00</w:t>
      </w:r>
      <w:r>
        <w:t xml:space="preserve">    </w:t>
      </w:r>
      <w:r>
        <w:rPr>
          <w:b/>
        </w:rPr>
        <w:t xml:space="preserve">DOI: </w:t>
      </w:r>
      <w:hyperlink r:id="rId429">
        <w:r>
          <w:rPr>
            <w:color w:val="1155CC"/>
            <w:u w:val="single"/>
          </w:rPr>
          <w:t>10.1093/nsr/nwag181</w:t>
        </w:r>
      </w:hyperlink>
    </w:p>
    <w:p>
      <w:pPr>
        <w:spacing w:before="0" w:after="120"/>
      </w:pPr>
      <w:r>
        <w:rPr>
          <w:b/>
        </w:rPr>
        <w:t xml:space="preserve">Notes: </w:t>
      </w:r>
      <w:r>
        <w:t>abstract_source=rss_oup</w:t>
      </w:r>
    </w:p>
    <w:p>
      <w:pPr>
        <w:spacing w:before="0" w:after="80" w:lineRule="auto" w:line="276"/>
      </w:pPr>
      <w:r>
        <w:rPr>
          <w:b/>
        </w:rPr>
        <w:t xml:space="preserve">摘要（ZH）: </w:t>
      </w:r>
      <w:r>
        <w:t>南极边缘海对全球气候至关重要，但直接观测，尤其是中尺度海洋涡旋的观测仍然稀缺。在此，通过分析最近发射的表面水和海洋地形（SWOT）卫星提供的前所未有的高分辨率海面高度数据，我们首次揭示了南极大陆架上广泛存在的中尺度涡旋。观测到的涡旋的地理分布以及涡旋解析模型模拟支持了冰架底部融化和密集架水形成是驱动普遍涡旋活动的关键过程的假设。我们的研究结果强调了创新卫星测量在监测关键南极海洋过程中的潜力，以及解决</w:t>
      </w:r>
    </w:p>
    <w:p>
      <w:pPr>
        <w:spacing w:before="0" w:after="200" w:lineRule="auto" w:line="276"/>
      </w:pPr>
      <w:r>
        <w:rPr>
          <w:b/>
        </w:rPr>
        <w:t xml:space="preserve">Abstract (EN): </w:t>
      </w:r>
      <w:r>
        <w:t>Antarctic marginal seas are crucial for the global climate, but direct observations, especially of mesoscale ocean eddies, remain scarce. Here, by analyzing the unprecedented high-resolution sea surface height data provided by the recently launched Surface Water and Ocean Topography (SWOT) satellite, we reveal for the first time a widespread presence of mesoscale eddies across the Antarctic continental shelf. The geographic distributions of the observed eddies, along with eddy-resolving model simulations, support the hypothesis that ice shelf basal melting and dense shelf water formation are key processes driving the prevalent eddy activity. Our findings highlight the potential of innovative satellite measurements for monitoring critical Antarctic oceanic processes, and the need to resolve the abundant Antarctic ocean eddies in climate models.</w:t>
      </w:r>
    </w:p>
    <w:p>
      <w:pPr>
        <w:spacing w:before="120" w:after="120"/>
      </w:pPr>
      <w:r>
        <w:rPr>
          <w:sz w:val="18"/>
        </w:rPr>
        <w:t>——————————————————————————————————————————————————————————————————————</w:t>
      </w:r>
    </w:p>
    <w:p>
      <w:pPr>
        <w:spacing w:before="160" w:after="40" w:line="240" w:lineRule="auto"/>
      </w:pPr>
      <w:r>
        <w:rPr>
          <w:b/>
        </w:rPr>
        <w:t xml:space="preserve">[128] </w:t>
      </w:r>
      <w:hyperlink r:id="rId430">
        <w:r>
          <w:rPr>
            <w:color w:val="1155CC"/>
            <w:u w:val="single"/>
          </w:rPr>
          <w:t>区分协同和顺序质子-电子转移</w:t>
        </w:r>
      </w:hyperlink>
    </w:p>
    <w:p>
      <w:pPr>
        <w:spacing w:before="0" w:after="80"/>
      </w:pPr>
      <w:r>
        <w:rPr>
          <w:i/>
          <w:sz w:val="20"/>
        </w:rPr>
        <w:t>EN: Distinguishing concerted and sequential proton–electron transfer</w:t>
      </w:r>
    </w:p>
    <w:p>
      <w:pPr>
        <w:spacing w:before="0" w:after="120"/>
      </w:pPr>
      <w:r>
        <w:rPr>
          <w:b/>
        </w:rPr>
        <w:t xml:space="preserve">Source: </w:t>
      </w:r>
      <w:r>
        <w:t>Nature Chemistry</w:t>
      </w:r>
      <w:r>
        <w:t xml:space="preserve">    </w:t>
      </w:r>
      <w:r>
        <w:rPr>
          <w:b/>
        </w:rPr>
        <w:t xml:space="preserve">Pub date: </w:t>
      </w:r>
      <w:r>
        <w:t>2026-03-24 00:00:00+00:00</w:t>
      </w:r>
      <w:r>
        <w:t xml:space="preserve">    </w:t>
      </w:r>
      <w:r>
        <w:rPr>
          <w:b/>
        </w:rPr>
        <w:t xml:space="preserve">DOI: </w:t>
      </w:r>
      <w:hyperlink r:id="rId431">
        <w:r>
          <w:rPr>
            <w:color w:val="1155CC"/>
            <w:u w:val="single"/>
          </w:rPr>
          <w:t>10.1038/s41557-026-02103-y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[129] </w:t>
      </w:r>
      <w:hyperlink r:id="rId432">
        <w:r>
          <w:rPr>
            <w:color w:val="1155CC"/>
            <w:u w:val="single"/>
          </w:rPr>
          <w:t>英国取消了追踪气候、污染和天气系统的空中实验室</w:t>
        </w:r>
      </w:hyperlink>
    </w:p>
    <w:p>
      <w:pPr>
        <w:spacing w:before="0" w:after="80"/>
      </w:pPr>
      <w:r>
        <w:rPr>
          <w:i/>
          <w:sz w:val="20"/>
        </w:rPr>
        <w:t>EN: UK scraps airborne lab that tracks climate, pollution and weather systems</w:t>
      </w:r>
    </w:p>
    <w:p>
      <w:pPr>
        <w:spacing w:before="0" w:after="120"/>
      </w:pPr>
      <w:r>
        <w:rPr>
          <w:b/>
        </w:rPr>
        <w:t xml:space="preserve">Source: </w:t>
      </w:r>
      <w:r>
        <w:t>Nature</w:t>
      </w:r>
      <w:r>
        <w:t xml:space="preserve">    </w:t>
      </w:r>
      <w:r>
        <w:rPr>
          <w:b/>
        </w:rPr>
        <w:t xml:space="preserve">Pub date: </w:t>
      </w:r>
      <w:r>
        <w:t>2026-03-24 00:00:00+00:00</w:t>
      </w:r>
      <w:r>
        <w:t xml:space="preserve">    </w:t>
      </w:r>
      <w:r>
        <w:rPr>
          <w:b/>
        </w:rPr>
        <w:t xml:space="preserve">DOI: </w:t>
      </w:r>
      <w:hyperlink r:id="rId433">
        <w:r>
          <w:rPr>
            <w:color w:val="1155CC"/>
            <w:u w:val="single"/>
          </w:rPr>
          <w:t>10.1038/d41586-026-00941-x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[130] </w:t>
      </w:r>
      <w:hyperlink r:id="rId434">
        <w:r>
          <w:rPr>
            <w:color w:val="1155CC"/>
            <w:u w:val="single"/>
          </w:rPr>
          <w:t>科学家应加入生物多样性协作在线编辑社区</w:t>
        </w:r>
      </w:hyperlink>
    </w:p>
    <w:p>
      <w:pPr>
        <w:spacing w:before="0" w:after="80"/>
      </w:pPr>
      <w:r>
        <w:rPr>
          <w:i/>
          <w:sz w:val="20"/>
        </w:rPr>
        <w:t>EN: Scientists should join collaborative online editing communities for biodiversity</w:t>
      </w:r>
    </w:p>
    <w:p>
      <w:pPr>
        <w:spacing w:before="0" w:after="120"/>
      </w:pPr>
      <w:r>
        <w:rPr>
          <w:b/>
        </w:rPr>
        <w:t xml:space="preserve">Source: </w:t>
      </w:r>
      <w:r>
        <w:t>Nature</w:t>
      </w:r>
      <w:r>
        <w:t xml:space="preserve">    </w:t>
      </w:r>
      <w:r>
        <w:rPr>
          <w:b/>
        </w:rPr>
        <w:t xml:space="preserve">Pub date: </w:t>
      </w:r>
      <w:r>
        <w:t>2026-03-24 00:00:00+00:00</w:t>
      </w:r>
      <w:r>
        <w:t xml:space="preserve">    </w:t>
      </w:r>
      <w:r>
        <w:rPr>
          <w:b/>
        </w:rPr>
        <w:t xml:space="preserve">DOI: </w:t>
      </w:r>
      <w:hyperlink r:id="rId435">
        <w:r>
          <w:rPr>
            <w:color w:val="1155CC"/>
            <w:u w:val="single"/>
          </w:rPr>
          <w:t>10.1038/d41586-026-00940-y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[131] </w:t>
      </w:r>
      <w:hyperlink r:id="rId436">
        <w:r>
          <w:rPr>
            <w:color w:val="1155CC"/>
            <w:u w:val="single"/>
          </w:rPr>
          <w:t>海洋生物是武装冲突的无声受害者</w:t>
        </w:r>
      </w:hyperlink>
    </w:p>
    <w:p>
      <w:pPr>
        <w:spacing w:before="0" w:after="80"/>
      </w:pPr>
      <w:r>
        <w:rPr>
          <w:i/>
          <w:sz w:val="20"/>
        </w:rPr>
        <w:t>EN: Marine life is a silent casualty of armed conflicts</w:t>
      </w:r>
    </w:p>
    <w:p>
      <w:pPr>
        <w:spacing w:before="0" w:after="120"/>
      </w:pPr>
      <w:r>
        <w:rPr>
          <w:b/>
        </w:rPr>
        <w:t xml:space="preserve">Source: </w:t>
      </w:r>
      <w:r>
        <w:t>Nature</w:t>
      </w:r>
      <w:r>
        <w:t xml:space="preserve">    </w:t>
      </w:r>
      <w:r>
        <w:rPr>
          <w:b/>
        </w:rPr>
        <w:t xml:space="preserve">Pub date: </w:t>
      </w:r>
      <w:r>
        <w:t>2026-03-24 00:00:00+00:00</w:t>
      </w:r>
      <w:r>
        <w:t xml:space="preserve">    </w:t>
      </w:r>
      <w:r>
        <w:rPr>
          <w:b/>
        </w:rPr>
        <w:t xml:space="preserve">DOI: </w:t>
      </w:r>
      <w:hyperlink r:id="rId437">
        <w:r>
          <w:rPr>
            <w:color w:val="1155CC"/>
            <w:u w:val="single"/>
          </w:rPr>
          <w:t>10.1038/d41586-026-00942-w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[132] </w:t>
      </w:r>
      <w:hyperlink r:id="rId438">
        <w:r>
          <w:rPr>
            <w:color w:val="1155CC"/>
            <w:u w:val="single"/>
          </w:rPr>
          <w:t>作者更正：7-脱氢胆固醇是铁死亡的内源性抑制剂</w:t>
        </w:r>
      </w:hyperlink>
    </w:p>
    <w:p>
      <w:pPr>
        <w:spacing w:before="0" w:after="80"/>
      </w:pPr>
      <w:r>
        <w:rPr>
          <w:i/>
          <w:sz w:val="20"/>
        </w:rPr>
        <w:t>EN: Author Correction: 7-Dehydrocholesterol is an endogenous suppressor of ferroptosis</w:t>
      </w:r>
    </w:p>
    <w:p>
      <w:pPr>
        <w:spacing w:before="0" w:after="120"/>
      </w:pPr>
      <w:r>
        <w:rPr>
          <w:b/>
        </w:rPr>
        <w:t xml:space="preserve">Source: </w:t>
      </w:r>
      <w:r>
        <w:t>Nature</w:t>
      </w:r>
      <w:r>
        <w:t xml:space="preserve">    </w:t>
      </w:r>
      <w:r>
        <w:rPr>
          <w:b/>
        </w:rPr>
        <w:t xml:space="preserve">Pub date: </w:t>
      </w:r>
      <w:r>
        <w:t>2026-03-24 00:00:00+00:00</w:t>
      </w:r>
      <w:r>
        <w:t xml:space="preserve">    </w:t>
      </w:r>
      <w:r>
        <w:rPr>
          <w:b/>
        </w:rPr>
        <w:t xml:space="preserve">DOI: </w:t>
      </w:r>
      <w:hyperlink r:id="rId439">
        <w:r>
          <w:rPr>
            <w:color w:val="1155CC"/>
            <w:u w:val="single"/>
          </w:rPr>
          <w:t>10.1038/s41586-026-10403-z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[133] </w:t>
      </w:r>
      <w:hyperlink r:id="rId440">
        <w:r>
          <w:rPr>
            <w:color w:val="1155CC"/>
            <w:u w:val="single"/>
          </w:rPr>
          <w:t>老鼠可以无限克隆吗？长达数十年的实验有答案</w:t>
        </w:r>
      </w:hyperlink>
    </w:p>
    <w:p>
      <w:pPr>
        <w:spacing w:before="0" w:after="80"/>
      </w:pPr>
      <w:r>
        <w:rPr>
          <w:i/>
          <w:sz w:val="20"/>
        </w:rPr>
        <w:t>EN: Can a mouse be cloned indefinitely? Decades-long experiment has answers</w:t>
      </w:r>
    </w:p>
    <w:p>
      <w:pPr>
        <w:spacing w:before="0" w:after="120"/>
      </w:pPr>
      <w:r>
        <w:rPr>
          <w:b/>
        </w:rPr>
        <w:t xml:space="preserve">Source: </w:t>
      </w:r>
      <w:r>
        <w:t>Nature</w:t>
      </w:r>
      <w:r>
        <w:t xml:space="preserve">    </w:t>
      </w:r>
      <w:r>
        <w:rPr>
          <w:b/>
        </w:rPr>
        <w:t xml:space="preserve">Pub date: </w:t>
      </w:r>
      <w:r>
        <w:t>2026-03-24 00:00:00+00:00</w:t>
      </w:r>
      <w:r>
        <w:t xml:space="preserve">    </w:t>
      </w:r>
      <w:r>
        <w:rPr>
          <w:b/>
        </w:rPr>
        <w:t xml:space="preserve">DOI: </w:t>
      </w:r>
      <w:hyperlink r:id="rId441">
        <w:r>
          <w:rPr>
            <w:color w:val="1155CC"/>
            <w:u w:val="single"/>
          </w:rPr>
          <w:t>10.1038/d41586-026-00945-7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[134] </w:t>
      </w:r>
      <w:hyperlink r:id="rId442">
        <w:r>
          <w:rPr>
            <w:color w:val="1155CC"/>
            <w:u w:val="single"/>
          </w:rPr>
          <w:t>盐湖正在缩小和扩大，对保护造成破坏</w:t>
        </w:r>
      </w:hyperlink>
    </w:p>
    <w:p>
      <w:pPr>
        <w:spacing w:before="0" w:after="80"/>
      </w:pPr>
      <w:r>
        <w:rPr>
          <w:i/>
          <w:sz w:val="20"/>
        </w:rPr>
        <w:t>EN: Salt lakes are shrinking and expanding, causing havoc in conservation</w:t>
      </w:r>
    </w:p>
    <w:p>
      <w:pPr>
        <w:spacing w:before="0" w:after="120"/>
      </w:pPr>
      <w:r>
        <w:rPr>
          <w:b/>
        </w:rPr>
        <w:t xml:space="preserve">Source: </w:t>
      </w:r>
      <w:r>
        <w:t>Nature</w:t>
      </w:r>
      <w:r>
        <w:t xml:space="preserve">    </w:t>
      </w:r>
      <w:r>
        <w:rPr>
          <w:b/>
        </w:rPr>
        <w:t xml:space="preserve">Pub date: </w:t>
      </w:r>
      <w:r>
        <w:t>2026-03-24 00:00:00+00:00</w:t>
      </w:r>
      <w:r>
        <w:t xml:space="preserve">    </w:t>
      </w:r>
      <w:r>
        <w:rPr>
          <w:b/>
        </w:rPr>
        <w:t xml:space="preserve">DOI: </w:t>
      </w:r>
      <w:hyperlink r:id="rId443">
        <w:r>
          <w:rPr>
            <w:color w:val="1155CC"/>
            <w:u w:val="single"/>
          </w:rPr>
          <w:t>10.1038/d41586-026-00943-9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[135] </w:t>
      </w:r>
      <w:hyperlink r:id="rId444">
        <w:r>
          <w:rPr>
            <w:color w:val="1155CC"/>
            <w:u w:val="single"/>
          </w:rPr>
          <w:t>每日简报：尼安德特胎儿的微小骨骼指向该物种的衰落</w:t>
        </w:r>
      </w:hyperlink>
    </w:p>
    <w:p>
      <w:pPr>
        <w:spacing w:before="0" w:after="80"/>
      </w:pPr>
      <w:r>
        <w:rPr>
          <w:i/>
          <w:sz w:val="20"/>
        </w:rPr>
        <w:t>EN: Daily briefing: Tiny bones from Neanderthal fetus point to downfall of the species</w:t>
      </w:r>
    </w:p>
    <w:p>
      <w:pPr>
        <w:spacing w:before="0" w:after="120"/>
      </w:pPr>
      <w:r>
        <w:rPr>
          <w:b/>
        </w:rPr>
        <w:t xml:space="preserve">Source: </w:t>
      </w:r>
      <w:r>
        <w:t>Nature</w:t>
      </w:r>
      <w:r>
        <w:t xml:space="preserve">    </w:t>
      </w:r>
      <w:r>
        <w:rPr>
          <w:b/>
        </w:rPr>
        <w:t xml:space="preserve">Pub date: </w:t>
      </w:r>
      <w:r>
        <w:t>2026-03-24 00:00:00+00:00</w:t>
      </w:r>
      <w:r>
        <w:t xml:space="preserve">    </w:t>
      </w:r>
      <w:r>
        <w:rPr>
          <w:b/>
        </w:rPr>
        <w:t xml:space="preserve">DOI: </w:t>
      </w:r>
      <w:hyperlink r:id="rId445">
        <w:r>
          <w:rPr>
            <w:color w:val="1155CC"/>
            <w:u w:val="single"/>
          </w:rPr>
          <w:t>10.1038/d41586-026-00963-5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[136] </w:t>
      </w:r>
      <w:hyperlink r:id="rId446">
        <w:r>
          <w:rPr>
            <w:color w:val="1155CC"/>
            <w:u w:val="single"/>
          </w:rPr>
          <w:t>为什么很难猜到高音</w:t>
        </w:r>
      </w:hyperlink>
    </w:p>
    <w:p>
      <w:pPr>
        <w:spacing w:before="0" w:after="80"/>
      </w:pPr>
      <w:r>
        <w:rPr>
          <w:i/>
          <w:sz w:val="20"/>
        </w:rPr>
        <w:t>EN: Why it’s hard to guess the high note</w:t>
      </w:r>
    </w:p>
    <w:p>
      <w:pPr>
        <w:spacing w:before="0" w:after="120"/>
      </w:pPr>
      <w:r>
        <w:rPr>
          <w:b/>
        </w:rPr>
        <w:t xml:space="preserve">Source: </w:t>
      </w:r>
      <w:r>
        <w:t>Nature</w:t>
      </w:r>
      <w:r>
        <w:t xml:space="preserve">    </w:t>
      </w:r>
      <w:r>
        <w:rPr>
          <w:b/>
        </w:rPr>
        <w:t xml:space="preserve">Pub date: </w:t>
      </w:r>
      <w:r>
        <w:t>2026-03-24 00:00:00+00:00</w:t>
      </w:r>
      <w:r>
        <w:t xml:space="preserve">    </w:t>
      </w:r>
      <w:r>
        <w:rPr>
          <w:b/>
        </w:rPr>
        <w:t xml:space="preserve">DOI: </w:t>
      </w:r>
      <w:hyperlink r:id="rId447">
        <w:r>
          <w:rPr>
            <w:color w:val="1155CC"/>
            <w:u w:val="single"/>
          </w:rPr>
          <w:t>10.1038/d41586-026-00644-3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[137] </w:t>
      </w:r>
      <w:hyperlink r:id="rId448">
        <w:r>
          <w:rPr>
            <w:color w:val="1155CC"/>
            <w:u w:val="single"/>
          </w:rPr>
          <w:t>“僵尸细胞”死而复生——基因组移植后</w:t>
        </w:r>
      </w:hyperlink>
    </w:p>
    <w:p>
      <w:pPr>
        <w:spacing w:before="0" w:after="80"/>
      </w:pPr>
      <w:r>
        <w:rPr>
          <w:i/>
          <w:sz w:val="20"/>
        </w:rPr>
        <w:t>EN: ‘Zombie cells’ return from the dead — after a genome transplant</w:t>
      </w:r>
    </w:p>
    <w:p>
      <w:pPr>
        <w:spacing w:before="0" w:after="120"/>
      </w:pPr>
      <w:r>
        <w:rPr>
          <w:b/>
        </w:rPr>
        <w:t xml:space="preserve">Source: </w:t>
      </w:r>
      <w:r>
        <w:t>Nature</w:t>
      </w:r>
      <w:r>
        <w:t xml:space="preserve">    </w:t>
      </w:r>
      <w:r>
        <w:rPr>
          <w:b/>
        </w:rPr>
        <w:t xml:space="preserve">Pub date: </w:t>
      </w:r>
      <w:r>
        <w:t>2026-03-24 00:00:00+00:00</w:t>
      </w:r>
      <w:r>
        <w:t xml:space="preserve">    </w:t>
      </w:r>
      <w:r>
        <w:rPr>
          <w:b/>
        </w:rPr>
        <w:t xml:space="preserve">DOI: </w:t>
      </w:r>
      <w:hyperlink r:id="rId449">
        <w:r>
          <w:rPr>
            <w:color w:val="1155CC"/>
            <w:u w:val="single"/>
          </w:rPr>
          <w:t>10.1038/d41586-026-00938-6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[138] </w:t>
      </w:r>
      <w:hyperlink r:id="rId450">
        <w:r>
          <w:rPr>
            <w:color w:val="1155CC"/>
            <w:u w:val="single"/>
          </w:rPr>
          <w:t>可逆的巨型热电效应用于增强能量收集和太阳能驱动的热催化</w:t>
        </w:r>
      </w:hyperlink>
    </w:p>
    <w:p>
      <w:pPr>
        <w:spacing w:before="0" w:after="80"/>
      </w:pPr>
      <w:r>
        <w:rPr>
          <w:i/>
          <w:sz w:val="20"/>
        </w:rPr>
        <w:t>EN: Reversible giant pyroelectricity for enhanced energy harvesting and solar-driven pyro-catalysis</w:t>
      </w:r>
    </w:p>
    <w:p>
      <w:pPr>
        <w:spacing w:before="0" w:after="120"/>
      </w:pPr>
      <w:r>
        <w:rPr>
          <w:b/>
        </w:rPr>
        <w:t xml:space="preserve">Source: </w:t>
      </w:r>
      <w:r>
        <w:t>Matter</w:t>
      </w:r>
      <w:r>
        <w:t xml:space="preserve">    </w:t>
      </w:r>
      <w:r>
        <w:rPr>
          <w:b/>
        </w:rPr>
        <w:t xml:space="preserve">Pub date: </w:t>
      </w:r>
      <w:r>
        <w:t>2026-03-24 00:00:00+00:00</w:t>
      </w:r>
      <w:r>
        <w:t xml:space="preserve">    </w:t>
      </w:r>
      <w:r>
        <w:rPr>
          <w:b/>
        </w:rPr>
        <w:t xml:space="preserve">DOI: </w:t>
      </w:r>
      <w:hyperlink r:id="rId451">
        <w:r>
          <w:rPr>
            <w:color w:val="1155CC"/>
            <w:u w:val="single"/>
          </w:rPr>
          <w:t>10.1016/j.matt.2026.102708</w:t>
        </w:r>
      </w:hyperlink>
    </w:p>
    <w:p>
      <w:pPr>
        <w:spacing w:before="0" w:after="120"/>
      </w:pPr>
      <w:r>
        <w:rPr>
          <w:b/>
        </w:rPr>
        <w:t xml:space="preserve">Notes: </w:t>
      </w:r>
      <w:r>
        <w:t>abstract_source=rss_cell</w:t>
      </w:r>
    </w:p>
    <w:p>
      <w:pPr>
        <w:spacing w:before="0" w:after="80" w:lineRule="auto" w:line="276"/>
      </w:pPr>
      <w:r>
        <w:rPr>
          <w:b/>
        </w:rPr>
        <w:t xml:space="preserve">摘要（ZH）: </w:t>
      </w:r>
      <w:r>
        <w:t>在功能陶瓷中工程可逆相变能够实现克服传统能量损失限制的巨大热释电响应。这些“自恢复”材料通过太阳能收集促进高效水净化，提供了一种开发长期和可持续环境技术的变革性策略。</w:t>
      </w:r>
    </w:p>
    <w:p>
      <w:pPr>
        <w:spacing w:before="0" w:after="200" w:lineRule="auto" w:line="276"/>
      </w:pPr>
      <w:r>
        <w:rPr>
          <w:b/>
        </w:rPr>
        <w:t xml:space="preserve">Abstract (EN): </w:t>
      </w:r>
      <w:r>
        <w:t>Engineering a reversible phase transition in functional ceramics enables giant pyroelectric responses that overcome traditional energy-loss limitations. These “self-restoring” materials facilitate efficient water purification through solar energy harvesting, offering a transformative strategy for developing long-term and sustainable environmental technologies.</w:t>
      </w:r>
    </w:p>
    <w:p>
      <w:pPr>
        <w:spacing w:before="120" w:after="120"/>
      </w:pPr>
      <w:r>
        <w:rPr>
          <w:sz w:val="18"/>
        </w:rPr>
        <w:t>——————————————————————————————————————————————————————————————————————</w:t>
      </w:r>
    </w:p>
    <w:p>
      <w:pPr>
        <w:spacing w:before="160" w:after="40" w:line="240" w:lineRule="auto"/>
      </w:pPr>
      <w:r>
        <w:rPr>
          <w:b/>
        </w:rPr>
        <w:t xml:space="preserve">[139] </w:t>
      </w:r>
      <w:hyperlink r:id="rId452">
        <w:r>
          <w:rPr>
            <w:color w:val="1155CC"/>
            <w:u w:val="single"/>
          </w:rPr>
          <w:t>VibeGen：使用语言扩散模型进行定制动态的自主端到端新蛋白质设计</w:t>
        </w:r>
      </w:hyperlink>
    </w:p>
    <w:p>
      <w:pPr>
        <w:spacing w:before="0" w:after="80"/>
      </w:pPr>
      <w:r>
        <w:rPr>
          <w:i/>
          <w:sz w:val="20"/>
        </w:rPr>
        <w:t>EN: VibeGen: Agentic end-to-end de novo protein design for tailored dynamics using a language diffusion model</w:t>
      </w:r>
    </w:p>
    <w:p>
      <w:pPr>
        <w:spacing w:before="0" w:after="120"/>
      </w:pPr>
      <w:r>
        <w:rPr>
          <w:b/>
        </w:rPr>
        <w:t xml:space="preserve">Source: </w:t>
      </w:r>
      <w:r>
        <w:t>Matter</w:t>
      </w:r>
      <w:r>
        <w:t xml:space="preserve">    </w:t>
      </w:r>
      <w:r>
        <w:rPr>
          <w:b/>
        </w:rPr>
        <w:t xml:space="preserve">Pub date: </w:t>
      </w:r>
      <w:r>
        <w:t>2026-03-24 00:00:00+00:00</w:t>
      </w:r>
      <w:r>
        <w:t xml:space="preserve">    </w:t>
      </w:r>
      <w:r>
        <w:rPr>
          <w:b/>
        </w:rPr>
        <w:t xml:space="preserve">DOI: </w:t>
      </w:r>
      <w:hyperlink r:id="rId453">
        <w:r>
          <w:rPr>
            <w:color w:val="1155CC"/>
            <w:u w:val="single"/>
          </w:rPr>
          <w:t>10.1016/j.matt.2026.102706</w:t>
        </w:r>
      </w:hyperlink>
    </w:p>
    <w:p>
      <w:pPr>
        <w:spacing w:before="0" w:after="120"/>
      </w:pPr>
      <w:r>
        <w:rPr>
          <w:b/>
        </w:rPr>
        <w:t xml:space="preserve">Notes: </w:t>
      </w:r>
      <w:r>
        <w:t>abstract_source=rss_cell</w:t>
      </w:r>
    </w:p>
    <w:p>
      <w:pPr>
        <w:spacing w:before="0" w:after="80" w:lineRule="auto" w:line="276"/>
      </w:pPr>
      <w:r>
        <w:rPr>
          <w:b/>
        </w:rPr>
        <w:t xml:space="preserve">摘要（ZH）: </w:t>
      </w:r>
      <w:r>
        <w:t>蛋白质通过运动发挥功能，但大多数设计工具专注于静态结构。这项工作引入了一个生成框架，通过规定蛋白质的振动动力学来设计蛋白质，揭示了许多不同的折叠可以实现类似的功能运动。通过将动力学作为主要设计目标，该研究为工程酶、生物材料和动态蛋白质系统的设计开辟了新的途径，超越了基于结构的范式。</w:t>
      </w:r>
    </w:p>
    <w:p>
      <w:pPr>
        <w:spacing w:before="0" w:after="200" w:lineRule="auto" w:line="276"/>
      </w:pPr>
      <w:r>
        <w:rPr>
          <w:b/>
        </w:rPr>
        <w:t xml:space="preserve">Abstract (EN): </w:t>
      </w:r>
      <w:r>
        <w:t>Proteins function through motion, yet most design tools focus on static structure. This work introduces a generative framework that designs proteins by prescribing their vibrational dynamics, revealing that many distinct folds can realize similar functional motions. By treating dynamics as a primary design target, the study opens new routes for engineering enzymes, biomaterials, and dynamic protein systems beyond structure-based paradigms.</w:t>
      </w:r>
    </w:p>
    <w:p>
      <w:pPr>
        <w:spacing w:before="120" w:after="120"/>
      </w:pPr>
      <w:r>
        <w:rPr>
          <w:sz w:val="18"/>
        </w:rPr>
        <w:t>——————————————————————————————————————————————————————————————————————</w:t>
      </w:r>
    </w:p>
    <w:p>
      <w:pPr>
        <w:spacing w:before="160" w:after="40" w:line="240" w:lineRule="auto"/>
      </w:pPr>
      <w:r>
        <w:rPr>
          <w:b/>
        </w:rPr>
        <w:t xml:space="preserve">[140] </w:t>
      </w:r>
      <w:hyperlink r:id="rId454">
        <w:r>
          <w:rPr>
            <w:color w:val="1155CC"/>
            <w:u w:val="single"/>
          </w:rPr>
          <w:t>基于单原子的灵活动态电磁开关</w:t>
        </w:r>
      </w:hyperlink>
    </w:p>
    <w:p>
      <w:pPr>
        <w:spacing w:before="0" w:after="80"/>
      </w:pPr>
      <w:r>
        <w:rPr>
          <w:i/>
          <w:sz w:val="20"/>
        </w:rPr>
        <w:t>EN: A flexible and dynamic single-atom-based electromagnetic switch</w:t>
      </w:r>
    </w:p>
    <w:p>
      <w:pPr>
        <w:spacing w:before="0" w:after="120"/>
      </w:pPr>
      <w:r>
        <w:rPr>
          <w:b/>
        </w:rPr>
        <w:t xml:space="preserve">Source: </w:t>
      </w:r>
      <w:r>
        <w:t>Matter</w:t>
      </w:r>
      <w:r>
        <w:t xml:space="preserve">    </w:t>
      </w:r>
      <w:r>
        <w:rPr>
          <w:b/>
        </w:rPr>
        <w:t xml:space="preserve">Pub date: </w:t>
      </w:r>
      <w:r>
        <w:t>2026-03-24 00:00:00+00:00</w:t>
      </w:r>
      <w:r>
        <w:t xml:space="preserve">    </w:t>
      </w:r>
      <w:r>
        <w:rPr>
          <w:b/>
        </w:rPr>
        <w:t xml:space="preserve">DOI: </w:t>
      </w:r>
      <w:hyperlink r:id="rId455">
        <w:r>
          <w:rPr>
            <w:color w:val="1155CC"/>
            <w:u w:val="single"/>
          </w:rPr>
          <w:t>10.1016/j.matt.2026.102703</w:t>
        </w:r>
      </w:hyperlink>
    </w:p>
    <w:p>
      <w:pPr>
        <w:spacing w:before="0" w:after="120"/>
      </w:pPr>
      <w:r>
        <w:rPr>
          <w:b/>
        </w:rPr>
        <w:t xml:space="preserve">Notes: </w:t>
      </w:r>
      <w:r>
        <w:t>abstract_source=rss_cell</w:t>
      </w:r>
    </w:p>
    <w:p>
      <w:pPr>
        <w:spacing w:before="0" w:after="80" w:lineRule="auto" w:line="276"/>
      </w:pPr>
      <w:r>
        <w:rPr>
          <w:b/>
        </w:rPr>
        <w:t xml:space="preserve">摘要（ZH）: </w:t>
      </w:r>
      <w:r>
        <w:t>未来的电子产品需要能够实时主动管理电磁信号的材料。一种灵活的晶体管使用锚定在超薄片上的孤立重原子，在电传输和阻挡电磁波之间进行电切换，具有卓越的精度和低功耗。这一创新使下一代可穿戴和集成电路中的智能、可适应的电磁控制成为可能，从静态屏蔽转向动态可编程信号管理。</w:t>
      </w:r>
    </w:p>
    <w:p>
      <w:pPr>
        <w:spacing w:before="0" w:after="200" w:lineRule="auto" w:line="276"/>
      </w:pPr>
      <w:r>
        <w:rPr>
          <w:b/>
        </w:rPr>
        <w:t xml:space="preserve">Abstract (EN): </w:t>
      </w:r>
      <w:r>
        <w:t>Future electronics demand materials that can actively manage electromagnetic signals in real time. A flexible transistor that uses isolated heavy atoms anchored on an ultrathin sheet to electrically switch between transmitting and blocking electromagnetic waves with exceptional precision and low power. This innovation enables smart, adaptable electromagnetic control in next-generation wearable and integrated circuits, moving beyond static shielding toward dynamically programmable signal management.</w:t>
      </w:r>
    </w:p>
    <w:p>
      <w:pPr>
        <w:spacing w:before="120" w:after="120"/>
      </w:pPr>
      <w:r>
        <w:rPr>
          <w:sz w:val="18"/>
        </w:rPr>
        <w:t>——————————————————————————————————————————————————————————————————————</w:t>
      </w:r>
    </w:p>
    <w:p>
      <w:pPr>
        <w:spacing w:before="160" w:after="40" w:line="240" w:lineRule="auto"/>
      </w:pPr>
      <w:r>
        <w:rPr>
          <w:b/>
        </w:rPr>
        <w:t xml:space="preserve">[141] </w:t>
      </w:r>
      <w:hyperlink r:id="rId456">
        <w:r>
          <w:rPr>
            <w:color w:val="1155CC"/>
            <w:u w:val="single"/>
          </w:rPr>
          <w:t>霍夫梅斯特效应辅助水凝胶：为下一代功能材料的合理工程</w:t>
        </w:r>
      </w:hyperlink>
    </w:p>
    <w:p>
      <w:pPr>
        <w:spacing w:before="0" w:after="80"/>
      </w:pPr>
      <w:r>
        <w:rPr>
          <w:i/>
          <w:sz w:val="20"/>
        </w:rPr>
        <w:t>EN: Hofmeister effect-assisted hydrogels: Rational engineering for next-generation functional materials</w:t>
      </w:r>
    </w:p>
    <w:p>
      <w:pPr>
        <w:spacing w:before="0" w:after="120"/>
      </w:pPr>
      <w:r>
        <w:rPr>
          <w:b/>
        </w:rPr>
        <w:t xml:space="preserve">Source: </w:t>
      </w:r>
      <w:r>
        <w:t>Matter</w:t>
      </w:r>
      <w:r>
        <w:t xml:space="preserve">    </w:t>
      </w:r>
      <w:r>
        <w:rPr>
          <w:b/>
        </w:rPr>
        <w:t xml:space="preserve">Pub date: </w:t>
      </w:r>
      <w:r>
        <w:t>2026-03-24 00:00:00+00:00</w:t>
      </w:r>
      <w:r>
        <w:t xml:space="preserve">    </w:t>
      </w:r>
      <w:r>
        <w:rPr>
          <w:b/>
        </w:rPr>
        <w:t xml:space="preserve">DOI: </w:t>
      </w:r>
      <w:hyperlink r:id="rId457">
        <w:r>
          <w:rPr>
            <w:color w:val="1155CC"/>
            <w:u w:val="single"/>
          </w:rPr>
          <w:t>10.1016/j.matt.2026.102678</w:t>
        </w:r>
      </w:hyperlink>
    </w:p>
    <w:p>
      <w:pPr>
        <w:spacing w:before="0" w:after="120"/>
      </w:pPr>
      <w:r>
        <w:rPr>
          <w:b/>
        </w:rPr>
        <w:t xml:space="preserve">Notes: </w:t>
      </w:r>
      <w:r>
        <w:t>abstract_source=rss_cell</w:t>
      </w:r>
    </w:p>
    <w:p>
      <w:pPr>
        <w:spacing w:before="0" w:after="80" w:lineRule="auto" w:line="276"/>
      </w:pPr>
      <w:r>
        <w:rPr>
          <w:b/>
        </w:rPr>
        <w:t xml:space="preserve">摘要（ZH）: </w:t>
      </w:r>
      <w:r>
        <w:t>这篇综述强调了霍夫梅斯特效应作为一种强大的、离子特异性的工具来编程下一代水凝胶。通过合理选择离子，研究人员可以动态调整机械、电气和环境抗性特性，而无需依赖静态化学交联。这些进展使得智能、适应性水凝胶在离子电子学、生物医学和可持续工程中的新兴应用成为可能，将基础胶体科学与高性能、多功能软材料的设计相结合。</w:t>
      </w:r>
    </w:p>
    <w:p>
      <w:pPr>
        <w:spacing w:before="0" w:after="200" w:lineRule="auto" w:line="276"/>
      </w:pPr>
      <w:r>
        <w:rPr>
          <w:b/>
        </w:rPr>
        <w:t xml:space="preserve">Abstract (EN): </w:t>
      </w:r>
      <w:r>
        <w:t>This review highlights the Hofmeister effect as a powerful, ion-specific tool to program next-generation hydrogels. By rationally selecting ions, researchers can dynamically tune mechanical, electrical, and environmental resistance properties without relying on static chemical crosslinks. These advances enable intelligent, adaptive hydrogels for emerging applications in iontronics, biomedicine, and sustainable engineering, bridging fundamental colloid science with the design of high-performance, multifunctional soft materials.</w:t>
      </w:r>
    </w:p>
    <w:p>
      <w:pPr>
        <w:spacing w:before="120" w:after="120"/>
      </w:pPr>
      <w:r>
        <w:rPr>
          <w:sz w:val="18"/>
        </w:rPr>
        <w:t>——————————————————————————————————————————————————————————————————————</w:t>
      </w:r>
    </w:p>
    <w:p>
      <w:pPr>
        <w:spacing w:before="160" w:after="40" w:line="240" w:lineRule="auto"/>
      </w:pPr>
      <w:r>
        <w:rPr>
          <w:b/>
        </w:rPr>
        <w:t xml:space="preserve">[142] </w:t>
      </w:r>
      <w:hyperlink r:id="rId458">
        <w:r>
          <w:rPr>
            <w:color w:val="1155CC"/>
            <w:u w:val="single"/>
          </w:rPr>
          <w:t>未完成建筑作为城市行星健康的日益挑战</w:t>
        </w:r>
      </w:hyperlink>
    </w:p>
    <w:p>
      <w:pPr>
        <w:spacing w:before="0" w:after="80"/>
      </w:pPr>
      <w:r>
        <w:rPr>
          <w:i/>
          <w:sz w:val="20"/>
        </w:rPr>
        <w:t>EN: Unfinished buildings as a growing challenge for urban planetary health</w:t>
      </w:r>
    </w:p>
    <w:p>
      <w:pPr>
        <w:spacing w:before="0" w:after="120"/>
      </w:pPr>
      <w:r>
        <w:rPr>
          <w:b/>
        </w:rPr>
        <w:t xml:space="preserve">Source: </w:t>
      </w:r>
      <w:r>
        <w:t>One Earth</w:t>
      </w:r>
      <w:r>
        <w:t xml:space="preserve">    </w:t>
      </w:r>
      <w:r>
        <w:rPr>
          <w:b/>
        </w:rPr>
        <w:t xml:space="preserve">Pub date: </w:t>
      </w:r>
      <w:r>
        <w:t>2026-03-24 00:00:00+00:00</w:t>
      </w:r>
      <w:r>
        <w:t xml:space="preserve">    </w:t>
      </w:r>
      <w:r>
        <w:rPr>
          <w:b/>
        </w:rPr>
        <w:t xml:space="preserve">DOI: </w:t>
      </w:r>
      <w:hyperlink r:id="rId459">
        <w:r>
          <w:rPr>
            <w:color w:val="1155CC"/>
            <w:u w:val="single"/>
          </w:rPr>
          <w:t>10.1016/j.oneear.2026.101656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[143] </w:t>
      </w:r>
      <w:hyperlink r:id="rId460">
        <w:r>
          <w:rPr>
            <w:color w:val="1155CC"/>
            <w:u w:val="single"/>
          </w:rPr>
          <w:t>一种用于区域电力-经济预测的机器学习框架：开发美国区域能源经济指数（REEI）以实现公平的能源转型规划</w:t>
        </w:r>
      </w:hyperlink>
    </w:p>
    <w:p>
      <w:pPr>
        <w:spacing w:before="0" w:after="80"/>
      </w:pPr>
      <w:r>
        <w:rPr>
          <w:i/>
          <w:sz w:val="20"/>
        </w:rPr>
        <w:t>EN: A machine learning framework for regional electricity–economic forecasting: Developing the U.S. Regional energy economic index (REEI) for equitable energy transition planning</w:t>
      </w:r>
    </w:p>
    <w:p>
      <w:pPr>
        <w:spacing w:before="0" w:after="120"/>
      </w:pPr>
      <w:r>
        <w:rPr>
          <w:b/>
        </w:rPr>
        <w:t xml:space="preserve">Source: </w:t>
      </w:r>
      <w:r>
        <w:t>ScienceDirect Publication: Applied Energy</w:t>
      </w:r>
      <w:r>
        <w:t xml:space="preserve">    </w:t>
      </w:r>
      <w:r>
        <w:rPr>
          <w:b/>
        </w:rPr>
        <w:t xml:space="preserve">Pub date: </w:t>
      </w:r>
      <w:r>
        <w:t>2026-03-24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[144] </w:t>
      </w:r>
      <w:hyperlink r:id="rId461">
        <w:r>
          <w:rPr>
            <w:color w:val="1155CC"/>
            <w:u w:val="single"/>
          </w:rPr>
          <w:t>公正清洁能源转型的结构性障碍和政策路径</w:t>
        </w:r>
      </w:hyperlink>
    </w:p>
    <w:p>
      <w:pPr>
        <w:spacing w:before="0" w:after="80"/>
      </w:pPr>
      <w:r>
        <w:rPr>
          <w:i/>
          <w:sz w:val="20"/>
        </w:rPr>
        <w:t>EN: Structural barriers and policy pathways for a just clean energy transition</w:t>
      </w:r>
    </w:p>
    <w:p>
      <w:pPr>
        <w:spacing w:before="0" w:after="120"/>
      </w:pPr>
      <w:r>
        <w:rPr>
          <w:b/>
        </w:rPr>
        <w:t xml:space="preserve">Source: </w:t>
      </w:r>
      <w:r>
        <w:t>Nature Reviews Clean Technology</w:t>
      </w:r>
      <w:r>
        <w:t xml:space="preserve">    </w:t>
      </w:r>
      <w:r>
        <w:rPr>
          <w:b/>
        </w:rPr>
        <w:t xml:space="preserve">Pub date: </w:t>
      </w:r>
      <w:r>
        <w:t>2026-03-24 00:00:00+00:00</w:t>
      </w:r>
      <w:r>
        <w:t xml:space="preserve">    </w:t>
      </w:r>
      <w:r>
        <w:rPr>
          <w:b/>
        </w:rPr>
        <w:t xml:space="preserve">DOI: </w:t>
      </w:r>
      <w:hyperlink r:id="rId462">
        <w:r>
          <w:rPr>
            <w:color w:val="1155CC"/>
            <w:u w:val="single"/>
          </w:rPr>
          <w:t>10.1038/s44359-026-00157-2</w:t>
        </w:r>
      </w:hyperlink>
    </w:p>
    <w:p>
      <w:pPr>
        <w:spacing w:before="0" w:after="120"/>
      </w:pPr>
      <w:r>
        <w:rPr>
          <w:b/>
        </w:rPr>
        <w:t xml:space="preserve">Notes: </w:t>
      </w:r>
      <w:r>
        <w:t>abstract_source=nature_html</w:t>
      </w:r>
    </w:p>
    <w:p>
      <w:pPr>
        <w:spacing w:before="0" w:after="80" w:lineRule="auto" w:line="276"/>
      </w:pPr>
      <w:r>
        <w:rPr>
          <w:b/>
        </w:rPr>
        <w:t xml:space="preserve">摘要（ZH）: </w:t>
      </w:r>
      <w:r>
        <w:t>公正的能源转型需要在清洁能源技术部署时实现公平的获取、参与和利益分享。然而，结构性障碍如高昂的前期成本、有限的信贷获取和住房限制阻碍了清洁技术的采用，特别是对于低收入家庭和租房者。在这篇综述中，我们描述了这些障碍如何削弱对处于不利地位的家庭（例如，面临收入限制、住房租赁限制和信贷限制等结构性障碍的家庭）的政策有效性，并通过正义的视角讨论清洁能源的采用。采用工具系统性地未能满足这些家庭的需求，表现为资格排除、相同技术的更高实际成本、回归性等。</w:t>
      </w:r>
    </w:p>
    <w:p>
      <w:pPr>
        <w:spacing w:before="0" w:after="200" w:lineRule="auto" w:line="276"/>
      </w:pPr>
      <w:r>
        <w:rPr>
          <w:b/>
        </w:rPr>
        <w:t xml:space="preserve">Abstract (EN): </w:t>
      </w:r>
      <w:r>
        <w:t>A just energy transition requires equitable access, participation and fair sharing of benefits as clean energy technologies are deployed. However, structural barriers such as high upfront costs, limited credit access and housing constraints hinder the adoption of clean technologies, particularly for low-income households and renters. In this Review, we describe how these barriers undermine policy effectiveness for households that are disadvantaged (for example, those facing structural barriers including income constraints, housing tenure limitations and credit restrictions) and discuss the adoption of clean energy through the lens of justice. Adoption instruments systematically fail these households through eligibility exclusions, higher effective costs for identical technologies, regressive benefit concentration and cost shifting, and by limiting their participation in decision-making. Community-centric pathways towards a more equitable transition are emerging, including facilitating spillover effects across residential, commercial and utility-scale actors; and implementing enabling mechanisms such as shared ownership models and microgrids that overcome individual barriers. We argue that policies aimed at promoting the adoption of clean energy should be grounded in four evidence-based design principles: barrier-aware mechanisms, time-aligned benefits, administrative simplicity and community-embedded implementation. We conclude by proposing a policy-evaluation framework that integrates traditional effectiveness measures with justice evaluation, so that economic viability and equity are considered mutually reinforcing objectives, not competing priorities.</w:t>
      </w:r>
    </w:p>
    <w:p>
      <w:pPr>
        <w:spacing w:before="120" w:after="120"/>
      </w:pPr>
      <w:r>
        <w:rPr>
          <w:sz w:val="18"/>
        </w:rPr>
        <w:t>——————————————————————————————————————————————————————————————————————</w:t>
      </w:r>
    </w:p>
    <w:p>
      <w:pPr>
        <w:spacing w:before="160" w:after="40" w:line="240" w:lineRule="auto"/>
      </w:pPr>
      <w:r>
        <w:rPr>
          <w:b/>
        </w:rPr>
        <w:t xml:space="preserve">[145] </w:t>
      </w:r>
      <w:hyperlink r:id="rId463">
        <w:r>
          <w:rPr>
            <w:color w:val="1155CC"/>
            <w:u w:val="single"/>
          </w:rPr>
          <w:t>波能转换器：研究进展、关键挑战和未来趋势的综合回顾</w:t>
        </w:r>
      </w:hyperlink>
    </w:p>
    <w:p>
      <w:pPr>
        <w:spacing w:before="0" w:after="80"/>
      </w:pPr>
      <w:r>
        <w:rPr>
          <w:i/>
          <w:sz w:val="20"/>
        </w:rPr>
        <w:t>EN: Wave energy converters: a comprehensive review of research progress, key challenges, and future trends</w:t>
      </w:r>
    </w:p>
    <w:p>
      <w:pPr>
        <w:spacing w:before="0" w:after="120"/>
      </w:pPr>
      <w:r>
        <w:rPr>
          <w:b/>
        </w:rPr>
        <w:t xml:space="preserve">Source: </w:t>
      </w:r>
      <w:r>
        <w:t>ScienceDirect Publication: Applied Energy</w:t>
      </w:r>
      <w:r>
        <w:t xml:space="preserve">    </w:t>
      </w:r>
      <w:r>
        <w:rPr>
          <w:b/>
        </w:rPr>
        <w:t xml:space="preserve">Pub date: </w:t>
      </w:r>
      <w:r>
        <w:t>2026-03-24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[146] </w:t>
      </w:r>
      <w:hyperlink r:id="rId464">
        <w:r>
          <w:rPr>
            <w:color w:val="1155CC"/>
            <w:u w:val="single"/>
          </w:rPr>
          <w:t>预测元素而非序列：用于非常准确预测建筑物每小时能耗的ResNet替代方法</w:t>
        </w:r>
      </w:hyperlink>
    </w:p>
    <w:p>
      <w:pPr>
        <w:spacing w:before="0" w:after="80"/>
      </w:pPr>
      <w:r>
        <w:rPr>
          <w:i/>
          <w:sz w:val="20"/>
        </w:rPr>
        <w:t>EN: Predict the element instead of the sequence: ResNet surrogate method for very accurate predictions of hourly building energy</w:t>
      </w:r>
    </w:p>
    <w:p>
      <w:pPr>
        <w:spacing w:before="0" w:after="120"/>
      </w:pPr>
      <w:r>
        <w:rPr>
          <w:b/>
        </w:rPr>
        <w:t xml:space="preserve">Source: </w:t>
      </w:r>
      <w:r>
        <w:t>ScienceDirect Publication: Applied Energy</w:t>
      </w:r>
      <w:r>
        <w:t xml:space="preserve">    </w:t>
      </w:r>
      <w:r>
        <w:rPr>
          <w:b/>
        </w:rPr>
        <w:t xml:space="preserve">Pub date: </w:t>
      </w:r>
      <w:r>
        <w:t>2026-03-24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[147] </w:t>
      </w:r>
      <w:hyperlink r:id="rId465">
        <w:r>
          <w:rPr>
            <w:color w:val="1155CC"/>
            <w:u w:val="single"/>
          </w:rPr>
          <w:t>传感器内加密签名生成以链接物理过程和不可变数字实体</w:t>
        </w:r>
      </w:hyperlink>
    </w:p>
    <w:p>
      <w:pPr>
        <w:spacing w:before="0" w:after="80"/>
      </w:pPr>
      <w:r>
        <w:rPr>
          <w:i/>
          <w:sz w:val="20"/>
        </w:rPr>
        <w:t>EN: In-sensor cryptographic signature generation to link a physical process and an immutable digital entity</w:t>
      </w:r>
    </w:p>
    <w:p>
      <w:pPr>
        <w:spacing w:before="0" w:after="120"/>
      </w:pPr>
      <w:r>
        <w:rPr>
          <w:b/>
        </w:rPr>
        <w:t xml:space="preserve">Source: </w:t>
      </w:r>
      <w:r>
        <w:t>Nature Electronics</w:t>
      </w:r>
      <w:r>
        <w:t xml:space="preserve">    </w:t>
      </w:r>
      <w:r>
        <w:rPr>
          <w:b/>
        </w:rPr>
        <w:t xml:space="preserve">Pub date: </w:t>
      </w:r>
      <w:r>
        <w:t>2026-03-24 00:00:00+00:00</w:t>
      </w:r>
      <w:r>
        <w:t xml:space="preserve">    </w:t>
      </w:r>
      <w:r>
        <w:rPr>
          <w:b/>
        </w:rPr>
        <w:t xml:space="preserve">DOI: </w:t>
      </w:r>
      <w:hyperlink r:id="rId466">
        <w:r>
          <w:rPr>
            <w:color w:val="1155CC"/>
            <w:u w:val="single"/>
          </w:rPr>
          <w:t>10.1038/s41928-026-01593-5</w:t>
        </w:r>
      </w:hyperlink>
    </w:p>
    <w:p>
      <w:pPr>
        <w:spacing w:before="0" w:after="120"/>
      </w:pPr>
      <w:r>
        <w:rPr>
          <w:b/>
        </w:rPr>
        <w:t xml:space="preserve">Notes: </w:t>
      </w:r>
      <w:r>
        <w:t>abstract_source=nature_html</w:t>
      </w:r>
    </w:p>
    <w:p>
      <w:pPr>
        <w:spacing w:before="0" w:after="80" w:lineRule="auto" w:line="276"/>
      </w:pPr>
      <w:r>
        <w:rPr>
          <w:b/>
        </w:rPr>
        <w:t xml:space="preserve">摘要（ZH）: </w:t>
      </w:r>
      <w:r>
        <w:t>数据伪造和操控可能会破坏从科学到新闻等领域的信任。人工智能可能会加剧这一问题，削弱我们区分人工创建的数据和真实记录（如用摄像机拍摄的记录）的能力。在这里，我们报告了一种录音设备技术，该技术在物理过程（录音行为）和不可变的数字实体（如公共区块链中的条目）之间建立了加密链接。我们的方法依赖于一个单片加密传感器，该传感器将传感器设备与哈希单元（持续对记录数据片段进行哈希处理）和加密签名单元（使用公钥加密方案对哈希进行签名）集成在一起。系统随后将签名的哈希上传到</w:t>
      </w:r>
    </w:p>
    <w:p>
      <w:pPr>
        <w:spacing w:before="0" w:after="200" w:lineRule="auto" w:line="276"/>
      </w:pPr>
      <w:r>
        <w:rPr>
          <w:b/>
        </w:rPr>
        <w:t xml:space="preserve">Abstract (EN): </w:t>
      </w:r>
      <w:r>
        <w:t>Data forgery and manipulation can undermine trust in areas ranging from science to journalism. Artificial intelligence will probably exacerbate this problem, degrading our ability to distinguish between artificially created data and real recordings (such as those taken with a video camera). Here we report a recording device technology that establishes a cryptographic link between a physical process (the act of recording) and an immutable digital entity (such as an entry in a public blockchain). Our approach relies on a monolithic cryptographic sensor that integrates a sensor device with a hashing unit (that continuously hashes pieces of recorded data) and a cryptographic signature unit (that signs the hashes using a public key encryption scheme). The system then uploads the signed hashes to a trusted public repository. We provide a proof-of-concept implementation with a voltage sensor for extracellular recording of cardiac myocyte field potentials that is fabricated using 180-nm complementary metal–oxide–semiconductor technology.</w:t>
      </w:r>
    </w:p>
    <w:p>
      <w:pPr>
        <w:spacing w:before="120" w:after="120"/>
      </w:pPr>
      <w:r>
        <w:rPr>
          <w:sz w:val="18"/>
        </w:rPr>
        <w:t>——————————————————————————————————————————————————————————————————————</w:t>
      </w:r>
    </w:p>
    <w:p>
      <w:pPr>
        <w:spacing w:before="160" w:after="40" w:line="240" w:lineRule="auto"/>
      </w:pPr>
      <w:r>
        <w:rPr>
          <w:b/>
        </w:rPr>
        <w:t xml:space="preserve">[148] </w:t>
      </w:r>
      <w:hyperlink r:id="rId467">
        <w:r>
          <w:rPr>
            <w:color w:val="1155CC"/>
            <w:u w:val="single"/>
          </w:rPr>
          <w:t>基于多智能体的双Stackelberg博弈模型和改进的利益分配策略，用于虚拟电厂集群加入能源和频率调节市场</w:t>
        </w:r>
      </w:hyperlink>
    </w:p>
    <w:p>
      <w:pPr>
        <w:spacing w:before="0" w:after="80"/>
      </w:pPr>
      <w:r>
        <w:rPr>
          <w:i/>
          <w:sz w:val="20"/>
        </w:rPr>
        <w:t>EN: Multi-agent-based dual-Stackelberg game model and improved benefit allocation strategy for virtual power plant cluster joining in energy and frequency regulation markets</w:t>
      </w:r>
    </w:p>
    <w:p>
      <w:pPr>
        <w:spacing w:before="0" w:after="120"/>
      </w:pPr>
      <w:r>
        <w:rPr>
          <w:b/>
        </w:rPr>
        <w:t xml:space="preserve">Source: </w:t>
      </w:r>
      <w:r>
        <w:t>ScienceDirect Publication: Applied Energy</w:t>
      </w:r>
      <w:r>
        <w:t xml:space="preserve">    </w:t>
      </w:r>
      <w:r>
        <w:rPr>
          <w:b/>
        </w:rPr>
        <w:t xml:space="preserve">Pub date: </w:t>
      </w:r>
      <w:r>
        <w:t>2026-03-24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[149] </w:t>
      </w:r>
      <w:hyperlink r:id="rId468">
        <w:r>
          <w:rPr>
            <w:color w:val="1155CC"/>
            <w:u w:val="single"/>
          </w:rPr>
          <w:t>印度农村能源转型：来自各州清洁能源采用的村级调查汇总的证据</w:t>
        </w:r>
      </w:hyperlink>
    </w:p>
    <w:p>
      <w:pPr>
        <w:spacing w:before="0" w:after="80"/>
      </w:pPr>
      <w:r>
        <w:rPr>
          <w:i/>
          <w:sz w:val="20"/>
        </w:rPr>
        <w:t>EN: India's rural energy transition: Evidence from village-level survey aggregates of clean energy adoption across states</w:t>
      </w:r>
    </w:p>
    <w:p>
      <w:pPr>
        <w:spacing w:before="0" w:after="120"/>
      </w:pPr>
      <w:r>
        <w:rPr>
          <w:b/>
        </w:rPr>
        <w:t xml:space="preserve">Source: </w:t>
      </w:r>
      <w:r>
        <w:t>ScienceDirect Publication: Applied Energy</w:t>
      </w:r>
      <w:r>
        <w:t xml:space="preserve">    </w:t>
      </w:r>
      <w:r>
        <w:rPr>
          <w:b/>
        </w:rPr>
        <w:t xml:space="preserve">Pub date: </w:t>
      </w:r>
      <w:r>
        <w:t>2026-03-24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[150] </w:t>
      </w:r>
      <w:hyperlink r:id="rId469">
        <w:r>
          <w:rPr>
            <w:color w:val="1155CC"/>
            <w:u w:val="single"/>
          </w:rPr>
          <w:t>伊朗战争如何重塑能源格局</w:t>
        </w:r>
      </w:hyperlink>
    </w:p>
    <w:p>
      <w:pPr>
        <w:spacing w:before="0" w:after="80"/>
      </w:pPr>
      <w:r>
        <w:rPr>
          <w:i/>
          <w:sz w:val="20"/>
        </w:rPr>
        <w:t>EN: How the war in Iran is reshaping the energy landscape</w:t>
      </w:r>
    </w:p>
    <w:p>
      <w:pPr>
        <w:spacing w:before="0" w:after="120"/>
      </w:pPr>
      <w:r>
        <w:rPr>
          <w:b/>
        </w:rPr>
        <w:t xml:space="preserve">Source: </w:t>
      </w:r>
      <w:r>
        <w:t>Nature</w:t>
      </w:r>
      <w:r>
        <w:t xml:space="preserve">    </w:t>
      </w:r>
      <w:r>
        <w:rPr>
          <w:b/>
        </w:rPr>
        <w:t xml:space="preserve">Pub date: </w:t>
      </w:r>
      <w:r>
        <w:t>2026-03-24 00:00:00+00:00</w:t>
      </w:r>
      <w:r>
        <w:t xml:space="preserve">    </w:t>
      </w:r>
      <w:r>
        <w:rPr>
          <w:b/>
        </w:rPr>
        <w:t xml:space="preserve">DOI: </w:t>
      </w:r>
      <w:hyperlink r:id="rId470">
        <w:r>
          <w:rPr>
            <w:color w:val="1155CC"/>
            <w:u w:val="single"/>
          </w:rPr>
          <w:t>10.1038/d41586-026-00932-y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[151] </w:t>
      </w:r>
      <w:hyperlink r:id="rId471">
        <w:r>
          <w:rPr>
            <w:color w:val="1155CC"/>
            <w:u w:val="single"/>
          </w:rPr>
          <w:t>用于NADH再生和酶催化氢化的氢键有机框架（HOFs）：用于太阳能到化学转化的HOF‐in‐HOF人工光合系统</w:t>
        </w:r>
      </w:hyperlink>
    </w:p>
    <w:p>
      <w:pPr>
        <w:spacing w:before="0" w:after="80"/>
      </w:pPr>
      <w:r>
        <w:rPr>
          <w:i/>
          <w:sz w:val="20"/>
        </w:rPr>
        <w:t>EN: Hydrogen‐Bonded Organic Frameworks (HOFs) for NADH Regeneration and Enzymatic Hydrogenation: HOF‐in‐HOF Artificial Photosynthetic System for Solar‐to‐Chemical Conversion</w:t>
      </w:r>
    </w:p>
    <w:p>
      <w:pPr>
        <w:spacing w:before="0" w:after="120"/>
      </w:pPr>
      <w:r>
        <w:rPr>
          <w:b/>
        </w:rPr>
        <w:t xml:space="preserve">Source: </w:t>
      </w:r>
      <w:r>
        <w:t>Wiley: Angewandte Chemie International Edition: Table of Contents</w:t>
      </w:r>
      <w:r>
        <w:t xml:space="preserve">    </w:t>
      </w:r>
      <w:r>
        <w:rPr>
          <w:b/>
        </w:rPr>
        <w:t xml:space="preserve">Pub date: </w:t>
      </w:r>
      <w:r>
        <w:t>2026-03-24 05:10:40+00:00</w:t>
      </w:r>
      <w:r>
        <w:t xml:space="preserve">    </w:t>
      </w:r>
      <w:r>
        <w:rPr>
          <w:b/>
        </w:rPr>
        <w:t xml:space="preserve">DOI: </w:t>
      </w:r>
      <w:hyperlink r:id="rId472">
        <w:r>
          <w:rPr>
            <w:color w:val="1155CC"/>
            <w:u w:val="single"/>
          </w:rPr>
          <w:t>10.1002/anie.8868255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人工光合作用的效率不仅取决于催化剂本身，还取决于由电子、质子和分子转移控制的时空景观，以实现高效的质量-能量耦合。在此，我们提出了一种支架工程策略，以构建一种酶-光-膜耦合的人工光合系统（epm CAPS），该系统在HOF-in-HOF结构中用于NADH再生和酶催化氢化，其中负载酶的HOF颗粒用于底物转化，被封装在光催化HOF胶囊膜中以进行辅因子再生。这种独特的配置能够独立和协同调节电子、质子和NADH的转移。</w:t>
      </w:r>
    </w:p>
    <w:p>
      <w:pPr>
        <w:spacing w:before="0" w:after="200" w:lineRule="auto" w:line="276"/>
      </w:pPr>
      <w:r>
        <w:rPr>
          <w:b/>
        </w:rPr>
        <w:t xml:space="preserve">Abstract (EN): </w:t>
      </w:r>
      <w:r>
        <w:t>The efficiency of artificial photosynthesis lies not only in the catalysts themselves, but also in the spatiotemporal landscape for efficient mass–energy coupling, which is governed by electron, proton, and molecule transfer. Herein, we propose a scaffold engineering strategy to construct an enzyme–photo–membrane coupled artificial photosynthetic system (</w:t>
      </w:r>
      <w:r>
        <w:t xml:space="preserve"> </w:t>
      </w:r>
      <w:r>
        <w:t>epm</w:t>
      </w:r>
      <w:r>
        <w:t xml:space="preserve"> </w:t>
      </w:r>
      <w:r>
        <w:t>CAPS) within HOF‐in‐HOF architecture for NADH regeneration and enzymatic hydrogenation, where enzyme‐loaded HOF particles for substrate conversion are encapsulated within photocatalytic HOF capsular membranes for cofactor regeneration. This unique configuration enables independent and synergistic regulation of electron, proton, and NADH transfer by modulating the electronic structure of the capsule (via benzene ring units), proton relay (via carboxylate group density), and mass diffusion path (via enzyme–photocatalyst distance), respectively. The system achieves a record initial NADH regeneration rate of 28.23 ± 0.62 mmol g</w:t>
      </w:r>
      <w:r>
        <w:t xml:space="preserve"> </w:t>
      </w:r>
      <w:r>
        <w:t>−1</w:t>
      </w:r>
      <w:r>
        <w:t xml:space="preserve"> </w:t>
      </w:r>
      <w:r>
        <w:t>h</w:t>
      </w:r>
      <w:r>
        <w:t xml:space="preserve"> </w:t>
      </w:r>
      <w:r>
        <w:t>−1</w:t>
      </w:r>
      <w:r>
        <w:t xml:space="preserve"> </w:t>
      </w:r>
      <w:r>
        <w:t>with a 22.13% apparent quantum yield. When applied to solar‐driven lactate synthesis, the</w:t>
      </w:r>
      <w:r>
        <w:t xml:space="preserve"> </w:t>
      </w:r>
      <w:r>
        <w:t>epm</w:t>
      </w:r>
      <w:r>
        <w:t xml:space="preserve"> </w:t>
      </w:r>
      <w:r>
        <w:t>CAPS achieves a solar‐to‐chemical conversion efficiency of 7.27 ± 0.34%—a nearly threefold higher than previous records. Furthermore, we demonstrate the generality of this platform by synthesizing a spectrum of C</w:t>
      </w:r>
      <w:r>
        <w:rPr>
          <w:vertAlign w:val="subscript"/>
        </w:rPr>
        <w:t>1</w:t>
      </w:r>
      <w:r>
        <w:t>–C</w:t>
      </w:r>
      <w:r>
        <w:rPr>
          <w:vertAlign w:val="subscript"/>
        </w:rPr>
        <w:t>6</w:t>
      </w:r>
      <w:r>
        <w:t>chemicals, including methanol and mannitol, while maintaining stable operation for over 6 h. Our work delivers a blueprint for the next‐generation artificial photosynthetic systems for sustainable energy and green chemical production.</w:t>
      </w:r>
    </w:p>
    <w:p>
      <w:pPr>
        <w:spacing w:before="120" w:after="120"/>
      </w:pPr>
      <w:r>
        <w:rPr>
          <w:sz w:val="18"/>
        </w:rPr>
        <w:t>——————————————————————————————————————————————————————————————————————</w:t>
      </w:r>
    </w:p>
    <w:p>
      <w:pPr>
        <w:spacing w:before="160" w:after="40" w:line="240" w:lineRule="auto"/>
      </w:pPr>
      <w:r>
        <w:rPr>
          <w:b/>
        </w:rPr>
        <w:t xml:space="preserve">[152] </w:t>
      </w:r>
      <w:hyperlink r:id="rId473">
        <w:r>
          <w:rPr>
            <w:color w:val="1155CC"/>
            <w:u w:val="single"/>
          </w:rPr>
          <w:t>乙缩醛[6]芳烃：促进具有卓越（手性）光学性质的电荷转移共组装的刚性环上手性大环</w:t>
        </w:r>
      </w:hyperlink>
    </w:p>
    <w:p>
      <w:pPr>
        <w:spacing w:before="0" w:after="80"/>
      </w:pPr>
      <w:r>
        <w:rPr>
          <w:i/>
          <w:sz w:val="20"/>
        </w:rPr>
        <w:t>EN: Acetal[6]Arenes: Rigid Chirality‐on‐Annulus Macrocycles Promoting Charge‐Transfer Co‐Assembly With Exceptional (Chiro)Optical Properties</w:t>
      </w:r>
    </w:p>
    <w:p>
      <w:pPr>
        <w:spacing w:before="0" w:after="120"/>
      </w:pPr>
      <w:r>
        <w:rPr>
          <w:b/>
        </w:rPr>
        <w:t xml:space="preserve">Source: </w:t>
      </w:r>
      <w:r>
        <w:t>Wiley: Angewandte Chemie International Edition: Table of Contents</w:t>
      </w:r>
      <w:r>
        <w:t xml:space="preserve">    </w:t>
      </w:r>
      <w:r>
        <w:rPr>
          <w:b/>
        </w:rPr>
        <w:t xml:space="preserve">Pub date: </w:t>
      </w:r>
      <w:r>
        <w:t>2026-03-24 05:11:39+00:00</w:t>
      </w:r>
      <w:r>
        <w:t xml:space="preserve">    </w:t>
      </w:r>
      <w:r>
        <w:rPr>
          <w:b/>
        </w:rPr>
        <w:t xml:space="preserve">DOI: </w:t>
      </w:r>
      <w:hyperlink r:id="rId474">
        <w:r>
          <w:rPr>
            <w:color w:val="1155CC"/>
            <w:u w:val="single"/>
          </w:rPr>
          <w:t>10.1002/anie.4969685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乙缩醛[6]芳烃（Ac[6]）被引入为一类新的刚性手性大环芳烃，其中碳中心手性嵌入在大环腰部的三氧双环[3.3.1]壬烷结构中。Ac[6]能够在溶液和固态中与电子缺乏的芳香客体高效形成电荷转移（CT）复合物。单晶X射线衍射显示，客体分子通过明确的堆叠相互作用结合在Ac[6]的外表面。相比之下，相应的非环状双乙缩醛前体不显示复合行为，表明刚性大环拓扑结构抑制了环单元的</w:t>
      </w:r>
    </w:p>
    <w:p>
      <w:pPr>
        <w:spacing w:before="0" w:after="200" w:lineRule="auto" w:line="276"/>
      </w:pPr>
      <w:r>
        <w:rPr>
          <w:b/>
        </w:rPr>
        <w:t xml:space="preserve">Abstract (EN): </w:t>
      </w:r>
      <w:r>
        <w:t>Acetal[6]arenes (</w:t>
      </w:r>
      <w:r>
        <w:t xml:space="preserve"> </w:t>
      </w:r>
      <w:r>
        <w:t>Ac[6]</w:t>
      </w:r>
      <w:r>
        <w:t xml:space="preserve"> </w:t>
      </w:r>
      <w:r>
        <w:t>) are introduced as a new class of rigid chiral macrocyclic arenes in which carbon‐centered chirality is embedded in a trioxabicyclo[3.3.1]nonane motif at macrocyclic waist.</w:t>
      </w:r>
      <w:r>
        <w:t xml:space="preserve"> </w:t>
      </w:r>
      <w:r>
        <w:t>Ac[6]</w:t>
      </w:r>
      <w:r>
        <w:t xml:space="preserve"> </w:t>
      </w:r>
      <w:r>
        <w:t>efficiently forms charge‐transfer (CT) complexes with electron‐deficient aromatic guests in both solution and the solid state. Single‐crystal x‐ray diffraction reveals that guest molecules bind to the outer surface of</w:t>
      </w:r>
      <w:r>
        <w:t xml:space="preserve"> </w:t>
      </w:r>
      <w:r>
        <w:t>Ac[6]</w:t>
      </w:r>
      <w:r>
        <w:t xml:space="preserve"> </w:t>
      </w:r>
      <w:r>
        <w:t>through well‐defined stacking interactions. In contrast, the corresponding acyclic bis‐acetal precursors show no complexation behavior, indicating that the rigid macrocyclic topology suppresses ring‐unit flipping and significantly enhances interfacial π–π interactions. The resulting solid‐state complexes exhibit dual emission at CT band (prompt fluorescence and TADF). Notably, complexes derived from enantiopure</w:t>
      </w:r>
      <w:r>
        <w:t xml:space="preserve"> </w:t>
      </w:r>
      <w:r>
        <w:t>Ac[6]</w:t>
      </w:r>
      <w:r>
        <w:t xml:space="preserve"> </w:t>
      </w:r>
      <w:r>
        <w:t>display intense circular dichroism (CD) and circularly polarized luminescence (CPL). The associated dissymmetry factors (</w:t>
      </w:r>
      <w:r>
        <w:t xml:space="preserve"> </w:t>
      </w:r>
      <w:r>
        <w:t>g</w:t>
      </w:r>
      <w:r>
        <w:t xml:space="preserve"> </w:t>
      </w:r>
      <w:r>
        <w:t>abs</w:t>
      </w:r>
      <w:r>
        <w:t xml:space="preserve"> </w:t>
      </w:r>
      <w:r>
        <w:t>and</w:t>
      </w:r>
      <w:r>
        <w:t xml:space="preserve"> </w:t>
      </w:r>
      <w:r>
        <w:t>g</w:t>
      </w:r>
      <w:r>
        <w:t xml:space="preserve"> </w:t>
      </w:r>
      <w:r>
        <w:t>lum</w:t>
      </w:r>
      <w:r>
        <w:t xml:space="preserve"> </w:t>
      </w:r>
      <w:r>
        <w:t>) even exceed intrinsic</w:t>
      </w:r>
      <w:r>
        <w:t xml:space="preserve"> </w:t>
      </w:r>
      <w:r>
        <w:t>Ac[6]</w:t>
      </w:r>
      <w:r>
        <w:t xml:space="preserve"> </w:t>
      </w:r>
      <w:r>
        <w:t>values, indicating highly efficient chiral transfer.</w:t>
      </w:r>
      <w:r>
        <w:t xml:space="preserve"> </w:t>
      </w:r>
      <w:r>
        <w:t>Ac[6]</w:t>
      </w:r>
      <w:r>
        <w:t xml:space="preserve"> </w:t>
      </w:r>
      <w:r>
        <w:t>shows robust guest‐capture capability, forming CT complexes not only via solution co‐crystallization but also through simple physical mixing and even gas‐phase guest uptake. By exploiting time‐dependent capture kinetics and multicolor optoelectronic properties, we developed applications for optical sensing and time‐encoded encryption. These results establish macrocyclization of rigid chirality‐on‐annulus units as a powerful strategy for creating functional supramolecular CT materials with emergent chiroptical and optoelectronic properties.</w:t>
      </w:r>
    </w:p>
    <w:p>
      <w:pPr>
        <w:spacing w:before="120" w:after="120"/>
      </w:pPr>
      <w:r>
        <w:rPr>
          <w:sz w:val="18"/>
        </w:rPr>
        <w:t>——————————————————————————————————————————————————————————————————————</w:t>
      </w:r>
    </w:p>
    <w:p>
      <w:pPr>
        <w:spacing w:before="160" w:after="40" w:line="240" w:lineRule="auto"/>
      </w:pPr>
      <w:r>
        <w:rPr>
          <w:b/>
        </w:rPr>
        <w:t xml:space="preserve">[153] </w:t>
      </w:r>
      <w:hyperlink r:id="rId475">
        <w:r>
          <w:rPr>
            <w:color w:val="1155CC"/>
            <w:u w:val="single"/>
          </w:rPr>
          <w:t>将镧系发光体植入螺旋支架中以实现可编程圆偏振发光</w:t>
        </w:r>
      </w:hyperlink>
    </w:p>
    <w:p>
      <w:pPr>
        <w:spacing w:before="0" w:after="80"/>
      </w:pPr>
      <w:r>
        <w:rPr>
          <w:i/>
          <w:sz w:val="20"/>
        </w:rPr>
        <w:t>EN: Implanting Lanthanide Luminophores Into Helical Scaffolds for Programmable Circularly Polarized Luminescence</w:t>
      </w:r>
    </w:p>
    <w:p>
      <w:pPr>
        <w:spacing w:before="0" w:after="120"/>
      </w:pPr>
      <w:r>
        <w:rPr>
          <w:b/>
        </w:rPr>
        <w:t xml:space="preserve">Source: </w:t>
      </w:r>
      <w:r>
        <w:t>Wiley: Angewandte Chemie International Edition: Table of Contents</w:t>
      </w:r>
      <w:r>
        <w:t xml:space="preserve">    </w:t>
      </w:r>
      <w:r>
        <w:rPr>
          <w:b/>
        </w:rPr>
        <w:t xml:space="preserve">Pub date: </w:t>
      </w:r>
      <w:r>
        <w:t>2026-03-24 05:13:25+00:00</w:t>
      </w:r>
      <w:r>
        <w:t xml:space="preserve">    </w:t>
      </w:r>
      <w:r>
        <w:rPr>
          <w:b/>
        </w:rPr>
        <w:t xml:space="preserve">DOI: </w:t>
      </w:r>
      <w:hyperlink r:id="rId476">
        <w:r>
          <w:rPr>
            <w:color w:val="1155CC"/>
            <w:u w:val="single"/>
          </w:rPr>
          <w:t>10.1002/anie.9901177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非手性发光体整合到手性超分子螺旋中是实现强圆偏振发光（CPL）的有前途途径。然而，对于镧系系统，由于主客体相互作用较弱和4f电子的屏蔽特性，有效的发射体加载和手性诱导仍然具有挑战性。在此，我们报告了一种超分子螯合策略，将Eu3+发射体植入预组装的螺旋纳米带（HNRs）中，实现了高效的手性诱导和可调的CPL亮度。两种胆固醇-吡啶三羰基配合物，仅在其连接化学（酯与碳酸酯）上有所不同，显示酯连接促进了长程手性诱导。</w:t>
      </w:r>
    </w:p>
    <w:p>
      <w:pPr>
        <w:spacing w:before="0" w:after="200" w:lineRule="auto" w:line="276"/>
      </w:pPr>
      <w:r>
        <w:rPr>
          <w:b/>
        </w:rPr>
        <w:t xml:space="preserve">Abstract (EN): </w:t>
      </w:r>
      <w:r>
        <w:t>Integrating achiral luminophores into chiral supramolecular helices represents a promising route to strong circularly polarized luminescence (CPL). However, for lanthanide systems, efficient emitter loading and effective chirality induction remain challenging due to weak host–guest interactions and the shielded nature of 4f electrons. Herein, we report a supramolecular chelation strategy that implants Eu</w:t>
      </w:r>
      <w:r>
        <w:t xml:space="preserve"> </w:t>
      </w:r>
      <w:r>
        <w:t>3+</w:t>
      </w:r>
      <w:r>
        <w:t xml:space="preserve"> </w:t>
      </w:r>
      <w:r>
        <w:t>emitters into pre‑assembled helical nanoribbons (HNRs), enabling efficient chirality induction and tunable CPL brightness. Two cholesterol–terpyridine conjugates, differing only in their linker chemistry (ester vs. carbonate), demonstrate that the ester linker promotes long‑range chirality induction and HNR formation, whereas the carbonate counterpart yields achiral aggregates. Moreover, the assembly sequence is crucial: pre‑formation of the helical scaffold preserves the non‑covalent network necessary for effective chirality induction, whereas prior metal coordination introduces steric hindrance that disrupts chiral order. The resulting systems exhibit orthogonal luminescence responses: Eu</w:t>
      </w:r>
      <w:r>
        <w:t xml:space="preserve"> </w:t>
      </w:r>
      <w:r>
        <w:t>3+</w:t>
      </w:r>
      <w:r>
        <w:t xml:space="preserve"> </w:t>
      </w:r>
      <w:r>
        <w:t>‑loaded assemblies are humidity‑sensitive but thermally stable, while</w:t>
      </w:r>
      <w:r>
        <w:t xml:space="preserve"> </w:t>
      </w:r>
      <w:r>
        <w:t>β</w:t>
      </w:r>
      <w:r>
        <w:t xml:space="preserve"> </w:t>
      </w:r>
      <w:r>
        <w:t>‑diketonate‑shielded analogues are temperature‑responsive yet humidity‑resistant, allowing multi‑level information encryption. By introducing this modular “assemble‑then‑coordinate” approach, we provide new insights into supramolecular chirality induction and open avenues toward advanced, stimulus‑responsive CPL materials.</w:t>
      </w:r>
    </w:p>
    <w:p>
      <w:pPr>
        <w:spacing w:before="120" w:after="120"/>
      </w:pPr>
      <w:r>
        <w:rPr>
          <w:sz w:val="18"/>
        </w:rPr>
        <w:t>——————————————————————————————————————————————————————————————————————</w:t>
      </w:r>
    </w:p>
    <w:p>
      <w:pPr>
        <w:spacing w:before="160" w:after="40" w:line="240" w:lineRule="auto"/>
      </w:pPr>
      <w:r>
        <w:rPr>
          <w:b/>
        </w:rPr>
        <w:t xml:space="preserve">[154] </w:t>
      </w:r>
      <w:hyperlink r:id="rId477">
        <w:r>
          <w:rPr>
            <w:color w:val="1155CC"/>
            <w:u w:val="single"/>
          </w:rPr>
          <w:t>酶和辅因子在Pickering液滴衍生微反应器中的共限位用于连续流动催化</w:t>
        </w:r>
      </w:hyperlink>
    </w:p>
    <w:p>
      <w:pPr>
        <w:spacing w:before="0" w:after="80"/>
      </w:pPr>
      <w:r>
        <w:rPr>
          <w:i/>
          <w:sz w:val="20"/>
        </w:rPr>
        <w:t>EN: Co‐Confinement of Enzymes and Cofactors Within Pickering Droplet Derived Microreactors for Continuous Flow Catalysis</w:t>
      </w:r>
    </w:p>
    <w:p>
      <w:pPr>
        <w:spacing w:before="0" w:after="120"/>
      </w:pPr>
      <w:r>
        <w:rPr>
          <w:b/>
        </w:rPr>
        <w:t xml:space="preserve">Source: </w:t>
      </w:r>
      <w:r>
        <w:t>Wiley: Angewandte Chemie International Edition: Table of Contents</w:t>
      </w:r>
      <w:r>
        <w:t xml:space="preserve">    </w:t>
      </w:r>
      <w:r>
        <w:rPr>
          <w:b/>
        </w:rPr>
        <w:t xml:space="preserve">Pub date: </w:t>
      </w:r>
      <w:r>
        <w:t>2026-03-24 05:14:26+00:00</w:t>
      </w:r>
      <w:r>
        <w:t xml:space="preserve">    </w:t>
      </w:r>
      <w:r>
        <w:rPr>
          <w:b/>
        </w:rPr>
        <w:t xml:space="preserve">DOI: </w:t>
      </w:r>
      <w:hyperlink r:id="rId478">
        <w:r>
          <w:rPr>
            <w:color w:val="1155CC"/>
            <w:u w:val="single"/>
          </w:rPr>
          <w:t>10.1002/anie.202525681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酶和辅因子的共固定化代表了一种可持续的平台，用于连续流合成手性药物，但有效保留和相互可及性之间的平衡仍然具有挑战性。在此，我们报告了一种溶胶-凝胶策略，用于构建Pickering液滴衍生的微反应器（PDMRs），用于酶和辅因子的共限制，这些微反应器已应用于无需外源添加辅因子的连续流反应。在这些自给自足的PDMRs中，辅因子通过静电相互作用可逆地固定，实现了原位再生和对酶的自由访问。PDMRs有效地封装酶和辅因子，固定效率为85-100%，并具有强大的热稳定性。</w:t>
      </w:r>
    </w:p>
    <w:p>
      <w:pPr>
        <w:spacing w:before="0" w:after="200" w:lineRule="auto" w:line="276"/>
      </w:pPr>
      <w:r>
        <w:rPr>
          <w:b/>
        </w:rPr>
        <w:t xml:space="preserve">Abstract (EN): </w:t>
      </w:r>
      <w:r>
        <w:t>The co‐immobilization of enzymes and cofactors represents a sustainable platform for continuous‐flow synthesis of chiral pharmaceuticals, yet balancing effective retention with mutual accessibility of them remains challenging. Herein, we report a sol‐gel strategy to construct Pickering droplet derived microreactors (PDMRs) for the co‐confinement of enzymes and cofactors, which have been applied to continuous flow reactions without exogenous addition of cofactors. Within these self‐sufficient PDMRs, the cofactors are reversibly immobilized via electrostatic interactions, enabling in situ regeneration and free access to the enzyme. The PDMRs efficiently encapsulate enzymes and cofactors with 85–100% immobilization efficiency and robust thermal stability. In PDMRs‐catalyzed continuous flow reactions, excellent catalytic performance and high cofactor total turnover number (TTN) were obtained in nicotinamide adenine dinucleotide phosphate (NADP</w:t>
      </w:r>
      <w:r>
        <w:t xml:space="preserve"> </w:t>
      </w:r>
      <w:r>
        <w:t>+</w:t>
      </w:r>
      <w:r>
        <w:t xml:space="preserve"> </w:t>
      </w:r>
      <w:r>
        <w:t>)‐dependent aldo‐keto reductase (AKR) catalyzed enantioselective reductions (80–100% conversions, &amp;gt;99% ee, 500 h stability, up to 173 907 mol mol</w:t>
      </w:r>
      <w:r>
        <w:t xml:space="preserve"> </w:t>
      </w:r>
      <w:r>
        <w:t>−1</w:t>
      </w:r>
      <w:r>
        <w:t xml:space="preserve"> </w:t>
      </w:r>
      <w:r>
        <w:t>TTN), and pyridoxal 5‐phosphate (PLP)‐dependent transaminase (TA) catalyzed enantioselective transaminations (80–100% conversions, &amp;gt;99% ee, 2 000 h stability, up to 45 552 mol mol</w:t>
      </w:r>
      <w:r>
        <w:t xml:space="preserve"> </w:t>
      </w:r>
      <w:r>
        <w:t>−1</w:t>
      </w:r>
      <w:r>
        <w:t xml:space="preserve"> </w:t>
      </w:r>
      <w:r>
        <w:t>TTN). Furthermore, the PDMRs are extended to the co‐confinement of a multi‐enzyme system (AKR and glucose dehydrogenase, GDH) with NADP</w:t>
      </w:r>
      <w:r>
        <w:t xml:space="preserve"> </w:t>
      </w:r>
      <w:r>
        <w:t>+</w:t>
      </w:r>
      <w:r>
        <w:t xml:space="preserve"> </w:t>
      </w:r>
      <w:r>
        <w:t>for chiral alcohols synthesis with sustained operational stability. This work establishes a potent and durable strategy for industrial‐scale continuous flow manufacturing.</w:t>
      </w:r>
    </w:p>
    <w:p>
      <w:pPr>
        <w:spacing w:before="120" w:after="120"/>
      </w:pPr>
      <w:r>
        <w:rPr>
          <w:sz w:val="18"/>
        </w:rPr>
        <w:t>——————————————————————————————————————————————————————————————————————</w:t>
      </w:r>
    </w:p>
    <w:p>
      <w:pPr>
        <w:spacing w:before="160" w:after="40" w:line="240" w:lineRule="auto"/>
      </w:pPr>
      <w:r>
        <w:rPr>
          <w:b/>
        </w:rPr>
        <w:t xml:space="preserve">[155] </w:t>
      </w:r>
      <w:hyperlink r:id="rId479">
        <w:r>
          <w:rPr>
            <w:color w:val="1155CC"/>
            <w:u w:val="single"/>
          </w:rPr>
          <w:t>“缺陷丰富的粘附性纳米酶作为高效抗生素以增强细菌抑制”的更正</w:t>
        </w:r>
      </w:hyperlink>
    </w:p>
    <w:p>
      <w:pPr>
        <w:spacing w:before="0" w:after="80"/>
      </w:pPr>
      <w:r>
        <w:rPr>
          <w:i/>
          <w:sz w:val="20"/>
        </w:rPr>
        <w:t>EN: Correction to “Defect‐Rich Adhesive Nanozymes as Efficient Antibiotics for Enhanced Bacterial Inhibition”</w:t>
      </w:r>
    </w:p>
    <w:p>
      <w:pPr>
        <w:spacing w:before="0" w:after="120"/>
      </w:pPr>
      <w:r>
        <w:rPr>
          <w:b/>
        </w:rPr>
        <w:t xml:space="preserve">Source: </w:t>
      </w:r>
      <w:r>
        <w:t>Wiley: Angewandte Chemie International Edition: Table of Contents</w:t>
      </w:r>
      <w:r>
        <w:t xml:space="preserve">    </w:t>
      </w:r>
      <w:r>
        <w:rPr>
          <w:b/>
        </w:rPr>
        <w:t xml:space="preserve">Pub date: </w:t>
      </w:r>
      <w:r>
        <w:t>2026-03-24 05:14:56+00:00</w:t>
      </w:r>
      <w:r>
        <w:t xml:space="preserve">    </w:t>
      </w:r>
      <w:r>
        <w:rPr>
          <w:b/>
        </w:rPr>
        <w:t xml:space="preserve">DOI: </w:t>
      </w:r>
      <w:hyperlink r:id="rId480">
        <w:r>
          <w:rPr>
            <w:color w:val="1155CC"/>
            <w:u w:val="single"/>
          </w:rPr>
          <w:t>10.1002/anie.7386489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[156] </w:t>
      </w:r>
      <w:hyperlink r:id="rId481">
        <w:r>
          <w:rPr>
            <w:color w:val="1155CC"/>
            <w:u w:val="single"/>
          </w:rPr>
          <w:t>用于过氧化氢生产的均相催化配对电解池</w:t>
        </w:r>
      </w:hyperlink>
    </w:p>
    <w:p>
      <w:pPr>
        <w:spacing w:before="0" w:after="80"/>
      </w:pPr>
      <w:r>
        <w:rPr>
          <w:i/>
          <w:sz w:val="20"/>
        </w:rPr>
        <w:t>EN: A Homogeneously Catalyzed Paired Electrolytic Cell for Hydrogen Peroxide Production</w:t>
      </w:r>
    </w:p>
    <w:p>
      <w:pPr>
        <w:spacing w:before="0" w:after="120"/>
      </w:pPr>
      <w:r>
        <w:rPr>
          <w:b/>
        </w:rPr>
        <w:t xml:space="preserve">Source: </w:t>
      </w:r>
      <w:r>
        <w:t>Wiley: Angewandte Chemie International Edition: Table of Contents</w:t>
      </w:r>
      <w:r>
        <w:t xml:space="preserve">    </w:t>
      </w:r>
      <w:r>
        <w:rPr>
          <w:b/>
        </w:rPr>
        <w:t xml:space="preserve">Pub date: </w:t>
      </w:r>
      <w:r>
        <w:t>2026-03-24 05:15:37+00:00</w:t>
      </w:r>
      <w:r>
        <w:t xml:space="preserve">    </w:t>
      </w:r>
      <w:r>
        <w:rPr>
          <w:b/>
        </w:rPr>
        <w:t xml:space="preserve">DOI: </w:t>
      </w:r>
      <w:hyperlink r:id="rId482">
        <w:r>
          <w:rPr>
            <w:color w:val="1155CC"/>
            <w:u w:val="single"/>
          </w:rPr>
          <w:t>10.1002/anie.202524811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两电子水氧化反应（2e−-WOR）和氧还原反应（2e−-ORR）代表了电化学合成过氧化氢（H2O2）的可持续且有前途的过程。阻碍H2O2生产的配对电化学电池实现的主要因素是找到适合2e−-ORR和2e−-WOR的催化剂，能够在相同的实验条件下工作。在此</w:t>
      </w:r>
    </w:p>
    <w:p>
      <w:pPr>
        <w:spacing w:before="0" w:after="200" w:lineRule="auto" w:line="276"/>
      </w:pPr>
      <w:r>
        <w:rPr>
          <w:b/>
        </w:rPr>
        <w:t xml:space="preserve">Abstract (EN): </w:t>
      </w:r>
      <w:r>
        <w:t>The two‐electron water oxidation reaction (2e</w:t>
      </w:r>
      <w:r>
        <w:t xml:space="preserve"> </w:t>
      </w:r>
      <w:r>
        <w:t>−</w:t>
      </w:r>
      <w:r>
        <w:t>‐WOR) and oxygen reduction reaction (2e</w:t>
      </w:r>
      <w:r>
        <w:t xml:space="preserve"> </w:t>
      </w:r>
      <w:r>
        <w:t>−</w:t>
      </w:r>
      <w:r>
        <w:t>‐ORR) represent sustainable and promising processes for the electrochemical synthesis of hydrogen peroxide (H</w:t>
      </w:r>
      <w:r>
        <w:rPr>
          <w:vertAlign w:val="subscript"/>
        </w:rPr>
        <w:t>2</w:t>
      </w:r>
      <w:r>
        <w:t>O</w:t>
      </w:r>
      <w:r>
        <w:rPr>
          <w:vertAlign w:val="subscript"/>
        </w:rPr>
        <w:t>2</w:t>
      </w:r>
      <w:r>
        <w:t>). The main factor hampering the realization of a paired electrochemical cell for H</w:t>
      </w:r>
      <w:r>
        <w:rPr>
          <w:vertAlign w:val="subscript"/>
        </w:rPr>
        <w:t>2</w:t>
      </w:r>
      <w:r>
        <w:t>O</w:t>
      </w:r>
      <w:r>
        <w:rPr>
          <w:vertAlign w:val="subscript"/>
        </w:rPr>
        <w:t>2</w:t>
      </w:r>
      <w:r>
        <w:t>production is finding appropriate catalysts for both 2e</w:t>
      </w:r>
      <w:r>
        <w:t xml:space="preserve"> </w:t>
      </w:r>
      <w:r>
        <w:t>−</w:t>
      </w:r>
      <w:r>
        <w:t>‐ORR and 2e</w:t>
      </w:r>
      <w:r>
        <w:t xml:space="preserve"> </w:t>
      </w:r>
      <w:r>
        <w:t>−</w:t>
      </w:r>
      <w:r>
        <w:t>‐WOR, able to work under the same experimental conditions. Herein we show that</w:t>
      </w:r>
      <w:r>
        <w:t xml:space="preserve"> </w:t>
      </w:r>
      <w:r>
        <w:t>Cu(tmpa))</w:t>
      </w:r>
      <w:r>
        <w:t xml:space="preserve"> </w:t>
      </w:r>
      <w:r>
        <w:t>and</w:t>
      </w:r>
      <w:r>
        <w:t xml:space="preserve"> </w:t>
      </w:r>
      <w:r>
        <w:t>Sn‐TMPyP</w:t>
      </w:r>
      <w:r>
        <w:t xml:space="preserve"> </w:t>
      </w:r>
      <w:r>
        <w:t>are compatible and efficient catalysts for 2e</w:t>
      </w:r>
      <w:r>
        <w:t xml:space="preserve"> </w:t>
      </w:r>
      <w:r>
        <w:t>−</w:t>
      </w:r>
      <w:r>
        <w:t>‐ORR and 2e</w:t>
      </w:r>
      <w:r>
        <w:t xml:space="preserve"> </w:t>
      </w:r>
      <w:r>
        <w:t>−</w:t>
      </w:r>
      <w:r>
        <w:t>‐WOR, respectively. They have been used to assemble a paired electrochemical cell for H</w:t>
      </w:r>
      <w:r>
        <w:rPr>
          <w:vertAlign w:val="subscript"/>
        </w:rPr>
        <w:t>2</w:t>
      </w:r>
      <w:r>
        <w:t>O</w:t>
      </w:r>
      <w:r>
        <w:rPr>
          <w:vertAlign w:val="subscript"/>
        </w:rPr>
        <w:t>2</w:t>
      </w:r>
      <w:r>
        <w:t>production. The latter exhibits a total overpotential of 570 mV, distributed between the two electrodes. During a 3 h bulk electrolysis experiment, the cathodic Faradaic efficiency ranged from 15% to 19% with a H</w:t>
      </w:r>
      <w:r>
        <w:rPr>
          <w:vertAlign w:val="subscript"/>
        </w:rPr>
        <w:t>2</w:t>
      </w:r>
      <w:r>
        <w:t>O</w:t>
      </w:r>
      <w:r>
        <w:rPr>
          <w:vertAlign w:val="subscript"/>
        </w:rPr>
        <w:t>2</w:t>
      </w:r>
      <w:r>
        <w:t>production rate of 1.6 µmol h</w:t>
      </w:r>
      <w:r>
        <w:t xml:space="preserve"> </w:t>
      </w:r>
      <w:r>
        <w:t>−</w:t>
      </w:r>
      <w:r>
        <w:rPr>
          <w:vertAlign w:val="subscript"/>
        </w:rPr>
        <w:t>1</w:t>
      </w:r>
      <w:r>
        <w:t>cm</w:t>
      </w:r>
      <w:r>
        <w:t xml:space="preserve"> </w:t>
      </w:r>
      <w:r>
        <w:t>−</w:t>
      </w:r>
      <w:r>
        <w:rPr>
          <w:vertAlign w:val="subscript"/>
        </w:rPr>
        <w:t>2</w:t>
      </w:r>
      <w:r>
        <w:t>. Meanwhile, at the anode, the Faradaic efficiency stabilized between 40% and 50%, yielding a H</w:t>
      </w:r>
      <w:r>
        <w:rPr>
          <w:vertAlign w:val="subscript"/>
        </w:rPr>
        <w:t>2</w:t>
      </w:r>
      <w:r>
        <w:t>O</w:t>
      </w:r>
      <w:r>
        <w:rPr>
          <w:vertAlign w:val="subscript"/>
        </w:rPr>
        <w:t>2</w:t>
      </w:r>
      <w:r>
        <w:t>production rate of 3.5 µmol h</w:t>
      </w:r>
      <w:r>
        <w:t xml:space="preserve"> </w:t>
      </w:r>
      <w:r>
        <w:t>−</w:t>
      </w:r>
      <w:r>
        <w:rPr>
          <w:vertAlign w:val="subscript"/>
        </w:rPr>
        <w:t>1</w:t>
      </w:r>
      <w:r>
        <w:t>cm</w:t>
      </w:r>
      <w:r>
        <w:t xml:space="preserve"> </w:t>
      </w:r>
      <w:r>
        <w:t>−</w:t>
      </w:r>
      <w:r>
        <w:rPr>
          <w:vertAlign w:val="subscript"/>
        </w:rPr>
        <w:t>2</w:t>
      </w:r>
      <w:r>
        <w:t>. The remarkable activity of</w:t>
      </w:r>
      <w:r>
        <w:t xml:space="preserve"> </w:t>
      </w:r>
      <w:r>
        <w:t>Sn‐TMPyP</w:t>
      </w:r>
      <w:r>
        <w:t xml:space="preserve"> </w:t>
      </w:r>
      <w:r>
        <w:t>as a catalyst for the 2e</w:t>
      </w:r>
      <w:r>
        <w:t xml:space="preserve"> </w:t>
      </w:r>
      <w:r>
        <w:t>−</w:t>
      </w:r>
      <w:r>
        <w:t>‐WOR, ranking among the highest reported for molecular catalysts, is ascribed to the selection of a carbonate buffer as the electrolyte, which enhanced catalytic performance by facilitating dissociation of H</w:t>
      </w:r>
      <w:r>
        <w:rPr>
          <w:vertAlign w:val="subscript"/>
        </w:rPr>
        <w:t>2</w:t>
      </w:r>
      <w:r>
        <w:t>O</w:t>
      </w:r>
      <w:r>
        <w:rPr>
          <w:vertAlign w:val="subscript"/>
        </w:rPr>
        <w:t>2</w:t>
      </w:r>
      <w:r>
        <w:t>from the Sn catalyst. This work establishes a new benchmark for homogeneous dual‐electrode H</w:t>
      </w:r>
      <w:r>
        <w:rPr>
          <w:vertAlign w:val="subscript"/>
        </w:rPr>
        <w:t>2</w:t>
      </w:r>
      <w:r>
        <w:t>O</w:t>
      </w:r>
      <w:r>
        <w:rPr>
          <w:vertAlign w:val="subscript"/>
        </w:rPr>
        <w:t>2</w:t>
      </w:r>
      <w:r>
        <w:t>electrosynthesis.</w:t>
      </w:r>
    </w:p>
    <w:p>
      <w:pPr>
        <w:spacing w:before="120" w:after="120"/>
      </w:pPr>
      <w:r>
        <w:rPr>
          <w:sz w:val="18"/>
        </w:rPr>
        <w:t>——————————————————————————————————————————————————————————————————————</w:t>
      </w:r>
    </w:p>
    <w:p>
      <w:pPr>
        <w:spacing w:before="160" w:after="40" w:line="240" w:lineRule="auto"/>
      </w:pPr>
      <w:r>
        <w:rPr>
          <w:b/>
        </w:rPr>
        <w:t xml:space="preserve">[157] </w:t>
      </w:r>
      <w:hyperlink r:id="rId483">
        <w:r>
          <w:rPr>
            <w:color w:val="1155CC"/>
            <w:u w:val="single"/>
          </w:rPr>
          <w:t>锰催化的脂肪醇直接转胺为伯胺</w:t>
        </w:r>
      </w:hyperlink>
    </w:p>
    <w:p>
      <w:pPr>
        <w:spacing w:before="0" w:after="80"/>
      </w:pPr>
      <w:r>
        <w:rPr>
          <w:i/>
          <w:sz w:val="20"/>
        </w:rPr>
        <w:t>EN: Manganese‐Catalyzed Direct Transamination of Aliphatic Alcohols to Primary Amines</w:t>
      </w:r>
    </w:p>
    <w:p>
      <w:pPr>
        <w:spacing w:before="0" w:after="120"/>
      </w:pPr>
      <w:r>
        <w:rPr>
          <w:b/>
        </w:rPr>
        <w:t xml:space="preserve">Source: </w:t>
      </w:r>
      <w:r>
        <w:t>Wiley: Angewandte Chemie International Edition: Table of Contents</w:t>
      </w:r>
      <w:r>
        <w:t xml:space="preserve">    </w:t>
      </w:r>
      <w:r>
        <w:rPr>
          <w:b/>
        </w:rPr>
        <w:t xml:space="preserve">Pub date: </w:t>
      </w:r>
      <w:r>
        <w:t>2026-03-24 05:16:07+00:00</w:t>
      </w:r>
      <w:r>
        <w:t xml:space="preserve">    </w:t>
      </w:r>
      <w:r>
        <w:rPr>
          <w:b/>
        </w:rPr>
        <w:t xml:space="preserve">DOI: </w:t>
      </w:r>
      <w:hyperlink r:id="rId484">
        <w:r>
          <w:rPr>
            <w:color w:val="1155CC"/>
            <w:u w:val="single"/>
          </w:rPr>
          <w:t>10.1002/anie.2797925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脂肪族伯胺是药物、精细化学品和功能材料的重要前体。然而，这些胺的传统合成方法通常涉及繁琐的多步过程，效率和成本效益不佳。直接胺化易得的醇以获得伯胺具有很大的吸引力，但仍然具有挑战性。在此，我们报告了一种锰催化的醇的转胺反应，使用市售的苄胺作为胺化试剂。该方案展示了广泛的底物兼容性和对脂肪族伯胺的优异选择性，即使在低催化剂负载下，TON可达1.1×10^6。</w:t>
      </w:r>
    </w:p>
    <w:p>
      <w:pPr>
        <w:spacing w:before="0" w:after="200" w:lineRule="auto" w:line="276"/>
      </w:pPr>
      <w:r>
        <w:rPr>
          <w:b/>
        </w:rPr>
        <w:t xml:space="preserve">Abstract (EN): </w:t>
      </w:r>
      <w:r>
        <w:t>Aliphatic primary amines serve as essential precursors for pharmaceuticals, fine chemicals, and functional materials. However, conventional synthetic methods for these amines typically involve tedious multi‐step processes with suboptimal efficiency and cost‐effectiveness. Direct amination of readily available alcohols to access primary amines is highly appealing but remains challenging. Herein, we report a manganese‐catalyzed transamination of alcohols using commercially available benzylamine as the amination reagent. The protocol demonstrates broad substrate compatibility and excellent selectivity toward aliphatic primary amines even at low catalyst loadings, up to 1.1×10</w:t>
      </w:r>
      <w:r>
        <w:rPr>
          <w:vertAlign w:val="subscript"/>
        </w:rPr>
        <w:t>6</w:t>
      </w:r>
      <w:r>
        <w:t>TON could be achieved. Mechanistic studies reveal that bases play crucial roles in achieving excellent selectivity, in which</w:t>
      </w:r>
      <w:r>
        <w:t xml:space="preserve"> </w:t>
      </w:r>
      <w:r>
        <w:t>t</w:t>
      </w:r>
      <w:r>
        <w:t xml:space="preserve"> </w:t>
      </w:r>
      <w:r>
        <w:t>BuOK facilitates imine intermediate rearrangement and KOH acts as a nucleophile to promote imine bond cleavage, thus enabling the formation of desired primary amines instead of conventional</w:t>
      </w:r>
      <w:r>
        <w:t xml:space="preserve"> </w:t>
      </w:r>
      <w:r>
        <w:t>N</w:t>
      </w:r>
      <w:r>
        <w:t xml:space="preserve"> </w:t>
      </w:r>
      <w:r>
        <w:t>‐alkylated secondary amines.</w:t>
      </w:r>
    </w:p>
    <w:p>
      <w:pPr>
        <w:spacing w:before="120" w:after="120"/>
      </w:pPr>
      <w:r>
        <w:rPr>
          <w:sz w:val="18"/>
        </w:rPr>
        <w:t>——————————————————————————————————————————————————————————————————————</w:t>
      </w:r>
    </w:p>
    <w:p>
      <w:pPr>
        <w:spacing w:before="160" w:after="40" w:line="240" w:lineRule="auto"/>
      </w:pPr>
      <w:r>
        <w:rPr>
          <w:b/>
        </w:rPr>
        <w:t xml:space="preserve">[158] </w:t>
      </w:r>
      <w:hyperlink r:id="rId485">
        <w:r>
          <w:rPr>
            <w:color w:val="1155CC"/>
            <w:u w:val="single"/>
          </w:rPr>
          <w:t>Matrimid衍生的不对称碳分子筛中空纤维，具有工程化的超微孔用于精确的氦分离</w:t>
        </w:r>
      </w:hyperlink>
    </w:p>
    <w:p>
      <w:pPr>
        <w:spacing w:before="0" w:after="80"/>
      </w:pPr>
      <w:r>
        <w:rPr>
          <w:i/>
          <w:sz w:val="20"/>
        </w:rPr>
        <w:t>EN: Matrimid‐Derived Asymmetric Carbon Molecular Sieve Hollow Fibers With Engineered Ultramicropores for Precise Helium Separation</w:t>
      </w:r>
    </w:p>
    <w:p>
      <w:pPr>
        <w:spacing w:before="0" w:after="120"/>
      </w:pPr>
      <w:r>
        <w:rPr>
          <w:b/>
        </w:rPr>
        <w:t xml:space="preserve">Source: </w:t>
      </w:r>
      <w:r>
        <w:t>Wiley: Angewandte Chemie International Edition: Table of Contents</w:t>
      </w:r>
      <w:r>
        <w:t xml:space="preserve">    </w:t>
      </w:r>
      <w:r>
        <w:rPr>
          <w:b/>
        </w:rPr>
        <w:t xml:space="preserve">Pub date: </w:t>
      </w:r>
      <w:r>
        <w:t>2026-03-24 05:16:40+00:00</w:t>
      </w:r>
      <w:r>
        <w:t xml:space="preserve">    </w:t>
      </w:r>
      <w:r>
        <w:rPr>
          <w:b/>
        </w:rPr>
        <w:t xml:space="preserve">DOI: </w:t>
      </w:r>
      <w:hyperlink r:id="rId486">
        <w:r>
          <w:rPr>
            <w:color w:val="1155CC"/>
            <w:u w:val="single"/>
          </w:rPr>
          <w:t>10.1002/anie.6271309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氦/甲烷（He/CH</w:t>
      </w:r>
      <w:r>
        <w:rPr>
          <w:vertAlign w:val="subscript"/>
        </w:rPr>
        <w:t>4</w:t>
      </w:r>
      <w:r>
        <w:t>）分离对于能源和工业应用具有战略重要性，但由于需要同时实现超高选择性和氦生产率，这在技术上仍然具有挑战性。在这项工作中，我们报告了超选择性的Matrimid衍生的不对称碳分子筛（CMS）中空纤维，其中超微孔和纤维几何形状经过精心共同设计，以在模块级别实现高氦生产率的精确He/CH</w:t>
      </w:r>
      <w:r>
        <w:rPr>
          <w:vertAlign w:val="subscript"/>
        </w:rPr>
        <w:t>4</w:t>
      </w:r>
      <w:r>
        <w:t>分离。我们展示了热解温度调节如何收紧埃尺度的超微孔并增强He/CH</w:t>
      </w:r>
      <w:r>
        <w:rPr>
          <w:vertAlign w:val="subscript"/>
        </w:rPr>
        <w:t>4</w:t>
      </w:r>
      <w:r>
        <w:t>的区分；而焦油</w:t>
      </w:r>
    </w:p>
    <w:p>
      <w:pPr>
        <w:spacing w:before="0" w:after="200" w:lineRule="auto" w:line="276"/>
      </w:pPr>
      <w:r>
        <w:rPr>
          <w:b/>
        </w:rPr>
        <w:t xml:space="preserve">Abstract (EN): </w:t>
      </w:r>
      <w:r>
        <w:t>Helium/methane (He/CH</w:t>
      </w:r>
      <w:r>
        <w:rPr>
          <w:vertAlign w:val="subscript"/>
        </w:rPr>
        <w:t>4</w:t>
      </w:r>
      <w:r>
        <w:t>) separation is of strategic importance for energy and industrial applications, yet it remains technically challenging due to the need to simultaneously achieve ultrahigh selectivity and helium productivity. In this work, we report ultraselective Matrimid‐derived asymmetric carbon molecular sieve (CMS) hollow fibers in which ultramicropore and fiber geometry are deliberately co‐engineered to enable precise He/CH</w:t>
      </w:r>
      <w:r>
        <w:rPr>
          <w:vertAlign w:val="subscript"/>
        </w:rPr>
        <w:t>4</w:t>
      </w:r>
      <w:r>
        <w:t>separation with high He productivity at the module level. We showed that pyrolysis temperature tuning tightens ångström‐scale ultramicropores and enhances He/CH</w:t>
      </w:r>
      <w:r>
        <w:rPr>
          <w:vertAlign w:val="subscript"/>
        </w:rPr>
        <w:t>4</w:t>
      </w:r>
      <w:r>
        <w:t>discrimination; while a targeted post‐pyrolysis hyperaging enables selective refining of the ultramicropores, thereby offering high He permeance with exceptional He/CH</w:t>
      </w:r>
      <w:r>
        <w:rPr>
          <w:vertAlign w:val="subscript"/>
        </w:rPr>
        <w:t>4</w:t>
      </w:r>
      <w:r>
        <w:t>selectivity. For a 5/95 He/CH</w:t>
      </w:r>
      <w:r>
        <w:rPr>
          <w:vertAlign w:val="subscript"/>
        </w:rPr>
        <w:t>4</w:t>
      </w:r>
      <w:r>
        <w:t>mixed gas feed, the hyperaged CMS‐700 hollow fibers achieve permeate helium purities of up to 98.6% with He/CH</w:t>
      </w:r>
      <w:r>
        <w:rPr>
          <w:vertAlign w:val="subscript"/>
        </w:rPr>
        <w:t>4</w:t>
      </w:r>
      <w:r>
        <w:t>selectivities exceeding 1300 and a stable He permeance of approximately 26 GPU. Beyond this material achievement, fiber geometry optimization through reduction of the outer diameter was achieved to increase the packable membrane area without compromising mechanical integrity or intrinsic separation performance, leading to enhanced module‐level He productivity. This integrated co‐engineering strategy provides an energy‐efficient and industrially viable platform for He recovery and is readily extendable to other challenging small/large gas‐pair separations.</w:t>
      </w:r>
    </w:p>
    <w:p>
      <w:pPr>
        <w:spacing w:before="120" w:after="120"/>
      </w:pPr>
      <w:r>
        <w:rPr>
          <w:sz w:val="18"/>
        </w:rPr>
        <w:t>——————————————————————————————————————————————————————————————————————</w:t>
      </w:r>
    </w:p>
    <w:p>
      <w:pPr>
        <w:spacing w:before="160" w:after="40" w:line="240" w:lineRule="auto"/>
      </w:pPr>
      <w:r>
        <w:rPr>
          <w:b/>
        </w:rPr>
        <w:t xml:space="preserve">[159] </w:t>
      </w:r>
      <w:hyperlink r:id="rId487">
        <w:r>
          <w:rPr>
            <w:color w:val="1155CC"/>
            <w:u w:val="single"/>
          </w:rPr>
          <w:t>具有不对称局部电场的轴向硫桥Mo-S-Cu纳米酶，提升多酶活性用于铁死亡-焦亡治疗</w:t>
        </w:r>
      </w:hyperlink>
    </w:p>
    <w:p>
      <w:pPr>
        <w:spacing w:before="0" w:after="80"/>
      </w:pPr>
      <w:r>
        <w:rPr>
          <w:i/>
          <w:sz w:val="20"/>
        </w:rPr>
        <w:t>EN: Axial Sulfur‐Bridged Mo‐S‐Cu Nanozymes With an Asymmetric Local Electric Field Boosting Multi‐Enzymatic Activities for Ferroptosis‐Pyroptosis Therapy</w:t>
      </w:r>
    </w:p>
    <w:p>
      <w:pPr>
        <w:spacing w:before="0" w:after="120"/>
      </w:pPr>
      <w:r>
        <w:rPr>
          <w:b/>
        </w:rPr>
        <w:t xml:space="preserve">Source: </w:t>
      </w:r>
      <w:r>
        <w:t>Wiley: Angewandte Chemie International Edition: Table of Contents</w:t>
      </w:r>
      <w:r>
        <w:t xml:space="preserve">    </w:t>
      </w:r>
      <w:r>
        <w:rPr>
          <w:b/>
        </w:rPr>
        <w:t xml:space="preserve">Pub date: </w:t>
      </w:r>
      <w:r>
        <w:t>2026-03-24 05:22:08+00:00</w:t>
      </w:r>
      <w:r>
        <w:t xml:space="preserve">    </w:t>
      </w:r>
      <w:r>
        <w:rPr>
          <w:b/>
        </w:rPr>
        <w:t xml:space="preserve">DOI: </w:t>
      </w:r>
      <w:hyperlink r:id="rId488">
        <w:r>
          <w:rPr>
            <w:color w:val="1155CC"/>
            <w:u w:val="single"/>
          </w:rPr>
          <w:t>10.1002/anie.202523888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轴向配位的纳米酶具有不对称局部电场（LEF），在高效的活性氧（ROS）介导的抗肿瘤治疗中具有潜力，但通常由于单个配位到相邻原子的有限LEF而受到阻碍。在此，基于纳米岛（NIs）的轴向配体桥接构建了具有不对称LEF的轴向硫桥Mo─S─Cu纳米酶（A-CuN</w:t>
      </w:r>
      <w:r>
        <w:rPr>
          <w:vertAlign w:val="subscript"/>
        </w:rPr>
        <w:t>3</w:t>
      </w:r>
      <w:r>
        <w:t>S</w:t>
      </w:r>
      <w:r>
        <w:rPr>
          <w:vertAlign w:val="subscript"/>
        </w:rPr>
        <w:t>1</w:t>
      </w:r>
      <w:r>
        <w:t>@MoS</w:t>
      </w:r>
      <w:r>
        <w:t xml:space="preserve"> </w:t>
      </w:r>
      <w:r>
        <w:t>2-x</w:t>
      </w:r>
      <w:r>
        <w:t xml:space="preserve"> </w:t>
      </w:r>
      <w:r>
        <w:t>），以增强铁死亡-焦亡治疗。CuN</w:t>
      </w:r>
      <w:r>
        <w:rPr>
          <w:vertAlign w:val="subscript"/>
        </w:rPr>
        <w:t>3</w:t>
      </w:r>
      <w:r>
        <w:t>/C纳米片中的Cu原子之间的S桥和NIs中的Mo位点之间的S桥创造了广泛且增强的LEF，这有助于</w:t>
      </w:r>
    </w:p>
    <w:p>
      <w:pPr>
        <w:spacing w:before="0" w:after="200" w:lineRule="auto" w:line="276"/>
      </w:pPr>
      <w:r>
        <w:rPr>
          <w:b/>
        </w:rPr>
        <w:t xml:space="preserve">Abstract (EN): </w:t>
      </w:r>
      <w:r>
        <w:t>The axial coordination‐based nanozymes with asymmetric local electric field (LEF) are promising for efficient reactive oxygen species (ROS)‐mediated antitumor treatments, while normally hindered by a limited LEF upon individual coordination to adjacent atoms. Herein, an axial sulfur‐bridged Mo─S─Cu nanozymes with asymmetric LEF (A‐CuN</w:t>
      </w:r>
      <w:r>
        <w:rPr>
          <w:vertAlign w:val="subscript"/>
        </w:rPr>
        <w:t>3</w:t>
      </w:r>
      <w:r>
        <w:t>S</w:t>
      </w:r>
      <w:r>
        <w:rPr>
          <w:vertAlign w:val="subscript"/>
        </w:rPr>
        <w:t>1</w:t>
      </w:r>
      <w:r>
        <w:t>@MoS</w:t>
      </w:r>
      <w:r>
        <w:t xml:space="preserve"> </w:t>
      </w:r>
      <w:r>
        <w:t>2‐x</w:t>
      </w:r>
      <w:r>
        <w:t xml:space="preserve"> </w:t>
      </w:r>
      <w:r>
        <w:t>) was constructed based on nanoislands (NIs)‐based axial ligand‐bridging to enhance ferroptosis‐pyroptosis therapy. The S bridge between Cu atoms in CuN</w:t>
      </w:r>
      <w:r>
        <w:rPr>
          <w:vertAlign w:val="subscript"/>
        </w:rPr>
        <w:t>3</w:t>
      </w:r>
      <w:r>
        <w:t>/C nanosheets and Mo site in NIs creates a broad and enhanced LEF, which facilitates rapid electron transfer between the nanozyme and substrates, thereby regulating its enzymatic activities. Theoretical calculations reveal that the S‐bridge induces asymmetric electron‐rich redistribution along the longitudinal axis of Cu─N</w:t>
      </w:r>
      <w:r>
        <w:rPr>
          <w:vertAlign w:val="subscript"/>
        </w:rPr>
        <w:t>3</w:t>
      </w:r>
      <w:r>
        <w:t>, promoting H</w:t>
      </w:r>
      <w:r>
        <w:rPr>
          <w:vertAlign w:val="subscript"/>
        </w:rPr>
        <w:t>2</w:t>
      </w:r>
      <w:r>
        <w:t>O</w:t>
      </w:r>
      <w:r>
        <w:rPr>
          <w:vertAlign w:val="subscript"/>
        </w:rPr>
        <w:t>2</w:t>
      </w:r>
      <w:r>
        <w:t>heterolysis and O</w:t>
      </w:r>
      <w:r>
        <w:rPr>
          <w:vertAlign w:val="subscript"/>
        </w:rPr>
        <w:t>2</w:t>
      </w:r>
      <w:r>
        <w:t>desorption to enhance catalase‐like and peroxidase‐like activities. Simultaneously, Mo sites extract electrons from Cu via the S bridge, augmenting oxidase‐like activities and degrade overexpressed glutathione to avoid nontherapeutic ROS consumption. Consequently, A‐CuN</w:t>
      </w:r>
      <w:r>
        <w:rPr>
          <w:vertAlign w:val="subscript"/>
        </w:rPr>
        <w:t>3</w:t>
      </w:r>
      <w:r>
        <w:t>S</w:t>
      </w:r>
      <w:r>
        <w:rPr>
          <w:vertAlign w:val="subscript"/>
        </w:rPr>
        <w:t>1</w:t>
      </w:r>
      <w:r>
        <w:t>@MoS</w:t>
      </w:r>
      <w:r>
        <w:t xml:space="preserve"> </w:t>
      </w:r>
      <w:r>
        <w:t>2‐x</w:t>
      </w:r>
      <w:r>
        <w:t xml:space="preserve"> </w:t>
      </w:r>
      <w:r>
        <w:t>induces robust ferroptosis by cytotoxic ROS accumulation and causing severe mitochondria damages, while simultaneously activating pyroptosis within the tumor region without harming normal tissues. This work demonstrates high‐efficiency ferroptosis‐pyroptosis therapy driven by multi‐enzyme catalysis via axial Mo─S─Cu coordination with an expanded asymmetric LEF, offering a novel strategy for non‐apoptotic tumor treatment.</w:t>
      </w:r>
    </w:p>
    <w:p>
      <w:pPr>
        <w:spacing w:before="120" w:after="120"/>
      </w:pPr>
      <w:r>
        <w:rPr>
          <w:sz w:val="18"/>
        </w:rPr>
        <w:t>——————————————————————————————————————————————————————————————————————</w:t>
      </w:r>
    </w:p>
    <w:p>
      <w:pPr>
        <w:spacing w:before="160" w:after="40" w:line="240" w:lineRule="auto"/>
      </w:pPr>
      <w:r>
        <w:rPr>
          <w:b/>
        </w:rPr>
        <w:t xml:space="preserve">[160] </w:t>
      </w:r>
      <w:hyperlink r:id="rId489">
        <w:r>
          <w:rPr>
            <w:color w:val="1155CC"/>
            <w:u w:val="single"/>
          </w:rPr>
          <w:t>通过d-p轨道耦合修复断裂的S─S键以实现耐用的镁电池</w:t>
        </w:r>
      </w:hyperlink>
    </w:p>
    <w:p>
      <w:pPr>
        <w:spacing w:before="0" w:after="80"/>
      </w:pPr>
      <w:r>
        <w:rPr>
          <w:i/>
          <w:sz w:val="20"/>
        </w:rPr>
        <w:t>EN: Healing Broken S─S Bonds via d‐p Orbital Coupling for Durable Magnesium Batteries</w:t>
      </w:r>
    </w:p>
    <w:p>
      <w:pPr>
        <w:spacing w:before="0" w:after="120"/>
      </w:pPr>
      <w:r>
        <w:rPr>
          <w:b/>
        </w:rPr>
        <w:t xml:space="preserve">Source: </w:t>
      </w:r>
      <w:r>
        <w:t>Wiley: Angewandte Chemie International Edition: Table of Contents</w:t>
      </w:r>
      <w:r>
        <w:t xml:space="preserve">    </w:t>
      </w:r>
      <w:r>
        <w:rPr>
          <w:b/>
        </w:rPr>
        <w:t xml:space="preserve">Pub date: </w:t>
      </w:r>
      <w:r>
        <w:t>2026-03-24 05:26:31+00:00</w:t>
      </w:r>
      <w:r>
        <w:t xml:space="preserve">    </w:t>
      </w:r>
      <w:r>
        <w:rPr>
          <w:b/>
        </w:rPr>
        <w:t xml:space="preserve">DOI: </w:t>
      </w:r>
      <w:hyperlink r:id="rId490">
        <w:r>
          <w:rPr>
            <w:color w:val="1155CC"/>
            <w:u w:val="single"/>
          </w:rPr>
          <w:t>10.1002/anie.1371160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充电镁电池由于金属镁阳极的丰富性、安全性和高理论容量而在大规模储能中具有巨大潜力。然而，它们的发展受到硫族化物正极不可逆结构演变的阻碍，这源于充电过程中无法重建断裂的S─S键。在此，我们识别了这种不可逆机制，并提出了一种创新的d‐p轨道耦合策略来解决这一问题。以CuS为模型系统，我们证明通过Mo 4d‐S 3p耦合引入高共价Mo─S键能够</w:t>
      </w:r>
    </w:p>
    <w:p>
      <w:pPr>
        <w:spacing w:before="0" w:after="200" w:lineRule="auto" w:line="276"/>
      </w:pPr>
      <w:r>
        <w:rPr>
          <w:b/>
        </w:rPr>
        <w:t xml:space="preserve">Abstract (EN): </w:t>
      </w:r>
      <w:r>
        <w:t>Rechargeable Mg batteries hold great promise for large‐scale energy storage due to the abundance, safety, and high theoretical capacity of the metallic Mg anode. However, their development is hampered by the irreversible structural evolution of chalcogenide cathodes, which originates from the inability to reform broken S─S bonds during charging. Here, we identify this irreversibility mechanism and propose an innovative</w:t>
      </w:r>
      <w:r>
        <w:t xml:space="preserve"> </w:t>
      </w:r>
      <w:r>
        <w:t>d</w:t>
      </w:r>
      <w:r>
        <w:t xml:space="preserve"> </w:t>
      </w:r>
      <w:r>
        <w:t>‐</w:t>
      </w:r>
      <w:r>
        <w:t xml:space="preserve"> </w:t>
      </w:r>
      <w:r>
        <w:t>p</w:t>
      </w:r>
      <w:r>
        <w:t xml:space="preserve"> </w:t>
      </w:r>
      <w:r>
        <w:t>orbital coupling strategy to address it. Using CuS as a model system, we demonstrate that introducing high‐covalency Mo─S bonds via Mo 4</w:t>
      </w:r>
      <w:r>
        <w:t xml:space="preserve"> </w:t>
      </w:r>
      <w:r>
        <w:t>d</w:t>
      </w:r>
      <w:r>
        <w:t xml:space="preserve"> </w:t>
      </w:r>
      <w:r>
        <w:t>‐S 3</w:t>
      </w:r>
      <w:r>
        <w:t xml:space="preserve"> </w:t>
      </w:r>
      <w:r>
        <w:t>p</w:t>
      </w:r>
      <w:r>
        <w:t xml:space="preserve"> </w:t>
      </w:r>
      <w:r>
        <w:t>coupling enables precise regulation of the electronic structure, thereby facilitating the reversible breaking and reconstruction of S─S bonds. This orbital‐level optimization yields a breakthrough in Mg‐storage performance, including a high reversible capacity (356 mAh g</w:t>
      </w:r>
      <w:r>
        <w:t xml:space="preserve"> </w:t>
      </w:r>
      <w:r>
        <w:t>−1</w:t>
      </w:r>
      <w:r>
        <w:t xml:space="preserve"> </w:t>
      </w:r>
      <w:r>
        <w:t>at 100 mA g</w:t>
      </w:r>
      <w:r>
        <w:t xml:space="preserve"> </w:t>
      </w:r>
      <w:r>
        <w:t>−1</w:t>
      </w:r>
      <w:r>
        <w:t xml:space="preserve"> </w:t>
      </w:r>
      <w:r>
        <w:t>), exceptional rate capability (166 mAh g</w:t>
      </w:r>
      <w:r>
        <w:t xml:space="preserve"> </w:t>
      </w:r>
      <w:r>
        <w:t>−1</w:t>
      </w:r>
      <w:r>
        <w:t xml:space="preserve"> </w:t>
      </w:r>
      <w:r>
        <w:t>at 1 A g</w:t>
      </w:r>
      <w:r>
        <w:t xml:space="preserve"> </w:t>
      </w:r>
      <w:r>
        <w:t>−1</w:t>
      </w:r>
      <w:r>
        <w:t xml:space="preserve"> </w:t>
      </w:r>
      <w:r>
        <w:t>), and outstanding cycling stability (84.6% capacity retention after 3000 cycles). The material also exhibits remarkable performance under high loadings, across a wide temperature range (−20 to 60°C), and in durable pouch cells. Crucially, this</w:t>
      </w:r>
      <w:r>
        <w:t xml:space="preserve"> </w:t>
      </w:r>
      <w:r>
        <w:t>d</w:t>
      </w:r>
      <w:r>
        <w:t xml:space="preserve"> </w:t>
      </w:r>
      <w:r>
        <w:t>‐</w:t>
      </w:r>
      <w:r>
        <w:t xml:space="preserve"> </w:t>
      </w:r>
      <w:r>
        <w:t>p</w:t>
      </w:r>
      <w:r>
        <w:t xml:space="preserve"> </w:t>
      </w:r>
      <w:r>
        <w:t>orbital coupling strategy is universally applicable to various transition metals, providing a general design paradigm for high‐energy‐density rechargeable Mg battery cathodes.</w:t>
      </w:r>
    </w:p>
    <w:p>
      <w:pPr>
        <w:spacing w:before="120" w:after="120"/>
      </w:pPr>
      <w:r>
        <w:rPr>
          <w:sz w:val="18"/>
        </w:rPr>
        <w:t>——————————————————————————————————————————————————————————————————————</w:t>
      </w:r>
    </w:p>
    <w:p>
      <w:pPr>
        <w:spacing w:before="160" w:after="40" w:line="240" w:lineRule="auto"/>
      </w:pPr>
      <w:r>
        <w:rPr>
          <w:b/>
        </w:rPr>
        <w:t xml:space="preserve">[161] </w:t>
      </w:r>
      <w:hyperlink r:id="rId491">
        <w:r>
          <w:rPr>
            <w:color w:val="1155CC"/>
            <w:u w:val="single"/>
          </w:rPr>
          <w:t>具有Pt‒(di-NHC)‒Pt单元的有机金属[2]轮烷：一种拓扑驱动策略以增强离散聚集体中的磷光</w:t>
        </w:r>
      </w:hyperlink>
    </w:p>
    <w:p>
      <w:pPr>
        <w:spacing w:before="0" w:after="80"/>
      </w:pPr>
      <w:r>
        <w:rPr>
          <w:i/>
          <w:sz w:val="20"/>
        </w:rPr>
        <w:t>EN: An Organometallic [2]Catenane With Pt‒(di‐NHC)‒Pt Units: A Topology‐Driven Strategy for Enhanced Phosphorescence in Discrete Aggregates</w:t>
      </w:r>
    </w:p>
    <w:p>
      <w:pPr>
        <w:spacing w:before="0" w:after="120"/>
      </w:pPr>
      <w:r>
        <w:rPr>
          <w:b/>
        </w:rPr>
        <w:t xml:space="preserve">Source: </w:t>
      </w:r>
      <w:r>
        <w:t>Wiley: Angewandte Chemie International Edition: Table of Contents</w:t>
      </w:r>
      <w:r>
        <w:t xml:space="preserve">    </w:t>
      </w:r>
      <w:r>
        <w:rPr>
          <w:b/>
        </w:rPr>
        <w:t xml:space="preserve">Pub date: </w:t>
      </w:r>
      <w:r>
        <w:t>2026-03-24 05:27:06+00:00</w:t>
      </w:r>
      <w:r>
        <w:t xml:space="preserve">    </w:t>
      </w:r>
      <w:r>
        <w:rPr>
          <w:b/>
        </w:rPr>
        <w:t xml:space="preserve">DOI: </w:t>
      </w:r>
      <w:hyperlink r:id="rId492">
        <w:r>
          <w:rPr>
            <w:color w:val="1155CC"/>
            <w:u w:val="single"/>
          </w:rPr>
          <w:t>10.1002/anie.1981919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机械互锁分子（MIMs）可以被概念化为一类独特的离散和可溶性聚集体，其中机械键限制了选定的分子内运动，从而触发类似于聚集诱导发光（AIE）的发光增强。在此，我们展示了基于苯双卡宾桥联双核Pt II配合物（NHC = N‐杂环卡宾配体）的磷光MIMs。通过调整苯双卡宾配体的N‐取代基，可以选择性地获得syn‐构型的双核配合物syn‐[Pt</w:t>
      </w:r>
    </w:p>
    <w:p>
      <w:pPr>
        <w:spacing w:before="0" w:after="200" w:lineRule="auto" w:line="276"/>
      </w:pPr>
      <w:r>
        <w:rPr>
          <w:b/>
        </w:rPr>
        <w:t xml:space="preserve">Abstract (EN): </w:t>
      </w:r>
      <w:r>
        <w:t>Mechanically interlocked molecules (MIMs) can be conceptualized as a distinct class of discrete and soluble aggregates, where the mechanical bond restricts selected intramolecular motions, thereby triggering emission enhancement analogous to aggregation‐induced emission (AIE). Herein, we present phosphorescent MIMs based on a benzobiscarbene bridged dinuclear Pt</w:t>
      </w:r>
      <w:r>
        <w:t xml:space="preserve"> </w:t>
      </w:r>
      <w:r>
        <w:t>II</w:t>
      </w:r>
      <w:r>
        <w:t xml:space="preserve"> </w:t>
      </w:r>
      <w:r>
        <w:t>complex (NHC =</w:t>
      </w:r>
      <w:r>
        <w:t xml:space="preserve"> </w:t>
      </w:r>
      <w:r>
        <w:t>N</w:t>
      </w:r>
      <w:r>
        <w:t xml:space="preserve"> </w:t>
      </w:r>
      <w:r>
        <w:t>‐heterocyclic carbene ligand). Tailoring the</w:t>
      </w:r>
      <w:r>
        <w:t xml:space="preserve"> </w:t>
      </w:r>
      <w:r>
        <w:t>N</w:t>
      </w:r>
      <w:r>
        <w:t xml:space="preserve"> </w:t>
      </w:r>
      <w:r>
        <w:t>‐substituents of the benzobiscarbene ligand allowed selective access to the</w:t>
      </w:r>
      <w:r>
        <w:t xml:space="preserve"> </w:t>
      </w:r>
      <w:r>
        <w:t>syn‐</w:t>
      </w:r>
      <w:r>
        <w:t xml:space="preserve"> </w:t>
      </w:r>
      <w:r>
        <w:t>configured dinuclear complex</w:t>
      </w:r>
      <w:r>
        <w:t xml:space="preserve"> </w:t>
      </w:r>
      <w:r>
        <w:t>syn‐</w:t>
      </w:r>
      <w:r>
        <w:t xml:space="preserve"> </w:t>
      </w:r>
      <w:r>
        <w:t>[Pt</w:t>
      </w:r>
      <w:r>
        <w:rPr>
          <w:vertAlign w:val="subscript"/>
        </w:rPr>
        <w:t>2</w:t>
      </w:r>
      <w:r>
        <w:t>(</w:t>
      </w:r>
      <w:r>
        <w:t xml:space="preserve"> </w:t>
      </w:r>
      <w:r>
        <w:t>1b</w:t>
      </w:r>
      <w:r>
        <w:t xml:space="preserve"> </w:t>
      </w:r>
      <w:r>
        <w:t>)X</w:t>
      </w:r>
      <w:r>
        <w:rPr>
          <w:vertAlign w:val="subscript"/>
        </w:rPr>
        <w:t>2</w:t>
      </w:r>
      <w:r>
        <w:t>] (X = I, OTf). Self‐assembly of</w:t>
      </w:r>
      <w:r>
        <w:t xml:space="preserve"> </w:t>
      </w:r>
      <w:r>
        <w:t>syn‐</w:t>
      </w:r>
      <w:r>
        <w:t xml:space="preserve"> </w:t>
      </w:r>
      <w:r>
        <w:t>[Pt</w:t>
      </w:r>
      <w:r>
        <w:rPr>
          <w:vertAlign w:val="subscript"/>
        </w:rPr>
        <w:t>2</w:t>
      </w:r>
      <w:r>
        <w:t>(</w:t>
      </w:r>
      <w:r>
        <w:t xml:space="preserve"> </w:t>
      </w:r>
      <w:r>
        <w:t>1b</w:t>
      </w:r>
      <w:r>
        <w:t xml:space="preserve"> </w:t>
      </w:r>
      <w:r>
        <w:t>)(OTf)</w:t>
      </w:r>
      <w:r>
        <w:rPr>
          <w:vertAlign w:val="subscript"/>
        </w:rPr>
        <w:t>2</w:t>
      </w:r>
      <w:r>
        <w:t>] with bipyridyl ligands</w:t>
      </w:r>
      <w:r>
        <w:t xml:space="preserve"> </w:t>
      </w:r>
      <w:r>
        <w:t>L</w:t>
      </w:r>
      <w:r>
        <w:rPr>
          <w:vertAlign w:val="subscript"/>
        </w:rPr>
        <w:t>2</w:t>
      </w:r>
      <w:r>
        <w:t xml:space="preserve"> </w:t>
      </w:r>
      <w:r>
        <w:t>and</w:t>
      </w:r>
      <w:r>
        <w:t xml:space="preserve"> </w:t>
      </w:r>
      <w:r>
        <w:t>L</w:t>
      </w:r>
      <w:r>
        <w:rPr>
          <w:vertAlign w:val="subscript"/>
        </w:rPr>
        <w:t>3</w:t>
      </w:r>
      <w:r>
        <w:t xml:space="preserve"> </w:t>
      </w:r>
      <w:r>
        <w:t>yielded two discrete MIMs: the Borromean rings [</w:t>
      </w:r>
      <w:r>
        <w:t xml:space="preserve"> </w:t>
      </w:r>
      <w:r>
        <w:t>2‐BRs</w:t>
      </w:r>
      <w:r>
        <w:t xml:space="preserve"> </w:t>
      </w:r>
      <w:r>
        <w:t>](OTf)</w:t>
      </w:r>
      <w:r>
        <w:rPr>
          <w:vertAlign w:val="subscript"/>
        </w:rPr>
        <w:t>12</w:t>
      </w:r>
      <w:r>
        <w:t>stabilized by π···π interactions and the [2]catenane [</w:t>
      </w:r>
      <w:r>
        <w:t xml:space="preserve"> </w:t>
      </w:r>
      <w:r>
        <w:t>3b‐IL</w:t>
      </w:r>
      <w:r>
        <w:t xml:space="preserve"> </w:t>
      </w:r>
      <w:r>
        <w:t>](OTf)</w:t>
      </w:r>
      <w:r>
        <w:rPr>
          <w:vertAlign w:val="subscript"/>
        </w:rPr>
        <w:t>4</w:t>
      </w:r>
      <w:r>
        <w:t>, generated and stabilized by solvophobic effects. While the π···π interactions in the Borromean rings lead to severe phosphorescence quenching, the solvophobically assembled [2]catenane effectively circumvents such quenching, while simultaneously restricting intramolecular rotations and vibrations. Consequently, the [2]catenane displays a drastic phosphorescence enhancement compared to the Borromean rings.</w:t>
      </w:r>
    </w:p>
    <w:p>
      <w:pPr>
        <w:spacing w:before="120" w:after="120"/>
      </w:pPr>
      <w:r>
        <w:rPr>
          <w:sz w:val="18"/>
        </w:rPr>
        <w:t>——————————————————————————————————————————————————————————————————————</w:t>
      </w:r>
    </w:p>
    <w:p>
      <w:pPr>
        <w:spacing w:before="160" w:after="40" w:line="240" w:lineRule="auto"/>
      </w:pPr>
      <w:r>
        <w:rPr>
          <w:b/>
        </w:rPr>
        <w:t xml:space="preserve">[162] </w:t>
      </w:r>
      <w:hyperlink r:id="rId493">
        <w:r>
          <w:rPr>
            <w:color w:val="1155CC"/>
            <w:u w:val="single"/>
          </w:rPr>
          <w:t>通过氟诱导的烯丙基铑异构化实现的β-酮酸与gem-二氟烯烃的催化对映选择性脱羧交叉偶联</w:t>
        </w:r>
      </w:hyperlink>
    </w:p>
    <w:p>
      <w:pPr>
        <w:spacing w:before="0" w:after="80"/>
      </w:pPr>
      <w:r>
        <w:rPr>
          <w:i/>
          <w:sz w:val="20"/>
        </w:rPr>
        <w:t>EN: Catalytic Enantioselective Decarboxylative Cross‐Coupling of β‐Ketoacids With gem‐Difluoroallenes Enabled by Fluorine‐Induced Allylrhodium Isomerization</w:t>
      </w:r>
    </w:p>
    <w:p>
      <w:pPr>
        <w:spacing w:before="0" w:after="120"/>
      </w:pPr>
      <w:r>
        <w:rPr>
          <w:b/>
        </w:rPr>
        <w:t xml:space="preserve">Source: </w:t>
      </w:r>
      <w:r>
        <w:t>Wiley: Angewandte Chemie International Edition: Table of Contents</w:t>
      </w:r>
      <w:r>
        <w:t xml:space="preserve">    </w:t>
      </w:r>
      <w:r>
        <w:rPr>
          <w:b/>
        </w:rPr>
        <w:t xml:space="preserve">Pub date: </w:t>
      </w:r>
      <w:r>
        <w:t>2026-03-24 05:29:14+00:00</w:t>
      </w:r>
      <w:r>
        <w:t xml:space="preserve">    </w:t>
      </w:r>
      <w:r>
        <w:rPr>
          <w:b/>
        </w:rPr>
        <w:t xml:space="preserve">DOI: </w:t>
      </w:r>
      <w:hyperlink r:id="rId494">
        <w:r>
          <w:rPr>
            <w:color w:val="1155CC"/>
            <w:u w:val="single"/>
          </w:rPr>
          <w:t>10.1002/anie.4973244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催化脱羧烯丙基烷基化（DAA）反应是一种有效的策略，用于合成同时含有羰基和烯基功能团的分子，但常常面临多重选择性问题的挑战。在此，我们首次报道了β-酮酸与内烯烃的分子间脱羧交叉偶联反应。使用Rh</w:t>
      </w:r>
      <w:r>
        <w:t xml:space="preserve"> </w:t>
      </w:r>
      <w:r>
        <w:t>(I)</w:t>
      </w:r>
      <w:r>
        <w:t xml:space="preserve"> </w:t>
      </w:r>
      <w:r>
        <w:t>/(</w:t>
      </w:r>
      <w:r>
        <w:t xml:space="preserve"> </w:t>
      </w:r>
      <w:r>
        <w:t>S</w:t>
      </w:r>
      <w:r>
        <w:t xml:space="preserve"> </w:t>
      </w:r>
      <w:r>
        <w:t>,</w:t>
      </w:r>
      <w:r>
        <w:t xml:space="preserve"> </w:t>
      </w:r>
      <w:r>
        <w:t>S</w:t>
      </w:r>
      <w:r>
        <w:t xml:space="preserve"> </w:t>
      </w:r>
      <w:r>
        <w:t>)-Ph-BPE体系，可以生成具有优良化学、区域和对映选择性的α-</w:t>
      </w:r>
      <w:r>
        <w:t>宝石</w:t>
      </w:r>
      <w:r>
        <w:t xml:space="preserve"> </w:t>
      </w:r>
      <w:r>
        <w:t>-二氟烯丙基羰基化合物。机制研究支持“配位辅助内球加成-脱羧”</w:t>
      </w:r>
    </w:p>
    <w:p>
      <w:pPr>
        <w:spacing w:before="0" w:after="200" w:lineRule="auto" w:line="276"/>
      </w:pPr>
      <w:r>
        <w:rPr>
          <w:b/>
        </w:rPr>
        <w:t xml:space="preserve">Abstract (EN): </w:t>
      </w:r>
      <w:r>
        <w:t>Catalytic decarboxylative allylic alkylation (DAA) reaction represents an efficient strategy for synthesizing molecules containing both carbonyl and alkenyl functionalities, yet is frequently challenged by multiple selectivity issues. Here we report the first intermolecular decarboxylative cross‐coupling of β‐ketoacids with internal allenes. Using a Rh</w:t>
      </w:r>
      <w:r>
        <w:t xml:space="preserve"> </w:t>
      </w:r>
      <w:r>
        <w:t>(I)</w:t>
      </w:r>
      <w:r>
        <w:t xml:space="preserve"> </w:t>
      </w:r>
      <w:r>
        <w:t>/(</w:t>
      </w:r>
      <w:r>
        <w:t xml:space="preserve"> </w:t>
      </w:r>
      <w:r>
        <w:t>S</w:t>
      </w:r>
      <w:r>
        <w:t xml:space="preserve"> </w:t>
      </w:r>
      <w:r>
        <w:t>,</w:t>
      </w:r>
      <w:r>
        <w:t xml:space="preserve"> </w:t>
      </w:r>
      <w:r>
        <w:t>S</w:t>
      </w:r>
      <w:r>
        <w:t xml:space="preserve"> </w:t>
      </w:r>
      <w:r>
        <w:t>)‐Ph‐BPE system, α‐</w:t>
      </w:r>
      <w:r>
        <w:t xml:space="preserve"> </w:t>
      </w:r>
      <w:r>
        <w:t>gem</w:t>
      </w:r>
      <w:r>
        <w:t xml:space="preserve"> </w:t>
      </w:r>
      <w:r>
        <w:t>‐difluoroallylic carbonyl compounds can be generated with excellent chemo‐, regio‐, and enantioselectivities. Mechanistic studies support “coordination‐assisted inner‐sphere addition–decarboxylation” pathway, where C─C bond formation occurs prior to the decarboxylation step. Fluorine‐induced</w:t>
      </w:r>
      <w:r>
        <w:t xml:space="preserve"> </w:t>
      </w:r>
      <w:r>
        <w:t>anti</w:t>
      </w:r>
      <w:r>
        <w:t xml:space="preserve"> </w:t>
      </w:r>
      <w:r>
        <w:t>→</w:t>
      </w:r>
      <w:r>
        <w:t xml:space="preserve"> </w:t>
      </w:r>
      <w:r>
        <w:t>syn</w:t>
      </w:r>
      <w:r>
        <w:t xml:space="preserve"> </w:t>
      </w:r>
      <w:r>
        <w:t>isomerization of π‐allyl‐rhodium species proves to be the key factor governing the stereoselectivity of this reaction. This cross‐coupling reaction tolerates a range of functional groups and advances the field of decarboxylative allylic alkylation.</w:t>
      </w:r>
    </w:p>
    <w:p>
      <w:pPr>
        <w:spacing w:before="120" w:after="120"/>
      </w:pPr>
      <w:r>
        <w:rPr>
          <w:sz w:val="18"/>
        </w:rPr>
        <w:t>——————————————————————————————————————————————————————————————————————</w:t>
      </w:r>
    </w:p>
    <w:p>
      <w:pPr>
        <w:spacing w:before="160" w:after="40" w:line="240" w:lineRule="auto"/>
      </w:pPr>
      <w:r>
        <w:rPr>
          <w:b/>
        </w:rPr>
        <w:t xml:space="preserve">[163] </w:t>
      </w:r>
      <w:hyperlink r:id="rId495">
        <w:r>
          <w:rPr>
            <w:color w:val="1155CC"/>
            <w:u w:val="single"/>
          </w:rPr>
          <w:t>内翻蛋白质向细胞表面的动态转位是细胞适应癌症诱导应激的基础</w:t>
        </w:r>
      </w:hyperlink>
    </w:p>
    <w:p>
      <w:pPr>
        <w:spacing w:before="0" w:after="80"/>
      </w:pPr>
      <w:r>
        <w:rPr>
          <w:i/>
          <w:sz w:val="20"/>
        </w:rPr>
        <w:t>EN: Dynamic translocation of Inside-Out proteins to the cell surface underlies cellular adaptation to cancer-induced stress</w:t>
      </w:r>
    </w:p>
    <w:p>
      <w:pPr>
        <w:spacing w:before="0" w:after="120"/>
      </w:pPr>
      <w:r>
        <w:rPr>
          <w:b/>
        </w:rPr>
        <w:t xml:space="preserve">Source: </w:t>
      </w:r>
      <w:r>
        <w:t>Proceedings of the National Academy of Sciences: Keyword search for query</w:t>
      </w:r>
      <w:r>
        <w:t xml:space="preserve">    </w:t>
      </w:r>
      <w:r>
        <w:rPr>
          <w:b/>
        </w:rPr>
        <w:t xml:space="preserve">Pub date: </w:t>
      </w:r>
      <w:r>
        <w:t>2026-03-24 07:00:00+00:00</w:t>
      </w:r>
      <w:r>
        <w:t xml:space="preserve">    </w:t>
      </w:r>
      <w:r>
        <w:rPr>
          <w:b/>
        </w:rPr>
        <w:t xml:space="preserve">DOI: </w:t>
      </w:r>
      <w:hyperlink r:id="rId496">
        <w:r>
          <w:rPr>
            <w:color w:val="1155CC"/>
            <w:u w:val="single"/>
          </w:rPr>
          <w:t>10.1073/pnas.2529493123</w:t>
        </w:r>
      </w:hyperlink>
    </w:p>
    <w:p>
      <w:pPr>
        <w:spacing w:before="0" w:after="120"/>
      </w:pPr>
      <w:r>
        <w:rPr>
          <w:b/>
        </w:rPr>
        <w:t xml:space="preserve">Notes: </w:t>
      </w:r>
      <w:r>
        <w:t>abstract_source=crossref</w:t>
      </w:r>
    </w:p>
    <w:p>
      <w:pPr>
        <w:spacing w:before="0" w:after="80" w:lineRule="auto" w:line="276"/>
      </w:pPr>
      <w:r>
        <w:rPr>
          <w:b/>
        </w:rPr>
        <w:t xml:space="preserve">摘要（ZH）: </w:t>
      </w:r>
      <w:r>
        <w:t>内外（I-O）蛋白展示，即细胞内蛋白质的非典型表面定位，代表了肿瘤细胞生物学中一个未被充分探索的特征。在此，我们绘制了控制癌细胞膜上I-O蛋白展示的分子景观和运输机制。采用APEX2介导的邻近生物素化和定制抗体生成与验证平台，我们鉴定了约140种高置信度I-O蛋白，主要是核糖体、蛋白酶体、伴侣蛋白和翻译因子，显著富集于与应激反应通路相关的蛋白家族中。在七种肿瘤细胞系中验证了涵盖40个I-O靶标的500种抗体，确认了选择性和强大的表面定位，而在小鼠异种移植体中的体内成像显示</w:t>
      </w:r>
    </w:p>
    <w:p>
      <w:pPr>
        <w:spacing w:before="0" w:after="200" w:lineRule="auto" w:line="276"/>
      </w:pPr>
      <w:r>
        <w:rPr>
          <w:b/>
        </w:rPr>
        <w:t xml:space="preserve">Abstract (EN): </w:t>
      </w:r>
      <w:r>
        <w:t>Inside-Out (I-O) protein display, the noncanonical surface localization of intracellular proteins, represents an underexplored feature of tumor cell biology. Here, we map the molecular landscape and trafficking mechanisms that control the presentation of I-O proteins on cancer cell membranes. Employing APEX2-mediated proximity biotinylation and a custom antibody generation and validation platform, we identified approximately 140 high-confidence I-O proteins, primarily ribosomal, proteasomal, chaperone, and translation factors, notably enriched in protein families associated with stress-response pathways. Validation of 500 antibodies encompassing 40 I-O targets across seven tumor cell lines confirmed selective and robust surface localization, while in vivo imaging in mouse xenografts demonstrated pronounced and tumor-specific antibody accumulation. I-O proteins were absent on peripheral blood mononuclear cells (PBMCs) and in normal tissues, indicating cancer cell selectivity. Functional analyses revealed that I-O protein tethering to the membrane is dependent on heparan sulfate interactions; enzymatic removal of these glycans led to the clearance of I-O proteins from the cell surface. Notably, the removed proteins returned to baseline levels within 6 h, indicating a dynamic balance related to Endoplasmic Reticulum (ER)-Golgi trafficking and cellular stress. Nearly half of these I-O proteins overlapped with known stress granule (SG) components; however, stress elements that promote SG formation do not similarly affect surface display of I-O proteins. Furthermore, I-O proteins are present on standard cancer cell lines under lower stress levels needed to induce SG formation, suggesting parallel yet mechanistically distinct aspects of the stress response. These findings position I-O display as a paradigm in protein trafficking, different from traditional secretion pathways and closely linked to stress response.</w:t>
      </w:r>
    </w:p>
    <w:p>
      <w:pPr>
        <w:spacing w:before="120" w:after="120"/>
      </w:pPr>
      <w:r>
        <w:rPr>
          <w:sz w:val="18"/>
        </w:rPr>
        <w:t>——————————————————————————————————————————————————————————————————————</w:t>
      </w:r>
    </w:p>
    <w:p>
      <w:pPr>
        <w:spacing w:before="160" w:after="40" w:line="240" w:lineRule="auto"/>
      </w:pPr>
      <w:r>
        <w:rPr>
          <w:b/>
        </w:rPr>
        <w:t xml:space="preserve">[164] </w:t>
      </w:r>
      <w:hyperlink r:id="rId497">
        <w:r>
          <w:rPr>
            <w:color w:val="1155CC"/>
            <w:u w:val="single"/>
          </w:rPr>
          <w:t>NLRP1B 是一个整合的诱饵，通过颠覆志贺氏菌 E3 连接酶活性来促进效应触发的免疫</w:t>
        </w:r>
      </w:hyperlink>
    </w:p>
    <w:p>
      <w:pPr>
        <w:spacing w:before="0" w:after="80"/>
      </w:pPr>
      <w:r>
        <w:rPr>
          <w:i/>
          <w:sz w:val="20"/>
        </w:rPr>
        <w:t>EN: NLRP1B is an integrated decoy that subverts Shigella flexneri E3 ligase activity to promote effector-triggered immunity</w:t>
      </w:r>
    </w:p>
    <w:p>
      <w:pPr>
        <w:spacing w:before="0" w:after="120"/>
      </w:pPr>
      <w:r>
        <w:rPr>
          <w:b/>
        </w:rPr>
        <w:t xml:space="preserve">Source: </w:t>
      </w:r>
      <w:r>
        <w:t>Proceedings of the National Academy of Sciences: Keyword search for query</w:t>
      </w:r>
      <w:r>
        <w:t xml:space="preserve">    </w:t>
      </w:r>
      <w:r>
        <w:rPr>
          <w:b/>
        </w:rPr>
        <w:t xml:space="preserve">Pub date: </w:t>
      </w:r>
      <w:r>
        <w:t>2026-03-24 07:00:00+00:00</w:t>
      </w:r>
      <w:r>
        <w:t xml:space="preserve">    </w:t>
      </w:r>
      <w:r>
        <w:rPr>
          <w:b/>
        </w:rPr>
        <w:t xml:space="preserve">DOI: </w:t>
      </w:r>
      <w:hyperlink r:id="rId498">
        <w:r>
          <w:rPr>
            <w:color w:val="1155CC"/>
            <w:u w:val="single"/>
          </w:rPr>
          <w:t>10.1073/pnas.2514645123</w:t>
        </w:r>
      </w:hyperlink>
    </w:p>
    <w:p>
      <w:pPr>
        <w:spacing w:before="0" w:after="120"/>
      </w:pPr>
      <w:r>
        <w:rPr>
          <w:b/>
        </w:rPr>
        <w:t xml:space="preserve">Notes: </w:t>
      </w:r>
      <w:r>
        <w:t>abstract_source=crossref</w:t>
      </w:r>
    </w:p>
    <w:p>
      <w:pPr>
        <w:spacing w:before="0" w:after="80" w:lineRule="auto" w:line="276"/>
      </w:pPr>
      <w:r>
        <w:rPr>
          <w:b/>
        </w:rPr>
        <w:t xml:space="preserve">摘要（ZH）: </w:t>
      </w:r>
      <w:r>
        <w:t>炎症小体是细胞质免疫复合物，识别病原体相关刺激以启动强烈的炎症反应。虽然一些炎症小体直接识别病原体相关分子，但其他如NLRP1B炎症小体则响应病原体相关活动。具体而言，NLRP1B炎症小体通过“功能性降解”机制感知病原体分泌的蛋白酶和E3连接酶的酶活性——促进NLRP1B蛋白酶体降解的效应物诱导该炎症小体的激活。然而，病原体为何会在促进强烈炎症反应的情况下将NLRP1B作为降解目标尚不清楚。我们提出NLRP1作为一个集成的诱饵受体，通过模拟其他宿主蛋白被病原体</w:t>
      </w:r>
    </w:p>
    <w:p>
      <w:pPr>
        <w:spacing w:before="0" w:after="200" w:lineRule="auto" w:line="276"/>
      </w:pPr>
      <w:r>
        <w:rPr>
          <w:b/>
        </w:rPr>
        <w:t xml:space="preserve">Abstract (EN): </w:t>
      </w:r>
      <w:r>
        <w:t>Inflammasomes are cytosolic immune complexes that recognize pathogen-associated stimuli to initiate a potent inflammatory response. While some inflammasomes directly recognize pathogen-associated molecules, others, such as the NLRP1B inflammasome, respond to pathogen-associated activities. Specifically, the NLRP1B inflammasome senses the enzymatic activity of pathogen-secreted proteases and E3 ligases through a mechanism of “functional degradation”—effectors that promote the proteasomal degradation of NLRP1B induce activation of this inflammasome. However, why pathogens would target NLRP1B for degradation when doing so promotes a robust inflammatory response is unclear. We propose that NLRP1 acts as an integrated decoy receptor by mimicking other host proteins targeted for degradation by pathogens. Specifically, we hypothesize that NLRP1B encodes sequences and features such that these pathogen effectors are unable to distinguish between NLRP1B and their other targets. To test this hypothesis, we determine how the</w:t>
      </w:r>
      <w:r>
        <w:t xml:space="preserve"> </w:t>
      </w:r>
      <w:r>
        <w:t>Shigella</w:t>
      </w:r>
      <w:r>
        <w:t xml:space="preserve"> </w:t>
      </w:r>
      <w:r>
        <w:t>flexneri</w:t>
      </w:r>
      <w:r>
        <w:t xml:space="preserve"> </w:t>
      </w:r>
      <w:r>
        <w:t>E3 ligase IpaH7.8 is recognized by NLRP1B and whether these interactions are equivalent to those between IpaH7.8 and its other substrates, the Gasdermin (GSDM) family of proteins. Here, we show that IpaH7.8 recognizes both the GSDMs and NLRP1B through a single shared interface and that NLRP1B presents a surface similar to that recognized by IpaH7.8 on the GSDMs. In this way, NLRP1B acts as a decoy for the GSDMs to subvert the activity of IpaH7.8 to promote inflammasome activation. These data demonstrate that NLRP1B acts as an integrated decoy receptor and establish the use of integrated decoy receptors by the vertebrate immune system.</w:t>
      </w:r>
    </w:p>
    <w:p>
      <w:pPr>
        <w:spacing w:before="120" w:after="120"/>
      </w:pPr>
      <w:r>
        <w:rPr>
          <w:sz w:val="18"/>
        </w:rPr>
        <w:t>——————————————————————————————————————————————————————————————————————</w:t>
      </w:r>
    </w:p>
    <w:p>
      <w:pPr>
        <w:spacing w:before="160" w:after="40" w:line="240" w:lineRule="auto"/>
      </w:pPr>
      <w:r>
        <w:rPr>
          <w:b/>
        </w:rPr>
        <w:t xml:space="preserve">[165] </w:t>
      </w:r>
      <w:hyperlink r:id="rId499">
        <w:r>
          <w:rPr>
            <w:color w:val="1155CC"/>
            <w:u w:val="single"/>
          </w:rPr>
          <w:t>早期嗅觉处理的趋同模式通过分层高效编码得到重现</w:t>
        </w:r>
      </w:hyperlink>
    </w:p>
    <w:p>
      <w:pPr>
        <w:spacing w:before="0" w:after="80"/>
      </w:pPr>
      <w:r>
        <w:rPr>
          <w:i/>
          <w:sz w:val="20"/>
        </w:rPr>
        <w:t>EN: Convergent motifs of early olfactory processing are recapitulated by layer-wise efficient coding</w:t>
      </w:r>
    </w:p>
    <w:p>
      <w:pPr>
        <w:spacing w:before="0" w:after="120"/>
      </w:pPr>
      <w:r>
        <w:rPr>
          <w:b/>
        </w:rPr>
        <w:t xml:space="preserve">Source: </w:t>
      </w:r>
      <w:r>
        <w:t>Proceedings of the National Academy of Sciences: Keyword search for query</w:t>
      </w:r>
      <w:r>
        <w:t xml:space="preserve">    </w:t>
      </w:r>
      <w:r>
        <w:rPr>
          <w:b/>
        </w:rPr>
        <w:t xml:space="preserve">Pub date: </w:t>
      </w:r>
      <w:r>
        <w:t>2026-03-24 07:00:00+00:00</w:t>
      </w:r>
      <w:r>
        <w:t xml:space="preserve">    </w:t>
      </w:r>
      <w:r>
        <w:rPr>
          <w:b/>
        </w:rPr>
        <w:t xml:space="preserve">DOI: </w:t>
      </w:r>
      <w:hyperlink r:id="rId500">
        <w:r>
          <w:rPr>
            <w:color w:val="1155CC"/>
            <w:u w:val="single"/>
          </w:rPr>
          <w:t>10.1073/pnas.2524661123</w:t>
        </w:r>
      </w:hyperlink>
    </w:p>
    <w:p>
      <w:pPr>
        <w:spacing w:before="0" w:after="120"/>
      </w:pPr>
      <w:r>
        <w:rPr>
          <w:b/>
        </w:rPr>
        <w:t xml:space="preserve">Notes: </w:t>
      </w:r>
      <w:r>
        <w:t>abstract_source=crossref</w:t>
      </w:r>
    </w:p>
    <w:p>
      <w:pPr>
        <w:spacing w:before="0" w:after="80" w:lineRule="auto" w:line="276"/>
      </w:pPr>
      <w:r>
        <w:rPr>
          <w:b/>
        </w:rPr>
        <w:t xml:space="preserve">摘要（ZH）: </w:t>
      </w:r>
      <w:r>
        <w:t>早期嗅觉处理的结构是趋同进化的一个显著例子。通常，一组广泛调谐的受体选择性地在感觉神经元中表达（每个神经元仅表达一个受体），每个嗅球仅接收来自一种神经元类型的投射。总的来说，这三个模式——广泛的受体、选择性表达和嗅球汇聚——构成了“经典嗅觉”，因为包括小鼠和果蝇在内的许多模式生物都表现出这些特征。这种独特结构在进化谱系中的出现表明它可能为信息处理进行了优化，这一观点被称为高效编码。在这项工作中，我们展示了通过一次最大化一层的互信息，高效编码恢复了几个</w:t>
      </w:r>
    </w:p>
    <w:p>
      <w:pPr>
        <w:spacing w:before="0" w:after="200" w:lineRule="auto" w:line="276"/>
      </w:pPr>
      <w:r>
        <w:rPr>
          <w:b/>
        </w:rPr>
        <w:t xml:space="preserve">Abstract (EN): </w:t>
      </w:r>
      <w:r>
        <w:t>The architecture of early olfactory processing is a striking example of convergent evolution. Typically, a panel of broadly tuned receptors is selectively expressed in sensory neurons (each neuron expressing only one receptor), and each glomerulus receives projections from just one neuron type. Taken together, these three motifs—broad receptors, selective expression, and glomerular convergence—constitute “canonical olfaction,” since a number of model organisms including mice and flies exhibit these features. The emergence of this distinctive architecture across evolutionary lineages suggests that it may be optimized for information processing, an idea known as efficient coding. In this work, we show that by maximizing mutual information one layer at a time, efficient coding recovers several features of canonical olfactory processing under realistic biophysical assumptions. We also explore the settings in which noncanonical olfaction may be advantageous. Along the way, we make several predictions relating olfactory circuits to features of receptor families and the olfactory environment.</w:t>
      </w:r>
    </w:p>
    <w:p>
      <w:pPr>
        <w:spacing w:before="120" w:after="120"/>
      </w:pPr>
      <w:r>
        <w:rPr>
          <w:sz w:val="18"/>
        </w:rPr>
        <w:t>——————————————————————————————————————————————————————————————————————</w:t>
      </w:r>
    </w:p>
    <w:p>
      <w:pPr>
        <w:spacing w:before="160" w:after="40" w:line="240" w:lineRule="auto"/>
      </w:pPr>
      <w:r>
        <w:rPr>
          <w:b/>
        </w:rPr>
        <w:t xml:space="preserve">[166] </w:t>
      </w:r>
      <w:hyperlink r:id="rId501">
        <w:r>
          <w:rPr>
            <w:color w:val="1155CC"/>
            <w:u w:val="single"/>
          </w:rPr>
          <w:t>脂肪 Dicer-1 通过 miR-8–Aop–Dilp6 轴调节全身胰岛素信号和寿命</w:t>
        </w:r>
      </w:hyperlink>
    </w:p>
    <w:p>
      <w:pPr>
        <w:spacing w:before="0" w:after="80"/>
      </w:pPr>
      <w:r>
        <w:rPr>
          <w:i/>
          <w:sz w:val="20"/>
        </w:rPr>
        <w:t>EN: Adipose Dicer-1 modulates systemic insulin signaling and longevity via a miR-8–Aop–Dilp6 axis</w:t>
      </w:r>
    </w:p>
    <w:p>
      <w:pPr>
        <w:spacing w:before="0" w:after="120"/>
      </w:pPr>
      <w:r>
        <w:rPr>
          <w:b/>
        </w:rPr>
        <w:t xml:space="preserve">Source: </w:t>
      </w:r>
      <w:r>
        <w:t>Proceedings of the National Academy of Sciences: Keyword search for query</w:t>
      </w:r>
      <w:r>
        <w:t xml:space="preserve">    </w:t>
      </w:r>
      <w:r>
        <w:rPr>
          <w:b/>
        </w:rPr>
        <w:t xml:space="preserve">Pub date: </w:t>
      </w:r>
      <w:r>
        <w:t>2026-03-24 07:00:00+00:00</w:t>
      </w:r>
      <w:r>
        <w:t xml:space="preserve">    </w:t>
      </w:r>
      <w:r>
        <w:rPr>
          <w:b/>
        </w:rPr>
        <w:t xml:space="preserve">DOI: </w:t>
      </w:r>
      <w:hyperlink r:id="rId502">
        <w:r>
          <w:rPr>
            <w:color w:val="1155CC"/>
            <w:u w:val="single"/>
          </w:rPr>
          <w:t>10.1073/pnas.2525327123</w:t>
        </w:r>
      </w:hyperlink>
    </w:p>
    <w:p>
      <w:pPr>
        <w:spacing w:before="0" w:after="120"/>
      </w:pPr>
      <w:r>
        <w:rPr>
          <w:b/>
        </w:rPr>
        <w:t xml:space="preserve">Notes: </w:t>
      </w:r>
      <w:r>
        <w:t>abstract_source=crossref</w:t>
      </w:r>
    </w:p>
    <w:p>
      <w:pPr>
        <w:spacing w:before="0" w:after="80" w:lineRule="auto" w:line="276"/>
      </w:pPr>
      <w:r>
        <w:rPr>
          <w:b/>
        </w:rPr>
        <w:t xml:space="preserve">摘要（ZH）: </w:t>
      </w:r>
      <w:r>
        <w:t>器官间的交流对于代谢稳态和健康衰老至关重要，脂肪组织作为协调全身代谢、应激反应和长寿的中心枢纽。在此，我们展示了miRNA加工酶Dicer-1（Dcr-1）在脂肪体（FB）中作用以调节脑部胰岛素产生细胞（IPCs）的Dilp2分泌，从而调节全身胰岛素信号传导和果蝇的寿命。在多种长寿条件下，Dcr-1的表达减少，其部分下调增强了抗氧化应激能力，改变了脂质代谢，并在饮食限制下延长了寿命。对Dcr-1杂合果蝇的FBs进行蛋白质组学分析揭示了广泛的代谢重编程和应激适应</w:t>
      </w:r>
    </w:p>
    <w:p>
      <w:pPr>
        <w:spacing w:before="0" w:after="200" w:lineRule="auto" w:line="276"/>
      </w:pPr>
      <w:r>
        <w:rPr>
          <w:b/>
        </w:rPr>
        <w:t xml:space="preserve">Abstract (EN): </w:t>
      </w:r>
      <w:r>
        <w:t>Interorgan communication is essential for metabolic homeostasis and healthy aging, with adipose tissue acting as a central hub that coordinates systemic metabolism, stress responses, and longevity. Here, we show that the miRNA-processing enzyme Dicer-1 (Dcr-1) acts in the fat body (FB) to regulate Dilp2 secretion from brain insulin-producing cells (IPCs), thereby modulating systemic insulin signaling and lifespan in</w:t>
      </w:r>
      <w:r>
        <w:t xml:space="preserve"> </w:t>
      </w:r>
      <w:r>
        <w:t>Drosophila</w:t>
      </w:r>
      <w:r>
        <w:t xml:space="preserve"> </w:t>
      </w:r>
      <w:r>
        <w:t>. Dcr-1 expression is reduced in multiple long-lived conditions, and its partial downregulation enhances oxidative stress resistance, alters lipid metabolism, and extends lifespan even under dietary restriction. Proteomic profiling of FBs from Dcr-1 heterozygous flies revealed widespread metabolic reprogramming and stress adaptation consistent with attenuated insulin/IGF signaling (IIS). Mechanistically, reduced Dcr-1 lowers miR-8 levels in the FB, which indirectly upregulates</w:t>
      </w:r>
      <w:r>
        <w:t xml:space="preserve"> </w:t>
      </w:r>
      <w:r>
        <w:t>Drosophila</w:t>
      </w:r>
      <w:r>
        <w:t xml:space="preserve"> </w:t>
      </w:r>
      <w:r>
        <w:t>insulin-like peptide 6 (Dilp6). Dilp6 acts nonautonomously to suppress Dilp2 secretion from IPCs, reducing systemic IIS and promoting longevity. We further show that Dcr-1 reduction activates the ETS-family repressor Aop/ETV6 downstream of Ras-Erk signaling, which is required for Dilp6 induction and the lifespan extension observed upon miR-8 depletion. Collectively, these findings reveal a miRNA-dependent regulatory axis that couples adipose-derived endocrine signals to systemic insulin regulation and aging, positioning Dcr-1 as a central node in the control of metabolic homeostasis and lifespan.</w:t>
      </w:r>
    </w:p>
    <w:p>
      <w:pPr>
        <w:spacing w:before="120" w:after="120"/>
      </w:pPr>
      <w:r>
        <w:rPr>
          <w:sz w:val="18"/>
        </w:rPr>
        <w:t>——————————————————————————————————————————————————————————————————————</w:t>
      </w:r>
    </w:p>
    <w:p>
      <w:pPr>
        <w:spacing w:before="160" w:after="40" w:line="240" w:lineRule="auto"/>
      </w:pPr>
      <w:r>
        <w:rPr>
          <w:b/>
        </w:rPr>
        <w:t xml:space="preserve">[167] </w:t>
      </w:r>
      <w:hyperlink r:id="rId503">
        <w:r>
          <w:rPr>
            <w:color w:val="1155CC"/>
            <w:u w:val="single"/>
          </w:rPr>
          <w:t>Fab–Fc 和 Fab–Fab 的不同强度和价态的相互作用有助于 IgG1 抗体的高浓度粘度</w:t>
        </w:r>
      </w:hyperlink>
    </w:p>
    <w:p>
      <w:pPr>
        <w:spacing w:before="0" w:after="80"/>
      </w:pPr>
      <w:r>
        <w:rPr>
          <w:i/>
          <w:sz w:val="20"/>
        </w:rPr>
        <w:t>EN: Fab–Fc and Fab–Fab interactions of variable strength and valency contribute to the high concentration viscosity of IgG1 antibodies</w:t>
      </w:r>
    </w:p>
    <w:p>
      <w:pPr>
        <w:spacing w:before="0" w:after="120"/>
      </w:pPr>
      <w:r>
        <w:rPr>
          <w:b/>
        </w:rPr>
        <w:t xml:space="preserve">Source: </w:t>
      </w:r>
      <w:r>
        <w:t>Proceedings of the National Academy of Sciences: Keyword search for query</w:t>
      </w:r>
      <w:r>
        <w:t xml:space="preserve">    </w:t>
      </w:r>
      <w:r>
        <w:rPr>
          <w:b/>
        </w:rPr>
        <w:t xml:space="preserve">Pub date: </w:t>
      </w:r>
      <w:r>
        <w:t>2026-03-24 07:00:00+00:00</w:t>
      </w:r>
      <w:r>
        <w:t xml:space="preserve">    </w:t>
      </w:r>
      <w:r>
        <w:rPr>
          <w:b/>
        </w:rPr>
        <w:t xml:space="preserve">DOI: </w:t>
      </w:r>
      <w:hyperlink r:id="rId504">
        <w:r>
          <w:rPr>
            <w:color w:val="1155CC"/>
            <w:u w:val="single"/>
          </w:rPr>
          <w:t>10.1073/pnas.2526550123</w:t>
        </w:r>
      </w:hyperlink>
    </w:p>
    <w:p>
      <w:pPr>
        <w:spacing w:before="0" w:after="120"/>
      </w:pPr>
      <w:r>
        <w:rPr>
          <w:b/>
        </w:rPr>
        <w:t xml:space="preserve">Notes: </w:t>
      </w:r>
      <w:r>
        <w:t>abstract_source=crossref</w:t>
      </w:r>
    </w:p>
    <w:p>
      <w:pPr>
        <w:spacing w:before="0" w:after="80" w:lineRule="auto" w:line="276"/>
      </w:pPr>
      <w:r>
        <w:rPr>
          <w:b/>
        </w:rPr>
        <w:t xml:space="preserve">摘要（ZH）: </w:t>
      </w:r>
      <w:r>
        <w:t>Fab区域的可变结构域是IgG高浓度粘度的公认贡献者，主要通过电荷和疏水相互作用。相比之下，Fc的作用和自相互作用位点的数量（价态）则不太为人所知。在此，我们通过流变学、粗粒度模拟和分子表面性质分析，研究了Fab–Fab和Fab–Fc相互作用对20种IgG1抗体高浓度粘度的相对贡献。令人惊讶的是，将IgG1分解为F(ab′)2加Fc降低了所有测试抗体的粘度（-11%到-93%），表明Fc对</w:t>
      </w:r>
    </w:p>
    <w:p>
      <w:pPr>
        <w:spacing w:before="0" w:after="200" w:lineRule="auto" w:line="276"/>
      </w:pPr>
      <w:r>
        <w:rPr>
          <w:b/>
        </w:rPr>
        <w:t xml:space="preserve">Abstract (EN): </w:t>
      </w:r>
      <w:r>
        <w:t>The variable domains in Fab regions are well-established contributors to high concentration viscosity of IgG, primarily through charge and hydrophobic interactions. In contrast, the roles of the Fc and the number of self-interacting sites (valency) are less well understood. Here, we investigate the relative contributions of Fab–Fab and Fab–Fc interactions to high concentration viscosity for a diverse panel of 20 IgG</w:t>
      </w:r>
      <w:r>
        <w:rPr>
          <w:vertAlign w:val="subscript"/>
        </w:rPr>
        <w:t>1</w:t>
      </w:r>
      <w:r>
        <w:t>antibodies, by rheometry, coarse-grained simulations, and molecular surface property analysis. Strikingly, fragmentation of IgG</w:t>
      </w:r>
      <w:r>
        <w:rPr>
          <w:vertAlign w:val="subscript"/>
        </w:rPr>
        <w:t>1</w:t>
      </w:r>
      <w:r>
        <w:t>into F(ab′)</w:t>
      </w:r>
      <w:r>
        <w:rPr>
          <w:vertAlign w:val="subscript"/>
        </w:rPr>
        <w:t>2</w:t>
      </w:r>
      <w:r>
        <w:t>plus Fc reduced viscosity (−11 to −93%) for all antibodies tested, demonstrating prevalent contributions of Fc to viscosity. Coarse-grained simulations with one site per Fab and two sites per Fc qualitatively tracked trends in experimental rheometry data for 20 parental antibodies and their fragments. In these simulations Fab–Fab and Fab–Fc interaction strengths were independently varied to capture possible interaction differences arising from parental sequences or any mutations. These coarse-grained simulations suggest that Fab–Fc attractions generate branched IgG</w:t>
      </w:r>
      <w:r>
        <w:rPr>
          <w:vertAlign w:val="subscript"/>
        </w:rPr>
        <w:t>1</w:t>
      </w:r>
      <w:r>
        <w:t>networks and disproportionately larger clusters relative to Fab–Fab interactions of comparable strength. This study suggests that a four-site self-interaction model, previously proposed for a single antibody (omalizumab), is broadly applicable to diverse IgG</w:t>
      </w:r>
      <w:r>
        <w:rPr>
          <w:vertAlign w:val="subscript"/>
        </w:rPr>
        <w:t>1</w:t>
      </w:r>
      <w:r>
        <w:t>. Beyond well-established variable domain engineering, this self-interaction model predicts that Fc engineering may reduce IgG</w:t>
      </w:r>
      <w:r>
        <w:rPr>
          <w:vertAlign w:val="subscript"/>
        </w:rPr>
        <w:t>1</w:t>
      </w:r>
      <w:r>
        <w:t>viscosity, a much sought after goal to enable subcutaneous delivery. Clinically validated Fc mutations are demonstrated here to substantially reduce the viscosity for multiple IgG</w:t>
      </w:r>
      <w:r>
        <w:rPr>
          <w:vertAlign w:val="subscript"/>
        </w:rPr>
        <w:t>1</w:t>
      </w:r>
      <w:r>
        <w:t>(−33 to −91% reduction, n = 6), supporting this emerging antibody design concept.</w:t>
      </w:r>
    </w:p>
    <w:p>
      <w:pPr>
        <w:spacing w:before="120" w:after="120"/>
      </w:pPr>
      <w:r>
        <w:rPr>
          <w:sz w:val="18"/>
        </w:rPr>
        <w:t>——————————————————————————————————————————————————————————————————————</w:t>
      </w:r>
    </w:p>
    <w:p>
      <w:pPr>
        <w:spacing w:before="160" w:after="40" w:line="240" w:lineRule="auto"/>
      </w:pPr>
      <w:r>
        <w:rPr>
          <w:b/>
        </w:rPr>
        <w:t xml:space="preserve">[168] </w:t>
      </w:r>
      <w:hyperlink r:id="rId505">
        <w:r>
          <w:rPr>
            <w:color w:val="1155CC"/>
            <w:u w:val="single"/>
          </w:rPr>
          <w:t>T 细胞的磷脂谱决定了初始、效应和记忆 T 细胞的 ACSL4 依赖性和铁死亡敏感性</w:t>
        </w:r>
      </w:hyperlink>
    </w:p>
    <w:p>
      <w:pPr>
        <w:spacing w:before="0" w:after="80"/>
      </w:pPr>
      <w:r>
        <w:rPr>
          <w:i/>
          <w:sz w:val="20"/>
        </w:rPr>
        <w:t>EN: The phospholipid profile of T cells shapes ACSL4 dependency and ferroptosis sensitivity of naive, effector, and memory T cells</w:t>
      </w:r>
    </w:p>
    <w:p>
      <w:pPr>
        <w:spacing w:before="0" w:after="120"/>
      </w:pPr>
      <w:r>
        <w:rPr>
          <w:b/>
        </w:rPr>
        <w:t xml:space="preserve">Source: </w:t>
      </w:r>
      <w:r>
        <w:t>Proceedings of the National Academy of Sciences: Keyword search for query</w:t>
      </w:r>
      <w:r>
        <w:t xml:space="preserve">    </w:t>
      </w:r>
      <w:r>
        <w:rPr>
          <w:b/>
        </w:rPr>
        <w:t xml:space="preserve">Pub date: </w:t>
      </w:r>
      <w:r>
        <w:t>2026-03-24 07:00:00+00:00</w:t>
      </w:r>
      <w:r>
        <w:t xml:space="preserve">    </w:t>
      </w:r>
      <w:r>
        <w:rPr>
          <w:b/>
        </w:rPr>
        <w:t xml:space="preserve">DOI: </w:t>
      </w:r>
      <w:hyperlink r:id="rId506">
        <w:r>
          <w:rPr>
            <w:color w:val="1155CC"/>
            <w:u w:val="single"/>
          </w:rPr>
          <w:t>10.1073/pnas.2528153123</w:t>
        </w:r>
      </w:hyperlink>
    </w:p>
    <w:p>
      <w:pPr>
        <w:spacing w:before="0" w:after="120"/>
      </w:pPr>
      <w:r>
        <w:rPr>
          <w:b/>
        </w:rPr>
        <w:t xml:space="preserve">Notes: </w:t>
      </w:r>
      <w:r>
        <w:t>abstract_source=crossref</w:t>
      </w:r>
    </w:p>
    <w:p>
      <w:pPr>
        <w:spacing w:before="0" w:after="80" w:lineRule="auto" w:line="276"/>
      </w:pPr>
      <w:r>
        <w:rPr>
          <w:b/>
        </w:rPr>
        <w:t xml:space="preserve">摘要（ZH）: </w:t>
      </w:r>
      <w:r>
        <w:t>铁依赖性磷脂（PL）过氧化作用，由谷胱甘肽过氧化物酶4减少，被认为是细胞经历铁死亡的标志。尽管研究试图阐明癌细胞中铁死亡的分子机制，但效应和记忆T细胞中铁死亡的调控仍然很大程度上未知。在此，使用全基因组CRISPR-Cas9敲除筛选，我们证明了酰基辅酶A合成酶长链家族成员4（ACSL4）是体外培养的初级T细胞中主要的铁死亡诱导因子，而其他已识别的铁和脂质代谢相关基因仅略微调节其对铁死亡的敏感性。然而，ACSL4的依赖性取决于细胞的PL组成。体外培养的T细胞经多不饱和</w:t>
      </w:r>
    </w:p>
    <w:p>
      <w:pPr>
        <w:spacing w:before="0" w:after="200" w:lineRule="auto" w:line="276"/>
      </w:pPr>
      <w:r>
        <w:rPr>
          <w:b/>
        </w:rPr>
        <w:t xml:space="preserve">Abstract (EN): </w:t>
      </w:r>
      <w:r>
        <w:t>Iron-dependent phospholipid (PL) peroxidation, which is reduced by glutathione peroxidase 4, is recognized as the hallmark of cells undergoing ferroptosis. Although studies have attempted to elucidate the molecular mechanisms underlying ferroptosis in cancer cells, the regulation of ferroptosis in effector and memory T cells remains largely unknown. Here, using genome-wide CRISPR-Cas9 knockout screens, we demonstrate that acyl-CoA synthetase long-chain family member 4 (ACSL4) is the predominant ferroptosis inducer in primary T cells cultured in vitro, while other identified iron- and lipid metabolism–related genes only slightly modulate their sensitivity to ferroptosis. However, ACSL4 dependency relies on the PL composition of the cells. In vitro cultured T cells treated with polyunsaturated fatty acids (PUFAs), as well as effector CD8</w:t>
      </w:r>
      <w:r>
        <w:t xml:space="preserve"> </w:t>
      </w:r>
      <w:r>
        <w:t>+</w:t>
      </w:r>
      <w:r>
        <w:t xml:space="preserve"> </w:t>
      </w:r>
      <w:r>
        <w:t>T cells that are enriched in PUFA-containing PLs (PUFA-PLs), undergo ferroptosis in the absence of ACSL4. In contrast to effector T cells, naive and memory T cells share a similar PL profile, characterized by a scarcity of PUFA-PLs, and are resistant to ferroptosis. Overall, the PL composition is a central feature and determines the differential susceptibility of effector and memory T cells to ferroptosis and its molecular mechanism.</w:t>
      </w:r>
    </w:p>
    <w:p>
      <w:pPr>
        <w:spacing w:before="120" w:after="120"/>
      </w:pPr>
      <w:r>
        <w:rPr>
          <w:sz w:val="18"/>
        </w:rPr>
        <w:t>——————————————————————————————————————————————————————————————————————</w:t>
      </w:r>
    </w:p>
    <w:p>
      <w:pPr>
        <w:spacing w:before="160" w:after="40" w:line="240" w:lineRule="auto"/>
      </w:pPr>
      <w:r>
        <w:rPr>
          <w:b/>
        </w:rPr>
        <w:t xml:space="preserve">[169] </w:t>
      </w:r>
      <w:hyperlink r:id="rId507">
        <w:r>
          <w:rPr>
            <w:color w:val="1155CC"/>
            <w:u w:val="single"/>
          </w:rPr>
          <w:t>深根植物的养分吸收深度受水分可用性调节</w:t>
        </w:r>
      </w:hyperlink>
    </w:p>
    <w:p>
      <w:pPr>
        <w:spacing w:before="0" w:after="80"/>
      </w:pPr>
      <w:r>
        <w:rPr>
          <w:i/>
          <w:sz w:val="20"/>
        </w:rPr>
        <w:t>EN: Depth of nutrient uptake by deep-rooted plants is regulated by water availability</w:t>
      </w:r>
    </w:p>
    <w:p>
      <w:pPr>
        <w:spacing w:before="0" w:after="120"/>
      </w:pPr>
      <w:r>
        <w:rPr>
          <w:b/>
        </w:rPr>
        <w:t xml:space="preserve">Source: </w:t>
      </w:r>
      <w:r>
        <w:t>Proceedings of the National Academy of Sciences: Keyword search for query</w:t>
      </w:r>
      <w:r>
        <w:t xml:space="preserve">    </w:t>
      </w:r>
      <w:r>
        <w:rPr>
          <w:b/>
        </w:rPr>
        <w:t xml:space="preserve">Pub date: </w:t>
      </w:r>
      <w:r>
        <w:t>2026-03-24 07:00:00+00:00</w:t>
      </w:r>
      <w:r>
        <w:t xml:space="preserve">    </w:t>
      </w:r>
      <w:r>
        <w:rPr>
          <w:b/>
        </w:rPr>
        <w:t xml:space="preserve">DOI: </w:t>
      </w:r>
      <w:hyperlink r:id="rId508">
        <w:r>
          <w:rPr>
            <w:color w:val="1155CC"/>
            <w:u w:val="single"/>
          </w:rPr>
          <w:t>10.1073/pnas.2528407123</w:t>
        </w:r>
      </w:hyperlink>
    </w:p>
    <w:p>
      <w:pPr>
        <w:spacing w:before="0" w:after="120"/>
      </w:pPr>
      <w:r>
        <w:rPr>
          <w:b/>
        </w:rPr>
        <w:t xml:space="preserve">Notes: </w:t>
      </w:r>
      <w:r>
        <w:t>abstract_source=crossref</w:t>
      </w:r>
    </w:p>
    <w:p>
      <w:pPr>
        <w:spacing w:before="0" w:after="80" w:lineRule="auto" w:line="276"/>
      </w:pPr>
      <w:r>
        <w:rPr>
          <w:b/>
        </w:rPr>
        <w:t xml:space="preserve">摘要（ZH）: </w:t>
      </w:r>
      <w:r>
        <w:t>一些植物能够在超过一米的深度获取水分和养分的能力是一种关键的功能特征，这赋予了它们抗旱能力，并影响地下和浅层土壤过程。在此，我们报告了来自高山草甸样带的水和锶同位素数据，显示了水和养分获取深度之间的相关性。岩石和土壤中的锶同位素组成（87Sr/86Sr比率）和水，以及植物叶组织中，揭示了根系较深的植物获取了更高比例的水、锶和阳离子养分，这些养分来源于硅酸盐风化带的风化层，而浅根草则不然。一个三十年的树木化学记录揭示了减少</w:t>
      </w:r>
    </w:p>
    <w:p>
      <w:pPr>
        <w:spacing w:before="0" w:after="200" w:lineRule="auto" w:line="276"/>
      </w:pPr>
      <w:r>
        <w:rPr>
          <w:b/>
        </w:rPr>
        <w:t xml:space="preserve">Abstract (EN): </w:t>
      </w:r>
      <w:r>
        <w:t>The capacity of some plants to access water and nutrients at depths greater than one meter is a critical functional trait that confers resistance to drought and impacts both belowground and shallow soil processes. Here, we report water and strontium isotopic data from an alpine meadow transect showing the correlation between water and nutrient acquisition depths. The isotopic compositions of Sr (</w:t>
      </w:r>
      <w:r>
        <w:rPr>
          <w:vertAlign w:val="subscript"/>
        </w:rPr>
        <w:t>87</w:t>
      </w:r>
      <w:r>
        <w:t>Sr/</w:t>
      </w:r>
      <w:r>
        <w:rPr>
          <w:vertAlign w:val="subscript"/>
        </w:rPr>
        <w:t>86</w:t>
      </w:r>
      <w:r>
        <w:t>Sr ratio) and water in rock and soil, and in plant leaf tissues, reveal that deeper-rooted plants acquire a higher proportion of water, Sr, and cation nutrients that are derived from the saprolite, a zone of silicate weathering, than shallow-rooted grass. A three-decade dendrochemical record reveals that reductions of wet precipitation drive deep-rooted plants to acquire cation nutrients from deeper saprolite or bedrock regions. Thus, the depth of cation nutrient acquisition by deep-rooted plant species at this site is tightly coupled with, and likely determined by, water availability in soil, saprolite, and bedrock. The enhanced uptake of cations as well as water from deeper saprolite zones could impact the rate of bedrock weathering and watershed chemistry during drought.</w:t>
      </w:r>
    </w:p>
    <w:p>
      <w:pPr>
        <w:spacing w:before="120" w:after="120"/>
      </w:pPr>
      <w:r>
        <w:rPr>
          <w:sz w:val="18"/>
        </w:rPr>
        <w:t>——————————————————————————————————————————————————————————————————————</w:t>
      </w:r>
    </w:p>
    <w:p>
      <w:pPr>
        <w:spacing w:before="160" w:after="40" w:line="240" w:lineRule="auto"/>
      </w:pPr>
      <w:r>
        <w:rPr>
          <w:b/>
        </w:rPr>
        <w:t xml:space="preserve">[170] </w:t>
      </w:r>
      <w:hyperlink r:id="rId509">
        <w:r>
          <w:rPr>
            <w:color w:val="1155CC"/>
            <w:u w:val="single"/>
          </w:rPr>
          <w:t>金黄色葡萄球菌丝氨酸水解酶 FphE 的独特结构和配体结合特性</w:t>
        </w:r>
      </w:hyperlink>
    </w:p>
    <w:p>
      <w:pPr>
        <w:spacing w:before="0" w:after="80"/>
      </w:pPr>
      <w:r>
        <w:rPr>
          <w:i/>
          <w:sz w:val="20"/>
        </w:rPr>
        <w:t>EN: Unique structural and ligand-binding properties of the Staphylococcus aureus serine hydrolase FphE</w:t>
      </w:r>
    </w:p>
    <w:p>
      <w:pPr>
        <w:spacing w:before="0" w:after="120"/>
      </w:pPr>
      <w:r>
        <w:rPr>
          <w:b/>
        </w:rPr>
        <w:t xml:space="preserve">Source: </w:t>
      </w:r>
      <w:r>
        <w:t>Proceedings of the National Academy of Sciences: Keyword search for query</w:t>
      </w:r>
      <w:r>
        <w:t xml:space="preserve">    </w:t>
      </w:r>
      <w:r>
        <w:rPr>
          <w:b/>
        </w:rPr>
        <w:t xml:space="preserve">Pub date: </w:t>
      </w:r>
      <w:r>
        <w:t>2026-03-24 07:00:00+00:00</w:t>
      </w:r>
      <w:r>
        <w:t xml:space="preserve">    </w:t>
      </w:r>
      <w:r>
        <w:rPr>
          <w:b/>
        </w:rPr>
        <w:t xml:space="preserve">DOI: </w:t>
      </w:r>
      <w:hyperlink r:id="rId510">
        <w:r>
          <w:rPr>
            <w:color w:val="1155CC"/>
            <w:u w:val="single"/>
          </w:rPr>
          <w:t>10.1073/pnas.2532683123</w:t>
        </w:r>
      </w:hyperlink>
    </w:p>
    <w:p>
      <w:pPr>
        <w:spacing w:before="0" w:after="120"/>
      </w:pPr>
      <w:r>
        <w:rPr>
          <w:b/>
        </w:rPr>
        <w:t xml:space="preserve">Notes: </w:t>
      </w:r>
      <w:r>
        <w:t>abstract_source=crossref</w:t>
      </w:r>
    </w:p>
    <w:p>
      <w:pPr>
        <w:spacing w:before="0" w:after="80" w:lineRule="auto" w:line="276"/>
      </w:pPr>
      <w:r>
        <w:rPr>
          <w:b/>
        </w:rPr>
        <w:t xml:space="preserve">摘要（ZH）: </w:t>
      </w:r>
      <w:r>
        <w:t>金黄色葡萄球菌是一种能够形成生物膜的人类病原体，这使得治疗复杂化并促进慢性感染。金黄色葡萄球菌的丝氨酸水解酶家族是毒力和生物膜形成的重要调节因子。其中，FphE对金黄色葡萄球菌高度特异，因此是成像和治疗的可行靶点。在此，我们提供了生物信息学和结构证据，表明FphE可能参与芳香化合物代谢。此外，12种不同的晶体形式揭示了FphE作为一种高度不寻常但稳定且灵活的跨亚基同源二聚体存在，这在大型α/β水解酶超家族中是独一无二的。底物结合有利于二聚体状态的保持</w:t>
      </w:r>
    </w:p>
    <w:p>
      <w:pPr>
        <w:spacing w:before="0" w:after="200" w:lineRule="auto" w:line="276"/>
      </w:pPr>
      <w:r>
        <w:rPr>
          <w:b/>
        </w:rPr>
        <w:t xml:space="preserve">Abstract (EN): </w:t>
      </w:r>
      <w:r>
        <w:t>Staphylococcus aureus</w:t>
      </w:r>
      <w:r>
        <w:t xml:space="preserve"> </w:t>
      </w:r>
      <w:r>
        <w:t>is a human pathogen capable of forming biofilms that complicate treatment and facilitate chronic infections. A family of</w:t>
      </w:r>
      <w:r>
        <w:t xml:space="preserve"> </w:t>
      </w:r>
      <w:r>
        <w:t>S. aureus</w:t>
      </w:r>
      <w:r>
        <w:t xml:space="preserve"> </w:t>
      </w:r>
      <w:r>
        <w:t>serine hydrolases are important regulators of virulence and biofilm formation. Among these, FphE is highly specific to</w:t>
      </w:r>
      <w:r>
        <w:t xml:space="preserve"> </w:t>
      </w:r>
      <w:r>
        <w:t>S. aureus</w:t>
      </w:r>
      <w:r>
        <w:t xml:space="preserve"> </w:t>
      </w:r>
      <w:r>
        <w:t>and therefore a viable target for both imaging and therapy. Here, we present bioinformatic and structural evidence that FphE may be involved in aromatic compound metabolism. In addition, 12 distinct crystal forms reveal that FphE exists as a highly unusual but stable and flexible, cross-subunit homodimer, unique to the large alpha/beta hydrolase superfamily. Substrate engagement favors retention of the dimeric state, which is a more catalytically active form of the enzyme, and small-angle X-ray scattering confirms that the dimeric architecture occurs in solution. High-resolution cocrystal structures of FphE covalently bound to two chemically distinct ligands reveal different modes of active site engagement, supporting an atypical structural plasticity of the dimer interface. Together, these findings establish FphE as a structurally unique alpha/beta hydrolase and provide a foundation for structure-guided development of</w:t>
      </w:r>
      <w:r>
        <w:t xml:space="preserve"> </w:t>
      </w:r>
      <w:r>
        <w:t>S. aureus</w:t>
      </w:r>
      <w:r>
        <w:t xml:space="preserve"> </w:t>
      </w:r>
      <w:r>
        <w:t>–specific inhibitors and imaging probes.</w:t>
      </w:r>
    </w:p>
    <w:p>
      <w:pPr>
        <w:spacing w:before="120" w:after="120"/>
      </w:pPr>
      <w:r>
        <w:rPr>
          <w:sz w:val="18"/>
        </w:rPr>
        <w:t>——————————————————————————————————————————————————————————————————————</w:t>
      </w:r>
    </w:p>
    <w:p>
      <w:pPr>
        <w:spacing w:before="160" w:after="40" w:line="240" w:lineRule="auto"/>
      </w:pPr>
      <w:r>
        <w:rPr>
          <w:b/>
        </w:rPr>
        <w:t xml:space="preserve">[171] </w:t>
      </w:r>
      <w:hyperlink r:id="rId511">
        <w:r>
          <w:rPr>
            <w:color w:val="1155CC"/>
            <w:u w:val="single"/>
          </w:rPr>
          <w:t>GFAP+ FOXF2+ 室管膜细胞通过 DLL4–NOTCH 信号促进神经损伤后的血脑屏障修复</w:t>
        </w:r>
      </w:hyperlink>
    </w:p>
    <w:p>
      <w:pPr>
        <w:spacing w:before="0" w:after="80"/>
      </w:pPr>
      <w:r>
        <w:rPr>
          <w:i/>
          <w:sz w:val="20"/>
        </w:rPr>
        <w:t>EN: GFAP+ FOXF2+ ependymal cells promote blood–brain barrier repair via DLL4–NOTCH signaling after neural injury</w:t>
      </w:r>
    </w:p>
    <w:p>
      <w:pPr>
        <w:spacing w:before="0" w:after="120"/>
      </w:pPr>
      <w:r>
        <w:rPr>
          <w:b/>
        </w:rPr>
        <w:t xml:space="preserve">Source: </w:t>
      </w:r>
      <w:r>
        <w:t>Proceedings of the National Academy of Sciences: Keyword search for query</w:t>
      </w:r>
      <w:r>
        <w:t xml:space="preserve">    </w:t>
      </w:r>
      <w:r>
        <w:rPr>
          <w:b/>
        </w:rPr>
        <w:t xml:space="preserve">Pub date: </w:t>
      </w:r>
      <w:r>
        <w:t>2026-03-24 07:00:00+00:00</w:t>
      </w:r>
      <w:r>
        <w:t xml:space="preserve">    </w:t>
      </w:r>
      <w:r>
        <w:rPr>
          <w:b/>
        </w:rPr>
        <w:t xml:space="preserve">DOI: </w:t>
      </w:r>
      <w:hyperlink r:id="rId512">
        <w:r>
          <w:rPr>
            <w:color w:val="1155CC"/>
            <w:u w:val="single"/>
          </w:rPr>
          <w:t>10.1073/pnas.2520352123</w:t>
        </w:r>
      </w:hyperlink>
    </w:p>
    <w:p>
      <w:pPr>
        <w:spacing w:before="0" w:after="120"/>
      </w:pPr>
      <w:r>
        <w:rPr>
          <w:b/>
        </w:rPr>
        <w:t xml:space="preserve">Notes: </w:t>
      </w:r>
      <w:r>
        <w:t>abstract_source=crossref</w:t>
      </w:r>
    </w:p>
    <w:p>
      <w:pPr>
        <w:spacing w:before="0" w:after="80" w:lineRule="auto" w:line="276"/>
      </w:pPr>
      <w:r>
        <w:rPr>
          <w:b/>
        </w:rPr>
        <w:t xml:space="preserve">摘要（ZH）: </w:t>
      </w:r>
      <w:r>
        <w:t>成年脑室-室下区的室管膜细胞因其在脑脊液动力学之外的功能而越来越受到重视；然而，它们的身份和功能特化仍未完全理解。虽然室管膜细胞（EP）已被认为与干细胞生态位和血管系统有相互作用，但它们在神经损伤后修复过程中的作用仍然难以捉摸。在这项研究中，我们采用小鼠室下区（SVZ）和病灶侧梗死周围区域的区域特异性单细胞转录组学，识别出一种在神经损伤后选择性扩展于SVZ内的GFAP</w:t>
      </w:r>
      <w:r>
        <w:t xml:space="preserve"> </w:t>
      </w:r>
      <w:r>
        <w:t>+</w:t>
      </w:r>
      <w:r>
        <w:t xml:space="preserve"> </w:t>
      </w:r>
      <w:r>
        <w:t>FOXF2</w:t>
      </w:r>
      <w:r>
        <w:t xml:space="preserve"> </w:t>
      </w:r>
      <w:r>
        <w:t>+</w:t>
      </w:r>
      <w:r>
        <w:t xml:space="preserve"> </w:t>
      </w:r>
      <w:r>
        <w:t>EP的独特亚群。值得注意的是，这些细胞缺失</w:t>
      </w:r>
    </w:p>
    <w:p>
      <w:pPr>
        <w:spacing w:before="0" w:after="200" w:lineRule="auto" w:line="276"/>
      </w:pPr>
      <w:r>
        <w:rPr>
          <w:b/>
        </w:rPr>
        <w:t xml:space="preserve">Abstract (EN): </w:t>
      </w:r>
      <w:r>
        <w:t>Ependymal cells in the adult ventricular-subventricular zone are increasingly recognized for functions extending beyond cerebrospinal fluid dynamics; however, their identity and functional specialization remain incompletely understood. While ependymal cells (EP) have been implicated in interactions with the stem cell niche and the vasculature, their role in repair processes following neural injury remains elusive. In this study, we employed region-specific single-cell transcriptomics of the subventricular zone (SVZ) and ipsilesional peri-infarct territory in mice to identify a distinct subpopulation of GFAP</w:t>
      </w:r>
      <w:r>
        <w:t xml:space="preserve"> </w:t>
      </w:r>
      <w:r>
        <w:t>+</w:t>
      </w:r>
      <w:r>
        <w:t xml:space="preserve"> </w:t>
      </w:r>
      <w:r>
        <w:t>FOXF2</w:t>
      </w:r>
      <w:r>
        <w:t xml:space="preserve"> </w:t>
      </w:r>
      <w:r>
        <w:t>+</w:t>
      </w:r>
      <w:r>
        <w:t xml:space="preserve"> </w:t>
      </w:r>
      <w:r>
        <w:t>EP that selectively expand within the SVZ after neural injury. Notably, these cells were absent from other brain regions. Immunohistochemical validation revealed characteristic ependymal features, including typical pinwheel architecture and expression of Foxj1 and β-catenin. Furthermore, the absence of the proliferation marker Ki67 and the resistance of this subpopulation to Ara-C-mediated ablation indicate that these cells do not possess proliferative properties. Conditional deletion of</w:t>
      </w:r>
      <w:r>
        <w:t xml:space="preserve"> </w:t>
      </w:r>
      <w:r>
        <w:t>Foxf2</w:t>
      </w:r>
      <w:r>
        <w:t xml:space="preserve"> </w:t>
      </w:r>
      <w:r>
        <w:t>in GFAP</w:t>
      </w:r>
      <w:r>
        <w:t xml:space="preserve"> </w:t>
      </w:r>
      <w:r>
        <w:t>+</w:t>
      </w:r>
      <w:r>
        <w:t xml:space="preserve"> </w:t>
      </w:r>
      <w:r>
        <w:t>cells led to impaired endothelial junction integrity and increased blood–brain barrier (BBB) permeability. In contrast, overexpression of</w:t>
      </w:r>
      <w:r>
        <w:t xml:space="preserve"> </w:t>
      </w:r>
      <w:r>
        <w:t>Foxf2</w:t>
      </w:r>
      <w:r>
        <w:t xml:space="preserve"> </w:t>
      </w:r>
      <w:r>
        <w:t>via GFAP promoter-driven adeno-associated virus delivery enhanced vascular repair and facilitated functional recovery. Mechanistically, these GFAP</w:t>
      </w:r>
      <w:r>
        <w:t xml:space="preserve"> </w:t>
      </w:r>
      <w:r>
        <w:t>+</w:t>
      </w:r>
      <w:r>
        <w:t xml:space="preserve"> </w:t>
      </w:r>
      <w:r>
        <w:t>FOXF2</w:t>
      </w:r>
      <w:r>
        <w:t xml:space="preserve"> </w:t>
      </w:r>
      <w:r>
        <w:t>+</w:t>
      </w:r>
      <w:r>
        <w:t xml:space="preserve"> </w:t>
      </w:r>
      <w:r>
        <w:t>EP secrete exosomal DLL4, which was associated with enhanced NOTCH pathway activity and restoration of BBB function. While the mechanism linking this limited cell population to the broad reparative effect, particularly the complete signaling amplification cascade, remains to be fully elucidated, these findings identify a subset of EP that contributes to BBB repair.</w:t>
      </w:r>
    </w:p>
    <w:p>
      <w:pPr>
        <w:spacing w:before="120" w:after="120"/>
      </w:pPr>
      <w:r>
        <w:rPr>
          <w:sz w:val="18"/>
        </w:rPr>
        <w:t>——————————————————————————————————————————————————————————————————————</w:t>
      </w:r>
    </w:p>
    <w:p>
      <w:pPr>
        <w:spacing w:before="160" w:after="40" w:line="240" w:lineRule="auto"/>
      </w:pPr>
      <w:r>
        <w:rPr>
          <w:b/>
        </w:rPr>
        <w:t xml:space="preserve">[172] </w:t>
      </w:r>
      <w:hyperlink r:id="rId513">
        <w:r>
          <w:rPr>
            <w:color w:val="1155CC"/>
            <w:u w:val="single"/>
          </w:rPr>
          <w:t>噬菌体通过促进宿主适应重金属应激来推动抗生素抗性基因的传播</w:t>
        </w:r>
      </w:hyperlink>
    </w:p>
    <w:p>
      <w:pPr>
        <w:spacing w:before="0" w:after="80"/>
      </w:pPr>
      <w:r>
        <w:rPr>
          <w:i/>
          <w:sz w:val="20"/>
        </w:rPr>
        <w:t>EN: Phages drive the dissemination of antibiotic resistance genes by facilitating host adaptation to heavy metal stress</w:t>
      </w:r>
    </w:p>
    <w:p>
      <w:pPr>
        <w:spacing w:before="0" w:after="120"/>
      </w:pPr>
      <w:r>
        <w:rPr>
          <w:b/>
        </w:rPr>
        <w:t xml:space="preserve">Source: </w:t>
      </w:r>
      <w:r>
        <w:t>Proceedings of the National Academy of Sciences: Keyword search for query</w:t>
      </w:r>
      <w:r>
        <w:t xml:space="preserve">    </w:t>
      </w:r>
      <w:r>
        <w:rPr>
          <w:b/>
        </w:rPr>
        <w:t xml:space="preserve">Pub date: </w:t>
      </w:r>
      <w:r>
        <w:t>2026-03-24 07:00:00+00:00</w:t>
      </w:r>
      <w:r>
        <w:t xml:space="preserve">    </w:t>
      </w:r>
      <w:r>
        <w:rPr>
          <w:b/>
        </w:rPr>
        <w:t xml:space="preserve">DOI: </w:t>
      </w:r>
      <w:hyperlink r:id="rId514">
        <w:r>
          <w:rPr>
            <w:color w:val="1155CC"/>
            <w:u w:val="single"/>
          </w:rPr>
          <w:t>10.1073/pnas.2535653123</w:t>
        </w:r>
      </w:hyperlink>
    </w:p>
    <w:p>
      <w:pPr>
        <w:spacing w:before="0" w:after="120"/>
      </w:pPr>
      <w:r>
        <w:rPr>
          <w:b/>
        </w:rPr>
        <w:t xml:space="preserve">Notes: </w:t>
      </w:r>
      <w:r>
        <w:t>abstract_source=crossref</w:t>
      </w:r>
    </w:p>
    <w:p>
      <w:pPr>
        <w:spacing w:before="0" w:after="80" w:lineRule="auto" w:line="276"/>
      </w:pPr>
      <w:r>
        <w:rPr>
          <w:b/>
        </w:rPr>
        <w:t xml:space="preserve">摘要（ZH）: </w:t>
      </w:r>
      <w:r>
        <w:t>重金属越来越被认为是土壤生态系统中抗生素抗性基因（ARG）传播的主要驱动因素。然而，噬菌体在重金属驱动的ARG传播中的作用及其潜在机制仍然知之甚少。在此，通过对中国各地稻田土壤的整合宏基因组学、病毒组学和代谢组学分析，我们揭示了土壤噬菌体在重金属胁迫下促进ARG传播，可能通过两种潜在机制。首先，噬菌体编码的辅助代谢基因（AMGs）重编程宿主代谢以增强细菌生存和适应性，从而促进相邻ARG的共同转移并间接促进水平传播。其次，噬菌体编码的重金属解毒基因（HDGs）直接介导金属解毒</w:t>
      </w:r>
    </w:p>
    <w:p>
      <w:pPr>
        <w:spacing w:before="0" w:after="200" w:lineRule="auto" w:line="276"/>
      </w:pPr>
      <w:r>
        <w:rPr>
          <w:b/>
        </w:rPr>
        <w:t xml:space="preserve">Abstract (EN): </w:t>
      </w:r>
      <w:r>
        <w:t>Heavy metals are increasingly recognized as major drivers of antibiotic resistance gene (ARG) dissemination in soil ecosystems. However, the role of phages in heavy metal–driven ARG dissemination and the underlying mechanisms remain poorly understood. Here, through integrative metagenomic, viromics, and metabolomic analyses of paddy soils across China, we reveal that soil phages promote ARG dissemination under heavy metal stress, likely through two potential mechanisms. First, phage-encoded auxiliary metabolic genes (AMGs) reprogram host metabolism to enhance bacterial survival and adaptation, thereby facilitating the cotransfer of adjacent ARGs and indirectly promoting horizontal dissemination. Second, phage-encoded heavy metal detoxification genes (HDGs) directly mediate metal detoxification, driving the cotransfer of neighboring ARG fragments and inducing lipid peroxidation–associated increases in membrane permeability, which collectively enhance ARG mobilization. We further identify a significant enrichment of lysogenic phages coharboring ARGs with AMGs or HDGs (AMG–ARG and HDG–ARG fragments), underscoring their contribution to ARG dissemination. Phage transplantation experiments confirm that elevated heavy metal stress triggers lysogenic phage-mediated ARG transduction to bacterial hosts. Cumulatively, our experiments highlight the pivotal role of phages in mediating ARG transfer under heavy metal pressure and underscore the necessity of incorporating phage dynamics into ARG risk assessments.</w:t>
      </w:r>
    </w:p>
    <w:p>
      <w:pPr>
        <w:spacing w:before="120" w:after="120"/>
      </w:pPr>
      <w:r>
        <w:rPr>
          <w:sz w:val="18"/>
        </w:rPr>
        <w:t>——————————————————————————————————————————————————————————————————————</w:t>
      </w:r>
    </w:p>
    <w:p>
      <w:pPr>
        <w:spacing w:before="160" w:after="40" w:line="240" w:lineRule="auto"/>
      </w:pPr>
      <w:r>
        <w:rPr>
          <w:b/>
        </w:rPr>
        <w:t xml:space="preserve">[173] </w:t>
      </w:r>
      <w:hyperlink r:id="rId515">
        <w:r>
          <w:rPr>
            <w:color w:val="1155CC"/>
            <w:u w:val="single"/>
          </w:rPr>
          <w:t>冒犯性和防御性群体间暴力的心理学：来自 58 个国家的预注册见解</w:t>
        </w:r>
      </w:hyperlink>
    </w:p>
    <w:p>
      <w:pPr>
        <w:spacing w:before="0" w:after="80"/>
      </w:pPr>
      <w:r>
        <w:rPr>
          <w:i/>
          <w:sz w:val="20"/>
        </w:rPr>
        <w:t>EN: The psychology of offensive and defensive intergroup violence: Preregistered insights from 58 countries</w:t>
      </w:r>
    </w:p>
    <w:p>
      <w:pPr>
        <w:spacing w:before="0" w:after="120"/>
      </w:pPr>
      <w:r>
        <w:rPr>
          <w:b/>
        </w:rPr>
        <w:t xml:space="preserve">Source: </w:t>
      </w:r>
      <w:r>
        <w:t>Proceedings of the National Academy of Sciences: Keyword search for query</w:t>
      </w:r>
      <w:r>
        <w:t xml:space="preserve">    </w:t>
      </w:r>
      <w:r>
        <w:rPr>
          <w:b/>
        </w:rPr>
        <w:t xml:space="preserve">Pub date: </w:t>
      </w:r>
      <w:r>
        <w:t>2026-03-24 07:00:00+00:00</w:t>
      </w:r>
      <w:r>
        <w:t xml:space="preserve">    </w:t>
      </w:r>
      <w:r>
        <w:rPr>
          <w:b/>
        </w:rPr>
        <w:t xml:space="preserve">DOI: </w:t>
      </w:r>
      <w:hyperlink r:id="rId516">
        <w:r>
          <w:rPr>
            <w:color w:val="1155CC"/>
            <w:u w:val="single"/>
          </w:rPr>
          <w:t>10.1073/pnas.2535665123</w:t>
        </w:r>
      </w:hyperlink>
    </w:p>
    <w:p>
      <w:pPr>
        <w:spacing w:before="0" w:after="120"/>
      </w:pPr>
      <w:r>
        <w:rPr>
          <w:b/>
        </w:rPr>
        <w:t xml:space="preserve">Notes: </w:t>
      </w:r>
      <w:r>
        <w:t>abstract_source=crossref</w:t>
      </w:r>
    </w:p>
    <w:p>
      <w:pPr>
        <w:spacing w:before="0" w:after="80" w:lineRule="auto" w:line="276"/>
      </w:pPr>
      <w:r>
        <w:rPr>
          <w:b/>
        </w:rPr>
        <w:t xml:space="preserve">摘要（ZH）: </w:t>
      </w:r>
      <w:r>
        <w:t>进化理论和历史证据表明，人类具有防御性和攻击性暴力的独特心理倾向，这在研究中尚未得到充分考虑。在一项跨越58个国家的大规模预注册研究中（N = 18,128），我们证明了暴力极端主义意图表现为两种不同的心理现象：防御性极端主义，由保护自己群体免受（感知到的）威胁驱动，以及攻击性极端主义，由建立群体优势驱动。我们展示了这些维度a）可以在不同的文化背景中可靠地区分，b）与心理倾向有独特的关联，c）系统地区分宏观社会政治环境不同的国家。</w:t>
      </w:r>
    </w:p>
    <w:p>
      <w:pPr>
        <w:spacing w:before="0" w:after="200" w:lineRule="auto" w:line="276"/>
      </w:pPr>
      <w:r>
        <w:rPr>
          <w:b/>
        </w:rPr>
        <w:t xml:space="preserve">Abstract (EN): </w:t>
      </w:r>
      <w:r>
        <w:t>Evolutionary theory and historical evidence suggest humans possess distinct psychological tendencies for defensive and offensive violence, which have insufficiently been considered in research. In a large-scale preregistered study across 58 countries (</w:t>
      </w:r>
      <w:r>
        <w:t xml:space="preserve"> </w:t>
      </w:r>
      <w:r>
        <w:t>N</w:t>
      </w:r>
      <w:r>
        <w:t xml:space="preserve"> </w:t>
      </w:r>
      <w:r>
        <w:t>= 18,128), we demonstrate that violent extremist intentions manifest along two distinct psychological phenomena: defensive extremism, motivated by protecting one’s group from (perceived) threats, and offensive extremism, driven by establishing group dominance. We show that these dimensions a) can be reliably differentiated across diverse cultural contexts, b) are distinctively associated with psychological dispositions, and c) systematically differentiate countries varying in macrolevel sociopolitical functioning and violence. Across nations, a two-factorial structure was observed that was invariant at the scalar level. Defensive extremist intentions were consistently higher than offensive extremism in 56 out of 58 countries, suggesting greater moral acceptance of protective violence. While psychopathy was positively related to both types of violent extremist intentions, those high in Machiavellianism and narcissism demonstrated particularly higher levels of defensive extremist intentions. By contrast, those scoring high on religious fundamentalism and social dominance orientation demonstrated particularly higher levels of offensive extremist intentions. Unexpectedly, liberal political group identification was associated with higher offensive but lower defensive extremist intentions. Crucially, offensive (but not defensive) intentions were associated with macrolevel societal dysfunction, including political terror and internal conflict. These findings establish that defensive and offensive violent extremist intentions represent two conceptually different forms of extremism across a large and diverse range of countries, with consequences for research and practice.</w:t>
      </w:r>
    </w:p>
    <w:p>
      <w:pPr>
        <w:spacing w:before="120" w:after="120"/>
      </w:pPr>
      <w:r>
        <w:rPr>
          <w:sz w:val="18"/>
        </w:rPr>
        <w:t>——————————————————————————————————————————————————————————————————————</w:t>
      </w:r>
    </w:p>
    <w:p>
      <w:pPr>
        <w:spacing w:before="160" w:after="40" w:line="240" w:lineRule="auto"/>
      </w:pPr>
      <w:r>
        <w:rPr>
          <w:b/>
        </w:rPr>
        <w:t xml:space="preserve">[174] </w:t>
      </w:r>
      <w:hyperlink r:id="rId517">
        <w:r>
          <w:rPr>
            <w:color w:val="1155CC"/>
            <w:u w:val="single"/>
          </w:rPr>
          <w:t>小分子约束的拟表位双环肽作为强效抑制剂针对 1 型和 2 型流感 A 病毒血凝素</w:t>
        </w:r>
      </w:hyperlink>
    </w:p>
    <w:p>
      <w:pPr>
        <w:spacing w:before="0" w:after="80"/>
      </w:pPr>
      <w:r>
        <w:rPr>
          <w:i/>
          <w:sz w:val="20"/>
        </w:rPr>
        <w:t>EN: Small molecule–constrained paratope mimetic bicyclic peptides as potent inhibitors of group 1 and 2 influenza A virus hemagglutinins</w:t>
      </w:r>
    </w:p>
    <w:p>
      <w:pPr>
        <w:spacing w:before="0" w:after="120"/>
      </w:pPr>
      <w:r>
        <w:rPr>
          <w:b/>
        </w:rPr>
        <w:t xml:space="preserve">Source: </w:t>
      </w:r>
      <w:r>
        <w:t>Proceedings of the National Academy of Sciences: Keyword search for query</w:t>
      </w:r>
      <w:r>
        <w:t xml:space="preserve">    </w:t>
      </w:r>
      <w:r>
        <w:rPr>
          <w:b/>
        </w:rPr>
        <w:t xml:space="preserve">Pub date: </w:t>
      </w:r>
      <w:r>
        <w:t>2026-03-24 07:00:00+00:00</w:t>
      </w:r>
      <w:r>
        <w:t xml:space="preserve">    </w:t>
      </w:r>
      <w:r>
        <w:rPr>
          <w:b/>
        </w:rPr>
        <w:t xml:space="preserve">DOI: </w:t>
      </w:r>
      <w:hyperlink r:id="rId518">
        <w:r>
          <w:rPr>
            <w:color w:val="1155CC"/>
            <w:u w:val="single"/>
          </w:rPr>
          <w:t>10.1073/pnas.2537533123</w:t>
        </w:r>
      </w:hyperlink>
    </w:p>
    <w:p>
      <w:pPr>
        <w:spacing w:before="0" w:after="120"/>
      </w:pPr>
      <w:r>
        <w:rPr>
          <w:b/>
        </w:rPr>
        <w:t xml:space="preserve">Notes: </w:t>
      </w:r>
      <w:r>
        <w:t>abstract_source=crossref</w:t>
      </w:r>
    </w:p>
    <w:p>
      <w:pPr>
        <w:spacing w:before="0" w:after="80" w:lineRule="auto" w:line="276"/>
      </w:pPr>
      <w:r>
        <w:rPr>
          <w:b/>
        </w:rPr>
        <w:t xml:space="preserve">摘要（ZH）: </w:t>
      </w:r>
      <w:r>
        <w:t>流感仍然是全球健康的重大威胁和巨大的经济负担。需要创新策略来应对对现有流感治疗方法的日益增长的抗药性，并开发具有新作用机制的新疗法。先前的肽和小分子设计仅对流感组1血凝素（HA）成功。在此，我们报告了一种基于CLIPS（化学连接肽到支架）的方法，设计出对流感A病毒的强效肽类抑制剂，现在扩展到组1和组2的HA。这种方法结合了抗体和小分子的特征，设计出约束的双环肽，与高度保守的HA茎结合。人类广泛中和抗体的重链互补决定区3（HCDR3）</w:t>
      </w:r>
    </w:p>
    <w:p>
      <w:pPr>
        <w:spacing w:before="0" w:after="200" w:lineRule="auto" w:line="276"/>
      </w:pPr>
      <w:r>
        <w:rPr>
          <w:b/>
        </w:rPr>
        <w:t xml:space="preserve">Abstract (EN): </w:t>
      </w:r>
      <w:r>
        <w:t>Influenza continues to be a major threat to global health and a substantial economic burden. Innovative strategies are needed to tackle the growing resistance to established influenza therapeutics and to develop new therapeutics with novel mechanisms of action. Previous peptide and small molecule designs have been successful only against influenza group 1 hemagglutinin (HA). Here, we report on a CLIPS (Chemical Linkage of Peptides onto Scaffolds)-based approach to design potent peptidic inhibitors of influenza A viruses that now extend to both group 1 and group 2 HAs. This approach merges features of antibodies and small molecules to design constrained bicyclic peptides that engage the highly conserved HA stem. The heavy-chain complementarity-determining region 3 (HCDR3) of human broadly neutralizing antibody FI6v3 was grafted onto functionalized small molecule scaffolds. The designed peptides exhibited in vitro heterosubtypic cross-reactivity in binding to group 1 (H1 and H5) and group 2 (H3 and H7) HAs and in neutralization of H1N1, H5N1, and H7N3 viruses. A crystal structure of the bicyclic peptide with HA from H1N1 A/Puerto Rico/8/1934 (H1/PR8) at 2.35 Å resolution revealed that the designed peptide faithfully mimics the binding mode and functionality of the parent antibody FI6v3 to the highly conserved stem epitope. These structural and functional data illustrate how both group 1 and group 2 influenza A viruses can now be targeted by constrained peptidic ligands that should aid in development of pan-influenza therapeutics.</w:t>
      </w:r>
    </w:p>
    <w:p>
      <w:pPr>
        <w:spacing w:before="120" w:after="120"/>
      </w:pPr>
      <w:r>
        <w:rPr>
          <w:sz w:val="18"/>
        </w:rPr>
        <w:t>——————————————————————————————————————————————————————————————————————</w:t>
      </w:r>
    </w:p>
    <w:p>
      <w:pPr>
        <w:spacing w:before="160" w:after="40" w:line="240" w:lineRule="auto"/>
      </w:pPr>
      <w:r>
        <w:rPr>
          <w:b/>
        </w:rPr>
        <w:t xml:space="preserve">[175] </w:t>
      </w:r>
      <w:hyperlink r:id="rId519">
        <w:r>
          <w:rPr>
            <w:color w:val="1155CC"/>
            <w:u w:val="single"/>
          </w:rPr>
          <w:t>鲤科鱼类白色鳍饰的细胞类型多样化和表型趋同</w:t>
        </w:r>
      </w:hyperlink>
    </w:p>
    <w:p>
      <w:pPr>
        <w:spacing w:before="0" w:after="80"/>
      </w:pPr>
      <w:r>
        <w:rPr>
          <w:i/>
          <w:sz w:val="20"/>
        </w:rPr>
        <w:t>EN: Cell type diversification and phenotype convergence underlying white fin-ornamentation of cyprinid fishes</w:t>
      </w:r>
    </w:p>
    <w:p>
      <w:pPr>
        <w:spacing w:before="0" w:after="120"/>
      </w:pPr>
      <w:r>
        <w:rPr>
          <w:b/>
        </w:rPr>
        <w:t xml:space="preserve">Source: </w:t>
      </w:r>
      <w:r>
        <w:t>Proceedings of the National Academy of Sciences: Keyword search for query</w:t>
      </w:r>
      <w:r>
        <w:t xml:space="preserve">    </w:t>
      </w:r>
      <w:r>
        <w:rPr>
          <w:b/>
        </w:rPr>
        <w:t xml:space="preserve">Pub date: </w:t>
      </w:r>
      <w:r>
        <w:t>2026-03-24 07:00:00+00:00</w:t>
      </w:r>
      <w:r>
        <w:t xml:space="preserve">    </w:t>
      </w:r>
      <w:r>
        <w:rPr>
          <w:b/>
        </w:rPr>
        <w:t xml:space="preserve">DOI: </w:t>
      </w:r>
      <w:hyperlink r:id="rId520">
        <w:r>
          <w:rPr>
            <w:color w:val="1155CC"/>
            <w:u w:val="single"/>
          </w:rPr>
          <w:t>10.1073/pnas.2537571123</w:t>
        </w:r>
      </w:hyperlink>
    </w:p>
    <w:p>
      <w:pPr>
        <w:spacing w:before="0" w:after="120"/>
      </w:pPr>
      <w:r>
        <w:rPr>
          <w:b/>
        </w:rPr>
        <w:t xml:space="preserve">Notes: </w:t>
      </w:r>
      <w:r>
        <w:t>abstract_source=crossref</w:t>
      </w:r>
    </w:p>
    <w:p>
      <w:pPr>
        <w:spacing w:before="0" w:after="80" w:lineRule="auto" w:line="276"/>
      </w:pPr>
      <w:r>
        <w:rPr>
          <w:b/>
        </w:rPr>
        <w:t xml:space="preserve">摘要（ZH）: </w:t>
      </w:r>
      <w:r>
        <w:t>神经嵴衍生细胞为解析细胞命运决定和分化机制以及细胞类型多样化的进化基础提供了宝贵的机会。特别有用的是来自神经嵴细胞或潜在神经嵴衍生干细胞的变温脊椎动物的色素细胞。其中包括白细胞，白色素细胞，存在于多种物种中，对身体图案或鳍上的装饰有贡献。为了更好地理解这些细胞的发育和进化起源，我们研究了斑马鱼的黄色/橙色类胡萝卜素沉积的白色素细胞——黄白色素细胞，以及白云山鱼的白色素细胞。我们表明，这两种细胞类型的白色表型需要蝶呤还原酶</w:t>
      </w:r>
    </w:p>
    <w:p>
      <w:pPr>
        <w:spacing w:before="0" w:after="200" w:lineRule="auto" w:line="276"/>
      </w:pPr>
      <w:r>
        <w:rPr>
          <w:b/>
        </w:rPr>
        <w:t xml:space="preserve">Abstract (EN): </w:t>
      </w:r>
      <w:r>
        <w:t>Neural crest–derived cells offer valuable opportunities to dissect mechanisms of cell fate specification and differentiation and the underpinnings of cell type diversification over evolutionary time. Particularly useful for such analyses are pigment cells of ectothermic vertebrates that arise from neural crest cells or via latent neural crest–derived stem cells. Among these are white cells, leucophores, present in a variety of species that contribute to patterns on the body or ornamentation on the fins. To better understand developmental and evolutionary origins of these cells, we examined leucophores harboring deposits of yellow/orange carotenoids—xantholeucophores—of zebrafish and leucophores of white cloud minnow. We show that white phenotypes of both cell types require sepiapterin reductase and an accumulation of pale and colorless pteridines. We further demonstrate that xantholeucophores of zebrafish develop from yellow, sepiapterin-rich xanthophore-like cells and that this transition requires both gap junctional communication and the aquaglyceroporin/peroxiporin channel Aquaporin 3, revealing similarities and differences in differentiation and patterning compared to pigment cells on the body. These findings identify xantholeucophores of zebrafish and leucophores of white cloud minnow as distinct developmentally, genetically, and biochemically from other white cells of zebrafish—melanoleucophores—that develop directly from melanophores and depend on guanine crystals, as well as white cells of medaka fish and anemonefish. Our results highlight remarkable convergences and parallelisms in the acquisition of white cell phenotypes within and between phylogenetic lineages and identify this as a rich system for enquiries into the evolutionary individuation of novel cell types.</w:t>
      </w:r>
    </w:p>
    <w:p>
      <w:pPr>
        <w:spacing w:before="120" w:after="120"/>
      </w:pPr>
      <w:r>
        <w:rPr>
          <w:sz w:val="18"/>
        </w:rPr>
        <w:t>——————————————————————————————————————————————————————————————————————</w:t>
      </w:r>
    </w:p>
    <w:p>
      <w:pPr>
        <w:spacing w:before="160" w:after="40" w:line="240" w:lineRule="auto"/>
      </w:pPr>
      <w:r>
        <w:rPr>
          <w:b/>
        </w:rPr>
        <w:t xml:space="preserve">[176] </w:t>
      </w:r>
      <w:hyperlink r:id="rId521">
        <w:r>
          <w:rPr>
            <w:color w:val="1155CC"/>
            <w:u w:val="single"/>
          </w:rPr>
          <w:t>无机磷酸盐与神经元中代谢能量的快速动员</w:t>
        </w:r>
      </w:hyperlink>
    </w:p>
    <w:p>
      <w:pPr>
        <w:spacing w:before="0" w:after="80"/>
      </w:pPr>
      <w:r>
        <w:rPr>
          <w:i/>
          <w:sz w:val="20"/>
        </w:rPr>
        <w:t>EN: Inorganic phosphate and the rapid mobilization of metabolic energy in neurons</w:t>
      </w:r>
    </w:p>
    <w:p>
      <w:pPr>
        <w:spacing w:before="0" w:after="120"/>
      </w:pPr>
      <w:r>
        <w:rPr>
          <w:b/>
        </w:rPr>
        <w:t xml:space="preserve">Source: </w:t>
      </w:r>
      <w:r>
        <w:t>Proceedings of the National Academy of Sciences: Keyword search for query</w:t>
      </w:r>
      <w:r>
        <w:t xml:space="preserve">    </w:t>
      </w:r>
      <w:r>
        <w:rPr>
          <w:b/>
        </w:rPr>
        <w:t xml:space="preserve">Pub date: </w:t>
      </w:r>
      <w:r>
        <w:t>2026-03-24 07:00:00+00:00</w:t>
      </w:r>
      <w:r>
        <w:t xml:space="preserve">    </w:t>
      </w:r>
      <w:r>
        <w:rPr>
          <w:b/>
        </w:rPr>
        <w:t xml:space="preserve">DOI: </w:t>
      </w:r>
      <w:hyperlink r:id="rId522">
        <w:r>
          <w:rPr>
            <w:color w:val="1155CC"/>
            <w:u w:val="single"/>
          </w:rPr>
          <w:t>10.1073/pnas.2602529123</w:t>
        </w:r>
      </w:hyperlink>
    </w:p>
    <w:p>
      <w:pPr>
        <w:spacing w:before="0" w:after="120"/>
      </w:pPr>
      <w:r>
        <w:rPr>
          <w:b/>
        </w:rPr>
        <w:t xml:space="preserve">Notes: </w:t>
      </w:r>
      <w:r>
        <w:t>abstract_source=crossref</w:t>
      </w:r>
    </w:p>
    <w:p>
      <w:pPr>
        <w:spacing w:before="0" w:after="80" w:lineRule="auto" w:line="276"/>
      </w:pPr>
      <w:r>
        <w:rPr>
          <w:b/>
        </w:rPr>
        <w:t xml:space="preserve">摘要（ZH）: </w:t>
      </w:r>
      <w:r>
        <w:t>神经元在兴奋时会经历短暂而强烈的能量需求期，但它们如何快速协调能量消耗与生产的机制尚未完全理解。部分困难在于无法在单个活细胞中以时空精度测量参与这种代谢反应的分子水平。在此，我们设计了一种定量荧光生物传感器，用于监测细胞质无机磷酸盐（P</w:t>
      </w:r>
      <w:r>
        <w:t xml:space="preserve"> </w:t>
      </w:r>
      <w:r>
        <w:t>i</w:t>
      </w:r>
      <w:r>
        <w:t xml:space="preserve"> </w:t>
      </w:r>
      <w:r>
        <w:t>），这是能量代谢的基本组成部分，具有经典提出但大多被忽视的激活糖酵解的作用。使用双光子荧光寿命成像，我们观察到在刺激小鼠神经元的几秒钟内，P</w:t>
      </w:r>
      <w:r>
        <w:t xml:space="preserve"> </w:t>
      </w:r>
      <w:r>
        <w:t>i</w:t>
      </w:r>
      <w:r>
        <w:t xml:space="preserve"> </w:t>
      </w:r>
      <w:r>
        <w:t>的浓度以毫摩尔级别增加，无论是在离体还是在体内。</w:t>
      </w:r>
    </w:p>
    <w:p>
      <w:pPr>
        <w:spacing w:before="0" w:after="200" w:lineRule="auto" w:line="276"/>
      </w:pPr>
      <w:r>
        <w:rPr>
          <w:b/>
        </w:rPr>
        <w:t xml:space="preserve">Abstract (EN): </w:t>
      </w:r>
      <w:r>
        <w:t>Neurons experience brief, intense periods of energy demand when they are excited, but how they rapidly coordinate energy expenditure with production is incompletely understood. Part of the difficulty has been measuring the levels of molecules involved in this metabolic response with spatiotemporal precision in single live cells. Here, we engineered a quantitative fluorescent biosensor to monitor cytosolic inorganic phosphate (P</w:t>
      </w:r>
      <w:r>
        <w:t xml:space="preserve"> </w:t>
      </w:r>
      <w:r>
        <w:t>i</w:t>
      </w:r>
      <w:r>
        <w:t xml:space="preserve"> </w:t>
      </w:r>
      <w:r>
        <w:t>), a fundamental component of energy metabolism that has a classically proposed but largely neglected role in activating glycolysis. Using two-photon fluorescence lifetime imaging, we observed millimolar increases in P</w:t>
      </w:r>
      <w:r>
        <w:t xml:space="preserve"> </w:t>
      </w:r>
      <w:r>
        <w:t>i</w:t>
      </w:r>
      <w:r>
        <w:t xml:space="preserve"> </w:t>
      </w:r>
      <w:r>
        <w:t>within seconds of stimulating mouse neurons both ex vivo and in vivo. Drawing on results from metabolic modeling, biosensor imaging, and enzymology, we argue that P</w:t>
      </w:r>
      <w:r>
        <w:t xml:space="preserve"> </w:t>
      </w:r>
      <w:r>
        <w:t>i</w:t>
      </w:r>
      <w:r>
        <w:t xml:space="preserve"> </w:t>
      </w:r>
      <w:r>
        <w:t>is a sensitive reporter of energy usage that potently links metabolic energy supply with demand in neurons. Quantitative live-cell imaging of P</w:t>
      </w:r>
      <w:r>
        <w:t xml:space="preserve"> </w:t>
      </w:r>
      <w:r>
        <w:t>i</w:t>
      </w:r>
      <w:r>
        <w:t xml:space="preserve"> </w:t>
      </w:r>
      <w:r>
        <w:t>should be a valuable approach for studying bioenergetics more generally.</w:t>
      </w:r>
    </w:p>
    <w:p>
      <w:pPr>
        <w:spacing w:before="120" w:after="120"/>
      </w:pPr>
      <w:r>
        <w:rPr>
          <w:sz w:val="18"/>
        </w:rPr>
        <w:t>——————————————————————————————————————————————————————————————————————</w:t>
      </w:r>
    </w:p>
    <w:p>
      <w:pPr>
        <w:spacing w:before="160" w:after="40" w:line="240" w:lineRule="auto"/>
      </w:pPr>
      <w:r>
        <w:rPr>
          <w:b/>
        </w:rPr>
        <w:t xml:space="preserve">[177] </w:t>
      </w:r>
      <w:hyperlink r:id="rId523">
        <w:r>
          <w:rPr>
            <w:color w:val="1155CC"/>
            <w:u w:val="single"/>
          </w:rPr>
          <w:t>本期内容</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2026-03-24 07:00:00+00:00</w:t>
      </w:r>
      <w:r>
        <w:t xml:space="preserve">    </w:t>
      </w:r>
      <w:r>
        <w:rPr>
          <w:b/>
        </w:rPr>
        <w:t xml:space="preserve">DOI: </w:t>
      </w:r>
      <w:hyperlink r:id="rId524">
        <w:r>
          <w:rPr>
            <w:color w:val="1155CC"/>
            <w:u w:val="single"/>
          </w:rPr>
          <w:t>10.1073/iti1226123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[178] </w:t>
      </w:r>
      <w:hyperlink r:id="rId525">
        <w:r>
          <w:rPr>
            <w:color w:val="1155CC"/>
            <w:u w:val="single"/>
          </w:rPr>
          <w:t>Goyette等人的更正，靶向Axl有利于抗肿瘤微环境，通过降低Hif-1α水平增强免疫治疗反应</w:t>
        </w:r>
      </w:hyperlink>
    </w:p>
    <w:p>
      <w:pPr>
        <w:spacing w:before="0" w:after="80"/>
      </w:pPr>
      <w:r>
        <w:rPr>
          <w:i/>
          <w:sz w:val="20"/>
        </w:rPr>
        <w:t>EN: Correction for Goyette et al., Targeting Axl favors an antitumorigenic microenvironment that enhances immunotherapy responses by decreasing Hif-1α levels</w:t>
      </w:r>
    </w:p>
    <w:p>
      <w:pPr>
        <w:spacing w:before="0" w:after="120"/>
      </w:pPr>
      <w:r>
        <w:rPr>
          <w:b/>
        </w:rPr>
        <w:t xml:space="preserve">Source: </w:t>
      </w:r>
      <w:r>
        <w:t>Proceedings of the National Academy of Sciences: Keyword search for query</w:t>
      </w:r>
      <w:r>
        <w:t xml:space="preserve">    </w:t>
      </w:r>
      <w:r>
        <w:rPr>
          <w:b/>
        </w:rPr>
        <w:t xml:space="preserve">Pub date: </w:t>
      </w:r>
      <w:r>
        <w:t>2026-03-24 07:00:00+00:00</w:t>
      </w:r>
      <w:r>
        <w:t xml:space="preserve">    </w:t>
      </w:r>
      <w:r>
        <w:rPr>
          <w:b/>
        </w:rPr>
        <w:t xml:space="preserve">DOI: </w:t>
      </w:r>
      <w:hyperlink r:id="rId526">
        <w:r>
          <w:rPr>
            <w:color w:val="1155CC"/>
            <w:u w:val="single"/>
          </w:rPr>
          <w:t>10.1073/pnas.2608616123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[179] </w:t>
      </w:r>
      <w:hyperlink r:id="rId527">
        <w:r>
          <w:rPr>
            <w:color w:val="1155CC"/>
            <w:u w:val="single"/>
          </w:rPr>
          <w:t>生物基础的芯片模型识别出过度兴奋的皮质纹状体网络中的选择性拓扑重组</w:t>
        </w:r>
      </w:hyperlink>
    </w:p>
    <w:p>
      <w:pPr>
        <w:spacing w:before="0" w:after="80"/>
      </w:pPr>
      <w:r>
        <w:rPr>
          <w:i/>
          <w:sz w:val="20"/>
        </w:rPr>
        <w:t>EN: Biologically grounded on-chip model identifies selective topographic reorganization within hyperexcitable corticostriatal networks</w:t>
      </w:r>
    </w:p>
    <w:p>
      <w:pPr>
        <w:spacing w:before="0" w:after="120"/>
      </w:pPr>
      <w:r>
        <w:rPr>
          <w:b/>
        </w:rPr>
        <w:t xml:space="preserve">Source: </w:t>
      </w:r>
      <w:r>
        <w:t>Proceedings of the National Academy of Sciences: Keyword search for query</w:t>
      </w:r>
      <w:r>
        <w:t xml:space="preserve">    </w:t>
      </w:r>
      <w:r>
        <w:rPr>
          <w:b/>
        </w:rPr>
        <w:t xml:space="preserve">Pub date: </w:t>
      </w:r>
      <w:r>
        <w:t>2026-03-24 07:00:00+00:00</w:t>
      </w:r>
      <w:r>
        <w:t xml:space="preserve">    </w:t>
      </w:r>
      <w:r>
        <w:rPr>
          <w:b/>
        </w:rPr>
        <w:t xml:space="preserve">DOI: </w:t>
      </w:r>
      <w:hyperlink r:id="rId528">
        <w:r>
          <w:rPr>
            <w:color w:val="1155CC"/>
            <w:u w:val="single"/>
          </w:rPr>
          <w:t>10.1073/pnas.2513459123</w:t>
        </w:r>
      </w:hyperlink>
    </w:p>
    <w:p>
      <w:pPr>
        <w:spacing w:before="0" w:after="120"/>
      </w:pPr>
      <w:r>
        <w:rPr>
          <w:b/>
        </w:rPr>
        <w:t xml:space="preserve">Notes: </w:t>
      </w:r>
      <w:r>
        <w:t>abstract_source=crossref</w:t>
      </w:r>
    </w:p>
    <w:p>
      <w:pPr>
        <w:spacing w:before="0" w:after="80" w:lineRule="auto" w:line="276"/>
      </w:pPr>
      <w:r>
        <w:rPr>
          <w:b/>
        </w:rPr>
        <w:t xml:space="preserve">摘要（ZH）: </w:t>
      </w:r>
      <w:r>
        <w:t>哺乳动物的大脑皮层以精确的层级拓扑结构投射到纹状体，形成支持感觉运动、联想和边缘处理的平行环路。尽管纹状体缺乏明确的解剖边界，这些投射仍然保持功能上的分隔，暗示存在内在的组织原则。皮层-纹状体连接性和兴奋性的中断在神经发育障碍中很常见，但尚不清楚这些异常是电路功能障碍的原因还是结果。在此，我们假设皮层神经元的兴奋状态在塑造其纹状体投射的拓扑组织中起直接作用。为了验证这一点，我们设计了一个生物学上真实的体外平台，灵感来自</w:t>
      </w:r>
    </w:p>
    <w:p>
      <w:pPr>
        <w:spacing w:before="0" w:after="200" w:lineRule="auto" w:line="276"/>
      </w:pPr>
      <w:r>
        <w:rPr>
          <w:b/>
        </w:rPr>
        <w:t xml:space="preserve">Abstract (EN): </w:t>
      </w:r>
      <w:r>
        <w:t>The mammalian cerebral cortex projects to the striatum in a precise, hierarchical topography, forming parallel loops that underlie sensorimotor, associative, and limbic processing. Despite the striatum’s lack of clear anatomical boundaries, these projections remain functionally segregated, suggesting the existence of intrinsic organizing principles. Disruptions in corticostriatal connectivity and excitability are common in neurodevelopmental disorders, but it remains unclear whether such abnormalities are a cause or a consequence of circuit dysfunction. Here, we hypothesized that the excitability state of cortical neurons plays a direct role in shaping the topographic organization of their striatal projections. To test this, we engineered a biologically faithful in vitro platform inspired by the Tesla valve, enabling adjacent corticostriatal territories to be modeled under controlled excitability regimes. We found that cortical hyperexcitability disrupted the normal developmental transition from axonal growth to stabilization, leading to premature invasion of neighboring territories and the formation of ectopic convergence zones. As a result, the segregation between parallel pathways was lost, while local connectivity patterns remained unaffected. These findings reveal that intrinsic, activity-sensitive mechanisms constrain long-range axonal growth to shape the wiring diagram of the corticostriatal projectome. They also highlight the power of biologically grounded on-chip models to uncover how early circuit vulnerabilities can lead to connectivity defects characteristic of disorders such as autism spectrum disorder, schizophrenia, epilepsy, and obsessive-compulsive disorder.</w:t>
      </w:r>
    </w:p>
    <w:p>
      <w:pPr>
        <w:spacing w:before="120" w:after="120"/>
      </w:pPr>
      <w:r>
        <w:rPr>
          <w:sz w:val="18"/>
        </w:rPr>
        <w:t>——————————————————————————————————————————————————————————————————————</w:t>
      </w:r>
    </w:p>
    <w:p>
      <w:pPr>
        <w:spacing w:before="160" w:after="40" w:line="240" w:lineRule="auto"/>
      </w:pPr>
      <w:r>
        <w:rPr>
          <w:b/>
        </w:rPr>
        <w:t xml:space="preserve">[180] </w:t>
      </w:r>
      <w:hyperlink r:id="rId529">
        <w:r>
          <w:rPr>
            <w:color w:val="1155CC"/>
            <w:u w:val="single"/>
          </w:rPr>
          <w:t>30S亚基识别和修饰的机制由保守的细菌核糖体RNA甲基转移酶RsmI介导</w:t>
        </w:r>
      </w:hyperlink>
    </w:p>
    <w:p>
      <w:pPr>
        <w:spacing w:before="0" w:after="80"/>
      </w:pPr>
      <w:r>
        <w:rPr>
          <w:i/>
          <w:sz w:val="20"/>
        </w:rPr>
        <w:t>EN: Mechanism of 30S subunit recognition and modification by the conserved bacterial ribosomal RNA methyltransferase RsmI</w:t>
      </w:r>
    </w:p>
    <w:p>
      <w:pPr>
        <w:spacing w:before="0" w:after="120"/>
      </w:pPr>
      <w:r>
        <w:rPr>
          <w:b/>
        </w:rPr>
        <w:t xml:space="preserve">Source: </w:t>
      </w:r>
      <w:r>
        <w:t>Proceedings of the National Academy of Sciences: Keyword search for query</w:t>
      </w:r>
      <w:r>
        <w:t xml:space="preserve">    </w:t>
      </w:r>
      <w:r>
        <w:rPr>
          <w:b/>
        </w:rPr>
        <w:t xml:space="preserve">Pub date: </w:t>
      </w:r>
      <w:r>
        <w:t>2026-03-24 07:00:00+00:00</w:t>
      </w:r>
      <w:r>
        <w:t xml:space="preserve">    </w:t>
      </w:r>
      <w:r>
        <w:rPr>
          <w:b/>
        </w:rPr>
        <w:t xml:space="preserve">DOI: </w:t>
      </w:r>
      <w:hyperlink r:id="rId530">
        <w:r>
          <w:rPr>
            <w:color w:val="1155CC"/>
            <w:u w:val="single"/>
          </w:rPr>
          <w:t>10.1073/pnas.2523453123</w:t>
        </w:r>
      </w:hyperlink>
    </w:p>
    <w:p>
      <w:pPr>
        <w:spacing w:before="0" w:after="120"/>
      </w:pPr>
      <w:r>
        <w:rPr>
          <w:b/>
        </w:rPr>
        <w:t xml:space="preserve">Notes: </w:t>
      </w:r>
      <w:r>
        <w:t>abstract_source=crossref</w:t>
      </w:r>
    </w:p>
    <w:p>
      <w:pPr>
        <w:spacing w:before="0" w:after="80" w:lineRule="auto" w:line="276"/>
      </w:pPr>
      <w:r>
        <w:rPr>
          <w:b/>
        </w:rPr>
        <w:t xml:space="preserve">摘要（ZH）: </w:t>
      </w:r>
      <w:r>
        <w:t>核糖体RNA（rRNA）修饰对核糖体功能很重要，并且可以影响细菌对核糖体靶向抗生素的敏感性。例如，普遍保守的16S rRNA核苷酸C1402是细菌小（30S）核糖体亚基中唯一的2’-</w:t>
      </w:r>
      <w:r>
        <w:t>O</w:t>
      </w:r>
      <w:r>
        <w:t xml:space="preserve"> </w:t>
      </w:r>
      <w:r>
        <w:t>-甲基化核苷酸，这种修饰微调了肽酰tRNA结合位点的形状和结构。Cm1402修饰由保守的细菌16S rRNA甲基转移酶RsmI整合，但尚不清楚RsmI如何识别其30S底物并特异性地修饰其隐藏的目标核苷酸。我们确定了RsmI–30S复合物的2.42 Å分辨率冷冻电镜结构，并通过伴随的功能分析显示RsmI锚定在</w:t>
      </w:r>
    </w:p>
    <w:p>
      <w:pPr>
        <w:spacing w:before="0" w:after="200" w:lineRule="auto" w:line="276"/>
      </w:pPr>
      <w:r>
        <w:rPr>
          <w:b/>
        </w:rPr>
        <w:t xml:space="preserve">Abstract (EN): </w:t>
      </w:r>
      <w:r>
        <w:t>Ribosomal RNA (rRNA) modifications are important for ribosome function and can influence bacterial susceptibility to ribosome-targeting antibiotics. The universally conserved 16S rRNA nucleotide C1402, for example, is the only 2’-</w:t>
      </w:r>
      <w:r>
        <w:t>O</w:t>
      </w:r>
      <w:r>
        <w:t xml:space="preserve"> </w:t>
      </w:r>
      <w:r>
        <w:t>-methylated nucleotide in the bacterial small (30S) ribosomal subunit and this modification fine-tunes the shape and structure of the peptidyl tRNA binding site. The Cm1402 modification is incorporated by the conserved bacterial 16S rRNA methyltransferase RsmI, but it is unclear how RsmI recognizes its 30S substrate and specifically modify its buried target nucleotide. We determined a 2.42 Å resolution cryo-EM structure of the RsmI–30S complex and, with accompanying functional analyses, show that RsmI anchors itself to the 30S subunit through multiple contacts with a conserved 16S rRNA surface previously only seen in the assembled subunit. This positions RsmI to bind a h44 conformation that is substantially reorganized compared to its structure in the mature 30S subunit allowing access to C1402. These analyses also reveal an essential contribution to 30S subunit interaction made by the previously structurally uncharacterized RsmI C-terminal domain, RsmI-induced RNA–RNA interactions with C1402, and an unappreciated dependence on a divalent metal ion for activity that suggests RsmI may be a member of a distinct class of metal- and SAM-dependent RNA</w:t>
      </w:r>
      <w:r>
        <w:t xml:space="preserve"> </w:t>
      </w:r>
      <w:r>
        <w:t>O</w:t>
      </w:r>
      <w:r>
        <w:t xml:space="preserve"> </w:t>
      </w:r>
      <w:r>
        <w:t>-methyltransferases. This study significantly expands our mechanistic understanding of how intrinsic bacterial methyltransferases like RsmI modify their rRNA targets. Further, recognition of distant ribosome features and reorganization of a critical rRNA functional center point to a potential role in accurate 30S subunit biogenesis.</w:t>
      </w:r>
    </w:p>
    <w:p>
      <w:pPr>
        <w:spacing w:before="120" w:after="120"/>
      </w:pPr>
      <w:r>
        <w:rPr>
          <w:sz w:val="18"/>
        </w:rPr>
        <w:t>——————————————————————————————————————————————————————————————————————</w:t>
      </w:r>
    </w:p>
    <w:p>
      <w:pPr>
        <w:spacing w:before="160" w:after="40" w:line="240" w:lineRule="auto"/>
      </w:pPr>
      <w:r>
        <w:rPr>
          <w:b/>
        </w:rPr>
        <w:t xml:space="preserve">[181] </w:t>
      </w:r>
      <w:hyperlink r:id="rId531">
        <w:r>
          <w:rPr>
            <w:color w:val="1155CC"/>
            <w:u w:val="single"/>
          </w:rPr>
          <w:t>臂长控制的CsPbBr3纳米晶体用于可调光学和组装行为</w:t>
        </w:r>
      </w:hyperlink>
    </w:p>
    <w:p>
      <w:pPr>
        <w:spacing w:before="0" w:after="80"/>
      </w:pPr>
      <w:r>
        <w:rPr>
          <w:i/>
          <w:sz w:val="20"/>
        </w:rPr>
        <w:t>EN: Arm‐Length‐Controlled CsPbBr3 Nanocrystals for Tunable Optical and Assembly Behavior</w:t>
      </w:r>
    </w:p>
    <w:p>
      <w:pPr>
        <w:spacing w:before="0" w:after="120"/>
      </w:pPr>
      <w:r>
        <w:rPr>
          <w:b/>
        </w:rPr>
        <w:t xml:space="preserve">Source: </w:t>
      </w:r>
      <w:r>
        <w:t>Wiley: Advanced Materials: Table of Contents</w:t>
      </w:r>
      <w:r>
        <w:t xml:space="preserve">    </w:t>
      </w:r>
      <w:r>
        <w:rPr>
          <w:b/>
        </w:rPr>
        <w:t xml:space="preserve">Pub date: </w:t>
      </w:r>
      <w:r>
        <w:t>2026-03-24 08:17:35+00:00</w:t>
      </w:r>
      <w:r>
        <w:t xml:space="preserve">    </w:t>
      </w:r>
      <w:r>
        <w:rPr>
          <w:b/>
        </w:rPr>
        <w:t xml:space="preserve">DOI: </w:t>
      </w:r>
      <w:hyperlink r:id="rId532">
        <w:r>
          <w:rPr>
            <w:color w:val="1155CC"/>
            <w:u w:val="single"/>
          </w:rPr>
          <w:t>10.1002/adma.202519211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胶体溴化铯铅 (CsPbBr3) 纳米晶体 (NCs) 因其明亮且稳定的绿色发光而成为各种光子和光电应用的优秀候选者。在此，我们确立了臂长控制作为一个中心结构参数，支配着单个 CsPbBr3 NCs 的光学特性及其自组装行为。通过控制种子大小、浓度和注射温度合成具有多个突出的臂的立方核心的武装 NCs，而臂长通过铯油酸盐浓度进行调节。研究表明，在甲苯中长期储存会导致武装 NCs 的时间依赖性形态演变。</w:t>
      </w:r>
    </w:p>
    <w:p>
      <w:pPr>
        <w:spacing w:before="0" w:after="200" w:lineRule="auto" w:line="276"/>
      </w:pPr>
      <w:r>
        <w:rPr>
          <w:b/>
        </w:rPr>
        <w:t xml:space="preserve">Abstract (EN): </w:t>
      </w:r>
      <w:r>
        <w:t>Colloidal cesium lead bromide (CsPbBr</w:t>
      </w:r>
      <w:r>
        <w:rPr>
          <w:vertAlign w:val="subscript"/>
        </w:rPr>
        <w:t>3</w:t>
      </w:r>
      <w:r>
        <w:t>) nanocrystals (NCs) are excellent candidates for various photonic and optoelectronic applications due to their bright and stable green emission. Here, we establish arm length control as a central structural parameter that governs both the optical properties of individual CsPbBr</w:t>
      </w:r>
      <w:r>
        <w:rPr>
          <w:vertAlign w:val="subscript"/>
        </w:rPr>
        <w:t>3</w:t>
      </w:r>
      <w:r>
        <w:t>NCs and their self‐assembly behavior. Armed NCs, featuring a cubic core with multiple protruding arms, are synthesized by controlling seed size, concentration, and injection temperature, while arm length is tuned via cesium oleate concentration. Prolonged storage in toluene is shown to lead to a time‐dependent morphological evolution from armed NCs to 26‐faceted rhombicuboctahedra, with short‐armed structures as intermediates. NCs with a longer arm length yield enhanced radiative efficiency, extended photoluminescence (PL) lifetimes, and suppressed blinking, making such NCs suitable for light‐emitting devices and quantum photonic applications. In contrast, short‐armed NCs exhibit faster recombination, stronger PL intermittency, and increased surface accessibility, which are favorable for sensing and high‐speed single‐photon emission. The arm length also governs self‐assembly behavior, hereby opening new possibilities for applications. Armed NCs form densely 3D‐packed assemblies with tunable configurations. This work demonstrates how arm length tuning expands the functional potential of CsPbBr</w:t>
      </w:r>
      <w:r>
        <w:rPr>
          <w:vertAlign w:val="subscript"/>
        </w:rPr>
        <w:t>3</w:t>
      </w:r>
      <w:r>
        <w:t>NCs by linking morphological control to both optical response and self‐assembly characteristics.</w:t>
      </w:r>
    </w:p>
    <w:p>
      <w:pPr>
        <w:spacing w:before="120" w:after="120"/>
      </w:pPr>
      <w:r>
        <w:rPr>
          <w:sz w:val="18"/>
        </w:rPr>
        <w:t>——————————————————————————————————————————————————————————————————————</w:t>
      </w:r>
    </w:p>
    <w:p>
      <w:pPr>
        <w:spacing w:before="160" w:after="40" w:line="240" w:lineRule="auto"/>
      </w:pPr>
      <w:r>
        <w:rPr>
          <w:b/>
        </w:rPr>
        <w:t xml:space="preserve">[182] </w:t>
      </w:r>
      <w:hyperlink r:id="rId533">
        <w:r>
          <w:rPr>
            <w:color w:val="1155CC"/>
            <w:u w:val="single"/>
          </w:rPr>
          <w:t>[ASAP] 疫苗诱导的免疫性血小板减少症和血栓形成中的免疫复合物的结构质谱描述</w:t>
        </w:r>
      </w:hyperlink>
    </w:p>
    <w:p>
      <w:pPr>
        <w:spacing w:before="0" w:after="80"/>
      </w:pPr>
      <w:r>
        <w:rPr>
          <w:i/>
          <w:sz w:val="20"/>
        </w:rPr>
        <w:t>EN: [ASAP] Structural Mass-Spectrometric Description of Immune Complexes in Vaccine-Induced Immune Thrombocytopenia and Thrombosis</w:t>
      </w:r>
    </w:p>
    <w:p>
      <w:pPr>
        <w:spacing w:before="0" w:after="120"/>
      </w:pPr>
      <w:r>
        <w:rPr>
          <w:b/>
        </w:rPr>
        <w:t xml:space="preserve">Source: </w:t>
      </w:r>
      <w:r>
        <w:t>Journal of the American Chemical Society: Latest Articles (ACS Publications)</w:t>
      </w:r>
      <w:r>
        <w:t xml:space="preserve">    </w:t>
      </w:r>
      <w:r>
        <w:rPr>
          <w:b/>
        </w:rPr>
        <w:t xml:space="preserve">Pub date: </w:t>
      </w:r>
      <w:r>
        <w:t>2026-03-24 08:20:41+00:00</w:t>
      </w:r>
      <w:r>
        <w:t xml:space="preserve">    </w:t>
      </w:r>
      <w:r>
        <w:rPr>
          <w:b/>
        </w:rPr>
        <w:t xml:space="preserve">DOI: </w:t>
      </w:r>
      <w:hyperlink r:id="rId534">
        <w:r>
          <w:rPr>
            <w:color w:val="1155CC"/>
            <w:u w:val="single"/>
          </w:rPr>
          <w:t>10.1021/jacs.5c18732</w:t>
        </w:r>
      </w:hyperlink>
    </w:p>
    <w:p>
      <w:pPr>
        <w:spacing w:before="0" w:after="120"/>
      </w:pPr>
      <w:r>
        <w:rPr>
          <w:b/>
        </w:rPr>
        <w:t xml:space="preserve">Notes: </w:t>
      </w:r>
      <w:r>
        <w:t>abstract_source=openalex</w:t>
      </w:r>
    </w:p>
    <w:p>
      <w:pPr>
        <w:spacing w:before="0" w:after="80" w:lineRule="auto" w:line="276"/>
      </w:pPr>
      <w:r>
        <w:rPr>
          <w:b/>
        </w:rPr>
        <w:t xml:space="preserve">摘要（ZH）: </w:t>
      </w:r>
      <w:r>
        <w:t>结合血小板因子 4 (PF4) 的肝素结合域的抗体会导致一种严重的促凝状态，最初被识别为疫苗诱导的免疫性血小板减少症和血栓形成 (VITT)。通过基于质谱的患者血清测序生成的逆向工程重组抗体 (rAbs) 再现了 VITT 患者血清的功能特征。然而，抗原界面的结构和免疫复合物的结构尚不清楚。在此，我们利用结构质谱描述了由三个 rAbs 形成的免疫复合物。采用多种交联剂的交联质谱 (XLMS)，我们识别了相互作用的表位-表位残基，并确定 PF4 的结合主要通过轻链与 PF 的相互作用发生。</w:t>
      </w:r>
    </w:p>
    <w:p>
      <w:pPr>
        <w:spacing w:before="0" w:after="200" w:lineRule="auto" w:line="276"/>
      </w:pPr>
      <w:r>
        <w:rPr>
          <w:b/>
        </w:rPr>
        <w:t xml:space="preserve">Abstract (EN): </w:t>
      </w:r>
      <w:r>
        <w:t>Antibodies binding the heparin-binding domain of platelet factor 4 (PF4) cause a severe prothrombotic condition first identified as vaccine-induced immune thrombocytopenia and thrombosis (VITT). Reverse-engineered recombinant antibodies (rAbs) generated from mass-spectrometry-based sequencing of patient sera recapitulate the functional characteristics of VITT patient serum. However, the structure of the antigen interface and the architecture of the immune complexes are unknown. Here we utilize structural mass spectrometry to describe the immune complexes formed by three rAbs. Employing cross-linking mass spectrometry (XLMS) with multiple linkers, we identified interacting paratope-epitope residues and determined that the PF4 binding occurs primarily via light-chain interactions with the PF4 C-terminus. Structural modeling corroborated interprotein links and predicted the formation of a tetravalent immune complex, satisfying observed cross-links and existing epitope information. Native MS demonstrated lower-order complexes and tetravalent assemblies, supporting the modeling predictions. Our study provides structural insights into the pathogenesis of VITT and related PF4 disorders and highlights the potential for complementary structural MS and modeling to study challenging protein–protein interactions.</w:t>
      </w:r>
    </w:p>
    <w:p>
      <w:pPr>
        <w:spacing w:before="120" w:after="120"/>
      </w:pPr>
      <w:r>
        <w:rPr>
          <w:sz w:val="18"/>
        </w:rPr>
        <w:t>——————————————————————————————————————————————————————————————————————</w:t>
      </w:r>
    </w:p>
    <w:p>
      <w:pPr>
        <w:spacing w:before="160" w:after="40" w:line="240" w:lineRule="auto"/>
      </w:pPr>
      <w:r>
        <w:rPr>
          <w:b/>
        </w:rPr>
        <w:t xml:space="preserve">[183] </w:t>
      </w:r>
      <w:hyperlink r:id="rId535">
        <w:r>
          <w:rPr>
            <w:color w:val="1155CC"/>
            <w:u w:val="single"/>
          </w:rPr>
          <w:t>[ASAP] 冷冻结构洞察酶促肽自组装驱动的外源性溶解性细胞死亡</w:t>
        </w:r>
      </w:hyperlink>
    </w:p>
    <w:p>
      <w:pPr>
        <w:spacing w:before="0" w:after="80"/>
      </w:pPr>
      <w:r>
        <w:rPr>
          <w:i/>
          <w:sz w:val="20"/>
        </w:rPr>
        <w:t>EN: [ASAP] Cryo-Structural Insights into Enzymatic Peptide Self-Assembly Driving Extrinsic Lytic Cell Death</w:t>
      </w:r>
    </w:p>
    <w:p>
      <w:pPr>
        <w:spacing w:before="0" w:after="120"/>
      </w:pPr>
      <w:r>
        <w:rPr>
          <w:b/>
        </w:rPr>
        <w:t xml:space="preserve">Source: </w:t>
      </w:r>
      <w:r>
        <w:t>Journal of the American Chemical Society: Latest Articles (ACS Publications)</w:t>
      </w:r>
      <w:r>
        <w:t xml:space="preserve">    </w:t>
      </w:r>
      <w:r>
        <w:rPr>
          <w:b/>
        </w:rPr>
        <w:t xml:space="preserve">Pub date: </w:t>
      </w:r>
      <w:r>
        <w:t>2026-03-24 08:22:36+00:00</w:t>
      </w:r>
      <w:r>
        <w:t xml:space="preserve">    </w:t>
      </w:r>
      <w:r>
        <w:rPr>
          <w:b/>
        </w:rPr>
        <w:t xml:space="preserve">DOI: </w:t>
      </w:r>
      <w:hyperlink r:id="rId536">
        <w:r>
          <w:rPr>
            <w:color w:val="1155CC"/>
            <w:u w:val="single"/>
          </w:rPr>
          <w:t>10.1021/jacs.5c23283</w:t>
        </w:r>
      </w:hyperlink>
    </w:p>
    <w:p>
      <w:pPr>
        <w:spacing w:before="0" w:after="120"/>
      </w:pPr>
      <w:r>
        <w:rPr>
          <w:b/>
        </w:rPr>
        <w:t xml:space="preserve">Notes: </w:t>
      </w:r>
      <w:r>
        <w:t>abstract_source=openalex</w:t>
      </w:r>
    </w:p>
    <w:p>
      <w:pPr>
        <w:spacing w:before="0" w:after="80" w:lineRule="auto" w:line="276"/>
      </w:pPr>
      <w:r>
        <w:rPr>
          <w:b/>
        </w:rPr>
        <w:t xml:space="preserve">摘要（ZH）: </w:t>
      </w:r>
      <w:r>
        <w:t>程序化的裂解性细胞死亡，包括焦亡和坏死性凋亡，涉及形成膜破裂孔的细胞内酶。然而，肿瘤相关的外酶如碱性磷酸酶 (ALP) 提供了外源性启动裂解性死亡的潜力。在此，我们设计了一种磷酸双苯基封端的肽前体，该前体在癌细胞表面被 ALP 选择性去磷酸化，触发酶指导的肽自组装 (EISA) 成为原位肽丝。这些超分子丝物理上破坏了质膜，压倒了依赖 ESCRT 的膜修复，并引发灾难性的钙内流、细胞骨架崩溃和细胞器功能障碍。虽然冷冻电镜揭示了有序二聚体包装的 2.5–2.9 Å 分辨率细节，这构成了它们的机械基础。</w:t>
      </w:r>
    </w:p>
    <w:p>
      <w:pPr>
        <w:spacing w:before="0" w:after="200" w:lineRule="auto" w:line="276"/>
      </w:pPr>
      <w:r>
        <w:rPr>
          <w:b/>
        </w:rPr>
        <w:t xml:space="preserve">Abstract (EN): </w:t>
      </w:r>
      <w:r>
        <w:t>Programmed lytic cell death, including pyroptosis and necroptosis, involves intracellular enzymes that form membrane-rupturing pores. Tumor-associated ectoenzymes such as alkaline phosphatase (ALP), however, offer the potential to initiate lytic death extrinsically. Here, we design a phospho-biphenyl-capped peptide precursor that is selectively dephosphorylated by ALP on cancer cell surfaces, triggering enzyme-instructed peptide self-assembly (EISA) into in situ peptide filaments. These supramolecular filaments physically breach the plasma membrane, overwhelm ESCRT-dependent membrane repair, and induce catastrophic calcium influx, cytoskeletal collapse, and organelle dysfunction. While cryo-EM uncovers 2.5–2.9 Å resolution details of ordered dimeric packing that underlies their mechanical rigidity and membrane-rupturing capability, cryo-electron tomography (cryo-ET) reveals the filament penetration of the plasma membrane in live cells. By reprogramming ALP from an immune checkpoint ectoenzyme into a pro-death catalyst, this work establishes a molecular mechanism linking enzymatic catalysis to supramolecular order and membrane failure. More broadly, it outlines a supramolecular chemical–biology framework in which enzyme-triggered assemblies function as programmable executors of cell death.</w:t>
      </w:r>
    </w:p>
    <w:p>
      <w:pPr>
        <w:spacing w:before="120" w:after="120"/>
      </w:pPr>
      <w:r>
        <w:rPr>
          <w:sz w:val="18"/>
        </w:rPr>
        <w:t>——————————————————————————————————————————————————————————————————————</w:t>
      </w:r>
    </w:p>
    <w:p>
      <w:pPr>
        <w:spacing w:before="160" w:after="40" w:line="240" w:lineRule="auto"/>
      </w:pPr>
      <w:r>
        <w:rPr>
          <w:b/>
        </w:rPr>
        <w:t xml:space="preserve">[184] </w:t>
      </w:r>
      <w:hyperlink r:id="rId537">
        <w:r>
          <w:rPr>
            <w:color w:val="1155CC"/>
            <w:u w:val="single"/>
          </w:rPr>
          <w:t>化学合成的H3K14Ub揭示了Clr4的IDR介导的多价核小体识别在H3K9甲基化中的作用</w:t>
        </w:r>
      </w:hyperlink>
    </w:p>
    <w:p>
      <w:pPr>
        <w:spacing w:before="0" w:after="80"/>
      </w:pPr>
      <w:r>
        <w:rPr>
          <w:i/>
          <w:sz w:val="20"/>
        </w:rPr>
        <w:t>EN: Chemically Synthesized H3K14Ub Unveils Clr4's IDR‐Mediated Multivalent Nucleosome Recognition in H3K9 Methylation</w:t>
      </w:r>
    </w:p>
    <w:p>
      <w:pPr>
        <w:spacing w:before="0" w:after="120"/>
      </w:pPr>
      <w:r>
        <w:rPr>
          <w:b/>
        </w:rPr>
        <w:t xml:space="preserve">Source: </w:t>
      </w:r>
      <w:r>
        <w:t>Wiley: Angewandte Chemie International Edition: Table of Contents</w:t>
      </w:r>
      <w:r>
        <w:t xml:space="preserve">    </w:t>
      </w:r>
      <w:r>
        <w:rPr>
          <w:b/>
        </w:rPr>
        <w:t xml:space="preserve">Pub date: </w:t>
      </w:r>
      <w:r>
        <w:t>2026-03-24 08:37:13+00:00</w:t>
      </w:r>
      <w:r>
        <w:t xml:space="preserve">    </w:t>
      </w:r>
      <w:r>
        <w:rPr>
          <w:b/>
        </w:rPr>
        <w:t xml:space="preserve">DOI: </w:t>
      </w:r>
      <w:hyperlink r:id="rId538">
        <w:r>
          <w:rPr>
            <w:color w:val="1155CC"/>
            <w:u w:val="single"/>
          </w:rPr>
          <w:t>10.1002/anie.202520817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组蛋白H3赖氨酸9甲基化（H3K9me）是调控异染色质形成的核心表观遗传标记。尽管H3K9甲基转移酶Clr4已通过短组蛋白肽底物进行了广泛的表征，但其如何识别和协调不同的结构域以结合生理底物核小体仍然知之甚少。在此，我们采用化学蛋白质合成生成位点特异性泛素化的H3K14Ub组蛋白和核小体，从而实现定量的生化和结构研究。使用CAET手柄辅助策略，我们获得了均一的H3K14Ub核小体，并证明泛素化在核小体上相对于未修饰底物可增强Clr4活性约350倍。Clr4结构域缺失</w:t>
      </w:r>
    </w:p>
    <w:p>
      <w:pPr>
        <w:spacing w:before="0" w:after="200" w:lineRule="auto" w:line="276"/>
      </w:pPr>
      <w:r>
        <w:rPr>
          <w:b/>
        </w:rPr>
        <w:t xml:space="preserve">Abstract (EN): </w:t>
      </w:r>
      <w:r>
        <w:t>Histone H3 lysine 9 methylation (H3K9me) is a central epigenetic mark governing heterochromatin formation. Although the H3K9 methyltransferase Clr4 has been extensively characterized using short histone peptide substrates, how it recognizes and coordinates different structural domains to engage physiological substrate nucleosomes remains poorly understood. Here, we employed chemical protein synthesis to generate site‐specifically ubiquitinated H3K14Ub histones and nucleosomes, enabling quantitative biochemical and structural investigations. Using a CAET handle‐assisted strategy, we obtained homogeneous H3K14Ub nucleosomes and demonstrated that ubiquitination enhances Clr4 activity by ∼350‐fold on nucleosomes relative to unmodified substrates. Clr4 domain deletion analyses revealed that, the intrinsically disordered region (IDR) of Clr4 is critical for nucleosome binding and ubiquitin‐dependent stimulation. Through site‐directed photo‐crosslinking, we identified specific IDR residues mediating interactions with nucleosomal surfaces. Furthermore, using an isoUb‐based synthetic approach, we generated H3K9NleK14Ub nucleosomes and determined cryo‐EM structures of Clr4–nucleosome complexes, unveiling multivalent nucleosome recognition by the IDR via four distinct interfaces: the H2A–H2B acidic patch, the H2A/H2B basic groove, the H2B and H3 elbow regions. Methyltransferase activity assays confirmed that mutations disrupting these interfaces impair Clr4 activity. Our study provides mechanistic insights into the ubiquitin‐dependent activation mechanism of Clr4, highlighting the power of chemical biology in deciphering epigenetic regulation.</w:t>
      </w:r>
    </w:p>
    <w:p>
      <w:pPr>
        <w:spacing w:before="120" w:after="120"/>
      </w:pPr>
      <w:r>
        <w:rPr>
          <w:sz w:val="18"/>
        </w:rPr>
        <w:t>——————————————————————————————————————————————————————————————————————</w:t>
      </w:r>
    </w:p>
    <w:p>
      <w:pPr>
        <w:spacing w:before="160" w:after="40" w:line="240" w:lineRule="auto"/>
      </w:pPr>
      <w:r>
        <w:rPr>
          <w:b/>
        </w:rPr>
        <w:t xml:space="preserve">[185] </w:t>
      </w:r>
      <w:hyperlink r:id="rId539">
        <w:r>
          <w:rPr>
            <w:color w:val="1155CC"/>
            <w:u w:val="single"/>
          </w:rPr>
          <w:t>通过从头算数据驱动的机器学习模拟研究Mn簇在MoS2上的重建机制和NH3-SCR动力学</w:t>
        </w:r>
      </w:hyperlink>
    </w:p>
    <w:p>
      <w:pPr>
        <w:spacing w:before="0" w:after="80"/>
      </w:pPr>
      <w:r>
        <w:rPr>
          <w:i/>
          <w:sz w:val="20"/>
        </w:rPr>
        <w:t>EN: The Reconstruction Mechanism and NH3‐SCR Kinetics of Mn Clusters on MoS2 by Ab Initio Data Driven Machine Learning Simulations</w:t>
      </w:r>
    </w:p>
    <w:p>
      <w:pPr>
        <w:spacing w:before="0" w:after="120"/>
      </w:pPr>
      <w:r>
        <w:rPr>
          <w:b/>
        </w:rPr>
        <w:t xml:space="preserve">Source: </w:t>
      </w:r>
      <w:r>
        <w:t>Wiley: Advanced Energy Materials: Table of Contents</w:t>
      </w:r>
      <w:r>
        <w:t xml:space="preserve">    </w:t>
      </w:r>
      <w:r>
        <w:rPr>
          <w:b/>
        </w:rPr>
        <w:t xml:space="preserve">Pub date: </w:t>
      </w:r>
      <w:r>
        <w:t>2026-03-24 08:48:07+00:00</w:t>
      </w:r>
      <w:r>
        <w:t xml:space="preserve">    </w:t>
      </w:r>
      <w:r>
        <w:rPr>
          <w:b/>
        </w:rPr>
        <w:t xml:space="preserve">DOI: </w:t>
      </w:r>
      <w:hyperlink r:id="rId540">
        <w:r>
          <w:rPr>
            <w:color w:val="1155CC"/>
            <w:u w:val="single"/>
          </w:rPr>
          <w:t>10.1002/aenm.70851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支持的簇与基底之间的强金属-支持相互作用（SMSI）可以驱动局部结构重建，从而稳定支持的簇以避免迁移和聚集。这种重建和稳定机制对于构建原子分散催化剂（ADCs）至关重要，但在大多数催化剂理论研究中，由于时间相对较长，模拟这些机制过于复杂。在此，准确的机器学习势（MLP）被应用于对支持在MoS</w:t>
      </w:r>
      <w:r>
        <w:rPr>
          <w:vertAlign w:val="subscript"/>
        </w:rPr>
        <w:t>2</w:t>
      </w:r>
      <w:r>
        <w:t>层上的Mn</w:t>
      </w:r>
      <w:r>
        <w:t xml:space="preserve"> </w:t>
      </w:r>
      <w:r>
        <w:t>N</w:t>
      </w:r>
      <w:r>
        <w:t xml:space="preserve"> </w:t>
      </w:r>
      <w:r>
        <w:t>(1 ≤</w:t>
      </w:r>
      <w:r>
        <w:t xml:space="preserve"> </w:t>
      </w:r>
      <w:r>
        <w:t>N</w:t>
      </w:r>
      <w:r>
        <w:t xml:space="preserve"> </w:t>
      </w:r>
      <w:r>
        <w:t>≤ 7)簇进行蒙特卡罗模拟。吸附</w:t>
      </w:r>
    </w:p>
    <w:p>
      <w:pPr>
        <w:spacing w:before="0" w:after="200" w:lineRule="auto" w:line="276"/>
      </w:pPr>
      <w:r>
        <w:rPr>
          <w:b/>
        </w:rPr>
        <w:t xml:space="preserve">Abstract (EN): </w:t>
      </w:r>
      <w:r>
        <w:t>The strong metal‐support interactions (SMSI) between supported clusters and substrate can drive the local structure reconstructions, which stabilize the supported clusters to avoid migration and aggregation. Such reconstruction and stabilization mechanism are crucial to construct the atomically dispersed catalysts (ADCs), but they are too complex to simulate in most catalyst theoretical studies for a relative long time. Herein, an accurate machine learning potential (MLP) is employed into Monte Carlo simulation on the Mn</w:t>
      </w:r>
      <w:r>
        <w:t xml:space="preserve"> </w:t>
      </w:r>
      <w:r>
        <w:t>N</w:t>
      </w:r>
      <w:r>
        <w:t xml:space="preserve"> </w:t>
      </w:r>
      <w:r>
        <w:t>(1 ≤</w:t>
      </w:r>
      <w:r>
        <w:t xml:space="preserve"> </w:t>
      </w:r>
      <w:r>
        <w:t>N</w:t>
      </w:r>
      <w:r>
        <w:t xml:space="preserve"> </w:t>
      </w:r>
      <w:r>
        <w:t>≤ 7) clusters supported on MoS</w:t>
      </w:r>
      <w:r>
        <w:rPr>
          <w:vertAlign w:val="subscript"/>
        </w:rPr>
        <w:t>2</w:t>
      </w:r>
      <w:r>
        <w:t>layer. The adsorption, reconstruction and thermodynamic and kinetical stabilization of Mn clusters on perfect and defective MoS</w:t>
      </w:r>
      <w:r>
        <w:rPr>
          <w:vertAlign w:val="subscript"/>
        </w:rPr>
        <w:t>2</w:t>
      </w:r>
      <w:r>
        <w:t>are compared studied. The results indicate that the S vacancies can effectively anchor Mn clusters and are feasible to control the dual‐atom catalysts (DACs) on the MoS</w:t>
      </w:r>
      <w:r>
        <w:rPr>
          <w:vertAlign w:val="subscript"/>
        </w:rPr>
        <w:t>2</w:t>
      </w:r>
      <w:r>
        <w:t>surface. Besides, Comparative analysis reveals that the Mn</w:t>
      </w:r>
      <w:r>
        <w:rPr>
          <w:vertAlign w:val="subscript"/>
        </w:rPr>
        <w:t>2</w:t>
      </w:r>
      <w:r>
        <w:t>@MoS</w:t>
      </w:r>
      <w:r>
        <w:rPr>
          <w:vertAlign w:val="subscript"/>
        </w:rPr>
        <w:t>2</w:t>
      </w:r>
      <w:r>
        <w:t>‐S</w:t>
      </w:r>
      <w:r>
        <w:rPr>
          <w:vertAlign w:val="subscript"/>
        </w:rPr>
        <w:t>2</w:t>
      </w:r>
      <w:r>
        <w:t>V exhibits superior NH</w:t>
      </w:r>
      <w:r>
        <w:rPr>
          <w:vertAlign w:val="subscript"/>
        </w:rPr>
        <w:t>3</w:t>
      </w:r>
      <w:r>
        <w:t>‐SCR catalytic activity. The complete reaction process of Mn</w:t>
      </w:r>
      <w:r>
        <w:rPr>
          <w:vertAlign w:val="subscript"/>
        </w:rPr>
        <w:t>2</w:t>
      </w:r>
      <w:r>
        <w:t>@MoS</w:t>
      </w:r>
      <w:r>
        <w:rPr>
          <w:vertAlign w:val="subscript"/>
        </w:rPr>
        <w:t>2</w:t>
      </w:r>
      <w:r>
        <w:t>‐S</w:t>
      </w:r>
      <w:r>
        <w:rPr>
          <w:vertAlign w:val="subscript"/>
        </w:rPr>
        <w:t>2</w:t>
      </w:r>
      <w:r>
        <w:t>V following the “Fast‐SCR” mechanism and the NO</w:t>
      </w:r>
      <w:r>
        <w:rPr>
          <w:vertAlign w:val="subscript"/>
        </w:rPr>
        <w:t>2</w:t>
      </w:r>
      <w:r>
        <w:t>reduction pathway is the dominant route, with a rate‐determining barrier of 1.03 eV. This work provides a pioneer way to disclose the very complex reconstruction of supported clusters with SMSI in simulation, which is indeed helpful to design real atomic structure of ADCs.</w:t>
      </w:r>
    </w:p>
    <w:p>
      <w:pPr>
        <w:spacing w:before="120" w:after="120"/>
      </w:pPr>
      <w:r>
        <w:rPr>
          <w:sz w:val="18"/>
        </w:rPr>
        <w:t>——————————————————————————————————————————————————————————————————————</w:t>
      </w:r>
    </w:p>
    <w:p>
      <w:pPr>
        <w:spacing w:before="160" w:after="40" w:line="240" w:lineRule="auto"/>
      </w:pPr>
      <w:r>
        <w:rPr>
          <w:b/>
        </w:rPr>
        <w:t xml:space="preserve">[186] </w:t>
      </w:r>
      <w:hyperlink r:id="rId541">
        <w:r>
          <w:rPr>
            <w:color w:val="1155CC"/>
            <w:u w:val="single"/>
          </w:rPr>
          <w:t>在KTaO3 (111)界面二维电子气中光诱导的非线性霍尔效应的巨大增强</w:t>
        </w:r>
      </w:hyperlink>
    </w:p>
    <w:p>
      <w:pPr>
        <w:spacing w:before="0" w:after="80"/>
      </w:pPr>
      <w:r>
        <w:rPr>
          <w:i/>
          <w:sz w:val="20"/>
        </w:rPr>
        <w:t>EN: Light‐Induced Giant Enhancement of the Nonlinear Hall Effect in Two‐Dimensional Electron Gases at KTaO3 (111) Interfaces</w:t>
      </w:r>
    </w:p>
    <w:p>
      <w:pPr>
        <w:spacing w:before="0" w:after="120"/>
      </w:pPr>
      <w:r>
        <w:rPr>
          <w:b/>
        </w:rPr>
        <w:t xml:space="preserve">Source: </w:t>
      </w:r>
      <w:r>
        <w:t>Wiley: Advanced Materials: Table of Contents</w:t>
      </w:r>
      <w:r>
        <w:t xml:space="preserve">    </w:t>
      </w:r>
      <w:r>
        <w:rPr>
          <w:b/>
        </w:rPr>
        <w:t xml:space="preserve">Pub date: </w:t>
      </w:r>
      <w:r>
        <w:t>2026-03-24 10:57:33+00:00</w:t>
      </w:r>
      <w:r>
        <w:t xml:space="preserve">    </w:t>
      </w:r>
      <w:r>
        <w:rPr>
          <w:b/>
        </w:rPr>
        <w:t xml:space="preserve">DOI: </w:t>
      </w:r>
      <w:hyperlink r:id="rId542">
        <w:r>
          <w:rPr>
            <w:color w:val="1155CC"/>
            <w:u w:val="single"/>
          </w:rPr>
          <w:t>10.1002/adma.202516347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非线性霍尔效应（NLHE）是一种在非中心对称系统中出现的现象，通过二阶电响应在没有外部磁场的情况下产生横向电压。然而，实现可观的NLHE信号仍然是其在倍频和整流设备中应用的关键挑战。在此，我们报告了在CaZrO3/KTaO3（111）界面的二维电子气（2DEG）中光诱导的NLHE巨大增强。在光照下，二次谐波霍尔电压显著增加并发生符号反转。相应地，二阶横向电导率（σ</w:t>
      </w:r>
    </w:p>
    <w:p>
      <w:pPr>
        <w:spacing w:before="0" w:after="200" w:lineRule="auto" w:line="276"/>
      </w:pPr>
      <w:r>
        <w:rPr>
          <w:b/>
        </w:rPr>
        <w:t xml:space="preserve">Abstract (EN): </w:t>
      </w:r>
      <w:r>
        <w:t>The nonlinear Hall effect (NLHE), an emergent phenomenon in noncentrosymmetric systems, enables the generation of a transverse voltage without an external magnetic field through a second‐order electrical response. However, achieving a sizable NLHE signal remains a critical challenge for its application in frequency‐doubling and rectifying devices. Here, we report a light‐induced giant enhancement of the NLHE in the 2D electron gas (2DEG) at the CaZrO</w:t>
      </w:r>
      <w:r>
        <w:rPr>
          <w:vertAlign w:val="subscript"/>
        </w:rPr>
        <w:t>3</w:t>
      </w:r>
      <w:r>
        <w:t>/KTaO</w:t>
      </w:r>
      <w:r>
        <w:rPr>
          <w:vertAlign w:val="subscript"/>
        </w:rPr>
        <w:t>3</w:t>
      </w:r>
      <w:r>
        <w:t>(111) interface. Under illumination, the second harmonic Hall voltage increases substantially and undergoes a sign reversal. Correspondingly, the second‐order transverse conductivity (</w:t>
      </w:r>
      <w:r>
        <w:t xml:space="preserve"> </w:t>
      </w:r>
      <w:r>
        <w:t>σ</w:t>
      </w:r>
      <w:r>
        <w:t xml:space="preserve"> </w:t>
      </w:r>
      <w:r>
        <w:t>(2) yxx) increases by nearly five orders of magnitude, reaching 2.4 µm V</w:t>
      </w:r>
      <w:r>
        <w:t xml:space="preserve"> </w:t>
      </w:r>
      <w:r>
        <w:t>−1</w:t>
      </w:r>
      <w:r>
        <w:t xml:space="preserve"> </w:t>
      </w:r>
      <w:r>
        <w:t>Ω</w:t>
      </w:r>
      <w:r>
        <w:t xml:space="preserve"> </w:t>
      </w:r>
      <w:r>
        <w:t>−1</w:t>
      </w:r>
      <w:r>
        <w:t xml:space="preserve"> </w:t>
      </w:r>
      <w:r>
        <w:t>, while also reversing its sign. Scaling analysis identifies skew scattering as the dominant mechanism, which is highly tunable via optical gating. Photoexcitation pumps electrons from in‐gap states into the Ta 5</w:t>
      </w:r>
      <w:r>
        <w:t xml:space="preserve"> </w:t>
      </w:r>
      <w:r>
        <w:t>d</w:t>
      </w:r>
      <w:r>
        <w:t xml:space="preserve"> </w:t>
      </w:r>
      <w:r>
        <w:t>conduction band, generating high‐mobility photocarriers that increase the cubic scattering time (</w:t>
      </w:r>
      <w:r>
        <w:t xml:space="preserve"> </w:t>
      </w:r>
      <w:r>
        <w:t>τ</w:t>
      </w:r>
      <w:r>
        <w:rPr>
          <w:vertAlign w:val="subscript"/>
        </w:rPr>
        <w:t>3</w:t>
      </w:r>
      <w:r>
        <w:t>) and thereby, dramatically boost</w:t>
      </w:r>
      <w:r>
        <w:t xml:space="preserve"> </w:t>
      </w:r>
      <w:r>
        <w:t>σ</w:t>
      </w:r>
      <w:r>
        <w:t xml:space="preserve"> </w:t>
      </w:r>
      <w:r>
        <w:t>(2) yxx. First‐principles calculations further reveal that the Berry curvature triple changes sign as the Fermi level approaches the higher‐lying</w:t>
      </w:r>
      <w:r>
        <w:t xml:space="preserve"> </w:t>
      </w:r>
      <w:r>
        <w:t>L</w:t>
      </w:r>
      <w:r>
        <w:t xml:space="preserve"> </w:t>
      </w:r>
      <w:r>
        <w:t>z,+</w:t>
      </w:r>
      <w:r>
        <w:t xml:space="preserve"> </w:t>
      </w:r>
      <w:r>
        <w:t>subbands, in the Ta 5</w:t>
      </w:r>
      <w:r>
        <w:t xml:space="preserve"> </w:t>
      </w:r>
      <w:r>
        <w:t>d</w:t>
      </w:r>
      <w:r>
        <w:t xml:space="preserve"> </w:t>
      </w:r>
      <w:r>
        <w:t>accounting for the observed sign reversal. Our work offers a new strategy to optically control the NLHE in oxide 2DEG systems, highlighting the tunability of nonlinear transport by optical excitation.</w:t>
      </w:r>
    </w:p>
    <w:p>
      <w:pPr>
        <w:spacing w:before="120" w:after="120"/>
      </w:pPr>
      <w:r>
        <w:rPr>
          <w:sz w:val="18"/>
        </w:rPr>
        <w:t>——————————————————————————————————————————————————————————————————————</w:t>
      </w:r>
    </w:p>
    <w:p>
      <w:pPr>
        <w:spacing w:before="160" w:after="40" w:line="240" w:lineRule="auto"/>
      </w:pPr>
      <w:r>
        <w:rPr>
          <w:b/>
        </w:rPr>
        <w:t xml:space="preserve">[187] </w:t>
      </w:r>
      <w:hyperlink r:id="rId543">
        <w:r>
          <w:rPr>
            <w:color w:val="1155CC"/>
            <w:u w:val="single"/>
          </w:rPr>
          <w:t>通过高效电化学级联反应实现一锅酰胺化/C─H卤化</w:t>
        </w:r>
      </w:hyperlink>
    </w:p>
    <w:p>
      <w:pPr>
        <w:spacing w:before="0" w:after="80"/>
      </w:pPr>
      <w:r>
        <w:rPr>
          <w:i/>
          <w:sz w:val="20"/>
        </w:rPr>
        <w:t>EN: One‐Pot Amidation/C─H Halogenation by an Efficient Electrochemical Cascade</w:t>
      </w:r>
    </w:p>
    <w:p>
      <w:pPr>
        <w:spacing w:before="0" w:after="120"/>
      </w:pPr>
      <w:r>
        <w:rPr>
          <w:b/>
        </w:rPr>
        <w:t xml:space="preserve">Source: </w:t>
      </w:r>
      <w:r>
        <w:t>Wiley: Angewandte Chemie International Edition: Table of Contents</w:t>
      </w:r>
      <w:r>
        <w:t xml:space="preserve">    </w:t>
      </w:r>
      <w:r>
        <w:rPr>
          <w:b/>
        </w:rPr>
        <w:t xml:space="preserve">Pub date: </w:t>
      </w:r>
      <w:r>
        <w:t>2026-03-24 11:36:57+00:00</w:t>
      </w:r>
      <w:r>
        <w:t xml:space="preserve">    </w:t>
      </w:r>
      <w:r>
        <w:rPr>
          <w:b/>
        </w:rPr>
        <w:t xml:space="preserve">DOI: </w:t>
      </w:r>
      <w:hyperlink r:id="rId544">
        <w:r>
          <w:rPr>
            <w:color w:val="1155CC"/>
            <w:u w:val="single"/>
          </w:rPr>
          <w:t>10.1002/anie.9028210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持续合成方法的进步是现代化学的核心目标，鉴于绿色化学实践对社会的重要性。酰胺基团和卤素原子在化学和生物系统中普遍存在，与有机化学和药物化学都具有重要相关性。因此，迫切需要在温和、资源高效的条件下实现酰胺键形成和选择性卤化的高效方法。传统方法通常需要分步骤、活化试剂、催化剂或苛刻的反应条件，这限制了可扩展性和可持续性。为了解决这些挑战，我们开发了一种新颖的电化学级联方法，将酰胺键形成和电化学</w:t>
      </w:r>
    </w:p>
    <w:p>
      <w:pPr>
        <w:spacing w:before="0" w:after="200" w:lineRule="auto" w:line="276"/>
      </w:pPr>
      <w:r>
        <w:rPr>
          <w:b/>
        </w:rPr>
        <w:t xml:space="preserve">Abstract (EN): </w:t>
      </w:r>
      <w:r>
        <w:t>The advancement of sustainable synthetic methodologies is a central goal of modern chemistry, given the societal importance of green chemical practices. Amide groups and halogen atoms are prevalent in chemical and biological systems, with major relevance to both organic and medicinal chemistry. Consequently, there is strong demand for efficient methods that enable amide bond formation and selective halogenation under mild, resource‐efficient conditions. Conventional approaches typically require separate steps, activating reagents, catalysts, or harsh reaction conditions, which limit scalability and sustainability. To address these challenges, we developed a novel electrochemical cascade methodology that unites amide bond formation and electro‐induced C─H halogenation in a single, atom‐economical, and environmentally benign process. This strategy provides streamlined access to halogenated</w:t>
      </w:r>
      <w:r>
        <w:t xml:space="preserve"> </w:t>
      </w:r>
      <w:r>
        <w:t>N</w:t>
      </w:r>
      <w:r>
        <w:t xml:space="preserve"> </w:t>
      </w:r>
      <w:r>
        <w:t>‐aryl amides, carbamates, and ureas without additives or co‐reagents. The method's generality and robustness are demonstrated across more than 145 examples, encompassing complex, functional group‐dense scaffolds and pharmaceutically relevant compounds, including successful scale‐up reactions.</w:t>
      </w:r>
    </w:p>
    <w:p>
      <w:pPr>
        <w:spacing w:before="120" w:after="120"/>
      </w:pPr>
      <w:r>
        <w:rPr>
          <w:sz w:val="18"/>
        </w:rPr>
        <w:t>——————————————————————————————————————————————————————————————————————</w:t>
      </w:r>
    </w:p>
    <w:p>
      <w:pPr>
        <w:spacing w:before="160" w:after="40" w:line="240" w:lineRule="auto"/>
      </w:pPr>
      <w:r>
        <w:rPr>
          <w:b/>
        </w:rPr>
        <w:t xml:space="preserve">[188] </w:t>
      </w:r>
      <w:hyperlink r:id="rId545">
        <w:r>
          <w:rPr>
            <w:color w:val="1155CC"/>
            <w:u w:val="single"/>
          </w:rPr>
          <w:t>[ASAP] 超越序列：mRNA治疗中的化学和拓扑设计与创新</w:t>
        </w:r>
      </w:hyperlink>
    </w:p>
    <w:p>
      <w:pPr>
        <w:spacing w:before="0" w:after="80"/>
      </w:pPr>
      <w:r>
        <w:rPr>
          <w:i/>
          <w:sz w:val="20"/>
        </w:rPr>
        <w:t>EN: [ASAP] Beyond the Sequence: Chemical and Topological Design and Innovations in mRNA Therapeutics</w:t>
      </w:r>
    </w:p>
    <w:p>
      <w:pPr>
        <w:spacing w:before="0" w:after="120"/>
      </w:pPr>
      <w:r>
        <w:rPr>
          <w:b/>
        </w:rPr>
        <w:t xml:space="preserve">Source: </w:t>
      </w:r>
      <w:r>
        <w:t>Chemical Reviews: Latest Articles (ACS Publications)</w:t>
      </w:r>
      <w:r>
        <w:t xml:space="preserve">    </w:t>
      </w:r>
      <w:r>
        <w:rPr>
          <w:b/>
        </w:rPr>
        <w:t xml:space="preserve">Pub date: </w:t>
      </w:r>
      <w:r>
        <w:t>2026-03-24 11:39:50+00:00</w:t>
      </w:r>
      <w:r>
        <w:t xml:space="preserve">    </w:t>
      </w:r>
      <w:r>
        <w:rPr>
          <w:b/>
        </w:rPr>
        <w:t xml:space="preserve">DOI: </w:t>
      </w:r>
      <w:hyperlink r:id="rId546">
        <w:r>
          <w:rPr>
            <w:color w:val="1155CC"/>
            <w:u w:val="single"/>
          </w:rPr>
          <w:t>10.1021/acs.chemrev.5c00347</w:t>
        </w:r>
      </w:hyperlink>
    </w:p>
    <w:p>
      <w:pPr>
        <w:spacing w:before="0" w:after="120"/>
      </w:pPr>
      <w:r>
        <w:rPr>
          <w:b/>
        </w:rPr>
        <w:t xml:space="preserve">Notes: </w:t>
      </w:r>
      <w:r>
        <w:t>abstract_source=pubmed</w:t>
      </w:r>
    </w:p>
    <w:p>
      <w:pPr>
        <w:spacing w:before="0" w:after="80" w:lineRule="auto" w:line="276"/>
      </w:pPr>
      <w:r>
        <w:rPr>
          <w:b/>
        </w:rPr>
        <w:t xml:space="preserve">摘要（ZH）: </w:t>
      </w:r>
      <w:r>
        <w:t>信使RNA（mRNA）迅速成为一种变革性的治疗方式，其在传染病、肿瘤学和遗传疾病中的应用日益增多。mRNA的化学可编程性使研究人员能够通过在分子各个部分引入合成修饰来调节其功能─从帽结构、非翻译区（UTRs）、编码序列（CDS）到多聚（A）尾巴，从碱基、骨架到核糖。除了序列级设计，最近的进展引入了控制的新维度：拓扑工程。环状RNA、分支结构和合成套索结构正在重塑我们对RNA稳定性、免疫原性和翻译的研究方法。本文综述了化学和拓扑工程的最新进展</w:t>
      </w:r>
    </w:p>
    <w:p>
      <w:pPr>
        <w:spacing w:before="0" w:after="200" w:lineRule="auto" w:line="276"/>
      </w:pPr>
      <w:r>
        <w:rPr>
          <w:b/>
        </w:rPr>
        <w:t xml:space="preserve">Abstract (EN): </w:t>
      </w:r>
      <w:r>
        <w:t>Messenger RNA (mRNA) has rapidly emerged as a transformative therapeutic modality, exemplified by its growing applications in infectious diseases, oncology, and genetic disorders. The chemical programmability of mRNA allows researchers to modulate its function by introducing synthetic modifications across the molecule─from the cap structure, untranslated regions (UTRs), coding sequence (CDS) to poly(A) tail and from base, backbone to ribose sugars. Beyond sequence-level design, recent advances have introduced a new dimension of control: topological engineering. Circular RNAs, branched structures, and synthetic lariat architectures are reshaping how we approach RNA stability, immunogenicity, and translation. This review surveys recent advances in the chemical and topological engineering of mRNA, emphasizing four key areas: (1) enzymatic, chemical, and hybrid methodologies that expand the repertoire of accessible mRNA modifications; (2) synthesis strategies for linear, circular, and branched mRNA topologies; (3) structure-activity relationships governing translation efficiency, decay, and immune activation; and (4) implications for next-generation mRNA-based therapeutics. By integrating chemical synthesis, synthetic biology, and RNA structural design, researchers are beginning to unlock the full therapeutic potential of engineered mRNA molecules.</w:t>
      </w:r>
    </w:p>
    <w:p>
      <w:pPr>
        <w:spacing w:before="120" w:after="120"/>
      </w:pPr>
      <w:r>
        <w:rPr>
          <w:sz w:val="18"/>
        </w:rPr>
        <w:t>——————————————————————————————————————————————————————————————————————</w:t>
      </w:r>
    </w:p>
    <w:p>
      <w:pPr>
        <w:spacing w:before="160" w:after="40" w:line="240" w:lineRule="auto"/>
      </w:pPr>
      <w:r>
        <w:rPr>
          <w:b/>
        </w:rPr>
        <w:t xml:space="preserve">[189] </w:t>
      </w:r>
      <w:hyperlink r:id="rId547">
        <w:r>
          <w:rPr>
            <w:color w:val="1155CC"/>
            <w:u w:val="single"/>
          </w:rPr>
          <w:t>解开合成酶的作用模式：吡咯赖氨酰-tRNA合成酶二聚体在细胞中使用次级结合位点</w:t>
        </w:r>
      </w:hyperlink>
    </w:p>
    <w:p>
      <w:pPr>
        <w:spacing w:before="0" w:after="80"/>
      </w:pPr>
      <w:r>
        <w:rPr>
          <w:i/>
          <w:sz w:val="20"/>
        </w:rPr>
        <w:t>EN: Unraveling Synthetase's Mode of Action: The Pyrrolysyl‐tRNA Synthetase Dimer Uses Secondary Binding Sites in the Cell</w:t>
      </w:r>
    </w:p>
    <w:p>
      <w:pPr>
        <w:spacing w:before="0" w:after="120"/>
      </w:pPr>
      <w:r>
        <w:rPr>
          <w:b/>
        </w:rPr>
        <w:t xml:space="preserve">Source: </w:t>
      </w:r>
      <w:r>
        <w:t>Wiley: Angewandte Chemie International Edition: Table of Contents</w:t>
      </w:r>
      <w:r>
        <w:t xml:space="preserve">    </w:t>
      </w:r>
      <w:r>
        <w:rPr>
          <w:b/>
        </w:rPr>
        <w:t xml:space="preserve">Pub date: </w:t>
      </w:r>
      <w:r>
        <w:t>2026-03-24 11:43:03+00:00</w:t>
      </w:r>
      <w:r>
        <w:t xml:space="preserve">    </w:t>
      </w:r>
      <w:r>
        <w:rPr>
          <w:b/>
        </w:rPr>
        <w:t xml:space="preserve">DOI: </w:t>
      </w:r>
      <w:hyperlink r:id="rId548">
        <w:r>
          <w:rPr>
            <w:color w:val="1155CC"/>
            <w:u w:val="single"/>
          </w:rPr>
          <w:t>10.1002/anie.202514065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氨酰-tRNA合成酶介导氨基酸的活化和转移到其对应的tRNA，这是蛋白质生物合成的初始事件之一。尽管已经提出了这些酶催化作用的不同机制，但其整个催化循环仍然难以捉摸。在此，我们结合电子顺磁共振光谱法和分子动力学模拟，研究了氨基酸相互作用在吡咯赖氨酰-tRNA合成酶（PylRS）催化循环中的作用，PylRS是遗传密码扩展的广泛使用工具。使用顺磁性非标准氨基酸SLK-1的实验揭示了PylRS中次级氨基酸结合位点的存在和占据，这些位点位于酶的相互作用区域。</w:t>
      </w:r>
    </w:p>
    <w:p>
      <w:pPr>
        <w:spacing w:before="0" w:after="200" w:lineRule="auto" w:line="276"/>
      </w:pPr>
      <w:r>
        <w:rPr>
          <w:b/>
        </w:rPr>
        <w:t xml:space="preserve">Abstract (EN): </w:t>
      </w:r>
      <w:r>
        <w:t>Aminoacyl‐tRNA synthetases mediate the activation and transfer of amino acids to their cognate tRNA, which constitutes one of the initial events in protein biosynthesis. Even though different mechanisms of action have been proposed for the catalysis of these enzymes, their entire catalytic cycle remains elusive. Here, we used electron paramagnetic resonance spectroscopy in vitro and in cells in combination with molecular dynamics simulations to study the role of amino acid interactions in the catalytic cycle of pyrrolysyl‐tRNA synthetases (PylRS), a widely used tool for genetic code expansion. Experiments using the paramagnetic non‐canonical amino acid SLK‐1 revealed the presence and occupation of secondary amino acid binding sites in PylRS located at the intermonomer interface, distant from the catalytic binding site. Based on our results, we propose a model that assumes an alternating mode of action of the two PylRS monomers for the catalytic cycle of PylRS.</w:t>
      </w:r>
    </w:p>
    <w:p>
      <w:pPr>
        <w:spacing w:before="120" w:after="120"/>
      </w:pPr>
      <w:r>
        <w:rPr>
          <w:sz w:val="18"/>
        </w:rPr>
        <w:t>——————————————————————————————————————————————————————————————————————</w:t>
      </w:r>
    </w:p>
    <w:p>
      <w:pPr>
        <w:spacing w:before="160" w:after="40" w:line="240" w:lineRule="auto"/>
      </w:pPr>
      <w:r>
        <w:rPr>
          <w:b/>
        </w:rPr>
        <w:t xml:space="preserve">[190] </w:t>
      </w:r>
      <w:hyperlink r:id="rId549">
        <w:r>
          <w:rPr>
            <w:color w:val="1155CC"/>
            <w:u w:val="single"/>
          </w:rPr>
          <w:t>[ASAP] 肝脏去靶向芳香生物还原mRNA脂质纳米颗粒赋予淋巴结趋向性和强大的抗原特异性免疫</w:t>
        </w:r>
      </w:hyperlink>
    </w:p>
    <w:p>
      <w:pPr>
        <w:spacing w:before="0" w:after="80"/>
      </w:pPr>
      <w:r>
        <w:rPr>
          <w:i/>
          <w:sz w:val="20"/>
        </w:rPr>
        <w:t>EN: [ASAP] Liver-Detargeted Aromatic Bioreducible mRNA Lipid Nanoparticles Confer Lymph Node Tropism and Robust Antigen-Specific Immunity</w:t>
      </w:r>
    </w:p>
    <w:p>
      <w:pPr>
        <w:spacing w:before="0" w:after="120"/>
      </w:pPr>
      <w:r>
        <w:rPr>
          <w:b/>
        </w:rPr>
        <w:t xml:space="preserve">Source: </w:t>
      </w:r>
      <w:r>
        <w:t>Journal of the American Chemical Society: Latest Articles (ACS Publications)</w:t>
      </w:r>
      <w:r>
        <w:t xml:space="preserve">    </w:t>
      </w:r>
      <w:r>
        <w:rPr>
          <w:b/>
        </w:rPr>
        <w:t xml:space="preserve">Pub date: </w:t>
      </w:r>
      <w:r>
        <w:t>2026-03-24 12:00:21+00:00</w:t>
      </w:r>
      <w:r>
        <w:t xml:space="preserve">    </w:t>
      </w:r>
      <w:r>
        <w:rPr>
          <w:b/>
        </w:rPr>
        <w:t xml:space="preserve">DOI: </w:t>
      </w:r>
      <w:hyperlink r:id="rId550">
        <w:r>
          <w:rPr>
            <w:color w:val="1155CC"/>
            <w:u w:val="single"/>
          </w:rPr>
          <w:t>10.1021/jacs.6c00080</w:t>
        </w:r>
      </w:hyperlink>
    </w:p>
    <w:p>
      <w:pPr>
        <w:spacing w:before="0" w:after="120"/>
      </w:pPr>
      <w:r>
        <w:rPr>
          <w:b/>
        </w:rPr>
        <w:t xml:space="preserve">Notes: </w:t>
      </w:r>
      <w:r>
        <w:t>abstract_source=pubmed</w:t>
      </w:r>
    </w:p>
    <w:p>
      <w:pPr>
        <w:spacing w:before="0" w:after="80" w:lineRule="auto" w:line="276"/>
      </w:pPr>
      <w:r>
        <w:rPr>
          <w:b/>
        </w:rPr>
        <w:t xml:space="preserve">摘要（ZH）: </w:t>
      </w:r>
      <w:r>
        <w:t>脂质纳米颗粒（LNPs）在促进核酸递送到目标组织方面取得了巨大成功，并继续优化用于mRNA递送。这些载体在疫苗接种中特别有利，因为它们易于生产、组成高度可调，并且能够在没有佐剂的情况下诱导强大的免疫反应，最近在辉瑞/BioNTech和Moderna COVID-19疫苗的临床成功中得到了体现。然而，已知LNPs表现出非目标肝脏趋向性。为了解决这一限制，我们开发了一种芳香生物还原可离子化脂质库，与COVID-19疫苗中使用的行业标准可离子化脂质相比，能够有效转染次级淋巴组织并具有肝脏去靶向能力。该库</w:t>
      </w:r>
    </w:p>
    <w:p>
      <w:pPr>
        <w:spacing w:before="0" w:after="200" w:lineRule="auto" w:line="276"/>
      </w:pPr>
      <w:r>
        <w:rPr>
          <w:b/>
        </w:rPr>
        <w:t xml:space="preserve">Abstract (EN): </w:t>
      </w:r>
      <w:r>
        <w:t>Lipid nanoparticles (LNPs) have been immensely successful in facilitating the delivery of nucleic acids to tissues of interest and continue to be optimized for mRNA delivery. These vehicles are particularly advantageous for vaccination due to their ease of production, highly tunable composition, and ability to induce robust immune responses without an adjuvant, as exemplified most recently by the clinical success of the Pfizer/BioNTech and Moderna COVID-19 vaccines. However, LNPs are known to exhibit off-target liver tropism. To address this limitation, we developed a library of aromatic bioreducible ionizable lipids that potently transfect secondary lymphoid tissues with liver detargeting capabilities compared with an industry standard ionizable lipid used in the COVID-19 vaccine. The library consists of three modular components: amine core structure, lipid tail length, and regiochemistry. These aromatic ionizable lipids employ benzene rings both as a scaffold for regiochemical differences and as a moiety to improve transfection. Bioreducible disulfide bonds in the lipids additionally serve to increase their biodegradability. When these aromatic ionizable lipids are formulated as LNPs, top-performing aromatic LNPs (aroLNPs) accumulate in and transfect lymph nodes while minimizing off-target liver tropism. Top-performing aroLNPs also induce strong antigen-specific immune responses, increased effector memory T cell generation, and decreased terminal effector T cell generation in mice when utilized in a preclinical SARS-CoV-2 vaccine study. Additionally, aroLNPs are strongly retained in the injection site and induce low levels of systemic inflammatory cytokines. Together, these results establish aroLNPs as a promising platform for vaccine delivery and potentially other immune-focused therapeutic applications.</w:t>
      </w:r>
    </w:p>
    <w:p>
      <w:pPr>
        <w:spacing w:before="120" w:after="120"/>
      </w:pPr>
      <w:r>
        <w:rPr>
          <w:sz w:val="18"/>
        </w:rPr>
        <w:t>——————————————————————————————————————————————————————————————————————</w:t>
      </w:r>
    </w:p>
    <w:p>
      <w:pPr>
        <w:spacing w:before="160" w:after="40" w:line="240" w:lineRule="auto"/>
      </w:pPr>
      <w:r>
        <w:rPr>
          <w:b/>
        </w:rPr>
        <w:t xml:space="preserve">[191] </w:t>
      </w:r>
      <w:hyperlink r:id="rId551">
        <w:r>
          <w:rPr>
            <w:color w:val="1155CC"/>
            <w:u w:val="single"/>
          </w:rPr>
          <w:t>[ASAP] 热蒸发无铅卤化物钙钛矿的中间相工程用于室内光伏</w:t>
        </w:r>
      </w:hyperlink>
    </w:p>
    <w:p>
      <w:pPr>
        <w:spacing w:before="0" w:after="80"/>
      </w:pPr>
      <w:r>
        <w:rPr>
          <w:i/>
          <w:sz w:val="20"/>
        </w:rPr>
        <w:t>EN: [ASAP] Intermediate-Phase Engineering of Thermally-Evaporated Lead-Free Halide Perovskites for Indoor Photovoltaics</w:t>
      </w:r>
    </w:p>
    <w:p>
      <w:pPr>
        <w:spacing w:before="0" w:after="120"/>
      </w:pPr>
      <w:r>
        <w:rPr>
          <w:b/>
        </w:rPr>
        <w:t xml:space="preserve">Source: </w:t>
      </w:r>
      <w:r>
        <w:t>ACS Energy Letters: Latest Articles (ACS Publications)</w:t>
      </w:r>
      <w:r>
        <w:t xml:space="preserve">    </w:t>
      </w:r>
      <w:r>
        <w:rPr>
          <w:b/>
        </w:rPr>
        <w:t xml:space="preserve">Pub date: </w:t>
      </w:r>
      <w:r>
        <w:t>2026-03-24 12:20:35+00:00</w:t>
      </w:r>
      <w:r>
        <w:t xml:space="preserve">    </w:t>
      </w:r>
      <w:r>
        <w:rPr>
          <w:b/>
        </w:rPr>
        <w:t xml:space="preserve">DOI: </w:t>
      </w:r>
      <w:hyperlink r:id="rId552">
        <w:r>
          <w:rPr>
            <w:color w:val="1155CC"/>
            <w:u w:val="single"/>
          </w:rPr>
          <w:t>10.1021/acsenergylett.5c04174</w:t>
        </w:r>
      </w:hyperlink>
    </w:p>
    <w:p>
      <w:pPr>
        <w:spacing w:before="0" w:after="120"/>
      </w:pPr>
      <w:r>
        <w:rPr>
          <w:b/>
        </w:rPr>
        <w:t xml:space="preserve">Notes: </w:t>
      </w:r>
      <w:r>
        <w:t>abstract_source=openalex</w:t>
      </w:r>
    </w:p>
    <w:p>
      <w:pPr>
        <w:spacing w:before="0" w:after="80" w:lineRule="auto" w:line="276"/>
      </w:pPr>
      <w:r>
        <w:rPr>
          <w:b/>
        </w:rPr>
        <w:t xml:space="preserve">摘要（ZH）: </w:t>
      </w:r>
      <w:r>
        <w:t>锡基卤化物钙钛矿（THP）太阳能电池已成为室内光伏（IPV）的有前途候选者。然而，THP薄膜在真空蒸发过程中的复杂结晶动力学是一个主要挑战。在此，我们引入甲脒乙酸盐（FAAc）作为一种蒸汽沉积添加剂，以调节热蒸发FASnI2Br的固态反应。我们发现FAAc可以与SnI2配位形成亚稳态SnI2–FAAc中间相，从而更好地控制结晶动力学。同时，FAAc降低了SnI2薄膜的表面自由能，促进了后续FABr层的均匀沉积，这反过来显著提高了THP薄膜质量，并抑制了组装IPV中的陷阱辅助复合。</w:t>
      </w:r>
    </w:p>
    <w:p>
      <w:pPr>
        <w:spacing w:before="0" w:after="200" w:lineRule="auto" w:line="276"/>
      </w:pPr>
      <w:r>
        <w:rPr>
          <w:b/>
        </w:rPr>
        <w:t xml:space="preserve">Abstract (EN): </w:t>
      </w:r>
      <w:r>
        <w:t>Tin-based halide perovskite (THP) solar cells have emerged as promising candidates for indoor photovoltaics (IPVs). However, the complex crystallization kinetics of THP films during the vacuum evaporation represent a major challenge. Here, we introduce formamidine acetate (FAAc) as a vapor-deposited additive to regulate the solid-state reaction of thermally evaporated FASnI2Br. We found that FAAc can coordinate with SnI2 to form a metastable SnI2–FAAc intermediate phase, enabling a better control of the crystallization kinetics. Meanwhile, FAAc decreases the surface free energy of the SnI2 film, promoting the uniform deposition of the subsequent FABr layer, which in turn leads to significantly enhanced THP film quality and suppressed trap-assisted recombination in the assembled IPVs. The resulting IPV devices achieve a power conversion efficiency (PCE) of 16.36% under 1000 lx illumination and a stability for over 3000 h under N2 without encapsulation. This work demonstrates an effective intermediate-phase strategy for controlling solvent-free crystallization of wide-bandgap THPs for IPV applications.</w:t>
      </w:r>
    </w:p>
    <w:p>
      <w:pPr>
        <w:spacing w:before="120" w:after="120"/>
      </w:pPr>
      <w:r>
        <w:rPr>
          <w:sz w:val="18"/>
        </w:rPr>
        <w:t>——————————————————————————————————————————————————————————————————————</w:t>
      </w:r>
    </w:p>
    <w:p>
      <w:pPr>
        <w:spacing w:before="160" w:after="40" w:line="240" w:lineRule="auto"/>
      </w:pPr>
      <w:r>
        <w:rPr>
          <w:b/>
        </w:rPr>
        <w:t xml:space="preserve">[192] </w:t>
      </w:r>
      <w:hyperlink r:id="rId553">
        <w:r>
          <w:rPr>
            <w:color w:val="1155CC"/>
            <w:u w:val="single"/>
          </w:rPr>
          <w:t>水扭转压缩用于密集组装双螺旋纳米结构的芳纶纳米纤维线的可扩展生产</w:t>
        </w:r>
      </w:hyperlink>
    </w:p>
    <w:p>
      <w:pPr>
        <w:spacing w:before="0" w:after="80"/>
      </w:pPr>
      <w:r>
        <w:rPr>
          <w:i/>
          <w:sz w:val="20"/>
        </w:rPr>
        <w:t>EN: Hydro‐Torsional Compaction for Scalable Production of Aramid Nanofiber Threads with Densely Assembled Double‐Helical Nanostructures</w:t>
      </w:r>
    </w:p>
    <w:p>
      <w:pPr>
        <w:spacing w:before="0" w:after="120"/>
      </w:pPr>
      <w:r>
        <w:rPr>
          <w:b/>
        </w:rPr>
        <w:t xml:space="preserve">Source: </w:t>
      </w:r>
      <w:r>
        <w:t>Wiley: Advanced Materials: Table of Contents</w:t>
      </w:r>
      <w:r>
        <w:t xml:space="preserve">    </w:t>
      </w:r>
      <w:r>
        <w:rPr>
          <w:b/>
        </w:rPr>
        <w:t xml:space="preserve">Pub date: </w:t>
      </w:r>
      <w:r>
        <w:t>2026-03-24 12:41:00+00:00</w:t>
      </w:r>
      <w:r>
        <w:t xml:space="preserve">    </w:t>
      </w:r>
      <w:r>
        <w:rPr>
          <w:b/>
        </w:rPr>
        <w:t xml:space="preserve">DOI: </w:t>
      </w:r>
      <w:hyperlink r:id="rId554">
        <w:r>
          <w:rPr>
            <w:color w:val="1155CC"/>
            <w:u w:val="single"/>
          </w:rPr>
          <w:t>10.1002/adma.72889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合成复制蜘蛛丝、纤维素和胶原蛋白等生物材料仍然具有挑战性，因为将高纵横比链对齐成紧凑的承载结构的熵成本很高。这些障碍导致宏观材料中的错位、空隙和纤维间粘合性差。我们报告了一种可扩展的策略，用于生产高强度线材，采用聚（2,2′‐二磺酰基‐4,4′‐联苯二甲酰胺）（PBDT），这是一种刚性链芳纶，形成双螺旋超分子单元，进一步组织成纳米纤维网络。在保留溶液相双螺旋结构的同时，连续PBDT线材被制造出来，使得生产可以达到数百米。这些纳米纤维通过湿纺工艺加工成宏观线材。</w:t>
      </w:r>
    </w:p>
    <w:p>
      <w:pPr>
        <w:spacing w:before="0" w:after="200" w:lineRule="auto" w:line="276"/>
      </w:pPr>
      <w:r>
        <w:rPr>
          <w:b/>
        </w:rPr>
        <w:t xml:space="preserve">Abstract (EN): </w:t>
      </w:r>
      <w:r>
        <w:t>Synthetic replication of biological materials like spider silk, cellulose, and collagen remains challenging owing to the entropic cost of aligning high‐aspect‐ratio chains into compact, load‐bearing structures. These barriers cause misalignment, voids, and poor inter‐fiber cohesion in macroscale materials. We report a scalable strategy for producing high‐strength thread from poly(2,2′‐disulfonyl‐4,4′‐benzidine terephthalamide) (PBDT), a rigid‐chain aramid that forms double‐helical supramolecular units, which further organize into nanofiber networks. Continuous PBDT threads are fabricated while retaining the solution‐phase double‐helix structure, enabling production over hundreds of meters. These nanofibers are processed into macroscale threads through wet‐spinning and hydro‐torsional compaction, which promotes densification and enhances inter‐fiber contact. This hierarchical processing sequence yields compact, aligned fibers with improved structural coherence, supporting efficient interfacial load transfer and resulting in a tensile strength of 1.2 GPa and a Young's modulus of 103 GPa, corresponding to 5.8‐fold and 6.3‐fold improvements over bulk PBDT films, respectively. Among synthetic nanofibrous materials assembled in aqueous media, these threads demonstrate superior mechanical properties, with tensile strengths approaching those of spider silk. This study establishes a scalable framework for constructing high‐strength, hierarchically organized aramid threads for aligned, robust architectures, ion‐mediated transport pathways, and charged bioinspired systems.</w:t>
      </w:r>
    </w:p>
    <w:p>
      <w:pPr>
        <w:spacing w:before="120" w:after="120"/>
      </w:pPr>
      <w:r>
        <w:rPr>
          <w:sz w:val="18"/>
        </w:rPr>
        <w:t>——————————————————————————————————————————————————————————————————————</w:t>
      </w:r>
    </w:p>
    <w:p>
      <w:pPr>
        <w:spacing w:before="160" w:after="40" w:line="240" w:lineRule="auto"/>
      </w:pPr>
      <w:r>
        <w:rPr>
          <w:b/>
        </w:rPr>
        <w:t xml:space="preserve">[193] </w:t>
      </w:r>
      <w:hyperlink r:id="rId555">
        <w:r>
          <w:rPr>
            <w:color w:val="1155CC"/>
            <w:u w:val="single"/>
          </w:rPr>
          <w:t>[ASAP] 卤化物钙钛矿薄膜中移动和固定缺陷的光致发光映射</w:t>
        </w:r>
      </w:hyperlink>
    </w:p>
    <w:p>
      <w:pPr>
        <w:spacing w:before="0" w:after="80"/>
      </w:pPr>
      <w:r>
        <w:rPr>
          <w:i/>
          <w:sz w:val="20"/>
        </w:rPr>
        <w:t>EN: [ASAP] Photoluminescence Mapping of Mobile and Fixed Defects in Halide Perovskite Films</w:t>
      </w:r>
    </w:p>
    <w:p>
      <w:pPr>
        <w:spacing w:before="0" w:after="120"/>
      </w:pPr>
      <w:r>
        <w:rPr>
          <w:b/>
        </w:rPr>
        <w:t xml:space="preserve">Source: </w:t>
      </w:r>
      <w:r>
        <w:t>ACS Energy Letters: Latest Articles (ACS Publications)</w:t>
      </w:r>
      <w:r>
        <w:t xml:space="preserve">    </w:t>
      </w:r>
      <w:r>
        <w:rPr>
          <w:b/>
        </w:rPr>
        <w:t xml:space="preserve">Pub date: </w:t>
      </w:r>
      <w:r>
        <w:t>2026-03-24 14:03:10+00:00</w:t>
      </w:r>
      <w:r>
        <w:t xml:space="preserve">    </w:t>
      </w:r>
      <w:r>
        <w:rPr>
          <w:b/>
        </w:rPr>
        <w:t xml:space="preserve">DOI: </w:t>
      </w:r>
      <w:hyperlink r:id="rId556">
        <w:r>
          <w:rPr>
            <w:color w:val="1155CC"/>
            <w:u w:val="single"/>
          </w:rPr>
          <w:t>10.1021/acsenergylett.5c04253</w:t>
        </w:r>
      </w:hyperlink>
    </w:p>
    <w:p>
      <w:pPr>
        <w:spacing w:before="0" w:after="120"/>
      </w:pPr>
      <w:r>
        <w:rPr>
          <w:b/>
        </w:rPr>
        <w:t xml:space="preserve">Notes: </w:t>
      </w:r>
      <w:r>
        <w:t>abstract_source=openalex</w:t>
      </w:r>
    </w:p>
    <w:p>
      <w:pPr>
        <w:spacing w:before="0" w:after="80" w:lineRule="auto" w:line="276"/>
      </w:pPr>
      <w:r>
        <w:rPr>
          <w:b/>
        </w:rPr>
        <w:t xml:space="preserve">摘要（ZH）: </w:t>
      </w:r>
      <w:r>
        <w:t>卤化物钙钛矿表现出耦合的电子-离子特性，这决定了光伏性能和稳定性；因此，理解离子传输对于优化光伏是至关重要的。使用电学技术表征离子需要完整的器件，但电学结果通常被界面效应而非固有的离子行为主导。在此，使用局部强度调制光致发光光谱（IMPLS）光学探测三阳离子混合卤化物钙钛矿薄膜中的离子过程。提出了一个分析扩散模型来描述IMPLS趋势。该模型表明，移动缺陷从高光强区域横向迁移，从IMPLS提取的离子扩散系数与文献值一致。此外，</w:t>
      </w:r>
    </w:p>
    <w:p>
      <w:pPr>
        <w:spacing w:before="0" w:after="200" w:lineRule="auto" w:line="276"/>
      </w:pPr>
      <w:r>
        <w:rPr>
          <w:b/>
        </w:rPr>
        <w:t xml:space="preserve">Abstract (EN): </w:t>
      </w:r>
      <w:r>
        <w:t>Halide perovskites exhibit coupled electronic-ionic properties that govern photovoltaic performance and stability; understanding ionic transport is, thus, essential for optimized photovoltaics. Characterizing ions with electrical techniques requires complete devices, yet electrical results are often dominated by interfacial effects over intrinsic ionic behavior. Here, localized-intensity-modulated photoluminescence spectroscopy (IMPLS) is used to optically probe ionic processes in a triple-cation, mixed-halide perovskite film. An analytical diffusion model is proposed to describe the IMPLS trends. The model indicates that mobile defects migrate laterally from high light intensity regions, with ionic diffusion coefficients extracted from IMPLS agreeing with the literature values. Moreover, spatially mapping IMPLS enables the separation of mobile and immobile defect contributions to the photoluminescence by quantifying the difference between the area-averaged photoluminescence intensity and phase shift. Ultimately, this work demonstrates that localized IMPLS provides a means to extract lateral ion diffusion coefficients while spatially distinguishing defect types across the sample.</w:t>
      </w:r>
    </w:p>
    <w:p>
      <w:pPr>
        <w:spacing w:before="120" w:after="120"/>
      </w:pPr>
      <w:r>
        <w:rPr>
          <w:sz w:val="18"/>
        </w:rPr>
        <w:t>——————————————————————————————————————————————————————————————————————</w:t>
      </w:r>
    </w:p>
    <w:p>
      <w:pPr>
        <w:spacing w:before="160" w:after="40" w:line="240" w:lineRule="auto"/>
      </w:pPr>
      <w:r>
        <w:rPr>
          <w:b/>
        </w:rPr>
        <w:t xml:space="preserve">[194] </w:t>
      </w:r>
      <w:hyperlink r:id="rId557">
        <w:r>
          <w:rPr>
            <w:color w:val="1155CC"/>
            <w:u w:val="single"/>
          </w:rPr>
          <w:t>[ASAP] BAM复合体将膜蛋白整合到双膜细菌的外膜中</w:t>
        </w:r>
      </w:hyperlink>
    </w:p>
    <w:p>
      <w:pPr>
        <w:spacing w:before="0" w:after="80"/>
      </w:pPr>
      <w:r>
        <w:rPr>
          <w:i/>
          <w:sz w:val="20"/>
        </w:rPr>
        <w:t>EN: [ASAP] Integration of Membrane Proteins into the Outer Membrane of Diderm Bacteria by the BAM Complex</w:t>
      </w:r>
    </w:p>
    <w:p>
      <w:pPr>
        <w:spacing w:before="0" w:after="120"/>
      </w:pPr>
      <w:r>
        <w:rPr>
          <w:b/>
        </w:rPr>
        <w:t xml:space="preserve">Source: </w:t>
      </w:r>
      <w:r>
        <w:t>Chemical Reviews: Latest Articles (ACS Publications)</w:t>
      </w:r>
      <w:r>
        <w:t xml:space="preserve">    </w:t>
      </w:r>
      <w:r>
        <w:rPr>
          <w:b/>
        </w:rPr>
        <w:t xml:space="preserve">Pub date: </w:t>
      </w:r>
      <w:r>
        <w:t>2026-03-24 14:19:39+00:00</w:t>
      </w:r>
      <w:r>
        <w:t xml:space="preserve">    </w:t>
      </w:r>
      <w:r>
        <w:rPr>
          <w:b/>
        </w:rPr>
        <w:t xml:space="preserve">DOI: </w:t>
      </w:r>
      <w:hyperlink r:id="rId558">
        <w:r>
          <w:rPr>
            <w:color w:val="1155CC"/>
            <w:u w:val="single"/>
          </w:rPr>
          <w:t>10.1021/acs.chemrev.5c00764</w:t>
        </w:r>
      </w:hyperlink>
    </w:p>
    <w:p>
      <w:pPr>
        <w:spacing w:before="0" w:after="120"/>
      </w:pPr>
      <w:r>
        <w:rPr>
          <w:b/>
        </w:rPr>
        <w:t xml:space="preserve">Notes: </w:t>
      </w:r>
      <w:r>
        <w:t>abstract_source=openalex</w:t>
      </w:r>
    </w:p>
    <w:p>
      <w:pPr>
        <w:spacing w:before="0" w:after="80" w:lineRule="auto" w:line="276"/>
      </w:pPr>
      <w:r>
        <w:rPr>
          <w:b/>
        </w:rPr>
        <w:t xml:space="preserve">摘要（ZH）: </w:t>
      </w:r>
      <w:r>
        <w:t>双膜细菌的外膜（OM）组装由必需的β-桶组装机械（BAM）协调，对细胞生存和致病性至关重要。BAM在高度刚性和时空组织的膜环境中运行，并且在没有现成能量来源的情况下发挥作用。此外，BAM与许多其他蛋白质相互作用，以有效折叠外膜蛋白（OMP），在OM中组装复合物，并维持细胞包膜稳态。近年来，在理解BAM介导的OMP折叠的分子机制方面取得了重大进展，结构生物学用于可视化OMP折叠和膜插入途径的不同阶段。BAM的构象循环及其瞬时能力</w:t>
      </w:r>
    </w:p>
    <w:p>
      <w:pPr>
        <w:spacing w:before="0" w:after="200" w:lineRule="auto" w:line="276"/>
      </w:pPr>
      <w:r>
        <w:rPr>
          <w:b/>
        </w:rPr>
        <w:t xml:space="preserve">Abstract (EN): </w:t>
      </w:r>
      <w:r>
        <w:t>Assembly of the outer membrane (OM) of diderm bacteria is coordinated by the essential β-barrel assembly machinery (BAM) and is critical for cellular survival and pathogenicity. BAM operates in a membrane environment that is highly rigid and spatiotemporally organized, and functions without ready access to an energy source. In addition, BAM interacts with many other proteins to efficiently fold outer membrane proteins (OMP), assemble complexes in the OM, and maintain cell envelope homeostasis. In recent years, great strides have been made toward understanding the molecular mechanism of BAM-mediated (OMP) folding, with structural biology used to visualize the different stages of the pathways of OMP folding and membrane insertion. The conformational cycling of BAM and its ability to transiently form hybrid barrels with substrate OMPs facilitates their folding. Both these mechanistic features appear to be well conserved and are attractive targets for antimicrobials.</w:t>
      </w:r>
    </w:p>
    <w:p>
      <w:pPr>
        <w:spacing w:before="120" w:after="120"/>
      </w:pPr>
      <w:r>
        <w:rPr>
          <w:sz w:val="18"/>
        </w:rPr>
        <w:t>——————————————————————————————————————————————————————————————————————</w:t>
      </w:r>
    </w:p>
    <w:p>
      <w:pPr>
        <w:spacing w:before="160" w:after="40" w:line="240" w:lineRule="auto"/>
      </w:pPr>
      <w:r>
        <w:rPr>
          <w:b/>
        </w:rPr>
        <w:t xml:space="preserve">[195] </w:t>
      </w:r>
      <w:hyperlink r:id="rId559">
        <w:r>
          <w:rPr>
            <w:color w:val="1155CC"/>
            <w:u w:val="single"/>
          </w:rPr>
          <w:t>[ASAP] Auδ+–Au中继促进的光照和加热协同作用用于高选择性C–H键活化</w:t>
        </w:r>
      </w:hyperlink>
    </w:p>
    <w:p>
      <w:pPr>
        <w:spacing w:before="0" w:after="80"/>
      </w:pPr>
      <w:r>
        <w:rPr>
          <w:i/>
          <w:sz w:val="20"/>
        </w:rPr>
        <w:t>EN: [ASAP] Auδ+–Au Relay-Promoted Synergy of Light Irradiation and Heating for Highly Selective Activation of C–H Bonds</w:t>
      </w:r>
    </w:p>
    <w:p>
      <w:pPr>
        <w:spacing w:before="0" w:after="120"/>
      </w:pPr>
      <w:r>
        <w:rPr>
          <w:b/>
        </w:rPr>
        <w:t xml:space="preserve">Source: </w:t>
      </w:r>
      <w:r>
        <w:t>Journal of the American Chemical Society: Latest Articles (ACS Publications)</w:t>
      </w:r>
      <w:r>
        <w:t xml:space="preserve">    </w:t>
      </w:r>
      <w:r>
        <w:rPr>
          <w:b/>
        </w:rPr>
        <w:t xml:space="preserve">Pub date: </w:t>
      </w:r>
      <w:r>
        <w:t>2026-03-24 14:48:12+00:00</w:t>
      </w:r>
      <w:r>
        <w:t xml:space="preserve">    </w:t>
      </w:r>
      <w:r>
        <w:rPr>
          <w:b/>
        </w:rPr>
        <w:t xml:space="preserve">DOI: </w:t>
      </w:r>
      <w:hyperlink r:id="rId560">
        <w:r>
          <w:rPr>
            <w:color w:val="1155CC"/>
            <w:u w:val="single"/>
          </w:rPr>
          <w:t>10.1021/jacs.5c19973</w:t>
        </w:r>
      </w:hyperlink>
    </w:p>
    <w:p>
      <w:pPr>
        <w:spacing w:before="0" w:after="120"/>
      </w:pPr>
      <w:r>
        <w:rPr>
          <w:b/>
        </w:rPr>
        <w:t xml:space="preserve">Notes: </w:t>
      </w:r>
      <w:r>
        <w:t>abstract_source=openalex</w:t>
      </w:r>
    </w:p>
    <w:p>
      <w:pPr>
        <w:spacing w:before="0" w:after="80" w:lineRule="auto" w:line="276"/>
      </w:pPr>
      <w:r>
        <w:rPr>
          <w:b/>
        </w:rPr>
        <w:t xml:space="preserve">摘要（ZH）: </w:t>
      </w:r>
      <w:r>
        <w:t>在实现碳中和的过程中，低碳合成路线对于生产有价值的化学品至关重要。C4 烃类是石化工业的关键，目前通过高能耗的工艺生产。光催化乙烷偶联提供了一条从乙烷到 C4 烃类的绿色路线，但通过光催化选择性地活化惰性 C–H 键（415 kJ/mol）而非较弱的 C–C 键（347 kJ/mol）仍然具有挑战性。本文报道了一种有效的策略，即 Auδ+–Au 中继促进的电荷转移，以及光照（光子）和加热（主要是声子）的协同作用，用于惰性 C–H 键活化以合成丁烷。此外，飞秒-纳秒时间分辨光谱分析表明，Auδ+–Au 中继显著加速了空穴转移 1000 倍（</w:t>
      </w:r>
    </w:p>
    <w:p>
      <w:pPr>
        <w:spacing w:before="0" w:after="200" w:lineRule="auto" w:line="276"/>
      </w:pPr>
      <w:r>
        <w:rPr>
          <w:b/>
        </w:rPr>
        <w:t xml:space="preserve">Abstract (EN): </w:t>
      </w:r>
      <w:r>
        <w:t>Toward carbon neutrality, low-carbon synthesis routes for valuable chemicals are critically important. C4 hydrocarbons, which are key to the petrochemical industry, are currently produced through energy-intensive processes. Photocatalytic ethane coupling offers a green route from ethane to C4 hydrocarbons, but selectively activating inert C–H bonds (415 kJ/mol) over weaker C–C bonds (347 kJ/mol) by photocatalysis remains challenging. This work reports an effective strategy of Auδ+–Au relay-promoted charge transfer and the synergy of light irradiation (photons) and heating (mainly phonons) for inert C–H bond activation toward butane synthesis. Furthermore, femtosecond-nanosecond time-resolved spectroscopy analysis shows that Auδ+–Au relay remarkably accelerates hole transfer by 1000 times (from ∼nanosecond to ∼picosecond time scale), thus dramatically facilitating charge carrier separation. Together, the synergy of light irradiation (photons) and heating (mainly phonons), even with a gas hourly space velocity of 2,400,000 mL h–1 g–1 and a butane yield of 166.5 mmol/g/h (1665 μmol/h), has been achieved, which is 8.2-fold higher than that of Au/CeO2. A remarkable turnover number (410,000) with respect to Auδ+–Au clusters and a high selectivity (85%) for butane have also been obtained. Such an Au–Auδ+/CeO2 catalyst is also rather stable (≥100 h). Fundamentally, it is found that heating can remarkably enhance the coupling process, boosting butane production by 3.3 times. Overall, Auδ+–Au relay-promoted synergy of light irradiation and heating enables the highly selective activation of inert C–H bonds under mild conditions.</w:t>
      </w:r>
    </w:p>
    <w:p>
      <w:pPr>
        <w:spacing w:before="120" w:after="120"/>
      </w:pPr>
      <w:r>
        <w:rPr>
          <w:sz w:val="18"/>
        </w:rPr>
        <w:t>——————————————————————————————————————————————————————————————————————</w:t>
      </w:r>
    </w:p>
    <w:p>
      <w:pPr>
        <w:spacing w:before="160" w:after="40" w:line="240" w:lineRule="auto"/>
      </w:pPr>
      <w:r>
        <w:rPr>
          <w:b/>
        </w:rPr>
        <w:t xml:space="preserve">[196] </w:t>
      </w:r>
      <w:hyperlink r:id="rId561">
        <w:r>
          <w:rPr>
            <w:color w:val="1155CC"/>
            <w:u w:val="single"/>
          </w:rPr>
          <w:t>[ASAP] 钠铝氢化物中的可逆氢化物离子介导电化学</w:t>
        </w:r>
      </w:hyperlink>
    </w:p>
    <w:p>
      <w:pPr>
        <w:spacing w:before="0" w:after="80"/>
      </w:pPr>
      <w:r>
        <w:rPr>
          <w:i/>
          <w:sz w:val="20"/>
        </w:rPr>
        <w:t>EN: [ASAP] Reversible Hydride Ion-Mediated Electrochemistry in Sodium Aluminum Hydride</w:t>
      </w:r>
    </w:p>
    <w:p>
      <w:pPr>
        <w:spacing w:before="0" w:after="120"/>
      </w:pPr>
      <w:r>
        <w:rPr>
          <w:b/>
        </w:rPr>
        <w:t xml:space="preserve">Source: </w:t>
      </w:r>
      <w:r>
        <w:t>Journal of the American Chemical Society: Latest Articles (ACS Publications)</w:t>
      </w:r>
      <w:r>
        <w:t xml:space="preserve">    </w:t>
      </w:r>
      <w:r>
        <w:rPr>
          <w:b/>
        </w:rPr>
        <w:t xml:space="preserve">Pub date: </w:t>
      </w:r>
      <w:r>
        <w:t>2026-03-24 16:50:13+00:00</w:t>
      </w:r>
      <w:r>
        <w:t xml:space="preserve">    </w:t>
      </w:r>
      <w:r>
        <w:rPr>
          <w:b/>
        </w:rPr>
        <w:t xml:space="preserve">DOI: </w:t>
      </w:r>
      <w:hyperlink r:id="rId562">
        <w:r>
          <w:rPr>
            <w:color w:val="1155CC"/>
            <w:u w:val="single"/>
          </w:rPr>
          <w:t>10.1021/jacs.6c01374</w:t>
        </w:r>
      </w:hyperlink>
    </w:p>
    <w:p>
      <w:pPr>
        <w:spacing w:before="0" w:after="120"/>
      </w:pPr>
      <w:r>
        <w:rPr>
          <w:b/>
        </w:rPr>
        <w:t xml:space="preserve">Notes: </w:t>
      </w:r>
      <w:r>
        <w:t>abstract_source=pubmed</w:t>
      </w:r>
    </w:p>
    <w:p>
      <w:pPr>
        <w:spacing w:before="0" w:after="80" w:lineRule="auto" w:line="276"/>
      </w:pPr>
      <w:r>
        <w:rPr>
          <w:b/>
        </w:rPr>
        <w:t xml:space="preserve">摘要（ZH）: </w:t>
      </w:r>
      <w:r>
        <w:t>使用氢化物离子 (H-) 作为电荷载体的电化学装置在基于氢的能量存储和转换方面具有显著潜力。然而，目前仅有极少数基于 H- 的电化学装置被展示出来，缺乏关于氢化物离子介导的反应过程的详细信息。在这项工作中，我们发现 NaAlH4 电极可以在环境条件下通过 H- 介导的反应利用至少 5.6 wt % 的 H。此外，从驱动力、质量迁移和反应动力学的角度讨论了 H- 介导的电化学反应与传统热化学过程之间的差异。热驱动过程受焓-熵平衡和长程质量传输控制。相比之下，电化学途径由</w:t>
      </w:r>
    </w:p>
    <w:p>
      <w:pPr>
        <w:spacing w:before="0" w:after="200" w:lineRule="auto" w:line="276"/>
      </w:pPr>
      <w:r>
        <w:rPr>
          <w:b/>
        </w:rPr>
        <w:t xml:space="preserve">Abstract (EN): </w:t>
      </w:r>
      <w:r>
        <w:t>Electrochemical devices using hydride ions (H-) as charge carriers offer significant potential for hydrogen-based energy storage and conversion. However, only very few H- based electrochemical devices have been demonstrated, lacking details regarding the hydride ion-mediated reaction processes. In this work, we find that the NaAlH4 electrode can utilize at least 5.6 wt % H via an H--mediated reaction under ambient conditions. Further, the differences between H--mediated electrochemical reactions and traditional thermochemical processes are discussed from the perspectives of driving force, mass migration, and reaction kinetics. The thermally driven process is controlled by the enthalpy-entropy balance and the long-range mass transport. In contrast, the electrochemical pathway is driven by an electrochemical potential gradient and dominated by fast H- migration. Analyses of the interface and phase spatial distribution show that the electrode/electrolyte interfaces exhibit good compatibility at mild reaction conditions and suppression of detrimental phase separation. These findings highlight the unique advantages of H--mediated electrochemistry and provide a foundation for developing next-generation hydride-based energy storage and conversion technologies.</w:t>
      </w:r>
    </w:p>
    <w:p>
      <w:pPr>
        <w:spacing w:before="120" w:after="120"/>
      </w:pPr>
      <w:r>
        <w:rPr>
          <w:sz w:val="18"/>
        </w:rPr>
        <w:t>——————————————————————————————————————————————————————————————————————</w:t>
      </w:r>
    </w:p>
    <w:p>
      <w:pPr>
        <w:spacing w:before="160" w:after="40" w:line="240" w:lineRule="auto"/>
      </w:pPr>
      <w:r>
        <w:rPr>
          <w:b/>
        </w:rPr>
        <w:t xml:space="preserve">[197] </w:t>
      </w:r>
      <w:hyperlink r:id="rId563">
        <w:r>
          <w:rPr>
            <w:color w:val="1155CC"/>
            <w:u w:val="single"/>
          </w:rPr>
          <w:t>[ASAP] Au卟啉中的自旋态通过Au(111)上的电荷转移调制</w:t>
        </w:r>
      </w:hyperlink>
    </w:p>
    <w:p>
      <w:pPr>
        <w:spacing w:before="0" w:after="80"/>
      </w:pPr>
      <w:r>
        <w:rPr>
          <w:i/>
          <w:sz w:val="20"/>
        </w:rPr>
        <w:t>EN: [ASAP] Spin State in Au Porphyrins Modulated by Charge Transfer on Au(111)</w:t>
      </w:r>
    </w:p>
    <w:p>
      <w:pPr>
        <w:spacing w:before="0" w:after="120"/>
      </w:pPr>
      <w:r>
        <w:rPr>
          <w:b/>
        </w:rPr>
        <w:t xml:space="preserve">Source: </w:t>
      </w:r>
      <w:r>
        <w:t>Journal of the American Chemical Society: Latest Articles (ACS Publications)</w:t>
      </w:r>
      <w:r>
        <w:t xml:space="preserve">    </w:t>
      </w:r>
      <w:r>
        <w:rPr>
          <w:b/>
        </w:rPr>
        <w:t xml:space="preserve">Pub date: </w:t>
      </w:r>
      <w:r>
        <w:t>2026-03-24 16:59:22+00:00</w:t>
      </w:r>
      <w:r>
        <w:t xml:space="preserve">    </w:t>
      </w:r>
      <w:r>
        <w:rPr>
          <w:b/>
        </w:rPr>
        <w:t xml:space="preserve">DOI: </w:t>
      </w:r>
      <w:hyperlink r:id="rId564">
        <w:r>
          <w:rPr>
            <w:color w:val="1155CC"/>
            <w:u w:val="single"/>
          </w:rPr>
          <w:t>10.1021/jacs.5c21710</w:t>
        </w:r>
      </w:hyperlink>
    </w:p>
    <w:p>
      <w:pPr>
        <w:spacing w:before="0" w:after="120"/>
      </w:pPr>
      <w:r>
        <w:rPr>
          <w:b/>
        </w:rPr>
        <w:t xml:space="preserve">Notes: </w:t>
      </w:r>
      <w:r>
        <w:t>abstract_source=openalex</w:t>
      </w:r>
    </w:p>
    <w:p>
      <w:pPr>
        <w:spacing w:before="0" w:after="80" w:lineRule="auto" w:line="276"/>
      </w:pPr>
      <w:r>
        <w:rPr>
          <w:b/>
        </w:rPr>
        <w:t xml:space="preserve">摘要（ZH）: </w:t>
      </w:r>
      <w:r>
        <w:t>在单分子水平上控制自旋态是实现功能性分子自旋电子器件的关键步骤。Au 卟啉作为高效的电子受体，对表面上的电荷转移高度敏感，为研究单分子磁体中的自旋态调制提供了有前景的途径。在此，我们通过在 Au(111) 上的环脱氢反应合成了苯并菲扩展的 Au 卟啉。结合非接触原子力显微镜、扫描隧道显微镜、扫描隧道光谱学以及密度泛函理论和多参考量子化学计算，详细研究了产物的原子级结构、电子特性和自旋态。尽管结构几乎相同，自旋态</w:t>
      </w:r>
    </w:p>
    <w:p>
      <w:pPr>
        <w:spacing w:before="0" w:after="200" w:lineRule="auto" w:line="276"/>
      </w:pPr>
      <w:r>
        <w:rPr>
          <w:b/>
        </w:rPr>
        <w:t xml:space="preserve">Abstract (EN): </w:t>
      </w:r>
      <w:r>
        <w:t>Controlling spin states at the single-molecule level is a crucial step toward functional molecular spintronic devices. Au porphyrins, as efficient electron acceptors, are highly sensitive to charge transfer on surfaces and offer a promising route to investigate spin-state modulation in single-molecule magnets. Here, we report the synthesis of phenalenyl-expanded Au porphyrins via cyclodehydrogenation on Au(111). The atomic-scale structures, electronic properties, and spin states of the products were investigated in detail with a combination of noncontact atomic force microscopy, scanning tunneling microscopy, scanning tunneling spectroscopy, as well as density functional theory and multireference quantum chemistry calculations. Although the structures are nearly identical, the spin states of the porphyrins are significantly affected by the charge state of the Au complex. Our findings show that the role of the molecule–substrate interactions and the resulting charge transfer of the gold complex tune the spin and electronic properties of the extended porphyrins, establishing them as versatile molecular platforms for investigating charge-transfer-driven spin switches and guiding the design of molecular spintronic devices.</w:t>
      </w:r>
    </w:p>
    <w:p>
      <w:pPr>
        <w:spacing w:before="120" w:after="120"/>
      </w:pPr>
      <w:r>
        <w:rPr>
          <w:sz w:val="18"/>
        </w:rPr>
        <w:t>——————————————————————————————————————————————————————————————————————</w:t>
      </w:r>
    </w:p>
    <w:p>
      <w:pPr>
        <w:spacing w:before="160" w:after="40" w:line="240" w:lineRule="auto"/>
      </w:pPr>
      <w:r>
        <w:rPr>
          <w:b/>
        </w:rPr>
        <w:t xml:space="preserve">[198] </w:t>
      </w:r>
      <w:hyperlink r:id="rId565">
        <w:r>
          <w:rPr>
            <w:color w:val="1155CC"/>
            <w:u w:val="single"/>
          </w:rPr>
          <w:t>[ASAP] 在晶体形态发生过程中，球石与其限制膜之间的空间关系</w:t>
        </w:r>
      </w:hyperlink>
    </w:p>
    <w:p>
      <w:pPr>
        <w:spacing w:before="0" w:after="80"/>
      </w:pPr>
      <w:r>
        <w:rPr>
          <w:i/>
          <w:sz w:val="20"/>
        </w:rPr>
        <w:t>EN: [ASAP] Spatial Relations between Coccoliths and Their Confining Membrane During Crystal Morphogenesis</w:t>
      </w:r>
    </w:p>
    <w:p>
      <w:pPr>
        <w:spacing w:before="0" w:after="120"/>
      </w:pPr>
      <w:r>
        <w:rPr>
          <w:b/>
        </w:rPr>
        <w:t xml:space="preserve">Source: </w:t>
      </w:r>
      <w:r>
        <w:t>Journal of the American Chemical Society: Latest Articles (ACS Publications)</w:t>
      </w:r>
      <w:r>
        <w:t xml:space="preserve">    </w:t>
      </w:r>
      <w:r>
        <w:rPr>
          <w:b/>
        </w:rPr>
        <w:t xml:space="preserve">Pub date: </w:t>
      </w:r>
      <w:r>
        <w:t>2026-03-24 18:41:43+00:00</w:t>
      </w:r>
      <w:r>
        <w:t xml:space="preserve">    </w:t>
      </w:r>
      <w:r>
        <w:rPr>
          <w:b/>
        </w:rPr>
        <w:t xml:space="preserve">DOI: </w:t>
      </w:r>
      <w:hyperlink r:id="rId566">
        <w:r>
          <w:rPr>
            <w:color w:val="1155CC"/>
            <w:u w:val="single"/>
          </w:rPr>
          <w:t>10.1021/jacs.6c02151</w:t>
        </w:r>
      </w:hyperlink>
    </w:p>
    <w:p>
      <w:pPr>
        <w:spacing w:before="0" w:after="120"/>
      </w:pPr>
      <w:r>
        <w:rPr>
          <w:b/>
        </w:rPr>
        <w:t xml:space="preserve">Notes: </w:t>
      </w:r>
      <w:r>
        <w:t>abstract_source=openalex</w:t>
      </w:r>
    </w:p>
    <w:p>
      <w:pPr>
        <w:spacing w:before="0" w:after="80" w:lineRule="auto" w:line="276"/>
      </w:pPr>
      <w:r>
        <w:rPr>
          <w:b/>
        </w:rPr>
        <w:t xml:space="preserve">摘要（ZH）: </w:t>
      </w:r>
      <w:r>
        <w:t>球石是由微藻在细胞内囊泡中形成的多晶方解石结构。每个晶体的形态都很复杂，最近的研究假设球石形态发生是由其囊泡的边界膜调节的。然而，关于细胞内原生状态组织的信息有限，使得难以理解膜的哪些结构特征对形态发生负责。在此，我们使用先进的冷冻电子显微镜和 X 射线荧光断层扫描技术，研究了 Calcidiscus leptoporus 球石形成过程中的囊泡环境。我们的研究结果显示，在球石发育过程中存在两种不同类型的晶体表面：平坦和弯曲，它们在粗糙度上也有所不同。有趣的是，即使</w:t>
      </w:r>
    </w:p>
    <w:p>
      <w:pPr>
        <w:spacing w:before="0" w:after="200" w:lineRule="auto" w:line="276"/>
      </w:pPr>
      <w:r>
        <w:rPr>
          <w:b/>
        </w:rPr>
        <w:t xml:space="preserve">Abstract (EN): </w:t>
      </w:r>
      <w:r>
        <w:t>Coccoliths are multicrystalline calcite structures formed by microalgae within an intracellular vesicle. The morphology of each crystal is complex, and recent studies postulate that coccolith morphogenesis is regulated by the bounding membrane of its vesicle. However, the limited information about the native-state organization within the cell makes it difficult to understand which structural aspects of the membrane are responsible for morphogenesis. Here, we examined the vesicular environment during the formation of Calcidiscus leptoporus coccoliths, using advanced cryo-electron microscopy and X-ray fluorescence tomography. Our findings show two distinct types of crystal surfaces that persist during coccolith development: flat and curved, which differ also in roughness. Interestingly, even though both types of surfaces have variable degrees of membrane confinement, they are separated by distinct “bands” of intimate contact between the crystals and the membrane. We propose that these “bands” serve as boundaries, creating subcompartments within the coccolith vesicle that regulate crystal growth and its cessation. These results suggest that the coccolith vesicle membrane maintains distinct and functional chemical environments on the nanometer scale.</w:t>
      </w:r>
    </w:p>
    <w:p>
      <w:pPr>
        <w:spacing w:before="120" w:after="120"/>
      </w:pPr>
      <w:r>
        <w:rPr>
          <w:sz w:val="18"/>
        </w:rPr>
        <w:t>——————————————————————————————————————————————————————————————————————</w:t>
      </w:r>
    </w:p>
    <w:p>
      <w:pPr>
        <w:spacing w:before="160" w:after="40" w:line="240" w:lineRule="auto"/>
      </w:pPr>
      <w:r>
        <w:rPr>
          <w:b/>
        </w:rPr>
        <w:t xml:space="preserve">[199] </w:t>
      </w:r>
      <w:hyperlink r:id="rId567">
        <w:r>
          <w:rPr>
            <w:color w:val="1155CC"/>
            <w:u w:val="single"/>
          </w:rPr>
          <w:t>[ASAP] 钴催化的喹啉高对映选择性氢化在温和条件下进行</w:t>
        </w:r>
      </w:hyperlink>
    </w:p>
    <w:p>
      <w:pPr>
        <w:spacing w:before="0" w:after="80"/>
      </w:pPr>
      <w:r>
        <w:rPr>
          <w:i/>
          <w:sz w:val="20"/>
        </w:rPr>
        <w:t>EN: [ASAP] Cobalt-Catalyzed Highly Enantioselective Hydrogenation of Quinolines under Mild Conditions</w:t>
      </w:r>
    </w:p>
    <w:p>
      <w:pPr>
        <w:spacing w:before="0" w:after="120"/>
      </w:pPr>
      <w:r>
        <w:rPr>
          <w:b/>
        </w:rPr>
        <w:t xml:space="preserve">Source: </w:t>
      </w:r>
      <w:r>
        <w:t>Journal of the American Chemical Society: Latest Articles (ACS Publications)</w:t>
      </w:r>
      <w:r>
        <w:t xml:space="preserve">    </w:t>
      </w:r>
      <w:r>
        <w:rPr>
          <w:b/>
        </w:rPr>
        <w:t xml:space="preserve">Pub date: </w:t>
      </w:r>
      <w:r>
        <w:t>2026-03-24 18:42:40+00:00</w:t>
      </w:r>
      <w:r>
        <w:t xml:space="preserve">    </w:t>
      </w:r>
      <w:r>
        <w:rPr>
          <w:b/>
        </w:rPr>
        <w:t xml:space="preserve">DOI: </w:t>
      </w:r>
      <w:hyperlink r:id="rId568">
        <w:r>
          <w:rPr>
            <w:color w:val="1155CC"/>
            <w:u w:val="single"/>
          </w:rPr>
          <w:t>10.1021/jacs.6c01182</w:t>
        </w:r>
      </w:hyperlink>
    </w:p>
    <w:p>
      <w:pPr>
        <w:spacing w:before="0" w:after="120"/>
      </w:pPr>
      <w:r>
        <w:rPr>
          <w:b/>
        </w:rPr>
        <w:t xml:space="preserve">Notes: </w:t>
      </w:r>
      <w:r>
        <w:t>abstract_source=openalex</w:t>
      </w:r>
    </w:p>
    <w:p>
      <w:pPr>
        <w:spacing w:before="0" w:after="80" w:lineRule="auto" w:line="276"/>
      </w:pPr>
      <w:r>
        <w:rPr>
          <w:b/>
        </w:rPr>
        <w:t xml:space="preserve">摘要（ZH）: </w:t>
      </w:r>
      <w:r>
        <w:t>一种钴钳子配合物已被设计、合成，并成功应用于在温和条件下催化不对称氢化喹啉。该钴催化剂含有一个PNN配体，具有一个P和一个C-立体中心，能够氢化多种喹啉，生成手性1,2,3,4-四氢喹啉，通常具有高产率和优异的对映选择性（51个例子，ee高达99.9%）。探针反应和DFT计算表明，氢化过程通过逐步的1,2–1,2-氢化物转移途径进行。所得结果可能为开发更高效的3d过渡金属催化剂用于不对称催化提供有价值的提示。</w:t>
      </w:r>
    </w:p>
    <w:p>
      <w:pPr>
        <w:spacing w:before="0" w:after="200" w:lineRule="auto" w:line="276"/>
      </w:pPr>
      <w:r>
        <w:rPr>
          <w:b/>
        </w:rPr>
        <w:t xml:space="preserve">Abstract (EN): </w:t>
      </w:r>
      <w:r>
        <w:t>A cobalt pincer complex has been designed, synthesized, and successfully applied to catalytic asymmetric hydrogenation of quinolines under mild conditions. Containing a PNN ligand that features both a P and a C-stereogenic center, the cobalt catalyst allows for the hydrogenation of a variety of quinolines to afford chiral 1,2,3,4-tetrahydroquinolines with high yields and excellent enantioselectivities in general (51 examples, up to 99.9% ee). Probe reactions and DFT calculations suggest that the hydrogenation proceeds via a stepwise 1,2–1,2-hydride transfer pathway. The results obtained could provide a valuable hint for the development of more efficient 3d transition metal catalysts for asymmetric catalysis.</w:t>
      </w:r>
    </w:p>
    <w:p>
      <w:pPr>
        <w:spacing w:before="120" w:after="120"/>
      </w:pPr>
      <w:r>
        <w:rPr>
          <w:sz w:val="18"/>
        </w:rPr>
        <w:t>——————————————————————————————————————————————————————————————————————</w:t>
      </w:r>
    </w:p>
    <w:p>
      <w:pPr>
        <w:spacing w:before="160" w:after="40" w:line="240" w:lineRule="auto"/>
      </w:pPr>
      <w:r>
        <w:rPr>
          <w:b/>
        </w:rPr>
        <w:t xml:space="preserve">[200] </w:t>
      </w:r>
      <w:hyperlink r:id="rId569">
        <w:r>
          <w:rPr>
            <w:color w:val="1155CC"/>
            <w:u w:val="single"/>
          </w:rPr>
          <w:t>[ASAP] 无机三碳酸盐：K2C3O7的高压合成和结构</w:t>
        </w:r>
      </w:hyperlink>
    </w:p>
    <w:p>
      <w:pPr>
        <w:spacing w:before="0" w:after="80"/>
      </w:pPr>
      <w:r>
        <w:rPr>
          <w:i/>
          <w:sz w:val="20"/>
        </w:rPr>
        <w:t>EN: [ASAP] Inorganic Tricarbonate: High-Pressure Synthesis and Structure of K2C3O7</w:t>
      </w:r>
    </w:p>
    <w:p>
      <w:pPr>
        <w:spacing w:before="0" w:after="120"/>
      </w:pPr>
      <w:r>
        <w:rPr>
          <w:b/>
        </w:rPr>
        <w:t xml:space="preserve">Source: </w:t>
      </w:r>
      <w:r>
        <w:t>Journal of the American Chemical Society: Latest Articles (ACS Publications)</w:t>
      </w:r>
      <w:r>
        <w:t xml:space="preserve">    </w:t>
      </w:r>
      <w:r>
        <w:rPr>
          <w:b/>
        </w:rPr>
        <w:t xml:space="preserve">Pub date: </w:t>
      </w:r>
      <w:r>
        <w:t>2026-03-24 19:26:22+00:00</w:t>
      </w:r>
      <w:r>
        <w:t xml:space="preserve">    </w:t>
      </w:r>
      <w:r>
        <w:rPr>
          <w:b/>
        </w:rPr>
        <w:t xml:space="preserve">DOI: </w:t>
      </w:r>
      <w:hyperlink r:id="rId570">
        <w:r>
          <w:rPr>
            <w:color w:val="1155CC"/>
            <w:u w:val="single"/>
          </w:rPr>
          <w:t>10.1021/jacs.5c19614</w:t>
        </w:r>
      </w:hyperlink>
    </w:p>
    <w:p>
      <w:pPr>
        <w:spacing w:before="0" w:after="120"/>
      </w:pPr>
      <w:r>
        <w:rPr>
          <w:b/>
        </w:rPr>
        <w:t xml:space="preserve">Notes: </w:t>
      </w:r>
      <w:r>
        <w:t>abstract_source=openalex</w:t>
      </w:r>
    </w:p>
    <w:p>
      <w:pPr>
        <w:spacing w:before="0" w:after="80" w:lineRule="auto" w:line="276"/>
      </w:pPr>
      <w:r>
        <w:rPr>
          <w:b/>
        </w:rPr>
        <w:t xml:space="preserve">摘要（ZH）: </w:t>
      </w:r>
      <w:r>
        <w:t>合成具有新型阴离子的碳酸盐对于地球科学、化学和材料科学非常重要。在此，我们介绍了在55(3)和45(2) GPa激光加热金刚石压砧中发现的第一个无机三碳酸盐K2C3O7。K2C3O7的晶体结构通过同步辐射单晶X射线衍射从多晶样品中原位测定。它具有非平面的[C3O7]2–阴离子，由三个相对旋转的共角平面CO3基团组成。该阴离子扩展了sp2-碳酸盐的同系系列：[CO3]2–─[C2O5]2–─[C3O7]2–。拉曼光谱确立了[C3O7]2–阴离子的特征振动指纹。密度泛函理论（DFT）计算证实了实验结果并建议</w:t>
      </w:r>
    </w:p>
    <w:p>
      <w:pPr>
        <w:spacing w:before="0" w:after="200" w:lineRule="auto" w:line="276"/>
      </w:pPr>
      <w:r>
        <w:rPr>
          <w:b/>
        </w:rPr>
        <w:t xml:space="preserve">Abstract (EN): </w:t>
      </w:r>
      <w:r>
        <w:t>The synthesis of carbonates with novel types of anions is important for geoscience, chemistry, and materials science. Herein, we present the first inorganic tricarbonate salt, K2C3O7, discovered in laser-heated diamond anvil cells at 55(3) and 45(2) GPa. The crystal structure of K2C3O7 was determined in situ by using synchrotron single-crystal X-ray diffraction from a polycrystalline sample. It features nonplanar [C3O7]2– anions, which consist of three corner-sharing planar CO3 groups rotated relative to one another. This anion extends the homologous series of sp2-carbonates: [CO3]2–─[C2O5]2–─[C3O7]2–. Raman spectroscopy establishes the characteristic vibrational fingerprint of the [C3O7]2– anion. Density functional theory (DFT) calculations corroborate the experimental results and suggest a thermodynamic stability of K2C3O7 between 10 and 55 GPa. DFT calculations predict a phase transition between 80 and 90 GPa associated with polymerization of the [C3O7]2– groups, accompanied by a change in the coordination polyhedra of two carbon atoms from triangles to tetrahedra. These results imply that other sp2-and mixed sp2/sp3-carbonates might be stabilized at a high pressure.</w:t>
      </w:r>
    </w:p>
    <w:p>
      <w:pPr>
        <w:spacing w:before="120" w:after="120"/>
      </w:pPr>
      <w:r>
        <w:rPr>
          <w:sz w:val="18"/>
        </w:rPr>
        <w:t>——————————————————————————————————————————————————————————————————————</w:t>
      </w:r>
    </w:p>
    <w:p>
      <w:pPr>
        <w:spacing w:before="160" w:after="40" w:line="240" w:lineRule="auto"/>
      </w:pPr>
      <w:r>
        <w:rPr>
          <w:b/>
        </w:rPr>
        <w:t xml:space="preserve">[201] </w:t>
      </w:r>
      <w:hyperlink r:id="rId571">
        <w:r>
          <w:rPr>
            <w:color w:val="1155CC"/>
            <w:u w:val="single"/>
          </w:rPr>
          <w:t>[ASAP] 镍催化的炔-乙烯环丁酮的一步三环推进反应：反应开发、机制及Modhephene的形式合成</w:t>
        </w:r>
      </w:hyperlink>
    </w:p>
    <w:p>
      <w:pPr>
        <w:spacing w:before="0" w:after="80"/>
      </w:pPr>
      <w:r>
        <w:rPr>
          <w:i/>
          <w:sz w:val="20"/>
        </w:rPr>
        <w:t>EN: [ASAP] One-Step-Three-Ring Propellanation Reaction of Yne-Vinylcyclobutanones Catalyzed by Nickel: Reaction Development, Mechanism, and Formal Synthesis of Modhephene</w:t>
      </w:r>
    </w:p>
    <w:p>
      <w:pPr>
        <w:spacing w:before="0" w:after="120"/>
      </w:pPr>
      <w:r>
        <w:rPr>
          <w:b/>
        </w:rPr>
        <w:t xml:space="preserve">Source: </w:t>
      </w:r>
      <w:r>
        <w:t>Journal of the American Chemical Society: Latest Articles (ACS Publications)</w:t>
      </w:r>
      <w:r>
        <w:t xml:space="preserve">    </w:t>
      </w:r>
      <w:r>
        <w:rPr>
          <w:b/>
        </w:rPr>
        <w:t xml:space="preserve">Pub date: </w:t>
      </w:r>
      <w:r>
        <w:t>2026-03-24 19:27:46+00:00</w:t>
      </w:r>
      <w:r>
        <w:t xml:space="preserve">    </w:t>
      </w:r>
      <w:r>
        <w:rPr>
          <w:b/>
        </w:rPr>
        <w:t xml:space="preserve">DOI: </w:t>
      </w:r>
      <w:hyperlink r:id="rId572">
        <w:r>
          <w:rPr>
            <w:color w:val="1155CC"/>
            <w:u w:val="single"/>
          </w:rPr>
          <w:t>10.1021/jacs.5c21425</w:t>
        </w:r>
      </w:hyperlink>
    </w:p>
    <w:p>
      <w:pPr>
        <w:spacing w:before="0" w:after="120"/>
      </w:pPr>
      <w:r>
        <w:rPr>
          <w:b/>
        </w:rPr>
        <w:t xml:space="preserve">Notes: </w:t>
      </w:r>
      <w:r>
        <w:t>abstract_source=openalex</w:t>
      </w:r>
    </w:p>
    <w:p>
      <w:pPr>
        <w:spacing w:before="0" w:after="80" w:lineRule="auto" w:line="276"/>
      </w:pPr>
      <w:r>
        <w:rPr>
          <w:b/>
        </w:rPr>
        <w:t xml:space="preserve">摘要（ZH）: </w:t>
      </w:r>
      <w:r>
        <w:t>[3.3.3]丙环烷骨架存在于多种天然产物中，是合成化学中感兴趣的三维结构。传统上，这些化合物是通过环对环策略合成的，这种方法既繁琐（合成步骤长）又具有挑战性（构建目标结构的两个相邻桥头季碳中心是一项艰巨的任务）。在此，我们报道了一种镍催化的一步三环丙环化反应，该反应从线性炔-乙烯基环丁酮构建[3.3.3]丙环烷核心。该方法采用Ni(COD)2和P(Ad)3作为催化体系，并展示了广泛的底物范围。通过对具有[3.3.3]丙环烷骨架的天然产物modhephene的形式合成，进一步证明了该反应的实用性。</w:t>
      </w:r>
    </w:p>
    <w:p>
      <w:pPr>
        <w:spacing w:before="0" w:after="200" w:lineRule="auto" w:line="276"/>
      </w:pPr>
      <w:r>
        <w:rPr>
          <w:b/>
        </w:rPr>
        <w:t xml:space="preserve">Abstract (EN): </w:t>
      </w:r>
      <w:r>
        <w:t>The [3.3.3]propellane scaffold, present in various natural products, is a three-dimensional structure of interest in synthetic chemistry. Traditionally, these compounds are synthesized through a ring-by-ring strategy that is tedious (long steps of synthesis) and challenging (building two adjacent bridgehead quaternary centers of the target motifs is a formidable task). Herein, we report a nickel-catalyzed one-step, three-ring propellanation reaction that constructs the [3.3.3] propellane core from linear yne-vinylcyclobutanones. This method employs Ni(COD)2 and P(Ad)3 as the catalytic system and exhibits a broad substrate scope. The utility of this reaction has been further demonstrated through the formal synthesis of modhephene, a natural product featuring a [3.3.3] propellane skeleton. This propellanation reaction can be envisioned as biscarbene insertion of alkyne into the C–C bond in cyclobutanone and the C–H of the vinyl group in the substrates, but it actually takes place through oxidative cyclometalation of the alkyne and carbonyl group, Cope rearrangement, β-hydrogen elimination, trienolate cyclization, and reductive elimination, supported by DFT calculations and a deuterium labeling experiment. The detailed ligand exchange reaction (reaction initiation process) from Ni(COD)2 to the Ni complex coordinated by the phosphine ligand and substrate, has also been studied computationally. How the tether group in the substrates affects the propellanation reaction and the side rearrangement reaction of vinylcyclobutanones to cyclohexenones has been analyzed, finding that electron-withdrawing tethers such as NTs and O favor the propellanation reaction, while the electron-neutral tether such as CH2 and NBn tether, which is less electron-withdrawing compared to NTs, reduce this preference.</w:t>
      </w:r>
    </w:p>
    <w:p>
      <w:pPr>
        <w:spacing w:before="120" w:after="120"/>
      </w:pPr>
      <w:r>
        <w:rPr>
          <w:sz w:val="18"/>
        </w:rPr>
        <w:t>——————————————————————————————————————————————————————————————————————</w:t>
      </w:r>
    </w:p>
    <w:p>
      <w:pPr>
        <w:spacing w:before="160" w:after="40" w:line="240" w:lineRule="auto"/>
      </w:pPr>
      <w:r>
        <w:rPr>
          <w:b/>
        </w:rPr>
        <w:t xml:space="preserve">[202] </w:t>
      </w:r>
      <w:hyperlink r:id="rId573">
        <w:r>
          <w:rPr>
            <w:color w:val="1155CC"/>
            <w:u w:val="single"/>
          </w:rPr>
          <w:t>[ASAP] 触发序列定义的寡聚氨基甲酸酯的选择性读取：使用计算机脚本的示例，代表化学逻辑门的下一步</w:t>
        </w:r>
      </w:hyperlink>
    </w:p>
    <w:p>
      <w:pPr>
        <w:spacing w:before="0" w:after="80"/>
      </w:pPr>
      <w:r>
        <w:rPr>
          <w:i/>
          <w:sz w:val="20"/>
        </w:rPr>
        <w:t>EN: [ASAP] Triggering the Selective Reading of Sequence-Defined Oligourethanes: An Example Using Computer Scripts, Representing the Next Step in Chemical Logic Gates</w:t>
      </w:r>
    </w:p>
    <w:p>
      <w:pPr>
        <w:spacing w:before="0" w:after="120"/>
      </w:pPr>
      <w:r>
        <w:rPr>
          <w:b/>
        </w:rPr>
        <w:t xml:space="preserve">Source: </w:t>
      </w:r>
      <w:r>
        <w:t>Journal of the American Chemical Society: Latest Articles (ACS Publications)</w:t>
      </w:r>
      <w:r>
        <w:t xml:space="preserve">    </w:t>
      </w:r>
      <w:r>
        <w:rPr>
          <w:b/>
        </w:rPr>
        <w:t xml:space="preserve">Pub date: </w:t>
      </w:r>
      <w:r>
        <w:t>2026-03-24 19:28:18+00:00</w:t>
      </w:r>
      <w:r>
        <w:t xml:space="preserve">    </w:t>
      </w:r>
      <w:r>
        <w:rPr>
          <w:b/>
        </w:rPr>
        <w:t xml:space="preserve">DOI: </w:t>
      </w:r>
      <w:hyperlink r:id="rId574">
        <w:r>
          <w:rPr>
            <w:color w:val="1155CC"/>
            <w:u w:val="single"/>
          </w:rPr>
          <w:t>10.1021/jacs.5c21819</w:t>
        </w:r>
      </w:hyperlink>
    </w:p>
    <w:p>
      <w:pPr>
        <w:spacing w:before="0" w:after="120"/>
      </w:pPr>
      <w:r>
        <w:rPr>
          <w:b/>
        </w:rPr>
        <w:t xml:space="preserve">Notes: </w:t>
      </w:r>
      <w:r>
        <w:t>abstract_source=openalex</w:t>
      </w:r>
    </w:p>
    <w:p>
      <w:pPr>
        <w:spacing w:before="0" w:after="80" w:lineRule="auto" w:line="276"/>
      </w:pPr>
      <w:r>
        <w:rPr>
          <w:b/>
        </w:rPr>
        <w:t xml:space="preserve">摘要（ZH）: </w:t>
      </w:r>
      <w:r>
        <w:t>在过去的几十年中，各种类型的序列定义聚合物（SDPs）已被探索用于信息存储。然而，与传统数字系统不同，非生物SDPs通常缺乏选择性数据检索的方法。在此，我们引入了一组正交保护的连接子，当与序列定义的聚氨酯（OUs）结合时，作为分子逻辑门。这些连接子使得在特定化学触发下能够选择性地“读取”特定的OUs。除了展示选择性检索外，我们的平台还允许OUs编码可执行的计算机指令，例如Python中的矩阵乘法，从而将化学特异性与数字计算接口结合。不同的化学触发产生不同的计算输出，说明化学</w:t>
      </w:r>
    </w:p>
    <w:p>
      <w:pPr>
        <w:spacing w:before="0" w:after="200" w:lineRule="auto" w:line="276"/>
      </w:pPr>
      <w:r>
        <w:rPr>
          <w:b/>
        </w:rPr>
        <w:t xml:space="preserve">Abstract (EN): </w:t>
      </w:r>
      <w:r>
        <w:t>Over the past decades, various types of sequence-defined polymers (SDPs) have been explored for use in information storage. However, unlike conventional digital systems, abiotic SDPs commonly lack a means for selective data retrieval. Here, we introduce a set of orthogonally protected linkers that function as molecular logic gates when integrated with sequence-defined oligourethanes (OUs). These linkers enable selective “reading” of specific OUs in response to distinct chemical triggers. Beyond demonstrating selective retrieval, our platform allows OUs to encode executable computer instructions, such as matrix multiplication in Python, thereby interfacing chemical specificity with digital computation. Different chemical triggers yield different computational outputs, illustrating that chemical inputs can control which Python code is run. This work establishes a new paradigm for chemically addressable molecular data storage and its extension toward digital computation.</w:t>
      </w:r>
    </w:p>
    <w:p>
      <w:pPr>
        <w:spacing w:before="120" w:after="120"/>
      </w:pPr>
      <w:r>
        <w:rPr>
          <w:sz w:val="18"/>
        </w:rPr>
        <w:t>——————————————————————————————————————————————————————————————————————</w:t>
      </w:r>
    </w:p>
    <w:p>
      <w:pPr>
        <w:spacing w:before="160" w:after="40" w:line="240" w:lineRule="auto"/>
      </w:pPr>
      <w:r>
        <w:rPr>
          <w:b/>
        </w:rPr>
        <w:t xml:space="preserve">[203] </w:t>
      </w:r>
      <w:hyperlink r:id="rId575">
        <w:r>
          <w:rPr>
            <w:color w:val="1155CC"/>
            <w:u w:val="single"/>
          </w:rPr>
          <w:t>[ASAP] 在细胞内构建超分子蛋白组装体</w:t>
        </w:r>
      </w:hyperlink>
    </w:p>
    <w:p>
      <w:pPr>
        <w:spacing w:before="0" w:after="80"/>
      </w:pPr>
      <w:r>
        <w:rPr>
          <w:i/>
          <w:sz w:val="20"/>
        </w:rPr>
        <w:t>EN: [ASAP] In Cellulo Fabrication of Supramolecular Protein Assemblies</w:t>
      </w:r>
    </w:p>
    <w:p>
      <w:pPr>
        <w:spacing w:before="0" w:after="120"/>
      </w:pPr>
      <w:r>
        <w:rPr>
          <w:b/>
        </w:rPr>
        <w:t xml:space="preserve">Source: </w:t>
      </w:r>
      <w:r>
        <w:t>Chemical Reviews: Latest Articles (ACS Publications)</w:t>
      </w:r>
      <w:r>
        <w:t xml:space="preserve">    </w:t>
      </w:r>
      <w:r>
        <w:rPr>
          <w:b/>
        </w:rPr>
        <w:t xml:space="preserve">Pub date: </w:t>
      </w:r>
      <w:r>
        <w:t>2026-03-24 19:54:04+00:00</w:t>
      </w:r>
      <w:r>
        <w:t xml:space="preserve">    </w:t>
      </w:r>
      <w:r>
        <w:rPr>
          <w:b/>
        </w:rPr>
        <w:t xml:space="preserve">DOI: </w:t>
      </w:r>
      <w:hyperlink r:id="rId576">
        <w:r>
          <w:rPr>
            <w:color w:val="1155CC"/>
            <w:u w:val="single"/>
          </w:rPr>
          <w:t>10.1021/acs.chemrev.5c01095</w:t>
        </w:r>
      </w:hyperlink>
    </w:p>
    <w:p>
      <w:pPr>
        <w:spacing w:before="0" w:after="120"/>
      </w:pPr>
      <w:r>
        <w:rPr>
          <w:b/>
        </w:rPr>
        <w:t xml:space="preserve">Notes: </w:t>
      </w:r>
      <w:r>
        <w:t>abstract_source=openalex</w:t>
      </w:r>
    </w:p>
    <w:p>
      <w:pPr>
        <w:spacing w:before="0" w:after="80" w:lineRule="auto" w:line="276"/>
      </w:pPr>
      <w:r>
        <w:rPr>
          <w:b/>
        </w:rPr>
        <w:t xml:space="preserve">摘要（ZH）: </w:t>
      </w:r>
      <w:r>
        <w:t>细胞内蛋白组装体，包括蛋白笼、丝状体、晶体和生物分子凝聚体，为细胞提供了模块化策略来包装、组织和调节生物分子和生化反应。它们的遗传编码性、结构多样性和可调节的材料特性也使它们成为有吸引力的生物材料，其中细胞内制造支持了它们的精确组装和广泛适用性。本综述调查了在细胞内制造的主要天然和工程组装体类别，特别强调它们的结构、化学和材料状态如何塑造功能。我们比较了不同的细胞反应器，并概述了细胞内环境、翻译后修饰和折叠/组装机制如何影响组装结果。</w:t>
      </w:r>
    </w:p>
    <w:p>
      <w:pPr>
        <w:spacing w:before="0" w:after="200" w:lineRule="auto" w:line="276"/>
      </w:pPr>
      <w:r>
        <w:rPr>
          <w:b/>
        </w:rPr>
        <w:t xml:space="preserve">Abstract (EN): </w:t>
      </w:r>
      <w:r>
        <w:t>In cellulo protein assemblies, spanning protein cages, filaments, crystals, and biomolecular condensates, provide cells with modular strategies to package, organize, and regulate biomolecules and biochemical reactions. Their genetic encodability, structural diversity, and tunable material properties have also made them attractive biomaterials, where in cellulo fabrication has underpinned their precise assembly and broad applicability. This review surveys major classes of natural and engineered assemblies fabricated in cellulo, with particular emphasis on how their structure, chemistry, and material state shape functions. We compare diverse cellular reactors and outline how intracellular milieu, post-translational modifications, and folding/assembly machinery influence assembly outcomes. Engineering strategies for modifying the assemblies are summarized and mapped onto broad applications across fundamental biology, biomedicine, and nonbiological fields. Lastly, we highlight existing opportunities for engineering and designing in cellulo protein assemblies. Through this review, we hope to give a comprehensive overview of this exciting and rapidly growing field and share our perspective on the possible future directions.</w:t>
      </w:r>
    </w:p>
    <w:p>
      <w:pPr>
        <w:spacing w:before="120" w:after="120"/>
      </w:pPr>
      <w:r>
        <w:rPr>
          <w:sz w:val="18"/>
        </w:rPr>
        <w:t>——————————————————————————————————————————————————————————————————————</w:t>
      </w:r>
    </w:p>
    <w:p>
      <w:pPr>
        <w:spacing w:before="160" w:after="40" w:line="240" w:lineRule="auto"/>
      </w:pPr>
      <w:r>
        <w:rPr>
          <w:b/>
        </w:rPr>
        <w:t xml:space="preserve">[204] </w:t>
      </w:r>
      <w:hyperlink r:id="rId577">
        <w:r>
          <w:rPr>
            <w:color w:val="1155CC"/>
            <w:u w:val="single"/>
          </w:rPr>
          <w:t>DNA病毒组随人类基因和环境而变化</w:t>
        </w:r>
      </w:hyperlink>
    </w:p>
    <w:p>
      <w:pPr>
        <w:spacing w:before="0" w:after="80"/>
      </w:pPr>
      <w:r>
        <w:rPr>
          <w:i/>
          <w:sz w:val="20"/>
        </w:rPr>
        <w:t>EN: The DNA virome varies with human genes and environments</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578">
        <w:r>
          <w:rPr>
            <w:color w:val="1155CC"/>
            <w:u w:val="single"/>
          </w:rPr>
          <w:t>10.1038/s41586-026-10288-y</w:t>
        </w:r>
      </w:hyperlink>
    </w:p>
    <w:p>
      <w:pPr>
        <w:spacing w:before="0" w:after="120"/>
      </w:pPr>
      <w:r>
        <w:rPr>
          <w:b/>
        </w:rPr>
        <w:t xml:space="preserve">Notes: </w:t>
      </w:r>
      <w:r>
        <w:t>abstract_source=nature_html</w:t>
      </w:r>
    </w:p>
    <w:p>
      <w:pPr>
        <w:spacing w:before="0" w:after="80" w:lineRule="auto" w:line="276"/>
      </w:pPr>
      <w:r>
        <w:rPr>
          <w:b/>
        </w:rPr>
        <w:t xml:space="preserve">摘要（ZH）: </w:t>
      </w:r>
      <w:r>
        <w:t>许多病毒已经适应在感染的人体内终生存在1,2。宿主对其持续丰度（病毒载量）的可变控制可能导致清除或疾病3,4,5。在此，我们使用来自英国生物银行（n = 490,401）、All of Us（n = 414,817）和西蒙斯基金会自闭症研究知识（SPARK；n = 12,519）的全基因组测序数据，分析了31种常见病毒在人体血液和唾液中的病毒DNA载量。病毒DNA载量随年龄、一天中的时间和季节显著变化；大多数病毒在男性中的丰度也高于女性。人类遗传变异在与七种病毒的DNA载量相关的数十个基因座上表现出关联：Epstein–Barr病毒（EBV，45个基因座）、人类疱疹病毒（HHV）-7（37个基因座）、HHV-6B、Merkel细胞多瘤病毒和三种环状病毒。主要基因座的变异</w:t>
      </w:r>
    </w:p>
    <w:p>
      <w:pPr>
        <w:spacing w:before="0" w:after="200" w:lineRule="auto" w:line="276"/>
      </w:pPr>
      <w:r>
        <w:rPr>
          <w:b/>
        </w:rPr>
        <w:t xml:space="preserve">Abstract (EN): </w:t>
      </w:r>
      <w:r>
        <w:t>Many viruses have adapted to persist in infected humans for life1,2. Variable host control of their ongoing abundance (viral load) can lead to clearance or disease3,4,5. Here we analysed the viral DNA load of 31 common viruses in human blood and saliva using whole-genome sequencing data from UK Biobank (n = 490,401), All of Us (n = 414,817) and Simons Foundation Powering Autism Research for Knowledge (SPARK; n = 12,519). Viral DNA load varied markedly with age, time of day and season; most viruses were also present at greater abundance in men than in women. Human genetic variation at dozens of loci associated with DNA load of seven viruses: Epstein–Barr virus (EBV, 45 loci), human herpesvirus (HHV)-7 (37 loci), HHV-6B, Merkel cell polyomavirus and three anelloviruses. Variation at the major histocompatibility complex (MHC) locus generated the strongest associations (P = 5.8 × 10–9 to 2.5 × 10–1459), which were specific to each virus. The HLA-B*08:01 allele also exhibited a host–virus genetic interaction with EBV subtype (P = 7.4 × 10–70). Other human genetic effects implicated genes encoding proteins that process peptides for antigen presentation, such as ERAP1 (HHV-7, P = 2.7 × 10–78) and ERAP2 (EBV, P = 4.6 × 10–111). Mendelian randomization analyses supported a strong causal effect of EBV DNA load on increased risk of Hodgkin’s lymphoma (P = 1.8 × 10–3), but not multiple sclerosis (P = 0.52). This suggests that higher chronic EBV load increases lymphoma risk, whereas associations of EBV infection with autoimmune conditions reflect host immune responses to particular viral epitopes.</w:t>
      </w:r>
    </w:p>
    <w:p>
      <w:pPr>
        <w:spacing w:before="120" w:after="120"/>
      </w:pPr>
      <w:r>
        <w:rPr>
          <w:sz w:val="18"/>
        </w:rPr>
        <w:t>——————————————————————————————————————————————————————————————————————</w:t>
      </w:r>
    </w:p>
    <w:p>
      <w:pPr>
        <w:spacing w:before="160" w:after="40" w:line="240" w:lineRule="auto"/>
      </w:pPr>
      <w:r>
        <w:rPr>
          <w:b/>
        </w:rPr>
        <w:t xml:space="preserve">[205] </w:t>
      </w:r>
      <w:hyperlink r:id="rId579">
        <w:r>
          <w:rPr>
            <w:color w:val="1155CC"/>
            <w:u w:val="single"/>
          </w:rPr>
          <w:t>谁放狼进来的？家犬的遗传记录被推迟了5000年</w:t>
        </w:r>
      </w:hyperlink>
    </w:p>
    <w:p>
      <w:pPr>
        <w:spacing w:before="0" w:after="80"/>
      </w:pPr>
      <w:r>
        <w:rPr>
          <w:i/>
          <w:sz w:val="20"/>
        </w:rPr>
        <w:t>EN: Who let the wolves in? Genetic record for domestic dogs pushed back by 5,000 years</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580">
        <w:r>
          <w:rPr>
            <w:color w:val="1155CC"/>
            <w:u w:val="single"/>
          </w:rPr>
          <w:t>10.1038/d41586-026-00900-6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[206] </w:t>
      </w:r>
      <w:hyperlink r:id="rId581">
        <w:r>
          <w:rPr>
            <w:color w:val="1155CC"/>
            <w:u w:val="single"/>
          </w:rPr>
          <w:t>自然指数指南</w:t>
        </w:r>
      </w:hyperlink>
    </w:p>
    <w:p>
      <w:pPr>
        <w:spacing w:before="0" w:after="80"/>
      </w:pPr>
      <w:r>
        <w:rPr>
          <w:i/>
          <w:sz w:val="20"/>
        </w:rPr>
        <w:t>EN: A guide to the Nature Index</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582">
        <w:r>
          <w:rPr>
            <w:color w:val="1155CC"/>
            <w:u w:val="single"/>
          </w:rPr>
          <w:t>10.1038/d41586-026-00427-w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[207] </w:t>
      </w:r>
      <w:hyperlink r:id="rId583">
        <w:r>
          <w:rPr>
            <w:color w:val="1155CC"/>
            <w:u w:val="single"/>
          </w:rPr>
          <w:t>‘成绩膨胀’影响博士生。增加背后的原因是什么？</w:t>
        </w:r>
      </w:hyperlink>
    </w:p>
    <w:p>
      <w:pPr>
        <w:spacing w:before="0" w:after="80"/>
      </w:pPr>
      <w:r>
        <w:rPr>
          <w:i/>
          <w:sz w:val="20"/>
        </w:rPr>
        <w:t>EN: ‘Grade inflation’ hits PhD students. What’s behind the increase?</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584">
        <w:r>
          <w:rPr>
            <w:color w:val="1155CC"/>
            <w:u w:val="single"/>
          </w:rPr>
          <w:t>10.1038/d41586-026-00952-8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[208] </w:t>
      </w:r>
      <w:hyperlink r:id="rId585">
        <w:r>
          <w:rPr>
            <w:color w:val="1155CC"/>
            <w:u w:val="single"/>
          </w:rPr>
          <w:t>失活SnRK1β1A促进水稻的广谱抗病性</w:t>
        </w:r>
      </w:hyperlink>
    </w:p>
    <w:p>
      <w:pPr>
        <w:spacing w:before="0" w:after="80"/>
      </w:pPr>
      <w:r>
        <w:rPr>
          <w:i/>
          <w:sz w:val="20"/>
        </w:rPr>
        <w:t>EN: Inactivating SnRK1β1A promotes broad-spectrum disease resistance in rice</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586">
        <w:r>
          <w:rPr>
            <w:color w:val="1155CC"/>
            <w:u w:val="single"/>
          </w:rPr>
          <w:t>10.1038/s41586-026-10273-5</w:t>
        </w:r>
      </w:hyperlink>
    </w:p>
    <w:p>
      <w:pPr>
        <w:spacing w:before="0" w:after="120"/>
      </w:pPr>
      <w:r>
        <w:rPr>
          <w:b/>
        </w:rPr>
        <w:t xml:space="preserve">Notes: </w:t>
      </w:r>
      <w:r>
        <w:t>abstract_source=nature_html</w:t>
      </w:r>
    </w:p>
    <w:p>
      <w:pPr>
        <w:spacing w:before="0" w:after="80" w:lineRule="auto" w:line="276"/>
      </w:pPr>
      <w:r>
        <w:rPr>
          <w:b/>
        </w:rPr>
        <w:t xml:space="preserve">摘要（ZH）: </w:t>
      </w:r>
      <w:r>
        <w:t>水稻是世界上超过一半人口的主食作物，其可持续生产对于确保全球粮食安全至关重要。然而，水稻易受多种毁灭性真菌病害的影响1，包括由稻瘟病菌（Magnaporthe oryzae）引起的稻瘟病、由水稻纹枯病菌（Rhizoctonia solani）引起的纹枯病、由假黑穗病菌（Ustilaginoidea virens）引起的假黑穗病、由稻曲病菌（Bipolaris oryzae）引起的稻曲病、由赤霉病菌（Fusarium fujikuroi）引起的赤霉病和由禾谷镰刀菌（Fusarium graminearum）引起的穗腐病。这些真菌病害的易感机制仍不清楚。在此，我们报告SnRK1的β亚基，SnRK1β1A，赋予对这些真菌病害的广谱易感性。我们的研究发现，不同的水稻真菌病原体趋同进化出一种效应蛋白样的蛋白质Gas2，它与SnRK1β1A相互作用以阻止其</w:t>
      </w:r>
    </w:p>
    <w:p>
      <w:pPr>
        <w:spacing w:before="0" w:after="200" w:lineRule="auto" w:line="276"/>
      </w:pPr>
      <w:r>
        <w:rPr>
          <w:b/>
        </w:rPr>
        <w:t xml:space="preserve">Abstract (EN): </w:t>
      </w:r>
      <w:r>
        <w:t>Rice is a staple crop for more than half of the world’s population, and its sustainable production is vital to ensure global food security. However, rice is susceptible to several devastating fungal diseases1, including blast disease caused by Magnaporthe oryzae, sheath blight by Rhizoctonia solani, false smut by Ustilaginoidea virens, brown spot by Bipolaris oryzae, bakanae by Fusarium fujikuroi and head blight by Fusarium graminearum. The mechanisms underlying the susceptibility to these fungal diseases remain unclear. Here we report that the β subunit of SnRK1, SnRK1β1A, confers broad-spectrum susceptibility to these fungal diseases. Our findings show that diverse rice fungal pathogens have convergently evolved an effector-like protein, Gas2, which interacts with SnRK1β1A to prevent its ubiquitination-mediated degradation and promotes its nuclear translocation. SnRK1β1A is markedly induced on fungal infection, promoting susceptibility by inhibiting SnRK1α1, an α subunit of SnRK1 known to positively regulate broad-spectrum resistance in rice2. Notably, rice lines with disrupted SnRK1β1A are resistant to several fungal diseases without compromising growth and yield in the field under normal farming conditions. This study demonstrates that broad-spectrum disease resistance in crops can be achieved by disrupting inducible susceptibility genes whose encoded proteins are targeted by effectors conserved across several pathogens.</w:t>
      </w:r>
    </w:p>
    <w:p>
      <w:pPr>
        <w:spacing w:before="120" w:after="120"/>
      </w:pPr>
      <w:r>
        <w:rPr>
          <w:sz w:val="18"/>
        </w:rPr>
        <w:t>——————————————————————————————————————————————————————————————————————</w:t>
      </w:r>
    </w:p>
    <w:p>
      <w:pPr>
        <w:spacing w:before="160" w:after="40" w:line="240" w:lineRule="auto"/>
      </w:pPr>
      <w:r>
        <w:rPr>
          <w:b/>
        </w:rPr>
        <w:t xml:space="preserve">[209] </w:t>
      </w:r>
      <w:hyperlink r:id="rId587">
        <w:r>
          <w:rPr>
            <w:color w:val="1155CC"/>
            <w:u w:val="single"/>
          </w:rPr>
          <w:t>睾酮促进年轻男孩一种脑肿瘤的生长</w:t>
        </w:r>
      </w:hyperlink>
    </w:p>
    <w:p>
      <w:pPr>
        <w:spacing w:before="0" w:after="80"/>
      </w:pPr>
      <w:r>
        <w:rPr>
          <w:i/>
          <w:sz w:val="20"/>
        </w:rPr>
        <w:t>EN: Testosterone promotes growth of a type of brain tumour in young boys</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588">
        <w:r>
          <w:rPr>
            <w:color w:val="1155CC"/>
            <w:u w:val="single"/>
          </w:rPr>
          <w:t>10.1038/d41586-026-00638-1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[210] </w:t>
      </w:r>
      <w:hyperlink r:id="rId589">
        <w:r>
          <w:rPr>
            <w:color w:val="1155CC"/>
            <w:u w:val="single"/>
          </w:rPr>
          <w:t>红光疗法背后的惊人科学及其实际工作原理</w:t>
        </w:r>
      </w:hyperlink>
    </w:p>
    <w:p>
      <w:pPr>
        <w:spacing w:before="0" w:after="80"/>
      </w:pPr>
      <w:r>
        <w:rPr>
          <w:i/>
          <w:sz w:val="20"/>
        </w:rPr>
        <w:t>EN: The surprising science behind red-light therapy — and how it really works</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590">
        <w:r>
          <w:rPr>
            <w:color w:val="1155CC"/>
            <w:u w:val="single"/>
          </w:rPr>
          <w:t>10.1038/d41586-026-00878-1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[211] </w:t>
      </w:r>
      <w:hyperlink r:id="rId591">
        <w:r>
          <w:rPr>
            <w:color w:val="1155CC"/>
            <w:u w:val="single"/>
          </w:rPr>
          <w:t>袜子。某物。嗯。</w:t>
        </w:r>
      </w:hyperlink>
    </w:p>
    <w:p>
      <w:pPr>
        <w:spacing w:before="0" w:after="80"/>
      </w:pPr>
      <w:r>
        <w:rPr>
          <w:i/>
          <w:sz w:val="20"/>
        </w:rPr>
        <w:t>EN: Sock. Something. Um.</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592">
        <w:r>
          <w:rPr>
            <w:color w:val="1155CC"/>
            <w:u w:val="single"/>
          </w:rPr>
          <w:t>10.1038/d41586-026-00614-9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[212] </w:t>
      </w:r>
      <w:hyperlink r:id="rId593">
        <w:r>
          <w:rPr>
            <w:color w:val="1155CC"/>
            <w:u w:val="single"/>
          </w:rPr>
          <w:t>拓扑孤子频率梳在纳米光子铌酸锂中</w:t>
        </w:r>
      </w:hyperlink>
    </w:p>
    <w:p>
      <w:pPr>
        <w:spacing w:before="0" w:after="80"/>
      </w:pPr>
      <w:r>
        <w:rPr>
          <w:i/>
          <w:sz w:val="20"/>
        </w:rPr>
        <w:t>EN: Topological soliton frequency comb in nanophotonic lithium niobate</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594">
        <w:r>
          <w:rPr>
            <w:color w:val="1155CC"/>
            <w:u w:val="single"/>
          </w:rPr>
          <w:t>10.1038/s41586-026-10292-2</w:t>
        </w:r>
      </w:hyperlink>
    </w:p>
    <w:p>
      <w:pPr>
        <w:spacing w:before="0" w:after="120"/>
      </w:pPr>
      <w:r>
        <w:rPr>
          <w:b/>
        </w:rPr>
        <w:t xml:space="preserve">Notes: </w:t>
      </w:r>
      <w:r>
        <w:t>abstract_source=nature_html</w:t>
      </w:r>
    </w:p>
    <w:p>
      <w:pPr>
        <w:spacing w:before="0" w:after="80" w:lineRule="auto" w:line="276"/>
      </w:pPr>
      <w:r>
        <w:rPr>
          <w:b/>
        </w:rPr>
        <w:t xml:space="preserve">摘要（ZH）: </w:t>
      </w:r>
      <w:r>
        <w:t>频率梳已经彻底改变了计量学、测距和光学钟1，激励了对芯片级梳源开发的大量努力2,3。某些芯片上的梳源已经存在，并通过电光调制4,5、锁模激光器6,7、量子级联激光器8,9,10或通过克尔非线性形成的孤子11,12实现。然而，芯片上的梳源的广泛部署仍然难以实现，因为它们仍然需要射频源、高Q（高品质因数）谐振器或复杂的稳定方案，同时面临效率挑战。在此，我们展示了一种基于锂铌酸盐纳米光子电路与半导体激光器集成的芯片上频率梳源，可以缓解这些挑战。我们展示了时间</w:t>
      </w:r>
    </w:p>
    <w:p>
      <w:pPr>
        <w:spacing w:before="0" w:after="200" w:lineRule="auto" w:line="276"/>
      </w:pPr>
      <w:r>
        <w:rPr>
          <w:b/>
        </w:rPr>
        <w:t xml:space="preserve">Abstract (EN): </w:t>
      </w:r>
      <w:r>
        <w:t>Frequency combs have revolutionized metrology, ranging and optical clocks1, motivating substantial efforts on the development of chip-scale comb sources2,3. Some on-chip comb sources exist and have been implemented through electro-optic modulation4,5, mode-locked lasers6,7, quantum cascade lasers8,9,10 or soliton formation by Kerr nonlinearity11,12. However, widespread deployment of on-chip comb sources has remained elusive, as they still require radiofrequency sources, high-Q (high-quality factor) resonators or complex stabilization schemes while facing efficiency challenges. Here, we demonstrate an on-chip frequency comb source based on the integration of a lithium niobate nanophotonic circuit with a semiconductor laser that can alleviate these challenges. We show the formation of temporal topological solitons in an on-chip nanophotonic parametric oscillator with quadratic nonlinearity and low finesse. These solitons, independent of the dispersion regime, consist of phase defects separating two π-out-of-phase continuous wave solutions at the signal frequency, which is half the input pump frequency13,14. We use on-chip cross-correlation for temporal measurements and confirm formation of topological solitons as short as 60 fs around 2 μm, in agreement with a generalized parametrically forced Ginzburg–Landau theory15,16,17. Moreover, we demonstrate a proof-of-concept turn-key operation of a hybrid-integrated source of topological frequency comb. Topological solitons are potential candidates for the development of integrated comb sources, which are dispersion-sign agnostic and do not require high-Q resonators or high-speed modulators, and can provide access to hard-to-reach spectral regions, including mid-infrared regions18.</w:t>
      </w:r>
    </w:p>
    <w:p>
      <w:pPr>
        <w:spacing w:before="120" w:after="120"/>
      </w:pPr>
      <w:r>
        <w:rPr>
          <w:sz w:val="18"/>
        </w:rPr>
        <w:t>——————————————————————————————————————————————————————————————————————</w:t>
      </w:r>
    </w:p>
    <w:p>
      <w:pPr>
        <w:spacing w:before="160" w:after="40" w:line="240" w:lineRule="auto"/>
      </w:pPr>
      <w:r>
        <w:rPr>
          <w:b/>
        </w:rPr>
        <w:t xml:space="preserve">[213] </w:t>
      </w:r>
      <w:hyperlink r:id="rId595">
        <w:r>
          <w:rPr>
            <w:color w:val="1155CC"/>
            <w:u w:val="single"/>
          </w:rPr>
          <w:t>即使全球变暖仅为2°C，极端气候结果仍可能发生</w:t>
        </w:r>
      </w:hyperlink>
    </w:p>
    <w:p>
      <w:pPr>
        <w:spacing w:before="0" w:after="80"/>
      </w:pPr>
      <w:r>
        <w:rPr>
          <w:i/>
          <w:sz w:val="20"/>
        </w:rPr>
        <w:t>EN: Extreme climate outcomes could still occur with just 2 °C of global warming</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596">
        <w:r>
          <w:rPr>
            <w:color w:val="1155CC"/>
            <w:u w:val="single"/>
          </w:rPr>
          <w:t>10.1038/d41586-026-00640-7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[214] </w:t>
      </w:r>
      <w:hyperlink r:id="rId597">
        <w:r>
          <w:rPr>
            <w:color w:val="1155CC"/>
            <w:u w:val="single"/>
          </w:rPr>
          <w:t>中国在非洲健康角色的利与弊</w:t>
        </w:r>
      </w:hyperlink>
    </w:p>
    <w:p>
      <w:pPr>
        <w:spacing w:before="0" w:after="80"/>
      </w:pPr>
      <w:r>
        <w:rPr>
          <w:i/>
          <w:sz w:val="20"/>
        </w:rPr>
        <w:t>EN: The pros and cons of China’s health role in Africa</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598">
        <w:r>
          <w:rPr>
            <w:color w:val="1155CC"/>
            <w:u w:val="single"/>
          </w:rPr>
          <w:t>10.1038/d41586-026-00425-y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[215] </w:t>
      </w:r>
      <w:hyperlink r:id="rId599">
        <w:r>
          <w:rPr>
            <w:color w:val="1155CC"/>
            <w:u w:val="single"/>
          </w:rPr>
          <w:t>冷敏感性的结构能量学</w:t>
        </w:r>
      </w:hyperlink>
    </w:p>
    <w:p>
      <w:pPr>
        <w:spacing w:before="0" w:after="80"/>
      </w:pPr>
      <w:r>
        <w:rPr>
          <w:i/>
          <w:sz w:val="20"/>
        </w:rPr>
        <w:t>EN: Structural energetics of cold sensitivity</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00">
        <w:r>
          <w:rPr>
            <w:color w:val="1155CC"/>
            <w:u w:val="single"/>
          </w:rPr>
          <w:t>10.1038/s41586-026-10276-2</w:t>
        </w:r>
      </w:hyperlink>
    </w:p>
    <w:p>
      <w:pPr>
        <w:spacing w:before="0" w:after="120"/>
      </w:pPr>
      <w:r>
        <w:rPr>
          <w:b/>
        </w:rPr>
        <w:t xml:space="preserve">Notes: </w:t>
      </w:r>
      <w:r>
        <w:t>abstract_source=nature_html</w:t>
      </w:r>
    </w:p>
    <w:p>
      <w:pPr>
        <w:spacing w:before="0" w:after="80" w:lineRule="auto" w:line="276"/>
      </w:pPr>
      <w:r>
        <w:rPr>
          <w:b/>
        </w:rPr>
        <w:t xml:space="preserve">摘要（ZH）: </w:t>
      </w:r>
      <w:r>
        <w:t>温度敏感瞬时受体电位（TRP）离子通道使躯体感觉神经纤维能够在广泛的生理范围内检测我们热环境的变化1,2,3。在哺乳动物中，薄荷醇受体TRPM8在低于约26°C的温度下被激活，并且对于感知寒冷或化学冷却剂是必不可少的4,5,6。一个令人着迷但尚未实现的目标是阐明TRPM8或其他温度敏感通道如何通过环境温度变化进行门控的结构和热力学机制。最近使用低温电子显微镜的研究试图解决这个具有挑战性的问题，但由于难以可视化温度诱导的构象亚状态或评估控制门控的能量景观而受到限制。</w:t>
      </w:r>
    </w:p>
    <w:p>
      <w:pPr>
        <w:spacing w:before="0" w:after="200" w:lineRule="auto" w:line="276"/>
      </w:pPr>
      <w:r>
        <w:rPr>
          <w:b/>
        </w:rPr>
        <w:t xml:space="preserve">Abstract (EN): </w:t>
      </w:r>
      <w:r>
        <w:t>Thermosensitive transient receptor potential (TRP) ion channels enable somatosensory nerve fibres to detect changes in our thermal environment over a wide physiologic range1,2,3. In mammals, the menthol receptor, TRPM8, is activated by temperatures below approximately 26 °C and is essential for the perception of cold or chemical cooling agents4,5,6. A fascinating, yet still unachieved goal is to elucidate mechanisms, both structural and thermodynamic, whereby TRPM8 or other thermosensitive channels are gated by changes in ambient temperature. Recent studies using cryogenic electron microscopy have attempted to address this challenging question but are limited by difficulties in visualizing temperature-evoked conformational sub-states or assessing the energetic landscape governing gating transitions7,8. Here we close this gap by combining cryogenic electron microscopy with hydrogen–deuterium exchange mass spectrometry to elucidate a mechanism for cold-evoked activation of TRPM8. First, we visualize TRPM8 channels in cellular membranes, where bona fide menthol- and cold-evoked open states are captured. We also identify a new ‘semi-swapped’ architecture in which interdigitation of channel sub-units is rearranged substantially following repositioning of the S6 transmembrane helix and elements of the pore region. We then use hydrogen–deuterium exchange mass spectrometry to pinpoint the pore and TRP helices as the regions exhibiting the greatest stimulus-evoked energetic changes that drive channel gating. Specifically, cold-evoked stabilization of the outer pore region repositions the pore lining S6 transmembrane helix while enabling binding of a regulatory lipid to stabilize the open channel. Structural mechanisms associated with activation are validated by comparison of human TRPM8 with the menthol-sensitive but relatively cold-insensitive avian orthologue. We propose a free energy landscape and conformational pathway whereby cold or cooling agents activate this thermosensory receptor.</w:t>
      </w:r>
    </w:p>
    <w:p>
      <w:pPr>
        <w:spacing w:before="120" w:after="120"/>
      </w:pPr>
      <w:r>
        <w:rPr>
          <w:sz w:val="18"/>
        </w:rPr>
        <w:t>——————————————————————————————————————————————————————————————————————</w:t>
      </w:r>
    </w:p>
    <w:p>
      <w:pPr>
        <w:spacing w:before="160" w:after="40" w:line="240" w:lineRule="auto"/>
      </w:pPr>
      <w:r>
        <w:rPr>
          <w:b/>
        </w:rPr>
        <w:t xml:space="preserve">[216] </w:t>
      </w:r>
      <w:hyperlink r:id="rId601">
        <w:r>
          <w:rPr>
            <w:color w:val="1155CC"/>
            <w:u w:val="single"/>
          </w:rPr>
          <w:t>在下颞皮层中神经编码的快速协同切换</w:t>
        </w:r>
      </w:hyperlink>
    </w:p>
    <w:p>
      <w:pPr>
        <w:spacing w:before="0" w:after="80"/>
      </w:pPr>
      <w:r>
        <w:rPr>
          <w:i/>
          <w:sz w:val="20"/>
        </w:rPr>
        <w:t>EN: Rapid concerted switching of the neural code in the inferotemporal cortex</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02">
        <w:r>
          <w:rPr>
            <w:color w:val="1155CC"/>
            <w:u w:val="single"/>
          </w:rPr>
          <w:t>10.1038/s41586-026-10267-3</w:t>
        </w:r>
      </w:hyperlink>
    </w:p>
    <w:p>
      <w:pPr>
        <w:spacing w:before="0" w:after="120"/>
      </w:pPr>
      <w:r>
        <w:rPr>
          <w:b/>
        </w:rPr>
        <w:t xml:space="preserve">Notes: </w:t>
      </w:r>
      <w:r>
        <w:t>abstract_source=nature_html</w:t>
      </w:r>
    </w:p>
    <w:p>
      <w:pPr>
        <w:spacing w:before="0" w:after="80" w:lineRule="auto" w:line="276"/>
      </w:pPr>
      <w:r>
        <w:rPr>
          <w:b/>
        </w:rPr>
        <w:t xml:space="preserve">摘要（ZH）: </w:t>
      </w:r>
      <w:r>
        <w:t>神经科学中的一个基本范式是，神经元通过固定的调谐功能来表示世界，从刺激特征到发放率的映射是稳定的1。在这里，我们报告说，调谐可以在神经群体中快速且一致地转变，从而实现从检测广泛类别到区分个体样本的动态过渡。我们着手解决视觉神经科学中关于下颞皮层是否使用特定物体类别的专用编码或适用于所有物体的通用编码的长期争论。我们发现，猕猴下颞皮层中的面孔选择性细胞最初采用了一种优化的通用编码用于面孔检测。然而，在持续不到20毫秒的快速协同群体事件后，神经元</w:t>
      </w:r>
    </w:p>
    <w:p>
      <w:pPr>
        <w:spacing w:before="0" w:after="200" w:lineRule="auto" w:line="276"/>
      </w:pPr>
      <w:r>
        <w:rPr>
          <w:b/>
        </w:rPr>
        <w:t xml:space="preserve">Abstract (EN): </w:t>
      </w:r>
      <w:r>
        <w:t>A fundamental paradigm in neuroscience is that neurons represent the world through fixed tuning functions, with stable mappings from stimulus features to firing rates1. Here, we report that tuning can instead shift rapidly and coherently across a neural population, enabling a dynamic transition from detecting a broad category to discriminating individual exemplars. We set out to address a longstanding debate in visual neuroscience about whether the inferotemporal cortex uses a specialized code for specific object categories or a general-purpose code that applies to all objects. We found that face-selective cells in macaque inferotemporal cortex initially adopted a general code optimized for face detection. However, after a rapid concerted population event lasting less than 20 ms, the neural code transformed into a face-specific one, with two striking features: response gradients to principal detection-related dimensions reversed direction, and new tuning emerged for multiple higher-dimensional features that support fine face discrimination. These dynamics in face patches were specific to face stimuli and did not occur in response to non-face objects. Thus, for faces, face cells transition from detection to discrimination by switching from an object-general code to a face-specific one. More broadly, our findings indicate that there is a previously unknown mechanism for neural representation: concerted stimulus-dependent switching of the neural code used by a cortical area.</w:t>
      </w:r>
    </w:p>
    <w:p>
      <w:pPr>
        <w:spacing w:before="120" w:after="120"/>
      </w:pPr>
      <w:r>
        <w:rPr>
          <w:sz w:val="18"/>
        </w:rPr>
        <w:t>——————————————————————————————————————————————————————————————————————</w:t>
      </w:r>
    </w:p>
    <w:p>
      <w:pPr>
        <w:spacing w:before="160" w:after="40" w:line="240" w:lineRule="auto"/>
      </w:pPr>
      <w:r>
        <w:rPr>
          <w:b/>
        </w:rPr>
        <w:t xml:space="preserve">[217] </w:t>
      </w:r>
      <w:hyperlink r:id="rId603">
        <w:r>
          <w:rPr>
            <w:color w:val="1155CC"/>
            <w:u w:val="single"/>
          </w:rPr>
          <w:t>厌恶学习劫持大脑糖传感器以巩固记忆</w:t>
        </w:r>
      </w:hyperlink>
    </w:p>
    <w:p>
      <w:pPr>
        <w:spacing w:before="0" w:after="80"/>
      </w:pPr>
      <w:r>
        <w:rPr>
          <w:i/>
          <w:sz w:val="20"/>
        </w:rPr>
        <w:t>EN: Aversive learning hijacks a brain sugar sensor to consolidate memory</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04">
        <w:r>
          <w:rPr>
            <w:color w:val="1155CC"/>
            <w:u w:val="single"/>
          </w:rPr>
          <w:t>10.1038/s41586-026-10306-z</w:t>
        </w:r>
      </w:hyperlink>
    </w:p>
    <w:p>
      <w:pPr>
        <w:spacing w:before="0" w:after="120"/>
      </w:pPr>
      <w:r>
        <w:rPr>
          <w:b/>
        </w:rPr>
        <w:t xml:space="preserve">Notes: </w:t>
      </w:r>
      <w:r>
        <w:t>abstract_source=nature_html</w:t>
      </w:r>
    </w:p>
    <w:p>
      <w:pPr>
        <w:spacing w:before="0" w:after="80" w:lineRule="auto" w:line="276"/>
      </w:pPr>
      <w:r>
        <w:rPr>
          <w:b/>
        </w:rPr>
        <w:t xml:space="preserve">摘要（ZH）: </w:t>
      </w:r>
      <w:r>
        <w:t>与食物相关的记忆形成涉及摄入后营养感应信号1,2,3,4,5。营养传感器是否在超出与进食相关的行为之外起作用尚不清楚。在这里，我们展示了果蝇大脑中的一种内部糖传感器6参与记忆巩固，无论是在禁食的果蝇中进行的涉及蔗糖奖励的食欲学习任务中，还是在不依赖食物线索的厌恶学习任务中自由进食的果蝇中7,8。在后者中，学习会话的间隔重复是诱导长期记忆的先决条件，通过一种去抑制机制将大脑果糖感应神经元引诱到禁食状态，尽管饱食，但暂时恢复其感应能力9。学习后糖摄入激活去抑制的果糖感应</w:t>
      </w:r>
    </w:p>
    <w:p>
      <w:pPr>
        <w:spacing w:before="0" w:after="200" w:lineRule="auto" w:line="276"/>
      </w:pPr>
      <w:r>
        <w:rPr>
          <w:b/>
        </w:rPr>
        <w:t xml:space="preserve">Abstract (EN): </w:t>
      </w:r>
      <w:r>
        <w:t>The formation of food-related memories involves post-ingestion nutrient sensing signals1,2,3,4,5. Whether nutrient sensors act beyond feeding-relevant behaviour is less well understood. Here we show that an internal sugar sensor in the Drosophila brain6 is involved in memory consolidation, both in fasted flies subjected to an appetitive learning task involving a sucrose reward and in flies fed ad libitum subjected to an aversive learning task independent of food cues7,8. In the latter, spaced repetition of learning sessions, a prerequisite to induce long-term memory, lures brain fructose-sensing neurons into a fasted state through a disinhibition mechanism that transiently restores their sensing ability despite satiation9. Post-learning sugar ingestion activates disinhibited fructose-sensing neurons, which triggers memory consolidation through the release of the glycoprotein hormone thyrostimulin10,11, as in appetitive learning. The reset of fructose-sensing neurons by spaced training also results in a fasted state-like feeding behaviour, manifesting in a strong increase in sucrose preference and intake. By revealing a mechanism of non-homeostatic hunger and its critical relevance for memory consolidation, our results provide a neural circuit basis, and a cognitive value, to a behaviour akin to emotional eating.</w:t>
      </w:r>
    </w:p>
    <w:p>
      <w:pPr>
        <w:spacing w:before="120" w:after="120"/>
      </w:pPr>
      <w:r>
        <w:rPr>
          <w:sz w:val="18"/>
        </w:rPr>
        <w:t>——————————————————————————————————————————————————————————————————————</w:t>
      </w:r>
    </w:p>
    <w:p>
      <w:pPr>
        <w:spacing w:before="160" w:after="40" w:line="240" w:lineRule="auto"/>
      </w:pPr>
      <w:r>
        <w:rPr>
          <w:b/>
        </w:rPr>
        <w:t xml:space="preserve">[218] </w:t>
      </w:r>
      <w:hyperlink r:id="rId605">
        <w:r>
          <w:rPr>
            <w:color w:val="1155CC"/>
            <w:u w:val="single"/>
          </w:rPr>
          <w:t>一种促进癌症的融合蛋白在胚胎大脑发育期间起作用</w:t>
        </w:r>
      </w:hyperlink>
    </w:p>
    <w:p>
      <w:pPr>
        <w:spacing w:before="0" w:after="80"/>
      </w:pPr>
      <w:r>
        <w:rPr>
          <w:i/>
          <w:sz w:val="20"/>
        </w:rPr>
        <w:t>EN: A cancer-promoting fusion protein acts during embryonic brain development</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06">
        <w:r>
          <w:rPr>
            <w:color w:val="1155CC"/>
            <w:u w:val="single"/>
          </w:rPr>
          <w:t>10.1038/d41586-026-00924-y</w:t>
        </w:r>
      </w:hyperlink>
    </w:p>
    <w:p>
      <w:pPr>
        <w:spacing w:before="0" w:after="120"/>
      </w:pPr>
      <w:r>
        <w:rPr>
          <w:b/>
        </w:rPr>
        <w:t xml:space="preserve">Notes: </w:t>
      </w:r>
      <w:r>
        <w:t>abstract_source=openalex</w:t>
      </w:r>
    </w:p>
    <w:p>
      <w:pPr>
        <w:spacing w:before="0" w:after="80" w:lineRule="auto" w:line="276"/>
      </w:pPr>
      <w:r>
        <w:rPr>
          <w:b/>
        </w:rPr>
        <w:t xml:space="preserve">摘要（ZH）: </w:t>
      </w:r>
      <w:r>
        <w:t>ZFTA–RELA 是一种基因融合的癌症促进蛋白产物。在发育中的小鼠中对 DNA–蛋白质复合物染色质中可接近位点的分析显示，ZFTA–RELA 结合到在胚胎脑发育期间可接近的染色质模块上，使某些细胞谱系面临转化为癌症的风险。在胚胎发育中产生的克隆可以产生一种儿童脑癌类型的全部细胞多样性。</w:t>
      </w:r>
    </w:p>
    <w:p>
      <w:pPr>
        <w:spacing w:before="0" w:after="200" w:lineRule="auto" w:line="276"/>
      </w:pPr>
      <w:r>
        <w:rPr>
          <w:b/>
        </w:rPr>
        <w:t xml:space="preserve">Abstract (EN): </w:t>
      </w:r>
      <w:r>
        <w:t>ZFTA–RELA is the cancer-promoting protein product of a gene fusion. Analyses of accessible sites in the DNA–protein complex chromatin in developing mice show that ZFTA–RELA binds to chromatin modules that are accessible during embryonic brain development, placing some cell lineages at risk of transformation into cancer. Clones generated in embryonic development can give rise to the full cellular diversity of a type of childhood brain cancer.</w:t>
      </w:r>
    </w:p>
    <w:p>
      <w:pPr>
        <w:spacing w:before="120" w:after="120"/>
      </w:pPr>
      <w:r>
        <w:rPr>
          <w:sz w:val="18"/>
        </w:rPr>
        <w:t>——————————————————————————————————————————————————————————————————————</w:t>
      </w:r>
    </w:p>
    <w:p>
      <w:pPr>
        <w:spacing w:before="160" w:after="40" w:line="240" w:lineRule="auto"/>
      </w:pPr>
      <w:r>
        <w:rPr>
          <w:b/>
        </w:rPr>
        <w:t xml:space="preserve">[219] </w:t>
      </w:r>
      <w:hyperlink r:id="rId607">
        <w:r>
          <w:rPr>
            <w:color w:val="1155CC"/>
            <w:u w:val="single"/>
          </w:rPr>
          <w:t>光诱导电子转移距离由固态有机供体-受体系统中的驱动力控制</w:t>
        </w:r>
      </w:hyperlink>
    </w:p>
    <w:p>
      <w:pPr>
        <w:spacing w:before="0" w:after="80"/>
      </w:pPr>
      <w:r>
        <w:rPr>
          <w:i/>
          <w:sz w:val="20"/>
        </w:rPr>
        <w:t>EN: Photoinduced electron-transfer distance is controlled by the driving force in solid-state organic donor–acceptor systems</w:t>
      </w:r>
    </w:p>
    <w:p>
      <w:pPr>
        <w:spacing w:before="0" w:after="120"/>
      </w:pPr>
      <w:r>
        <w:rPr>
          <w:b/>
        </w:rPr>
        <w:t xml:space="preserve">Source: </w:t>
      </w:r>
      <w:r>
        <w:t>Nature Chemistry</w:t>
      </w:r>
      <w:r>
        <w:t xml:space="preserve">    </w:t>
      </w:r>
      <w:r>
        <w:rPr>
          <w:b/>
        </w:rPr>
        <w:t xml:space="preserve">Pub date: </w:t>
      </w:r>
      <w:r>
        <w:t>2026-03-25 00:00:00+00:00</w:t>
      </w:r>
      <w:r>
        <w:t xml:space="preserve">    </w:t>
      </w:r>
      <w:r>
        <w:rPr>
          <w:b/>
        </w:rPr>
        <w:t xml:space="preserve">DOI: </w:t>
      </w:r>
      <w:hyperlink r:id="rId608">
        <w:r>
          <w:rPr>
            <w:color w:val="1155CC"/>
            <w:u w:val="single"/>
          </w:rPr>
          <w:t>10.1038/s41557-026-02089-7</w:t>
        </w:r>
      </w:hyperlink>
    </w:p>
    <w:p>
      <w:pPr>
        <w:spacing w:before="0" w:after="120"/>
      </w:pPr>
      <w:r>
        <w:rPr>
          <w:b/>
        </w:rPr>
        <w:t xml:space="preserve">Notes: </w:t>
      </w:r>
      <w:r>
        <w:t>abstract_source=nature_html</w:t>
      </w:r>
    </w:p>
    <w:p>
      <w:pPr>
        <w:spacing w:before="0" w:after="80" w:lineRule="auto" w:line="276"/>
      </w:pPr>
      <w:r>
        <w:rPr>
          <w:b/>
        </w:rPr>
        <w:t xml:space="preserve">摘要（ZH）: </w:t>
      </w:r>
      <w:r>
        <w:t>理解短程电子转移如何在有机太阳能电池中产生光电流以及需要什么光化学驱动力来最大化效率一直是一个极其困难的问题。在这里，我们展示了这些问题如何交织在一起：驱动力控制平均电荷转移距离，在最佳情况下跳过最短程状态。使用光诱导吸收检测磁共振，我们测量了稀释供体–受体混合物中平均电荷分离距离作为驱动力的函数，并将这些与通过时间分辨微波电导率测量的自由电荷产量进行比较。我们发现，最大的驱动力显示出最短的电荷分离距离，解释了它们抑制的自由载流子生成。这些结果支持</w:t>
      </w:r>
    </w:p>
    <w:p>
      <w:pPr>
        <w:spacing w:before="0" w:after="200" w:lineRule="auto" w:line="276"/>
      </w:pPr>
      <w:r>
        <w:rPr>
          <w:b/>
        </w:rPr>
        <w:t xml:space="preserve">Abstract (EN): </w:t>
      </w:r>
      <w:r>
        <w:t>Understanding how short-range electron transfer generates photocurrent in organic solar cells and what photochemical driving force is needed to maximize efficiencies has been an immensely difficult problem. Here we show how these questions are intertwined: the driving force controls the average charge-transfer distance, skipping the shortest-range states in the optimal case. Using photoinduced absorption-detected magnetic resonance, we measure average charge-separation distances in dilute donor–acceptor blends as a function of driving force, and compare these with free charge yields measured by time-resolved microwave conductivity. We find that the largest driving forces show the shortest charge-separation distances, explaining their suppressed free-carrier generation. These results support a long-range electron-transfer model, wherein the driving force controls the initial delocalization of the electron–hole pair. The minimum driving force required for efficient charge separation (and minimal voltage losses) is ultimately set by the dielectric constant of the material.</w:t>
      </w:r>
    </w:p>
    <w:p>
      <w:pPr>
        <w:spacing w:before="120" w:after="120"/>
      </w:pPr>
      <w:r>
        <w:rPr>
          <w:sz w:val="18"/>
        </w:rPr>
        <w:t>——————————————————————————————————————————————————————————————————————</w:t>
      </w:r>
    </w:p>
    <w:p>
      <w:pPr>
        <w:spacing w:before="160" w:after="40" w:line="240" w:lineRule="auto"/>
      </w:pPr>
      <w:r>
        <w:rPr>
          <w:b/>
        </w:rPr>
        <w:t xml:space="preserve">[220] </w:t>
      </w:r>
      <w:hyperlink r:id="rId609">
        <w:r>
          <w:rPr>
            <w:color w:val="1155CC"/>
            <w:u w:val="single"/>
          </w:rPr>
          <w:t>地缘政治紧张局势正促使中国重新考虑研究合作</w:t>
        </w:r>
      </w:hyperlink>
    </w:p>
    <w:p>
      <w:pPr>
        <w:spacing w:before="0" w:after="80"/>
      </w:pPr>
      <w:r>
        <w:rPr>
          <w:i/>
          <w:sz w:val="20"/>
        </w:rPr>
        <w:t>EN: Geopolitical tensions are leading China to rethink research collaboration</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10">
        <w:r>
          <w:rPr>
            <w:color w:val="1155CC"/>
            <w:u w:val="single"/>
          </w:rPr>
          <w:t>10.1038/d41586-026-00426-x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[221] </w:t>
      </w:r>
      <w:hyperlink r:id="rId611">
        <w:r>
          <w:rPr>
            <w:color w:val="1155CC"/>
            <w:u w:val="single"/>
          </w:rPr>
          <w:t>超螺旋诱导的CRISPR-Cas9脱靶活性的结构基础</w:t>
        </w:r>
      </w:hyperlink>
    </w:p>
    <w:p>
      <w:pPr>
        <w:spacing w:before="0" w:after="80"/>
      </w:pPr>
      <w:r>
        <w:rPr>
          <w:i/>
          <w:sz w:val="20"/>
        </w:rPr>
        <w:t>EN: Structural basis of supercoiling-induced CRISPR–Cas9 off-target activity</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12">
        <w:r>
          <w:rPr>
            <w:color w:val="1155CC"/>
            <w:u w:val="single"/>
          </w:rPr>
          <w:t>10.1038/s41586-026-10255-7</w:t>
        </w:r>
      </w:hyperlink>
    </w:p>
    <w:p>
      <w:pPr>
        <w:spacing w:before="0" w:after="120"/>
      </w:pPr>
      <w:r>
        <w:rPr>
          <w:b/>
        </w:rPr>
        <w:t xml:space="preserve">Notes: </w:t>
      </w:r>
      <w:r>
        <w:t>abstract_source=nature_html</w:t>
      </w:r>
    </w:p>
    <w:p>
      <w:pPr>
        <w:spacing w:before="0" w:after="80" w:lineRule="auto" w:line="276"/>
      </w:pPr>
      <w:r>
        <w:rPr>
          <w:b/>
        </w:rPr>
        <w:t xml:space="preserve">摘要（ZH）: </w:t>
      </w:r>
      <w:r>
        <w:t>CRISPR–Cas9 是一种强大的基因组编辑工具，但全基因组范围的脱靶活性可能会阻碍其治疗应用。负超螺旋 ((−)SC) 已被认为与脱靶活性有关，但缺乏分子水平的理解。在此，使用 (−)SC DNA 微环，我们观察到 DNA 中由超螺旋驱动的结构缺陷，这些缺陷通过 Cas9 结合得到解决。冷冻电子显微镜结构显示，Cas9 在靶向和脱靶配置中结合时，Cas9 的 HNH 结构域处于更具催化能力的构象。新的 DNA–RNA 错配几何形状在原间隔区得到适应，原间隔区邻近基序远端区域的结构可塑性依赖于拓扑。总之，我们的研究揭示了分子 b</w:t>
      </w:r>
    </w:p>
    <w:p>
      <w:pPr>
        <w:spacing w:before="0" w:after="200" w:lineRule="auto" w:line="276"/>
      </w:pPr>
      <w:r>
        <w:rPr>
          <w:b/>
        </w:rPr>
        <w:t xml:space="preserve">Abstract (EN): </w:t>
      </w:r>
      <w:r>
        <w:t>CRISPR–Cas9 is a powerful genome-editing tool1, but genome-wide off-target activity can hinder therapeutic applications. Negative supercoiling ((−)SC) has been implicated in off-target activity, but a molecular-level understanding is lacking. Here, using (−)SC DNA minicircles, we observe supercoiling-driven structural defects in the DNA that are resolved by Cas9 binding. Cryo-electron microscopy structures of Cas9 bound in both the on-target and off-target configurations highlight that the Cas9 HNH domain is poised in a more catalytically competent conformation. New DNA–RNA mismatch geometries are accommodated across the protospacer and structural plasticity in the protospacer adjacent motif distal region of the protospacer is topology dependent. Together, our study reveals the molecular basis for (−)SC-induced Cas9 targeting and provides a framework for the design of next-generation high-fidelity CRISPR effectors with topological context.</w:t>
      </w:r>
    </w:p>
    <w:p>
      <w:pPr>
        <w:spacing w:before="120" w:after="120"/>
      </w:pPr>
      <w:r>
        <w:rPr>
          <w:sz w:val="18"/>
        </w:rPr>
        <w:t>——————————————————————————————————————————————————————————————————————</w:t>
      </w:r>
    </w:p>
    <w:p>
      <w:pPr>
        <w:spacing w:before="160" w:after="40" w:line="240" w:lineRule="auto"/>
      </w:pPr>
      <w:r>
        <w:rPr>
          <w:b/>
        </w:rPr>
        <w:t xml:space="preserve">[222] </w:t>
      </w:r>
      <w:hyperlink r:id="rId613">
        <w:r>
          <w:rPr>
            <w:color w:val="1155CC"/>
            <w:u w:val="single"/>
          </w:rPr>
          <w:t>每日简报：红光疗法背后的惊人科学</w:t>
        </w:r>
      </w:hyperlink>
    </w:p>
    <w:p>
      <w:pPr>
        <w:spacing w:before="0" w:after="80"/>
      </w:pPr>
      <w:r>
        <w:rPr>
          <w:i/>
          <w:sz w:val="20"/>
        </w:rPr>
        <w:t>EN: Daily briefing: The surprising science behind red-light therapy</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14">
        <w:r>
          <w:rPr>
            <w:color w:val="1155CC"/>
            <w:u w:val="single"/>
          </w:rPr>
          <w:t>10.1038/d41586-026-00986-y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[223] </w:t>
      </w:r>
      <w:hyperlink r:id="rId615">
        <w:r>
          <w:rPr>
            <w:color w:val="1155CC"/>
            <w:u w:val="single"/>
          </w:rPr>
          <w:t>迈向智能化和小型化的药物输送装置</w:t>
        </w:r>
      </w:hyperlink>
    </w:p>
    <w:p>
      <w:pPr>
        <w:spacing w:before="0" w:after="80"/>
      </w:pPr>
      <w:r>
        <w:rPr>
          <w:i/>
          <w:sz w:val="20"/>
        </w:rPr>
        <w:t>EN: Towards intelligent and miniaturized drug delivery devices</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16">
        <w:r>
          <w:rPr>
            <w:color w:val="1155CC"/>
            <w:u w:val="single"/>
          </w:rPr>
          <w:t>10.1038/s41586-026-10221-3</w:t>
        </w:r>
      </w:hyperlink>
    </w:p>
    <w:p>
      <w:pPr>
        <w:spacing w:before="0" w:after="120"/>
      </w:pPr>
      <w:r>
        <w:rPr>
          <w:b/>
        </w:rPr>
        <w:t xml:space="preserve">Notes: </w:t>
      </w:r>
      <w:r>
        <w:t>abstract_source=nature_html</w:t>
      </w:r>
    </w:p>
    <w:p>
      <w:pPr>
        <w:spacing w:before="0" w:after="80" w:lineRule="auto" w:line="276"/>
      </w:pPr>
      <w:r>
        <w:rPr>
          <w:b/>
        </w:rPr>
        <w:t xml:space="preserve">摘要（ZH）: </w:t>
      </w:r>
      <w:r>
        <w:t>生物技术、人工智能、电子学和材料科学交叉领域的进步正在重塑药物在体内的递送方式。智能和微型化药物递送装置 (IMDDDs) 利用这些技术实现精确的药代动力学、靶向分布和可编程释放，同时最大限度地减少毒性并提高患者依从性。与传统方法不同，IMDDDs 可以结合实时传感和自适应控制，使药物管理更加精确并更能响应动态生理条件。在本综述中，我们概述了关键类别和设计原则，强调了用于增强性能的人工智能技术，讨论了在癌症、糖尿病等领域的潜在临床应用</w:t>
      </w:r>
    </w:p>
    <w:p>
      <w:pPr>
        <w:spacing w:before="0" w:after="200" w:lineRule="auto" w:line="276"/>
      </w:pPr>
      <w:r>
        <w:rPr>
          <w:b/>
        </w:rPr>
        <w:t xml:space="preserve">Abstract (EN): </w:t>
      </w:r>
      <w:r>
        <w:t>Advances at the intersection of biotechnology, artificial intelligence, electronics and materials science are reshaping how drugs can be delivered inside the body. Intelligent and miniaturized drug delivery devices (IMDDDs) leverage these technologies to achieve precise pharmacokinetics, targeted distribution and programmable release while minimizing toxicity and improving patient adherence. Unlike conventional approaches, IMDDDs can incorporate real-time sensing and adaptive control, enabling drug administration that is more precise and more responsive to dynamic physiological conditions. In this Review, we outline key categories and design principles, highlight artificial intelligence technologies for augmenting performance, discuss potential clinical applications across cancer, diabetes, cardiovascular disease, vaccination and beyond, and examine translation challenges and opportunities. By uniting engineering innovation with medical need, IMDDDs exemplify the next generation of drug delivery technologies.</w:t>
      </w:r>
    </w:p>
    <w:p>
      <w:pPr>
        <w:spacing w:before="120" w:after="120"/>
      </w:pPr>
      <w:r>
        <w:rPr>
          <w:sz w:val="18"/>
        </w:rPr>
        <w:t>——————————————————————————————————————————————————————————————————————</w:t>
      </w:r>
    </w:p>
    <w:p>
      <w:pPr>
        <w:spacing w:before="160" w:after="40" w:line="240" w:lineRule="auto"/>
      </w:pPr>
      <w:r>
        <w:rPr>
          <w:b/>
        </w:rPr>
        <w:t xml:space="preserve">[224] </w:t>
      </w:r>
      <w:hyperlink r:id="rId617">
        <w:r>
          <w:rPr>
            <w:color w:val="1155CC"/>
            <w:u w:val="single"/>
          </w:rPr>
          <w:t>首个大脑组织图谱展示了一生的发展</w:t>
        </w:r>
      </w:hyperlink>
    </w:p>
    <w:p>
      <w:pPr>
        <w:spacing w:before="0" w:after="80"/>
      </w:pPr>
      <w:r>
        <w:rPr>
          <w:i/>
          <w:sz w:val="20"/>
        </w:rPr>
        <w:t>EN: First atlas of brain organization shows development over a lifetime</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18">
        <w:r>
          <w:rPr>
            <w:color w:val="1155CC"/>
            <w:u w:val="single"/>
          </w:rPr>
          <w:t>10.1038/d41586-026-00975-1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[225] </w:t>
      </w:r>
      <w:hyperlink r:id="rId619">
        <w:r>
          <w:rPr>
            <w:color w:val="1155CC"/>
            <w:u w:val="single"/>
          </w:rPr>
          <w:t>为什么中国的慈善家们在研究上投入巨大</w:t>
        </w:r>
      </w:hyperlink>
    </w:p>
    <w:p>
      <w:pPr>
        <w:spacing w:before="0" w:after="80"/>
      </w:pPr>
      <w:r>
        <w:rPr>
          <w:i/>
          <w:sz w:val="20"/>
        </w:rPr>
        <w:t>EN: Why China’s philanthropists are digging deep for research</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20">
        <w:r>
          <w:rPr>
            <w:color w:val="1155CC"/>
            <w:u w:val="single"/>
          </w:rPr>
          <w:t>10.1038/d41586-026-00424-z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[226] </w:t>
      </w:r>
      <w:hyperlink r:id="rId621">
        <w:r>
          <w:rPr>
            <w:color w:val="1155CC"/>
            <w:u w:val="single"/>
          </w:rPr>
          <w:t>抗癌抗体可能进化为导致自身免疫性脑病</w:t>
        </w:r>
      </w:hyperlink>
    </w:p>
    <w:p>
      <w:pPr>
        <w:spacing w:before="0" w:after="80"/>
      </w:pPr>
      <w:r>
        <w:rPr>
          <w:i/>
          <w:sz w:val="20"/>
        </w:rPr>
        <w:t>EN: Anticancer antibodies can evolve to cause autoimmune brain disease</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22">
        <w:r>
          <w:rPr>
            <w:color w:val="1155CC"/>
            <w:u w:val="single"/>
          </w:rPr>
          <w:t>10.1038/d41586-026-00919-9</w:t>
        </w:r>
      </w:hyperlink>
    </w:p>
    <w:p>
      <w:pPr>
        <w:spacing w:before="0" w:after="120"/>
      </w:pPr>
      <w:r>
        <w:rPr>
          <w:b/>
        </w:rPr>
        <w:t xml:space="preserve">Notes: </w:t>
      </w:r>
      <w:r>
        <w:t>abstract_source=openalex</w:t>
      </w:r>
    </w:p>
    <w:p>
      <w:pPr>
        <w:spacing w:before="0" w:after="80" w:lineRule="auto" w:line="276"/>
      </w:pPr>
      <w:r>
        <w:rPr>
          <w:b/>
        </w:rPr>
        <w:t xml:space="preserve">摘要（ZH）: </w:t>
      </w:r>
      <w:r>
        <w:t>一种表达NMDA受体的乳腺癌模型——这种蛋白质可以调节神经元之间的信号传递——被用来追踪成熟过程中产生自身免疫抗体的预存B细胞，这些抗体对受体功能有多种影响。将一种抗体转移到小鼠大脑中，重现了自身免疫性脑炎的关键特征。称为B细胞的免疫细胞识别在某些癌症中表达的NMDA受体，并产生针对它的抗体。</w:t>
      </w:r>
    </w:p>
    <w:p>
      <w:pPr>
        <w:spacing w:before="0" w:after="200" w:lineRule="auto" w:line="276"/>
      </w:pPr>
      <w:r>
        <w:rPr>
          <w:b/>
        </w:rPr>
        <w:t xml:space="preserve">Abstract (EN): </w:t>
      </w:r>
      <w:r>
        <w:t>A model of breast cancer that expresses NMDA receptors — proteins that modify signalling between neurons — was used to trace pre-existing B cells as they matured to produce autoimmune antibodies that have diverse effects on receptor function. Transferring one antibody into mouse brains recapitulated key features of autoimmune brain inflammation. Immune cells called B cells recognize the NMDA receptor expressed on some cancers and produce antibodies targeting it.</w:t>
      </w:r>
    </w:p>
    <w:p>
      <w:pPr>
        <w:spacing w:before="120" w:after="120"/>
      </w:pPr>
      <w:r>
        <w:rPr>
          <w:sz w:val="18"/>
        </w:rPr>
        <w:t>——————————————————————————————————————————————————————————————————————</w:t>
      </w:r>
    </w:p>
    <w:p>
      <w:pPr>
        <w:spacing w:before="160" w:after="40" w:line="240" w:lineRule="auto"/>
      </w:pPr>
      <w:r>
        <w:rPr>
          <w:b/>
        </w:rPr>
        <w:t xml:space="preserve">[227] </w:t>
      </w:r>
      <w:hyperlink r:id="rId623">
        <w:r>
          <w:rPr>
            <w:color w:val="1155CC"/>
            <w:u w:val="single"/>
          </w:rPr>
          <w:t>‘连续性胜过新颖性’：为什么环境科学需要重新思考其重点</w:t>
        </w:r>
      </w:hyperlink>
    </w:p>
    <w:p>
      <w:pPr>
        <w:spacing w:before="0" w:after="80"/>
      </w:pPr>
      <w:r>
        <w:rPr>
          <w:i/>
          <w:sz w:val="20"/>
        </w:rPr>
        <w:t>EN: ‘Continuity over novelty’: why environmental science needs to rethink its focus</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24">
        <w:r>
          <w:rPr>
            <w:color w:val="1155CC"/>
            <w:u w:val="single"/>
          </w:rPr>
          <w:t>10.1038/d41586-026-00933-x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[228] </w:t>
      </w:r>
      <w:hyperlink r:id="rId625">
        <w:r>
          <w:rPr>
            <w:color w:val="1155CC"/>
            <w:u w:val="single"/>
          </w:rPr>
          <w:t>对过去炎症的记忆</w:t>
        </w:r>
      </w:hyperlink>
    </w:p>
    <w:p>
      <w:pPr>
        <w:spacing w:before="0" w:after="80"/>
      </w:pPr>
      <w:r>
        <w:rPr>
          <w:i/>
          <w:sz w:val="20"/>
        </w:rPr>
        <w:t>EN: Remembrance of inflammations past</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26">
        <w:r>
          <w:rPr>
            <w:color w:val="1155CC"/>
            <w:u w:val="single"/>
          </w:rPr>
          <w:t>10.1038/d41586-026-00639-0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[229] </w:t>
      </w:r>
      <w:hyperlink r:id="rId627">
        <w:r>
          <w:rPr>
            <w:color w:val="1155CC"/>
            <w:u w:val="single"/>
          </w:rPr>
          <w:t>大型会议发现非法AI使用——并拒绝了数百篇论文</w:t>
        </w:r>
      </w:hyperlink>
    </w:p>
    <w:p>
      <w:pPr>
        <w:spacing w:before="0" w:after="80"/>
      </w:pPr>
      <w:r>
        <w:rPr>
          <w:i/>
          <w:sz w:val="20"/>
        </w:rPr>
        <w:t>EN: Major conference catches illicit AI use — and rejects hundreds of papers</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28">
        <w:r>
          <w:rPr>
            <w:color w:val="1155CC"/>
            <w:u w:val="single"/>
          </w:rPr>
          <w:t>10.1038/d41586-026-00893-2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[230] </w:t>
      </w:r>
      <w:hyperlink r:id="rId629">
        <w:r>
          <w:rPr>
            <w:color w:val="1155CC"/>
            <w:u w:val="single"/>
          </w:rPr>
          <w:t>中国是一个创新强国——但应进行更多基础研究</w:t>
        </w:r>
      </w:hyperlink>
    </w:p>
    <w:p>
      <w:pPr>
        <w:spacing w:before="0" w:after="80"/>
      </w:pPr>
      <w:r>
        <w:rPr>
          <w:i/>
          <w:sz w:val="20"/>
        </w:rPr>
        <w:t>EN: China is an innovation powerhouse — but it should do more fundamental research</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30">
        <w:r>
          <w:rPr>
            <w:color w:val="1155CC"/>
            <w:u w:val="single"/>
          </w:rPr>
          <w:t>10.1038/d41586-026-00935-9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[231] </w:t>
      </w:r>
      <w:hyperlink r:id="rId631">
        <w:r>
          <w:rPr>
            <w:color w:val="1155CC"/>
            <w:u w:val="single"/>
          </w:rPr>
          <w:t>重新定向电流解决钙钛矿太阳能电池面临的阴影问题</w:t>
        </w:r>
      </w:hyperlink>
    </w:p>
    <w:p>
      <w:pPr>
        <w:spacing w:before="0" w:after="80"/>
      </w:pPr>
      <w:r>
        <w:rPr>
          <w:i/>
          <w:sz w:val="20"/>
        </w:rPr>
        <w:t>EN: Redirecting current solves a shadowy problem faced by perovskite solar cells</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32">
        <w:r>
          <w:rPr>
            <w:color w:val="1155CC"/>
            <w:u w:val="single"/>
          </w:rPr>
          <w:t>10.1038/d41586-026-00921-1</w:t>
        </w:r>
      </w:hyperlink>
    </w:p>
    <w:p>
      <w:pPr>
        <w:spacing w:before="0" w:after="120"/>
      </w:pPr>
      <w:r>
        <w:rPr>
          <w:b/>
        </w:rPr>
        <w:t xml:space="preserve">Notes: </w:t>
      </w:r>
      <w:r>
        <w:t>abstract_source=openalex</w:t>
      </w:r>
    </w:p>
    <w:p>
      <w:pPr>
        <w:spacing w:before="0" w:after="80" w:lineRule="auto" w:line="276"/>
      </w:pPr>
      <w:r>
        <w:rPr>
          <w:b/>
        </w:rPr>
        <w:t xml:space="preserve">摘要（ZH）: </w:t>
      </w:r>
      <w:r>
        <w:t>由钙钛矿材料制成的太阳能组件在部分阴影下存在稳定性问题。这个长期存在的问题现在通过将一种称为忆阻器的电子元件集成到太阳能电池中得到了解决。将忆阻器设备集成到钙钛矿太阳能电池中可以防止形成有害的“热点”。</w:t>
      </w:r>
    </w:p>
    <w:p>
      <w:pPr>
        <w:spacing w:before="0" w:after="200" w:lineRule="auto" w:line="276"/>
      </w:pPr>
      <w:r>
        <w:rPr>
          <w:b/>
        </w:rPr>
        <w:t xml:space="preserve">Abstract (EN): </w:t>
      </w:r>
      <w:r>
        <w:t>Solar modules made from perovskite materials have a stability issue that arises when they are placed in partial shade. This long-standing problem has now been addressed by integrating an electronic component called a memristor into the solar cell. Integrating a memristor device into perovskite solar cells could prevent the formation of damaging ‘hotspots’.</w:t>
      </w:r>
    </w:p>
    <w:p>
      <w:pPr>
        <w:spacing w:before="120" w:after="120"/>
      </w:pPr>
      <w:r>
        <w:rPr>
          <w:sz w:val="18"/>
        </w:rPr>
        <w:t>——————————————————————————————————————————————————————————————————————</w:t>
      </w:r>
    </w:p>
    <w:p>
      <w:pPr>
        <w:spacing w:before="160" w:after="40" w:line="240" w:lineRule="auto"/>
      </w:pPr>
      <w:r>
        <w:rPr>
          <w:b/>
        </w:rPr>
        <w:t xml:space="preserve">[232] </w:t>
      </w:r>
      <w:hyperlink r:id="rId633">
        <w:r>
          <w:rPr>
            <w:color w:val="1155CC"/>
            <w:u w:val="single"/>
          </w:rPr>
          <w:t>在旧石器时代，狗在整个西欧亚广泛分布</w:t>
        </w:r>
      </w:hyperlink>
    </w:p>
    <w:p>
      <w:pPr>
        <w:spacing w:before="0" w:after="80"/>
      </w:pPr>
      <w:r>
        <w:rPr>
          <w:i/>
          <w:sz w:val="20"/>
        </w:rPr>
        <w:t>EN: Dogs were widely distributed across western Eurasia during the Palaeolithic</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34">
        <w:r>
          <w:rPr>
            <w:color w:val="1155CC"/>
            <w:u w:val="single"/>
          </w:rPr>
          <w:t>10.1038/s41586-026-10170-x</w:t>
        </w:r>
      </w:hyperlink>
    </w:p>
    <w:p>
      <w:pPr>
        <w:spacing w:before="0" w:after="120"/>
      </w:pPr>
      <w:r>
        <w:rPr>
          <w:b/>
        </w:rPr>
        <w:t xml:space="preserve">Notes: </w:t>
      </w:r>
      <w:r>
        <w:t>abstract_source=nature_html</w:t>
      </w:r>
    </w:p>
    <w:p>
      <w:pPr>
        <w:spacing w:before="0" w:after="80" w:lineRule="auto" w:line="276"/>
      </w:pPr>
      <w:r>
        <w:rPr>
          <w:b/>
        </w:rPr>
        <w:t xml:space="preserve">摘要（ZH）: </w:t>
      </w:r>
      <w:r>
        <w:t>考古证据表明，狗在旧石器时代与狼分化，超过15,000年前。然而，最早的明确的遗传证据与大约10,900年前中石器时代考古背景中的狗遗骸有关。在此，我们从土耳其Pınarbaşı（15,800年前）和英国Gough’s Cave（14,300年前）的犬类遗骸中生成了核基因组和线粒体基因组，以及从塞尔维亚两个中石器时代遗址（Padina在11,500–7,900年前和Vlasac 8,900年前）挖掘出的狗的基因组。我们的分析表明，在晚期上旧石器时代（至少14,300年前），一个遗传上同质的狗群体已经广泛分布在欧洲和安纳托利亚。这一发现</w:t>
      </w:r>
    </w:p>
    <w:p>
      <w:pPr>
        <w:spacing w:before="0" w:after="200" w:lineRule="auto" w:line="276"/>
      </w:pPr>
      <w:r>
        <w:rPr>
          <w:b/>
        </w:rPr>
        <w:t xml:space="preserve">Abstract (EN): </w:t>
      </w:r>
      <w:r>
        <w:t>Archaeological evidence suggests that dogs diverged from wolves during the Palaeolithic, more than 15,000 years ago1,2,3,4,5,6,7. The earliest unequivocal genetic evidence, however, is associated with dog remains from Mesolithic archaeological contexts approximately 10,900 years ago8,9. Here we generate both nuclear and mitochondrial genomes from canid remains at Pınarbaşı in Türkiye (15,800 years ago)10 and Gough’s Cave in the UK (14,300 years ago)11, as well as from dogs excavated from two Mesolithic sites in Serbia (Padina between 11,500–7,900 years ago and Vlasac 8,900 years ago)12,13. Our analyses indicate that a genetically homogeneous dog population was already widely distributed across Europe and Anatolia during the Late Upper Palaeolithic (by at least 14,300 years ago). This finding suggests that dogs were exchanged among genetically and culturally distinct western Eurasian Late Palaeolithic human populations, namely the Magdalenian, Epigravettian and Anatolian hunter-gatherers10,14,15,16. Last, we identify a major influx of eastern Eurasian dog ancestry during the Mesolithic, concomitant with the movement of eastern hunter-gatherer populations into Europe14, which led to the establishment of the primary ancestry characteristics that define European dog populations today.</w:t>
      </w:r>
    </w:p>
    <w:p>
      <w:pPr>
        <w:spacing w:before="120" w:after="120"/>
      </w:pPr>
      <w:r>
        <w:rPr>
          <w:sz w:val="18"/>
        </w:rPr>
        <w:t>——————————————————————————————————————————————————————————————————————</w:t>
      </w:r>
    </w:p>
    <w:p>
      <w:pPr>
        <w:spacing w:before="160" w:after="40" w:line="240" w:lineRule="auto"/>
      </w:pPr>
      <w:r>
        <w:rPr>
          <w:b/>
        </w:rPr>
        <w:t xml:space="preserve">[233] </w:t>
      </w:r>
      <w:hyperlink r:id="rId635">
        <w:r>
          <w:rPr>
            <w:color w:val="1155CC"/>
            <w:u w:val="single"/>
          </w:rPr>
          <w:t>光学相位奇点集合中的超光速相关</w:t>
        </w:r>
      </w:hyperlink>
    </w:p>
    <w:p>
      <w:pPr>
        <w:spacing w:before="0" w:after="80"/>
      </w:pPr>
      <w:r>
        <w:rPr>
          <w:i/>
          <w:sz w:val="20"/>
        </w:rPr>
        <w:t>EN: Superluminal correlations in ensembles of optical phase singularities</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36">
        <w:r>
          <w:rPr>
            <w:color w:val="1155CC"/>
            <w:u w:val="single"/>
          </w:rPr>
          <w:t>10.1038/s41586-026-10209-z</w:t>
        </w:r>
      </w:hyperlink>
    </w:p>
    <w:p>
      <w:pPr>
        <w:spacing w:before="0" w:after="120"/>
      </w:pPr>
      <w:r>
        <w:rPr>
          <w:b/>
        </w:rPr>
        <w:t xml:space="preserve">Notes: </w:t>
      </w:r>
      <w:r>
        <w:t>abstract_source=nature_html</w:t>
      </w:r>
    </w:p>
    <w:p>
      <w:pPr>
        <w:spacing w:before="0" w:after="80" w:lineRule="auto" w:line="276"/>
      </w:pPr>
      <w:r>
        <w:rPr>
          <w:b/>
        </w:rPr>
        <w:t xml:space="preserve">摘要（ZH）: </w:t>
      </w:r>
      <w:r>
        <w:t>相位奇点——携带量子化拓扑电荷的点——是从超流体和超导体到声场和光场等各种波动系统中普遍存在的特征1,2,3,4。这些奇点的集合体表现出类似于液体中粒子的距离相关性5,6,7,8，因其在奇异材料相中的作用而被广泛研究9,10,11。相比之下，支配系统演化的相空间中的完整相关性仍未被探索且实验上难以获取。在此，我们直接测量了光学奇点集合的超快动力学，捕捉到其完整的相空间相关性，呈现出联合的距离-速度分布。我们的观察显示出粒子-奇点类比的破裂12：相位奇点加速朝向</w:t>
      </w:r>
    </w:p>
    <w:p>
      <w:pPr>
        <w:spacing w:before="0" w:after="200" w:lineRule="auto" w:line="276"/>
      </w:pPr>
      <w:r>
        <w:rPr>
          <w:b/>
        </w:rPr>
        <w:t xml:space="preserve">Abstract (EN): </w:t>
      </w:r>
      <w:r>
        <w:t>Phase singularities—points carrying quantized topological charge—are universal features found across diverse wave systems from superfluids and superconductors to acoustic and optical fields1,2,3,4. Ensembles of these singularities exhibit distance correlations resembling particles in liquids5,6,7,8, extensively studied for their role in exotic material phases9,10,11. By contrast, the full correlations in phase space that govern the system evolution have remained unexplored and experimentally inaccessible. Here we directly measure the ultrafast dynamics of optical singularity ensembles, capturing their full phase-space correlations, presenting the joint distance–velocity distribution. Our observations show a breakdown of the particle-singularity analogy12: phase singularities accelerate towards formally divergent velocities in the moment before annihilation7,13,14, indicated by measurements of velocities exceeding the speed of light. These apparent superluminal velocities are paradoxically amplified by the slow group velocity of hyperbolic phonon polaritons in our material platform, hexagonal boron nitride membranes15,16,17,18,19. We demonstrate these phenomena using combined hardware and algorithmic advances in ultrafast electron microscopy18,20,21,22,23,24,25, achieving spatial and temporal resolutions, each an order of magnitude below the polaritonic wavelength and cycle period. Our findings deepen our understanding of phase singularities and their universality, enabling to probe topological defect dynamics at previously unattainable timescales.</w:t>
      </w:r>
    </w:p>
    <w:p>
      <w:pPr>
        <w:spacing w:before="120" w:after="120"/>
      </w:pPr>
      <w:r>
        <w:rPr>
          <w:sz w:val="18"/>
        </w:rPr>
        <w:t>——————————————————————————————————————————————————————————————————————</w:t>
      </w:r>
    </w:p>
    <w:p>
      <w:pPr>
        <w:spacing w:before="160" w:after="40" w:line="240" w:lineRule="auto"/>
      </w:pPr>
      <w:r>
        <w:rPr>
          <w:b/>
        </w:rPr>
        <w:t xml:space="preserve">[234] </w:t>
      </w:r>
      <w:hyperlink r:id="rId637">
        <w:r>
          <w:rPr>
            <w:color w:val="1155CC"/>
            <w:u w:val="single"/>
          </w:rPr>
          <w:t>十年尺度的干旱扰乱了撒哈拉的非洲湿润期</w:t>
        </w:r>
      </w:hyperlink>
    </w:p>
    <w:p>
      <w:pPr>
        <w:spacing w:before="0" w:after="80"/>
      </w:pPr>
      <w:r>
        <w:rPr>
          <w:i/>
          <w:sz w:val="20"/>
        </w:rPr>
        <w:t>EN: Decadal-scale droughts disrupted the African Humid Period in the Sahara</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38">
        <w:r>
          <w:rPr>
            <w:color w:val="1155CC"/>
            <w:u w:val="single"/>
          </w:rPr>
          <w:t>10.1038/s41586-026-10336-7</w:t>
        </w:r>
      </w:hyperlink>
    </w:p>
    <w:p>
      <w:pPr>
        <w:spacing w:before="0" w:after="120"/>
      </w:pPr>
      <w:r>
        <w:rPr>
          <w:b/>
        </w:rPr>
        <w:t xml:space="preserve">Notes: </w:t>
      </w:r>
      <w:r>
        <w:t>abstract_source=nature_html</w:t>
      </w:r>
    </w:p>
    <w:p>
      <w:pPr>
        <w:spacing w:before="0" w:after="80" w:lineRule="auto" w:line="276"/>
      </w:pPr>
      <w:r>
        <w:rPr>
          <w:b/>
        </w:rPr>
        <w:t xml:space="preserve">摘要（ZH）: </w:t>
      </w:r>
      <w:r>
        <w:t>在全新世早期和中期，撒哈拉和萨赫勒地区经历了一个潮湿期，即所谓的非洲湿润期（AHP）1。AHP始于距今约14.8千年（kyr bp），在9.0 kyr bp至6.0 kyr bp之间达到峰值，并经历了短暂的干旱期，其年龄和持续时间尚未得到充分约束2,3。我们在此展示AHP被两个十年尺度的干旱所打断，分别发生在约9.3 kyr bp和8.2 kyr bp，另一个更为暂定的干旱发生在6.3 kyr bp。我们的发现来自乍得约阿湖的年度分层（纹层）沉积档案的多代理时间序列，涵盖了过去10.25 kyr的连续记录。在8.2 kyr bp更显著的干旱期间，花粉和硅藻数据，以及叶蜡同位素和地球化学来源</w:t>
      </w:r>
    </w:p>
    <w:p>
      <w:pPr>
        <w:spacing w:before="0" w:after="200" w:lineRule="auto" w:line="276"/>
      </w:pPr>
      <w:r>
        <w:rPr>
          <w:b/>
        </w:rPr>
        <w:t xml:space="preserve">Abstract (EN): </w:t>
      </w:r>
      <w:r>
        <w:t>During the early and mid-Holocene, the Sahara and Sahel experienced a humid phase, the so-called African Humid Period (AHP)1. The AHP started around 14.8 thousand years before present (kyr bp), peaked between 9.0 kyr bp and 6.0 kyr bp and experienced short-lived droughts of as yet poorly constrained age and duration2,3. Here we show that the AHP was punctuated by two droughts of decadal-scale duration, at about 9.3 kyr bp and 8.2 kyr bp, and another more tentatively identified drought at 6.3 kyr bp. Our findings arise from a multiproxy time series from the annually layered (varved) sedimentary archive of Lake Yoa in Chad, which covers the past 10.25 kyr continuously. During the more prominent drought at 8.2 kyr bp, pollen and diatom data, along with leaf-wax isotopes and geochemical source area indicators, imply that a reduction in local precipitation and fluvial supply to Lake Yoa caused a lake-level drop accompanied by an expansion of reed belts along the shore. The proxy data, together with our climate simulations, suggest that the 8.2 kyr bp drought event was a direct and rapid response to a potential weakening of the Atlantic Meridional Overturning Circulation (AMOC) owing to sudden freshwater input into the North Atlantic. The results underline the need for improved decadal predictions4 to better anticipate such drought risks in the future.</w:t>
      </w:r>
    </w:p>
    <w:p>
      <w:pPr>
        <w:spacing w:before="120" w:after="120"/>
      </w:pPr>
      <w:r>
        <w:rPr>
          <w:sz w:val="18"/>
        </w:rPr>
        <w:t>——————————————————————————————————————————————————————————————————————</w:t>
      </w:r>
    </w:p>
    <w:p>
      <w:pPr>
        <w:spacing w:before="160" w:after="40" w:line="240" w:lineRule="auto"/>
      </w:pPr>
      <w:r>
        <w:rPr>
          <w:b/>
        </w:rPr>
        <w:t xml:space="preserve">[235] </w:t>
      </w:r>
      <w:hyperlink r:id="rId639">
        <w:r>
          <w:rPr>
            <w:color w:val="1155CC"/>
            <w:u w:val="single"/>
          </w:rPr>
          <w:t>通过气管-肌肉系统的氧气供应不限制昆虫巨型化</w:t>
        </w:r>
      </w:hyperlink>
    </w:p>
    <w:p>
      <w:pPr>
        <w:spacing w:before="0" w:after="80"/>
      </w:pPr>
      <w:r>
        <w:rPr>
          <w:i/>
          <w:sz w:val="20"/>
        </w:rPr>
        <w:t>EN: Oxygen supply through the tracheolar–muscle system does not constrain insect gigantism</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40">
        <w:r>
          <w:rPr>
            <w:color w:val="1155CC"/>
            <w:u w:val="single"/>
          </w:rPr>
          <w:t>10.1038/s41586-026-10291-3</w:t>
        </w:r>
      </w:hyperlink>
    </w:p>
    <w:p>
      <w:pPr>
        <w:spacing w:before="0" w:after="120"/>
      </w:pPr>
      <w:r>
        <w:rPr>
          <w:b/>
        </w:rPr>
        <w:t xml:space="preserve">Notes: </w:t>
      </w:r>
      <w:r>
        <w:t>abstract_source=nature_html</w:t>
      </w:r>
    </w:p>
    <w:p>
      <w:pPr>
        <w:spacing w:before="0" w:after="80" w:lineRule="auto" w:line="276"/>
      </w:pPr>
      <w:r>
        <w:rPr>
          <w:b/>
        </w:rPr>
        <w:t xml:space="preserve">摘要（ZH）: </w:t>
      </w:r>
      <w:r>
        <w:t>大气氧气决定昆虫在其进化历史中最大体型的想法已深入人心并在科学文献中广泛传播1,2,3。30年前在《自然》杂志上提出了一种假说，即气管末端的氧气扩散限制约束了昆虫的最大体型，并且晚古生代大气氧浓度的增加允许昆虫巨型化4。我们在此通过展示昆虫飞行肌肉中气管末端所占的相对空间（1）在10,000倍体重范围内仅增加1.8倍（1,320张显微照片，44个物种，10个目），（2）在大多数物种中通常为1%或更少，（3）当我们将我们的关系扩展到长时间</w:t>
      </w:r>
    </w:p>
    <w:p>
      <w:pPr>
        <w:spacing w:before="0" w:after="200" w:lineRule="auto" w:line="276"/>
      </w:pPr>
      <w:r>
        <w:rPr>
          <w:b/>
        </w:rPr>
        <w:t xml:space="preserve">Abstract (EN): </w:t>
      </w:r>
      <w:r>
        <w:t>The idea that atmospheric oxygen has dictated the maximum body size of insects across their evolutionary history is ingrained in popular and scientific literature1,2,3. In Nature 30 years ago, the hypothesis was put forward that a limitation on oxygen diffusion at the level of the tracheoles constrains the maximum body size of insects and that increased atmospheric oxygen concentration in the late Palaeozoic permitted insect gigantism4. Here we contest this hypothesis by showing that the relative space occupied by tracheoles in the flight muscle of insects (1) increases by only 1.8-fold over a 10,000-fold body mass range (1,320 micrographs, 44 species, 10 orders), (2) is typically 1% or less in most species, and (3) that this observation holds when we extend our relationship to the long-extinct gigantic dragonfly-like Meganeuropsis permiana (approximately 100 g). The small space requirement and the lack of a strong increase in tracheolar investment with body size, despite clear evolutionary potential to do so, provide convincing evidence that diffusive oxygen transport through the tracheolar–muscle system does not constrain the maximum body size of extant or gigantic prehistoric insects.</w:t>
      </w:r>
    </w:p>
    <w:p>
      <w:pPr>
        <w:spacing w:before="120" w:after="120"/>
      </w:pPr>
      <w:r>
        <w:rPr>
          <w:sz w:val="18"/>
        </w:rPr>
        <w:t>——————————————————————————————————————————————————————————————————————</w:t>
      </w:r>
    </w:p>
    <w:p>
      <w:pPr>
        <w:spacing w:before="160" w:after="40" w:line="240" w:lineRule="auto"/>
      </w:pPr>
      <w:r>
        <w:rPr>
          <w:b/>
        </w:rPr>
        <w:t xml:space="preserve">[236] </w:t>
      </w:r>
      <w:hyperlink r:id="rId641">
        <w:r>
          <w:rPr>
            <w:color w:val="1155CC"/>
            <w:u w:val="single"/>
          </w:rPr>
          <w:t>量化与碳社会成本一致的气候损失和损害</w:t>
        </w:r>
      </w:hyperlink>
    </w:p>
    <w:p>
      <w:pPr>
        <w:spacing w:before="0" w:after="80"/>
      </w:pPr>
      <w:r>
        <w:rPr>
          <w:i/>
          <w:sz w:val="20"/>
        </w:rPr>
        <w:t>EN: Quantifying climate loss and damage consistent with a social cost of carbon</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42">
        <w:r>
          <w:rPr>
            <w:color w:val="1155CC"/>
            <w:u w:val="single"/>
          </w:rPr>
          <w:t>10.1038/s41586-026-10272-6</w:t>
        </w:r>
      </w:hyperlink>
    </w:p>
    <w:p>
      <w:pPr>
        <w:spacing w:before="0" w:after="120"/>
      </w:pPr>
      <w:r>
        <w:rPr>
          <w:b/>
        </w:rPr>
        <w:t xml:space="preserve">Notes: </w:t>
      </w:r>
      <w:r>
        <w:t>abstract_source=nature_html</w:t>
      </w:r>
    </w:p>
    <w:p>
      <w:pPr>
        <w:spacing w:before="0" w:after="80" w:lineRule="auto" w:line="276"/>
      </w:pPr>
      <w:r>
        <w:rPr>
          <w:b/>
        </w:rPr>
        <w:t xml:space="preserve">摘要（ZH）: </w:t>
      </w:r>
      <w:r>
        <w:t>气候变化正在全球范围内造成可测量的危害1,2。政治和法律努力试图将这些损害与特定排放联系起来，包括在损失和损害（L&amp;D）3,4的讨论中；然而，目前没有L&amp;D的定量定义5,6，也没有将特定来源的过去和未来排放与货币化、特定地点的损害联系起来的框架。在此，我们开发了这样一个框架，该框架与最近估算碳社会成本的努力相结合7。利用温度与总经济产出之间非线性关系的实证估计，我们表明，过去排放造成的未来损害——L&amp;D的一个组成部分——至少比相同排放造成的历史损害大一个数量级。例如，1990年排放的一吨CO2导致</w:t>
      </w:r>
    </w:p>
    <w:p>
      <w:pPr>
        <w:spacing w:before="0" w:after="200" w:lineRule="auto" w:line="276"/>
      </w:pPr>
      <w:r>
        <w:rPr>
          <w:b/>
        </w:rPr>
        <w:t xml:space="preserve">Abstract (EN): </w:t>
      </w:r>
      <w:r>
        <w:t>Climate change is causing measurable harm globally1,2. Political and legal efforts seek to link these damages with specific emissions, including in discussions of loss and damage (L&amp;D)3,4; however, no quantitative definition of L&amp;D exists5,6, nor is there a framework to link past and future emissions from specific sources to monetized, location-specific damages. Here we develop such a framework, which is integrated with recent efforts to estimate the social cost of carbon7. Using empirical estimates of the non-linear relationship between temperature and aggregate economic output, we show that future damages from past emissions—one component of L&amp;D—are at least an order of magnitude larger than historical damages from the same emissions. For instance, one tonne of CO2 emitted in 1990 caused US$180 in discounted global damages by 2020 ($40–530) and will cause an additional $1,840 through 2100 ($500–5,700). Thus, settling debts for past damages will not settle debts for past emissions. In other illustrative estimates, a single long-haul flight per year over the past decade leads to about $25k ($6,000–77,000) in future damages by 2100, and US emissions since 1990 caused $500 billion ($180–1,300 billion) of damage in India and $330 billion ($110–820 billion) in Brazil. Carbon removal offers an alternative to transfer payments for settling L&amp;D, but is increasingly ineffective in limiting damages as the delay between emission and recapture increases.</w:t>
      </w:r>
    </w:p>
    <w:p>
      <w:pPr>
        <w:spacing w:before="120" w:after="120"/>
      </w:pPr>
      <w:r>
        <w:rPr>
          <w:sz w:val="18"/>
        </w:rPr>
        <w:t>——————————————————————————————————————————————————————————————————————</w:t>
      </w:r>
    </w:p>
    <w:p>
      <w:pPr>
        <w:spacing w:before="160" w:after="40" w:line="240" w:lineRule="auto"/>
      </w:pPr>
      <w:r>
        <w:rPr>
          <w:b/>
        </w:rPr>
        <w:t xml:space="preserve">[237] </w:t>
      </w:r>
      <w:hyperlink r:id="rId643">
        <w:r>
          <w:rPr>
            <w:color w:val="1155CC"/>
            <w:u w:val="single"/>
          </w:rPr>
          <w:t>降水观测网络的缺口限制了气候变化影响评估</w:t>
        </w:r>
      </w:hyperlink>
    </w:p>
    <w:p>
      <w:pPr>
        <w:spacing w:before="0" w:after="80"/>
      </w:pPr>
      <w:r>
        <w:rPr>
          <w:i/>
          <w:sz w:val="20"/>
        </w:rPr>
        <w:t>EN: Precipitation observing network gaps limit climate change impact assessment</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44">
        <w:r>
          <w:rPr>
            <w:color w:val="1155CC"/>
            <w:u w:val="single"/>
          </w:rPr>
          <w:t>10.1038/s41586-026-10300-5</w:t>
        </w:r>
      </w:hyperlink>
    </w:p>
    <w:p>
      <w:pPr>
        <w:spacing w:before="0" w:after="120"/>
      </w:pPr>
      <w:r>
        <w:rPr>
          <w:b/>
        </w:rPr>
        <w:t xml:space="preserve">Notes: </w:t>
      </w:r>
      <w:r>
        <w:t>abstract_source=nature_html</w:t>
      </w:r>
    </w:p>
    <w:p>
      <w:pPr>
        <w:spacing w:before="0" w:after="80" w:lineRule="auto" w:line="276"/>
      </w:pPr>
      <w:r>
        <w:rPr>
          <w:b/>
        </w:rPr>
        <w:t xml:space="preserve">摘要（ZH）: </w:t>
      </w:r>
      <w:r>
        <w:t>可靠的未来气候预测和水资源缺乏评估需要既空间全面又时间完整的降水观测，但许多全球地区仍然缺乏观测数据1,2。在此，我们评估了全球范围内221,483个国际交换的降水计的分布，记录跨越1900-2022年，并进一步探讨在不同情景下最需要新计的地方。我们发现，目前只有13.4%的全球陆地表面符合世界气象组织对年降水监测的要求，这表明普遍的稀缺性对社会经济有严重影响。欧洲的大陆计密度最高（每1,000平方公里2.4个计），其中德国在超过5个国家中领先</w:t>
      </w:r>
    </w:p>
    <w:p>
      <w:pPr>
        <w:spacing w:before="0" w:after="200" w:lineRule="auto" w:line="276"/>
      </w:pPr>
      <w:r>
        <w:rPr>
          <w:b/>
        </w:rPr>
        <w:t xml:space="preserve">Abstract (EN): </w:t>
      </w:r>
      <w:r>
        <w:t>Reliable future climate projections and water deficiency assessments require precipitation observations that are both spatially comprehensive and temporally complete, yet many global regions still suffer from observation sparsity1,2. Here we evaluate the distribution of 221,483 internationally exchanged precipitation gauges worldwide, with records across 1900–2022, and further explore where new gauges are most needed under different scenarios. We find that at present only 13.4% of the global land surface meets the World Meteorological Organization requirements for annual precipitation monitoring, indicating widespread scarcity that has serious socioeconomic implications. Europe has the highest continental gauge density (2.4 gauges per 1,000 km2), with Germany leading among countries over 50,000 km2 (22.4 gauges per 1,000 km2). Globally, 25% of land surface already requires urgent expansion of gauge networks because of climate variability, including northern South America, northern North America, Central Africa and southern Asia. Considering projected precipitation changes and socioeconomic conditions under a high-emission scenario further identifies high-need regions in India, Greenland, Bolivia and China because of climate sensitivity and socioeconomic vulnerabilities, increasing this share to 32.1% of global land. Our findings highlight important gaps in global precipitation monitoring that require strategic investments in new gauges and underscore the need for open data access.</w:t>
      </w:r>
    </w:p>
    <w:p>
      <w:pPr>
        <w:spacing w:before="120" w:after="120"/>
      </w:pPr>
      <w:r>
        <w:rPr>
          <w:sz w:val="18"/>
        </w:rPr>
        <w:t>——————————————————————————————————————————————————————————————————————</w:t>
      </w:r>
    </w:p>
    <w:p>
      <w:pPr>
        <w:spacing w:before="160" w:after="40" w:line="240" w:lineRule="auto"/>
      </w:pPr>
      <w:r>
        <w:rPr>
          <w:b/>
        </w:rPr>
        <w:t xml:space="preserve">[238] </w:t>
      </w:r>
      <w:hyperlink r:id="rId645">
        <w:r>
          <w:rPr>
            <w:color w:val="1155CC"/>
            <w:u w:val="single"/>
          </w:rPr>
          <w:t>对地壳岩浆的抽取失衡反应揭示储存条件</w:t>
        </w:r>
      </w:hyperlink>
    </w:p>
    <w:p>
      <w:pPr>
        <w:spacing w:before="0" w:after="80"/>
      </w:pPr>
      <w:r>
        <w:rPr>
          <w:i/>
          <w:sz w:val="20"/>
        </w:rPr>
        <w:t>EN: Disequilibrium response to tapping crustal magma reveals storage conditions</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46">
        <w:r>
          <w:rPr>
            <w:color w:val="1155CC"/>
            <w:u w:val="single"/>
          </w:rPr>
          <w:t>10.1038/s41586-026-10317-w</w:t>
        </w:r>
      </w:hyperlink>
    </w:p>
    <w:p>
      <w:pPr>
        <w:spacing w:before="0" w:after="120"/>
      </w:pPr>
      <w:r>
        <w:rPr>
          <w:b/>
        </w:rPr>
        <w:t xml:space="preserve">Notes: </w:t>
      </w:r>
      <w:r>
        <w:t>abstract_source=nature_html</w:t>
      </w:r>
    </w:p>
    <w:p>
      <w:pPr>
        <w:spacing w:before="0" w:after="80" w:lineRule="auto" w:line="276"/>
      </w:pPr>
      <w:r>
        <w:rPr>
          <w:b/>
        </w:rPr>
        <w:t xml:space="preserve">摘要（ZH）: </w:t>
      </w:r>
      <w:r>
        <w:t>岩浆积累和储存的条件是解开地壳形成、行星分化、地热热量补充和火山喷发过程的基础。储存压力、温度和挥发物饱和度通常从喷发的火山产物中推断。然而，岩浆上升过程中数公里的变化会导致不平衡结晶和起泡，反演回储存条件存在无法解决的不确定性。在此，我们探索了在冰岛克拉夫拉火山进行岩浆钻探所带来的机会，以重建真实的原位岩浆条件。研究结果表明，在岩浆淬火的大约5分钟内，由H2O和CO2组成的蒸汽泡会析出、增长和再吸收，但变化</w:t>
      </w:r>
    </w:p>
    <w:p>
      <w:pPr>
        <w:spacing w:before="0" w:after="200" w:lineRule="auto" w:line="276"/>
      </w:pPr>
      <w:r>
        <w:rPr>
          <w:b/>
        </w:rPr>
        <w:t xml:space="preserve">Abstract (EN): </w:t>
      </w:r>
      <w:r>
        <w:t>The conditions under which magma accumulates and is stored are fundamental to unravelling the processes of crust formation, planetary differentiation, geothermal heat recharge and volcanic eruptions. Storage pressure, temperature and volatile saturation are typically inferred from erupted volcanic products. However, changes during kilometres of magma ascent induce disequilibrium crystallization and vesiculation, and inverting back to storage conditions comes with unresolvable uncertainties. Here we explore opportunities arising from magma drilling at Krafla volcano, Iceland, to reconstruct real, in situ magmatic conditions. The findings show that, over the approximately 5 min in which the magma is quenched, vapour bubbles consisting of H2O and CO2 exsolve, grow and resorb, but the changes can be accounted for by multiparametric inversion (for chemistry, vesicularity and vitrification), and that the magma was stored under volatile-saturated lithostatic conditions, unlike previous assertions of lower vapour pressures based on classic methods1. These new disequilibrium simulations reconcile the glass chemistry with conceptual models of magma storage and provide us with the unique pairing of precisely measured depth and volatile pressure on a single magma body and thus a robust method to improve our understanding of magma storage conditions and evolution.</w:t>
      </w:r>
    </w:p>
    <w:p>
      <w:pPr>
        <w:spacing w:before="120" w:after="120"/>
      </w:pPr>
      <w:r>
        <w:rPr>
          <w:sz w:val="18"/>
        </w:rPr>
        <w:t>——————————————————————————————————————————————————————————————————————</w:t>
      </w:r>
    </w:p>
    <w:p>
      <w:pPr>
        <w:spacing w:before="160" w:after="40" w:line="240" w:lineRule="auto"/>
      </w:pPr>
      <w:r>
        <w:rPr>
          <w:b/>
        </w:rPr>
        <w:t xml:space="preserve">[239] </w:t>
      </w:r>
      <w:hyperlink r:id="rId647">
        <w:r>
          <w:rPr>
            <w:color w:val="1155CC"/>
            <w:u w:val="single"/>
          </w:rPr>
          <w:t>迈向AI研究的端到端自动化</w:t>
        </w:r>
      </w:hyperlink>
    </w:p>
    <w:p>
      <w:pPr>
        <w:spacing w:before="0" w:after="80"/>
      </w:pPr>
      <w:r>
        <w:rPr>
          <w:i/>
          <w:sz w:val="20"/>
        </w:rPr>
        <w:t>EN: Towards end-to-end automation of AI research</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48">
        <w:r>
          <w:rPr>
            <w:color w:val="1155CC"/>
            <w:u w:val="single"/>
          </w:rPr>
          <w:t>10.1038/s41586-026-10265-5</w:t>
        </w:r>
      </w:hyperlink>
    </w:p>
    <w:p>
      <w:pPr>
        <w:spacing w:before="0" w:after="120"/>
      </w:pPr>
      <w:r>
        <w:rPr>
          <w:b/>
        </w:rPr>
        <w:t xml:space="preserve">Notes: </w:t>
      </w:r>
      <w:r>
        <w:t>abstract_source=nature_html</w:t>
      </w:r>
    </w:p>
    <w:p>
      <w:pPr>
        <w:spacing w:before="0" w:after="80" w:lineRule="auto" w:line="276"/>
      </w:pPr>
      <w:r>
        <w:rPr>
          <w:b/>
        </w:rPr>
        <w:t xml:space="preserve">摘要（ZH）: </w:t>
      </w:r>
      <w:r>
        <w:t>科学的自动化是人工智能（AI）研究中的一个长期目标。尽管社区在自动化科学过程的各个组成部分方面取得了实质性进展，但一个能够自主导航整个研究生命周期的系统——从构思到发表——仍然遥不可及。在此，我们提出了一个端到端自动化整个科学过程的流程。我们介绍了AI科学家，它能够创造研究想法、编写代码、进行实验、绘制和分析数据、撰写完整的科学手稿，并进行自我同行评审。其想法、执行和展示的质量足以使该AI系统生成的手稿通过顶级机器学习研讨会的第一轮同行评审。</w:t>
      </w:r>
    </w:p>
    <w:p>
      <w:pPr>
        <w:spacing w:before="0" w:after="200" w:lineRule="auto" w:line="276"/>
      </w:pPr>
      <w:r>
        <w:rPr>
          <w:b/>
        </w:rPr>
        <w:t xml:space="preserve">Abstract (EN): </w:t>
      </w:r>
      <w:r>
        <w:t>The automation of science is a long-standing ambition in artificial intelligence (AI) research1,2. Although the community has made substantial progress in automating individual components of the scientific process, a system that autonomously navigates the entire research life cycle—from conception to publication—has remained out of reach. Here we present a pipeline for automating the entire scientific process end to end. We present The AI Scientist, which creates research ideas, writes code, runs experiments, plots and analyses data, writes the entire scientific manuscript, and performs its own peer review. Its ideas, execution and presentation are of sufficient quality that the manuscript generated by this AI system passed the first round of peer review for a workshop of a top-tier machine learning conference. The workshop had an acceptance rate of 70%. Our system leverages modern foundation models3,4,5 within a complex agentic system. We evaluate The AI Scientist in two settings: a focused mode using human-provided code templates as an initial scaffold for conducting research on a specific topic and a template-free, open-ended mode that leverages agentic search for wider scientific exploration6,7. Both settings produce diverse ideas and automatically test, report on and evaluate them. This achievement demonstrates the growing capacity of AI for making scientific contributions and signifies a potential paradigm shift in how research is conducted. As with any impactful new technology, there could be important risks, including taxing overwhelmed review systems and adding noise to the scientific literature. However, if developed responsibly, such autonomous systems could greatly accelerate scientific discovery.</w:t>
      </w:r>
    </w:p>
    <w:p>
      <w:pPr>
        <w:spacing w:before="120" w:after="120"/>
      </w:pPr>
      <w:r>
        <w:rPr>
          <w:sz w:val="18"/>
        </w:rPr>
        <w:t>——————————————————————————————————————————————————————————————————————</w:t>
      </w:r>
    </w:p>
    <w:p>
      <w:pPr>
        <w:spacing w:before="160" w:after="40" w:line="240" w:lineRule="auto"/>
      </w:pPr>
      <w:r>
        <w:rPr>
          <w:b/>
        </w:rPr>
        <w:t xml:space="preserve">[240] </w:t>
      </w:r>
      <w:hyperlink r:id="rId649">
        <w:r>
          <w:rPr>
            <w:color w:val="1155CC"/>
            <w:u w:val="single"/>
          </w:rPr>
          <w:t>结肠炎的表观遗传记忆促进肿瘤生长</w:t>
        </w:r>
      </w:hyperlink>
    </w:p>
    <w:p>
      <w:pPr>
        <w:spacing w:before="0" w:after="80"/>
      </w:pPr>
      <w:r>
        <w:rPr>
          <w:i/>
          <w:sz w:val="20"/>
        </w:rPr>
        <w:t>EN: Epigenetic memory of colitis promotes tumour growth</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50">
        <w:r>
          <w:rPr>
            <w:color w:val="1155CC"/>
            <w:u w:val="single"/>
          </w:rPr>
          <w:t>10.1038/s41586-026-10258-4</w:t>
        </w:r>
      </w:hyperlink>
    </w:p>
    <w:p>
      <w:pPr>
        <w:spacing w:before="0" w:after="120"/>
      </w:pPr>
      <w:r>
        <w:rPr>
          <w:b/>
        </w:rPr>
        <w:t xml:space="preserve">Notes: </w:t>
      </w:r>
      <w:r>
        <w:t>abstract_source=nature_html</w:t>
      </w:r>
    </w:p>
    <w:p>
      <w:pPr>
        <w:spacing w:before="0" w:after="80" w:lineRule="auto" w:line="276"/>
      </w:pPr>
      <w:r>
        <w:rPr>
          <w:b/>
        </w:rPr>
        <w:t xml:space="preserve">摘要（ZH）: </w:t>
      </w:r>
      <w:r>
        <w:t>慢性炎症是癌症的一个公认风险因素，但其潜在的分子机制仍不清楚。使用结肠炎的小鼠模型，我们证明结肠干细胞在疾病解决后保留了炎症的表观遗传记忆，这种记忆持续超过100天。在此，我们发现结肠炎的记忆特征是激活蛋白1（AP-1）转录因子活性的累积增加，并伴随染色质可及性的持久变化。此外，我们开发了SHARE-TRACE，这是一种能够在单细胞中同时分析基因表达、染色质可及性和克隆历史的方法，从而实现表观基因组记忆的高分辨率追踪。这种方法揭示了结肠炎的记忆是细胞内传播的，并且是遗传的。</w:t>
      </w:r>
    </w:p>
    <w:p>
      <w:pPr>
        <w:spacing w:before="0" w:after="200" w:lineRule="auto" w:line="276"/>
      </w:pPr>
      <w:r>
        <w:rPr>
          <w:b/>
        </w:rPr>
        <w:t xml:space="preserve">Abstract (EN): </w:t>
      </w:r>
      <w:r>
        <w:t>Chronic inflammation is a well-established risk factor for cancer, but the underlying molecular mechanisms remain unclear1,2. Using a mouse model of colitis, we demonstrate that colonic stem cells retain an epigenetic memory of inflammation following disease resolution that persists for more than 100 days. Here we find that memory of colitis is characterized by a cumulative gain of activator protein 1 (AP-1) transcription factor activity, with durable changes to chromatin accessibility. Further, we develop SHARE-TRACE, a method that enables simultaneous profiling of gene expression, chromatin accessibility and clonal history in single cells, enabling high-resolution tracking of epigenomic memory. This approach reveals that memory of colitis is propagated cell-intrinsically and inherited through stem cell divisions, with some clones demonstrating stronger memory than others. Finally, we show that colitis primes stem cells for increased expression of an AP-1-regulated gene program following oncogenic mutation that accelerates tumour growth, a phenotype dependent on AP-1 activity. Together, our findings provide a mechanistic link between chronic inflammation and malignancy, revealing how long-lived epigenetic alterations in regenerative tissues may contribute to disease susceptibility and suggesting potential diagnostic and therapeutic strategies to mitigate cancer risk in patients with chronic inflammatory conditions.</w:t>
      </w:r>
    </w:p>
    <w:p>
      <w:pPr>
        <w:spacing w:before="120" w:after="120"/>
      </w:pPr>
      <w:r>
        <w:rPr>
          <w:sz w:val="18"/>
        </w:rPr>
        <w:t>——————————————————————————————————————————————————————————————————————</w:t>
      </w:r>
    </w:p>
    <w:p>
      <w:pPr>
        <w:spacing w:before="160" w:after="40" w:line="240" w:lineRule="auto"/>
      </w:pPr>
      <w:r>
        <w:rPr>
          <w:b/>
        </w:rPr>
        <w:t xml:space="preserve">[241] </w:t>
      </w:r>
      <w:hyperlink r:id="rId651">
        <w:r>
          <w:rPr>
            <w:color w:val="1155CC"/>
            <w:u w:val="single"/>
          </w:rPr>
          <w:t>寄生虫触发上皮细胞的交流以驱动肠-脑信号传导</w:t>
        </w:r>
      </w:hyperlink>
    </w:p>
    <w:p>
      <w:pPr>
        <w:spacing w:before="0" w:after="80"/>
      </w:pPr>
      <w:r>
        <w:rPr>
          <w:i/>
          <w:sz w:val="20"/>
        </w:rPr>
        <w:t>EN: Parasites trigger epithelial cell crosstalk to drive gut–brain signalling</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52">
        <w:r>
          <w:rPr>
            <w:color w:val="1155CC"/>
            <w:u w:val="single"/>
          </w:rPr>
          <w:t>10.1038/s41586-026-10281-5</w:t>
        </w:r>
      </w:hyperlink>
    </w:p>
    <w:p>
      <w:pPr>
        <w:spacing w:before="0" w:after="120"/>
      </w:pPr>
      <w:r>
        <w:rPr>
          <w:b/>
        </w:rPr>
        <w:t xml:space="preserve">Notes: </w:t>
      </w:r>
      <w:r>
        <w:t>abstract_source=nature_html</w:t>
      </w:r>
    </w:p>
    <w:p>
      <w:pPr>
        <w:spacing w:before="0" w:after="80" w:lineRule="auto" w:line="276"/>
      </w:pPr>
      <w:r>
        <w:rPr>
          <w:b/>
        </w:rPr>
        <w:t xml:space="preserve">摘要（ZH）: </w:t>
      </w:r>
      <w:r>
        <w:t>寄生虫感染调节免疫和感觉反应，但这些系统如何协作以引发保护性行为仍未完全理解。肠上皮含有专门检测病原体和刺激物的感觉细胞。这些包括胆碱能簇细胞，它们感知寄生虫并启动2型免疫反应，以及5-羟色胺能肠嗜铬细胞（EC），它们检测刺激物并与传入神经纤维沟通以传递伤害感受信号。在此，我们展示了这些细胞之间的旁分泌信号构成了一种神经-免疫相互作用和肠-脑通信的机制。我们发现簇细胞使用两种不同的乙酰胆碱（ACh）释放机制，尽管缺乏突触囊泡和可兴奋膜。</w:t>
      </w:r>
    </w:p>
    <w:p>
      <w:pPr>
        <w:spacing w:before="0" w:after="200" w:lineRule="auto" w:line="276"/>
      </w:pPr>
      <w:r>
        <w:rPr>
          <w:b/>
        </w:rPr>
        <w:t xml:space="preserve">Abstract (EN): </w:t>
      </w:r>
      <w:r>
        <w:t>Parasitic infections modulate both immune and sensory responses, but how these systems collaborate to elicit protective behaviours remains incompletely understood. The gut epithelium contains specialized sensory cells that detect pathogens and irritants. These include cholinergic tuft cells, which sense parasites and initiate type 2 immune responses1,2,3, as well as serotonergic enterochromaffin (EC) cells, which detect irritants and communicate with afferent nerve fibres to transmit nociceptive signals4,5,6. Here we show that paracrine signalling between these cells constitutes a mechanism for neuro–immune interaction and gut–brain communication. We find that tuft cells use two distinct mechanisms of acetylcholine (ACh) release despite lacking synaptic vesicles and excitable membranes. These include acute release in response to parasite-derived metabolites, followed by constitutive ‘leak-like’ release, which occurs with type 2 inflammation. Although both mechanisms can activate muscarinic receptors on crypt-residing EC cells, only the sustained mode of ACh release elicits levels of serotonin sufficient to stimulate vagal afferent neurons that suppress food intake. This two-phase paracrine signalling mechanism explains how parasitic infection progresses from an initial asymptomatic phase to symptomatic established disease, in which type 2 immune and sensory signalling pathways within the gut–brain axis collaborate to evoke protective behaviours.</w:t>
      </w:r>
    </w:p>
    <w:p>
      <w:pPr>
        <w:spacing w:before="120" w:after="120"/>
      </w:pPr>
      <w:r>
        <w:rPr>
          <w:sz w:val="18"/>
        </w:rPr>
        <w:t>——————————————————————————————————————————————————————————————————————</w:t>
      </w:r>
    </w:p>
    <w:p>
      <w:pPr>
        <w:spacing w:before="160" w:after="40" w:line="240" w:lineRule="auto"/>
      </w:pPr>
      <w:r>
        <w:rPr>
          <w:b/>
        </w:rPr>
        <w:t xml:space="preserve">[242] </w:t>
      </w:r>
      <w:hyperlink r:id="rId653">
        <w:r>
          <w:rPr>
            <w:color w:val="1155CC"/>
            <w:u w:val="single"/>
          </w:rPr>
          <w:t>适度的全球变暖并不排除极端全球气候结果</w:t>
        </w:r>
      </w:hyperlink>
    </w:p>
    <w:p>
      <w:pPr>
        <w:spacing w:before="0" w:after="80"/>
      </w:pPr>
      <w:r>
        <w:rPr>
          <w:i/>
          <w:sz w:val="20"/>
        </w:rPr>
        <w:t>EN: Moderate global warming does not rule out extreme global climate outcomes</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54">
        <w:r>
          <w:rPr>
            <w:color w:val="1155CC"/>
            <w:u w:val="single"/>
          </w:rPr>
          <w:t>10.1038/s41586-026-10237-9</w:t>
        </w:r>
      </w:hyperlink>
    </w:p>
    <w:p>
      <w:pPr>
        <w:spacing w:before="0" w:after="120"/>
      </w:pPr>
      <w:r>
        <w:rPr>
          <w:b/>
        </w:rPr>
        <w:t xml:space="preserve">Notes: </w:t>
      </w:r>
      <w:r>
        <w:t>abstract_source=nature_html</w:t>
      </w:r>
    </w:p>
    <w:p>
      <w:pPr>
        <w:spacing w:before="0" w:after="80" w:lineRule="auto" w:line="276"/>
      </w:pPr>
      <w:r>
        <w:rPr>
          <w:b/>
        </w:rPr>
        <w:t xml:space="preserve">摘要（ZH）: </w:t>
      </w:r>
      <w:r>
        <w:t>有效传达全球未来气候的最坏情况预测——以下简称为最坏气候结果——对于风险评估和制定应对全球变暖的稳健适应策略至关重要1,2,3,4,5,6,7。然而，当前识别空间一致气候结果的方法有限，最坏的全球气候通常通过气候模型在高全球变暖水平（如高于工业化前3°C或4°C）的平均预测来传达8,9。我们在此展示，即使在中等2°C变暖下，极端全球气候结果也可能在多个领域发生。对于全球关键粮仓地区的干旱、高人口密集地区的降水极端和森林火灾天气极端，全球气候影响驱动因素</w:t>
      </w:r>
    </w:p>
    <w:p>
      <w:pPr>
        <w:spacing w:before="0" w:after="200" w:lineRule="auto" w:line="276"/>
      </w:pPr>
      <w:r>
        <w:rPr>
          <w:b/>
        </w:rPr>
        <w:t xml:space="preserve">Abstract (EN): </w:t>
      </w:r>
      <w:r>
        <w:t>Effectively communicating worst-case projections of global future climate—hereinafter referred to as worst-case climate outcomes—is essential for risk assessment and developing robust adaptation strategies to global warming1,2,3,4,5,6,7. Yet, current approaches for identifying spatially consistent climate outcomes are limited, with worst-case global climates typically communicated via the average of climate model projections at high global warming levels, such as 3 °C or 4 °C above the preindustrial era8,9. Here we show that extreme global climate outcomes may occur even under moderate 2 °C warming for several sectors. For droughts in global key breadbasket regions, precipitation extremes over highly populated areas and fire weather extremes across forests, global climatic impact-drivers at 2 °C of global warming may turn out to be much more extreme than model-averaged projections at 3 °C or 4 °C warming. We derive these results by identifying sector-specific, spatially consistent potential high- and low-impact global climate outcomes through spatially averaging projected sector-relevant climatic impact-drivers across key global regions. Our approach can easily be adapted to a wide range of sectors to support the improvement of sector-specific climate risk assessment and to inform climate policy. As global warming approaches 1.5 °C (ref. 10), these findings underscore the urgency of rapid mitigation to limit warming well below 2 °C, as even a 2 °C world may entail severe impacts.</w:t>
      </w:r>
    </w:p>
    <w:p>
      <w:pPr>
        <w:spacing w:before="120" w:after="120"/>
      </w:pPr>
      <w:r>
        <w:rPr>
          <w:sz w:val="18"/>
        </w:rPr>
        <w:t>——————————————————————————————————————————————————————————————————————</w:t>
      </w:r>
    </w:p>
    <w:p>
      <w:pPr>
        <w:spacing w:before="160" w:after="40" w:line="240" w:lineRule="auto"/>
      </w:pPr>
      <w:r>
        <w:rPr>
          <w:b/>
        </w:rPr>
        <w:t xml:space="preserve">[243] </w:t>
      </w:r>
      <w:hyperlink r:id="rId655">
        <w:r>
          <w:rPr>
            <w:color w:val="1155CC"/>
            <w:u w:val="single"/>
          </w:rPr>
          <w:t>人类新皮质在整个生命周期中的功能层次</w:t>
        </w:r>
      </w:hyperlink>
    </w:p>
    <w:p>
      <w:pPr>
        <w:spacing w:before="0" w:after="80"/>
      </w:pPr>
      <w:r>
        <w:rPr>
          <w:i/>
          <w:sz w:val="20"/>
        </w:rPr>
        <w:t>EN: Functional hierarchy of the human neocortex across the lifespan</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56">
        <w:r>
          <w:rPr>
            <w:color w:val="1155CC"/>
            <w:u w:val="single"/>
          </w:rPr>
          <w:t>10.1038/s41586-026-10219-x</w:t>
        </w:r>
      </w:hyperlink>
    </w:p>
    <w:p>
      <w:pPr>
        <w:spacing w:before="0" w:after="120"/>
      </w:pPr>
      <w:r>
        <w:rPr>
          <w:b/>
        </w:rPr>
        <w:t xml:space="preserve">Notes: </w:t>
      </w:r>
      <w:r>
        <w:t>abstract_source=nature_html</w:t>
      </w:r>
    </w:p>
    <w:p>
      <w:pPr>
        <w:spacing w:before="0" w:after="80" w:lineRule="auto" w:line="276"/>
      </w:pPr>
      <w:r>
        <w:rPr>
          <w:b/>
        </w:rPr>
        <w:t xml:space="preserve">摘要（ZH）: </w:t>
      </w:r>
      <w:r>
        <w:t>大规模的功能连接梯度在大脑区域之间组织人类新皮质，将大脑拓扑与认知纹理联系起来1,2。在成年人中，三个主要轴——感觉-联想、视觉-体感和调制-表征——分别从初级感觉区延伸到跨模态联想区，从视觉系统延伸到身体中心系统，从控制和注意网络延伸到默认模式和感觉区1,2,3,4。这些梯度提供了大规模皮层层次结构的简洁描述，支持不同的信息处理模式。然而，这些梯度及其多尺度生物和认知相关性如何在整个生命周期中演变尚不清楚。我们在此建立了从出生到</w:t>
      </w:r>
    </w:p>
    <w:p>
      <w:pPr>
        <w:spacing w:before="0" w:after="200" w:lineRule="auto" w:line="276"/>
      </w:pPr>
      <w:r>
        <w:rPr>
          <w:b/>
        </w:rPr>
        <w:t xml:space="preserve">Abstract (EN): </w:t>
      </w:r>
      <w:r>
        <w:t>Large-scale gradients of functional connectivity between brain areas organize the human neocortex, linking brain topography to the texture of cognition1,2. In adults, three dominant axes—sensory–association, visual–somatosensory and modulation–representation—run, respectively, from primary sensory to transmodal association areas, from visual to body-centred systems and from control and attention networks to default mode and sensory areas1,2,3,4. These gradients provide a compact description of large-scale cortical hierarchies that underlie distinct modes of information processing. However, how these gradients and their multiscale biological and cognitive correlates evolve across the lifespan is unknown. Here we establish a continuous normative reference of functional organization from birth to 100 years of age, revealing complex, nonlinear developmental trajectories. Gradient architecture is anchored by primary sensory systems in infancy, differentiates along association and control axes during childhood and adolescence and gradually dedifferentiates during ageing. The importance of this functional architecture is corroborated by biology and behaviour: gradient metrics predict cognitive performance across development; structure–function coupling varies by axis and age; and distinct transcriptomic signatures are strongest early in life and weaken with age, consistent with a transient genetic scaffold for gradient architecture. Our lifespan gradients unify diverse research into developmental brain connectivity and provide a shared multimodal reference for future studies.</w:t>
      </w:r>
    </w:p>
    <w:p>
      <w:pPr>
        <w:spacing w:before="120" w:after="120"/>
      </w:pPr>
      <w:r>
        <w:rPr>
          <w:sz w:val="18"/>
        </w:rPr>
        <w:t>——————————————————————————————————————————————————————————————————————</w:t>
      </w:r>
    </w:p>
    <w:p>
      <w:pPr>
        <w:spacing w:before="160" w:after="40" w:line="240" w:lineRule="auto"/>
      </w:pPr>
      <w:r>
        <w:rPr>
          <w:b/>
        </w:rPr>
        <w:t xml:space="preserve">[244] </w:t>
      </w:r>
      <w:hyperlink r:id="rId657">
        <w:r>
          <w:rPr>
            <w:color w:val="1155CC"/>
            <w:u w:val="single"/>
          </w:rPr>
          <w:t>欧洲早期犬类的基因组历史</w:t>
        </w:r>
      </w:hyperlink>
    </w:p>
    <w:p>
      <w:pPr>
        <w:spacing w:before="0" w:after="80"/>
      </w:pPr>
      <w:r>
        <w:rPr>
          <w:i/>
          <w:sz w:val="20"/>
        </w:rPr>
        <w:t>EN: Genomic history of early dogs in Europe</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58">
        <w:r>
          <w:rPr>
            <w:color w:val="1155CC"/>
            <w:u w:val="single"/>
          </w:rPr>
          <w:t>10.1038/s41586-026-10112-7</w:t>
        </w:r>
      </w:hyperlink>
    </w:p>
    <w:p>
      <w:pPr>
        <w:spacing w:before="0" w:after="120"/>
      </w:pPr>
      <w:r>
        <w:rPr>
          <w:b/>
        </w:rPr>
        <w:t xml:space="preserve">Notes: </w:t>
      </w:r>
      <w:r>
        <w:t>abstract_source=nature_html</w:t>
      </w:r>
    </w:p>
    <w:p>
      <w:pPr>
        <w:spacing w:before="0" w:after="80" w:lineRule="auto" w:line="276"/>
      </w:pPr>
      <w:r>
        <w:rPr>
          <w:b/>
        </w:rPr>
        <w:t xml:space="preserve">摘要（ZH）: </w:t>
      </w:r>
      <w:r>
        <w:t>最早形态上可识别的狗来自欧洲，至少可以追溯到14,000年前1,2,3,4,5，尽管在其他地区也发现了早期遗骸。在缺乏全基因组数据的情况下，早期欧洲狗的起源及其与其他狗的关系一直难以捉摸。同样，尽管狗是唯一在农业出现之前就被驯化的动物，但关于新石器时代农民从西南亚到来如何影响与欧洲中石器时代狩猎采集者生活在一起的狗知之甚少。在此，我们分析了216个犬科动物遗骸，其中包括181个来自旧石器时代和中石器时代的欧洲遗骸。我们开发了一种全基因组捕获方法，使内源DNA富集了10–100倍，并能够区分216个遗骸中141个的狗与狼的祖先。我们拥有的最古老的狗数据</w:t>
      </w:r>
    </w:p>
    <w:p>
      <w:pPr>
        <w:spacing w:before="0" w:after="200" w:lineRule="auto" w:line="276"/>
      </w:pPr>
      <w:r>
        <w:rPr>
          <w:b/>
        </w:rPr>
        <w:t xml:space="preserve">Abstract (EN): </w:t>
      </w:r>
      <w:r>
        <w:t>The earliest morphologically identifiable dogs are from Europe and date to at least 14,000 years ago1,2,3,4,5, although early remains are also found in other regions. The origin of early dogs in Europe, and their relationships to other dogs, has remained elusive in the absence of genome-wide data. Similarly, although dogs were the only domestic animal to predate agriculture, little is known about how the arrival of Neolithic farmers from Southwest Asia affected the dogs living with European Mesolithic hunter-gatherers. Here we analysed 216 canid remains, including 181 from Palaeolithic and Mesolithic Europe. We developed a genome-wide capture approach that enriched endogenous DNA by 10–100-fold and could distinguish dog from wolf ancestry for 141 of 216 remains. The oldest dog data that we recovered are from a 14,200-year-old dog from the Kesslerloch site in Switzerland, and we find that it shares ancestry with later worldwide dogs—inconsistent with the hypothesis that European Upper Palaeolithic dogs derived wholly from a separate domestication process. The Kesslerloch dog already displays more affinity to Mesolithic, Neolithic and present-day European dogs than to Asian dogs, demonstrating that dog genetic diversification had started well before 14,200 years ago. We find a Neolithic influx of Southwest Asian ancestry into Europe, but this seems to have been of smaller magnitude than in humans, suggesting that Mesolithic dogs contributed substantially to Neolithic, and, ultimately, probably also modern, European dogs.</w:t>
      </w:r>
    </w:p>
    <w:p>
      <w:pPr>
        <w:spacing w:before="120" w:after="120"/>
      </w:pPr>
      <w:r>
        <w:rPr>
          <w:sz w:val="18"/>
        </w:rPr>
        <w:t>——————————————————————————————————————————————————————————————————————</w:t>
      </w:r>
    </w:p>
    <w:p>
      <w:pPr>
        <w:spacing w:before="160" w:after="40" w:line="240" w:lineRule="auto"/>
      </w:pPr>
      <w:r>
        <w:rPr>
          <w:b/>
        </w:rPr>
        <w:t xml:space="preserve">[245] </w:t>
      </w:r>
      <w:hyperlink r:id="rId659">
        <w:r>
          <w:rPr>
            <w:color w:val="1155CC"/>
            <w:u w:val="single"/>
          </w:rPr>
          <w:t>人工智能科学家正在改变研究——机构、资助者和出版商必须作出回应</w:t>
        </w:r>
      </w:hyperlink>
    </w:p>
    <w:p>
      <w:pPr>
        <w:spacing w:before="0" w:after="80"/>
      </w:pPr>
      <w:r>
        <w:rPr>
          <w:i/>
          <w:sz w:val="20"/>
        </w:rPr>
        <w:t>EN: AI scientists are changing research — institutions, funders and publishers must respond</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60">
        <w:r>
          <w:rPr>
            <w:color w:val="1155CC"/>
            <w:u w:val="single"/>
          </w:rPr>
          <w:t>10.1038/d41586-026-00934-w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[246] </w:t>
      </w:r>
      <w:hyperlink r:id="rId661">
        <w:r>
          <w:rPr>
            <w:color w:val="1155CC"/>
            <w:u w:val="single"/>
          </w:rPr>
          <w:t>绿色金融与大数据双试点对能源韧性的协同效应：基于改进的合成控制方法的证据</w:t>
        </w:r>
      </w:hyperlink>
    </w:p>
    <w:p>
      <w:pPr>
        <w:spacing w:before="0" w:after="80"/>
      </w:pPr>
      <w:r>
        <w:rPr>
          <w:i/>
          <w:sz w:val="20"/>
        </w:rPr>
        <w:t>EN: Synergistic effects of green finance and big data dual pilots on energy resilience: Evidence from improved synthetic control methods</w:t>
      </w:r>
    </w:p>
    <w:p>
      <w:pPr>
        <w:spacing w:before="0" w:after="120"/>
      </w:pPr>
      <w:r>
        <w:rPr>
          <w:b/>
        </w:rPr>
        <w:t xml:space="preserve">Source: </w:t>
      </w:r>
      <w:r>
        <w:t>ScienceDirect Publication: Energy Policy</w:t>
      </w:r>
      <w:r>
        <w:t xml:space="preserve">    </w:t>
      </w:r>
      <w:r>
        <w:rPr>
          <w:b/>
        </w:rPr>
        <w:t xml:space="preserve">Pub date: </w:t>
      </w:r>
      <w:r>
        <w:t>2026-03-25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[247] </w:t>
      </w:r>
      <w:hyperlink r:id="rId662">
        <w:r>
          <w:rPr>
            <w:color w:val="1155CC"/>
            <w:u w:val="single"/>
          </w:rPr>
          <w:t>纠缠变得可测量</w:t>
        </w:r>
      </w:hyperlink>
    </w:p>
    <w:p>
      <w:pPr>
        <w:spacing w:before="0" w:after="80"/>
      </w:pPr>
      <w:r>
        <w:rPr>
          <w:i/>
          <w:sz w:val="20"/>
        </w:rPr>
        <w:t>EN: Entanglement made measurable</w:t>
      </w:r>
    </w:p>
    <w:p>
      <w:pPr>
        <w:spacing w:before="0" w:after="120"/>
      </w:pPr>
      <w:r>
        <w:rPr>
          <w:b/>
        </w:rPr>
        <w:t xml:space="preserve">Source: </w:t>
      </w:r>
      <w:r>
        <w:t>Nature Materials</w:t>
      </w:r>
      <w:r>
        <w:t xml:space="preserve">    </w:t>
      </w:r>
      <w:r>
        <w:rPr>
          <w:b/>
        </w:rPr>
        <w:t xml:space="preserve">Pub date: </w:t>
      </w:r>
      <w:r>
        <w:t>2026-03-25 00:00:00+00:00</w:t>
      </w:r>
      <w:r>
        <w:t xml:space="preserve">    </w:t>
      </w:r>
      <w:r>
        <w:rPr>
          <w:b/>
        </w:rPr>
        <w:t xml:space="preserve">DOI: </w:t>
      </w:r>
      <w:hyperlink r:id="rId663">
        <w:r>
          <w:rPr>
            <w:color w:val="1155CC"/>
            <w:u w:val="single"/>
          </w:rPr>
          <w:t>10.1038/s41563-026-02557-y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[248] </w:t>
      </w:r>
      <w:hyperlink r:id="rId664">
        <w:r>
          <w:rPr>
            <w:color w:val="1155CC"/>
            <w:u w:val="single"/>
          </w:rPr>
          <w:t>癌症中的异位NMDAR表达揭示了种系编码的自身免疫</w:t>
        </w:r>
      </w:hyperlink>
    </w:p>
    <w:p>
      <w:pPr>
        <w:spacing w:before="0" w:after="80"/>
      </w:pPr>
      <w:r>
        <w:rPr>
          <w:i/>
          <w:sz w:val="20"/>
        </w:rPr>
        <w:t>EN: Ectopic NMDAR expression in cancer unmasks germline-encoded autoimmunity</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65">
        <w:r>
          <w:rPr>
            <w:color w:val="1155CC"/>
            <w:u w:val="single"/>
          </w:rPr>
          <w:t>10.1038/s41586-026-10278-0</w:t>
        </w:r>
      </w:hyperlink>
    </w:p>
    <w:p>
      <w:pPr>
        <w:spacing w:before="0" w:after="120"/>
      </w:pPr>
      <w:r>
        <w:rPr>
          <w:b/>
        </w:rPr>
        <w:t xml:space="preserve">Notes: </w:t>
      </w:r>
      <w:r>
        <w:t>abstract_source=nature_html</w:t>
      </w:r>
    </w:p>
    <w:p>
      <w:pPr>
        <w:spacing w:before="0" w:after="80" w:lineRule="auto" w:line="276"/>
      </w:pPr>
      <w:r>
        <w:rPr>
          <w:b/>
        </w:rPr>
        <w:t xml:space="preserve">摘要（ZH）: </w:t>
      </w:r>
      <w:r>
        <w:t>自身免疫和抗癌免疫位于同一生物连续体上1,2，但它们之间的联系仍不清楚。副肿瘤性神经综合征ANRE（抗NMDA受体（NMDAR）脑炎）是其连接性的一个范例3，因为肿瘤内NMDAR表达与抗NMDAR抗体的生成相关4,5。在此，我们验证了GluN1和GluN2B NMDAR亚基在三阴性乳腺癌（TNBC）6中的异位表达，并使用具有可诱导GluN1–GluN2B NMDAR表达的原位TNBC肿瘤对此进行建模。我们表明，NMDAR表达足以诱导B细胞的募集及其亲和力成熟，这与整合的适应性免疫反应一致。重建扩展的肿瘤内B细胞系统发育和冷冻电子显</w:t>
      </w:r>
    </w:p>
    <w:p>
      <w:pPr>
        <w:spacing w:before="0" w:after="200" w:lineRule="auto" w:line="276"/>
      </w:pPr>
      <w:r>
        <w:rPr>
          <w:b/>
        </w:rPr>
        <w:t xml:space="preserve">Abstract (EN): </w:t>
      </w:r>
      <w:r>
        <w:t>Autoimmunity and anti-cancer immunity lie on the same biological continuum1,2, but their link remains obscure. The paraneoplastic neurological syndrome ANRE (anti-NMDA receptor (NMDAR) encephalitis) is a paradigm for their connectivity3, given that intratumoural NMDAR expression is correlated with the generation of anti-NMDAR antibodies4,5. Here we verify ectopic expression of GluN1 and GluN2B NMDAR subunits in triple-negative breast cancer (TNBC)6 and model this using orthotopic TNBC tumours with inducible expression of GluN1–GluN2B NMDARs. We show that NMDAR expression is sufficient to induce the recruitment of B cells and their affinity maturation, consistent with an integrated adaptive immune response. Reconstruction of extended intratumoural B cell phylogenies and cryogenic electron microscopy structural analyses demonstrate that affinity-matured hypermutated and class-switched antibodies emerged from pre-existing germline-configuration lower-affinity anti-NMDAR antibodies. Distinct matured antibodies targeted specific epitopes and induced conformational rearrangements within the NMDAR amino-terminal domain, predictive of their functional effects, ranging from inhibition to potentiation. Passive transfer of an NMDAR-potentiating antibody caused autonomic dysregulation and lowered the seizure threshold in healthy female mice, recapitulating key diagnostic criteria of ANRE4,5. We further identify a correlation between intratumoural NMDAR expression and anti-NMDAR antibody titres in patients with TNBC. Taken together, our data establish a direct connection between intratumoural NMDAR expression, antibody maturation and the onset of autoimmunity. These findings suggest that germline-encoded anti-NMDAR antibodies contribute to immune surveillance but can also trigger autoimmune disease after maturation, revealing a mechanistic trade-off between cancer immunity and neurotoxicity.</w:t>
      </w:r>
    </w:p>
    <w:p>
      <w:pPr>
        <w:spacing w:before="120" w:after="120"/>
      </w:pPr>
      <w:r>
        <w:rPr>
          <w:sz w:val="18"/>
        </w:rPr>
        <w:t>——————————————————————————————————————————————————————————————————————</w:t>
      </w:r>
    </w:p>
    <w:p>
      <w:pPr>
        <w:spacing w:before="160" w:after="40" w:line="240" w:lineRule="auto"/>
      </w:pPr>
      <w:r>
        <w:rPr>
          <w:b/>
        </w:rPr>
        <w:t xml:space="preserve">[249] </w:t>
      </w:r>
      <w:hyperlink r:id="rId666">
        <w:r>
          <w:rPr>
            <w:color w:val="1155CC"/>
            <w:u w:val="single"/>
          </w:rPr>
          <w:t>优势克隆利用发育表观基因组状态驱动室管膜瘤</w:t>
        </w:r>
      </w:hyperlink>
    </w:p>
    <w:p>
      <w:pPr>
        <w:spacing w:before="0" w:after="80"/>
      </w:pPr>
      <w:r>
        <w:rPr>
          <w:i/>
          <w:sz w:val="20"/>
        </w:rPr>
        <w:t>EN: Dominant clones leverage developmental epigenomic states to drive ependymoma</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67">
        <w:r>
          <w:rPr>
            <w:color w:val="1155CC"/>
            <w:u w:val="single"/>
          </w:rPr>
          <w:t>10.1038/s41586-026-10270-8</w:t>
        </w:r>
      </w:hyperlink>
    </w:p>
    <w:p>
      <w:pPr>
        <w:spacing w:before="0" w:after="120"/>
      </w:pPr>
      <w:r>
        <w:rPr>
          <w:b/>
        </w:rPr>
        <w:t xml:space="preserve">Notes: </w:t>
      </w:r>
      <w:r>
        <w:t>abstract_source=nature_html</w:t>
      </w:r>
    </w:p>
    <w:p>
      <w:pPr>
        <w:spacing w:before="0" w:after="80" w:lineRule="auto" w:line="276"/>
      </w:pPr>
      <w:r>
        <w:rPr>
          <w:b/>
        </w:rPr>
        <w:t xml:space="preserve">摘要（ZH）: </w:t>
      </w:r>
      <w:r>
        <w:t>ZFTA–RELA 是儿童幕上室管膜瘤（EPN）中最常见的遗传改变，并足以在小鼠中引发肿瘤1。尽管其具有致癌潜力，ZFTA–RELA（ZR）几乎仅在儿童 EPN 中观察到，肿瘤位于中枢神经系统的幕上脑部1。我们提出，在大脑发育过程中可访问的特定染色质模块会使特定细胞谱系程序直接面临 ZR 转化的风险。为了验证这一假设，我们对发育中的小鼠前脑与 ZR 驱动的小鼠和人类 EPN 进行了转座酶可及染色质和 RNA 的单核测序（snMultiome）。我们证明了在短暂存在的特定发育谱系程序中</w:t>
      </w:r>
    </w:p>
    <w:p>
      <w:pPr>
        <w:spacing w:before="0" w:after="200" w:lineRule="auto" w:line="276"/>
      </w:pPr>
      <w:r>
        <w:rPr>
          <w:b/>
        </w:rPr>
        <w:t xml:space="preserve">Abstract (EN): </w:t>
      </w:r>
      <w:r>
        <w:t>ZFTA–RELA is the most recurrent genetic alteration seen in paediatric supratentorial ependymoma (EPN) and is sufficient to initiate tumours in mice1. Despite its oncogenic potential, ZFTA–RELA (ZR) is observed nearly exclusively in childhood EPN, with tumours located distinctly in the supratentorial brain of the central nervous system1. We proposed that specific chromatin modules accessible during brain development would render distinct cell lineage programs at direct risk of transformation by ZR. To test this hypothesis, we performed combined single-nucleus assay for transposase-accessible chromatin and RNA (snMultiome) sequencing of the developing mouse forebrain compared with ZR-driven mouse and human EPN. We demonstrated that specific developmental lineage programs present in transient progenitor cells and regulated by PLAG/L family transcription factors were at risk of neoplastic transformation. Binding of this chromatin network by ZR or other PLAG/L family motifs targeting fusion oncoproteins led to persistent chromatin accessibility at oncogenic loci and oncogene expression. Cross-species analysis of mouse and human ZR EPN revealed significant cell type heterogeneity indicating incomplete neurogenic and gliogenic differentiation, with a small percentage of cycling progenitor-like or radial glial-like cells that established a putative tumour cell hierarchy. In vivo lineage tracing studies identified neoplastic clones that aggressively dominated tumour growth and established the entire EPN cellular hierarchy. These findings identify developmental epigenomic states that are critical for fusion-oncoprotein-driven transformation and show how these states continue to shape tumour progression.</w:t>
      </w:r>
    </w:p>
    <w:p>
      <w:pPr>
        <w:spacing w:before="120" w:after="120"/>
      </w:pPr>
      <w:r>
        <w:rPr>
          <w:sz w:val="18"/>
        </w:rPr>
        <w:t>——————————————————————————————————————————————————————————————————————</w:t>
      </w:r>
    </w:p>
    <w:p>
      <w:pPr>
        <w:spacing w:before="160" w:after="40" w:line="240" w:lineRule="auto"/>
      </w:pPr>
      <w:r>
        <w:rPr>
          <w:b/>
        </w:rPr>
        <w:t xml:space="preserve">[250] </w:t>
      </w:r>
      <w:hyperlink r:id="rId668">
        <w:r>
          <w:rPr>
            <w:color w:val="1155CC"/>
            <w:u w:val="single"/>
          </w:rPr>
          <w:t>暴露的磷脂酰丝氨酸是T细胞耗竭中的抑制分子</w:t>
        </w:r>
      </w:hyperlink>
    </w:p>
    <w:p>
      <w:pPr>
        <w:spacing w:before="0" w:after="80"/>
      </w:pPr>
      <w:r>
        <w:rPr>
          <w:i/>
          <w:sz w:val="20"/>
        </w:rPr>
        <w:t>EN: Exposed phosphatidylserine is an inhibitory molecule in T cell exhaustion</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69">
        <w:r>
          <w:rPr>
            <w:color w:val="1155CC"/>
            <w:u w:val="single"/>
          </w:rPr>
          <w:t>10.1038/s41586-026-10266-4</w:t>
        </w:r>
      </w:hyperlink>
    </w:p>
    <w:p>
      <w:pPr>
        <w:spacing w:before="0" w:after="120"/>
      </w:pPr>
      <w:r>
        <w:rPr>
          <w:b/>
        </w:rPr>
        <w:t xml:space="preserve">Notes: </w:t>
      </w:r>
      <w:r>
        <w:t>abstract_source=nature_html</w:t>
      </w:r>
    </w:p>
    <w:p>
      <w:pPr>
        <w:spacing w:before="0" w:after="80" w:lineRule="auto" w:line="276"/>
      </w:pPr>
      <w:r>
        <w:rPr>
          <w:b/>
        </w:rPr>
        <w:t xml:space="preserve">摘要（ZH）: </w:t>
      </w:r>
      <w:r>
        <w:t>在癌症和慢性感染中，CD8 T 细胞耗竭的标志是抑制性受体如 PD1、TIM3、LAG3 等的表达1,2,3。因此，抑制分子的关注一直局限于细胞表面蛋白。在此，我们评估了表面脂质代谢物磷脂酰丝氨酸（PS）作为耗竭的调节因子。PS 主要定位于活细胞的内质膜，但众所周知在细胞死亡期间会外翻到外膜。暴露的 PS 在活免疫细胞上的作用尚不清楚。我们显示，在淋巴细胞性脉络脑膜炎病毒（LCMV）感染期间，活的抗原特异性 CD8 T 细胞外翻 PS。T 细胞激活诱导了初始 PS 暴露，而慢性抗原刺激维持了外翻。转录组和脂质组分析也</w:t>
      </w:r>
    </w:p>
    <w:p>
      <w:pPr>
        <w:spacing w:before="0" w:after="200" w:lineRule="auto" w:line="276"/>
      </w:pPr>
      <w:r>
        <w:rPr>
          <w:b/>
        </w:rPr>
        <w:t xml:space="preserve">Abstract (EN): </w:t>
      </w:r>
      <w:r>
        <w:t>In cancer and chronic infection, CD8 T cell exhaustion is hallmarked by expression of inhibitory receptors such as PD1, TIM3, LAG3 and others1,2,3. Thus, inhibitory molecule focus has been limited to cell-surface proteins. Here we evaluate the surface lipid metabolite phosphatidylserine (PS) as a regulator of exhaustion. PS primarily localizes to the inner plasma membrane of live cells but is well known to be externalized to the outer membrane during cell death. The role of exposed PS on live immune cells is less clear. We show that viable, antigen-specific CD8 T cells externalize PS during lymphocytic choriomeningitis virus (LCMV) infection. T cell activation induced initial PS exposure, and chronic antigen stimulation sustained externalization. Transcriptomic and lipidomic analyses also identified PS accumulation in exhausted CD8 T cells. To evaluate a role for exposed PS in exhaustion, we treated LCMV chronically infected mice with a PS-targeting antibody (mch1N11)4 and found that it expanded LCMV-specific CD8 responses. PD1+TCF1+ stem-like CD8 T cells downregulated quiescence-associated gene modules and increased proliferation after antibody treatment, highlighting an inhibitory role for PS. Mechanistically, exposed PS on T cells functioned extrinsically to suppress dendritic cell immunostimulatory phenotypes, in turn limiting CD8 T cell responses. PS-targeting antibody with anti-PDL1 synergized to increase CD8 responses and improve viral control. Finally, we show that PD1+ CD8 T cells from human tumours can also expose PS. In summary, we detail CD8 T cell PS biology and provide insight into a mechanism by which exposed PS functions as a ‘non-classical’ extrinsic inhibitory molecule in exhaustion.</w:t>
      </w:r>
    </w:p>
    <w:p>
      <w:pPr>
        <w:spacing w:before="120" w:after="120"/>
      </w:pPr>
      <w:r>
        <w:rPr>
          <w:sz w:val="18"/>
        </w:rPr>
        <w:t>——————————————————————————————————————————————————————————————————————</w:t>
      </w:r>
    </w:p>
    <w:p>
      <w:pPr>
        <w:spacing w:before="160" w:after="40" w:line="240" w:lineRule="auto"/>
      </w:pPr>
      <w:r>
        <w:rPr>
          <w:b/>
        </w:rPr>
        <w:t xml:space="preserve">[251] </w:t>
      </w:r>
      <w:hyperlink r:id="rId670">
        <w:r>
          <w:rPr>
            <w:color w:val="1155CC"/>
            <w:u w:val="single"/>
          </w:rPr>
          <w:t>快速星爆风消耗了超新星的大部分能量</w:t>
        </w:r>
      </w:hyperlink>
    </w:p>
    <w:p>
      <w:pPr>
        <w:spacing w:before="0" w:after="80"/>
      </w:pPr>
      <w:r>
        <w:rPr>
          <w:i/>
          <w:sz w:val="20"/>
        </w:rPr>
        <w:t>EN: A fast starburst wind consumes most of the energy from supernovae</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71">
        <w:r>
          <w:rPr>
            <w:color w:val="1155CC"/>
            <w:u w:val="single"/>
          </w:rPr>
          <w:t>10.1038/s41586-026-10231-1</w:t>
        </w:r>
      </w:hyperlink>
    </w:p>
    <w:p>
      <w:pPr>
        <w:spacing w:before="0" w:after="120"/>
      </w:pPr>
      <w:r>
        <w:rPr>
          <w:b/>
        </w:rPr>
        <w:t xml:space="preserve">Notes: </w:t>
      </w:r>
      <w:r>
        <w:t>abstract_source=nature_html</w:t>
      </w:r>
    </w:p>
    <w:p>
      <w:pPr>
        <w:spacing w:before="0" w:after="80" w:lineRule="auto" w:line="276"/>
      </w:pPr>
      <w:r>
        <w:rPr>
          <w:b/>
        </w:rPr>
        <w:t xml:space="preserve">摘要（ZH）: </w:t>
      </w:r>
      <w:r>
        <w:t>星爆星系通常拥有多相的星系尺度风，这些风被认为可以丰富环星系介质并通过扰乱星际气体云来限制进一步的恒星形成1,2,3。这些风主要由超新星驱动4,5,6，但超新星能量如何形成有组织的流动仍不清楚。在此，我们使用 X 射线成像和光谱任务中的 Resolve 光谱仪显示，星爆星系 M82 核心的热气体（T = 2 × 107 K）移动迅速，视线速度弥散 σ=595−128+464kms−1。这与由热压产生的热核风一致。我们表明，自由风模型可以重现测量的</w:t>
      </w:r>
    </w:p>
    <w:p>
      <w:pPr>
        <w:spacing w:before="0" w:after="200" w:lineRule="auto" w:line="276"/>
      </w:pPr>
      <w:r>
        <w:rPr>
          <w:b/>
        </w:rPr>
        <w:t xml:space="preserve">Abstract (EN): </w:t>
      </w:r>
      <w:r>
        <w:t>Starburst galaxies often host multiphase, galaxy-scale winds thought to enrich the circumgalactic medium and limit further star formation by disrupting interstellar gas clouds1,2,3. These winds are primarily powered by supernovae4,5,6, but it remains unclear how supernova energy forms an organized flow. Here we use the Resolve spectrometer on the X-ray Imaging and Spectroscopy Mission to show that the hot (T = 2 × 107 K) gas in the nucleus of the starburst galaxy M82 is moving quickly, with a line-of-sight velocity dispersion &amp;#x03C3;=595&amp;#x2212;128+464kms&amp;#x2212;1" role="presentation"&gt;σ=595−128+464kms−1\sigma =59{5}_{-128}^{+464}\,\mathrm{km}\,{{\rm{s}}}^{-1}. This is consistent with a hot, nuclear wind generated by thermal pressure. We show that a free-wind model reproduces the measured temperature but underpredicts the velocity. The inferred mass and energy outflow rates from the nucleus, about 7 M⊙ yr−1 and 4 × 1042 erg s−1, require that most supernova energy is thermalized. These outflow rates provide enough energy to power the ≳30 M⊙ yr−1 cool outflow and still transport up to 3 M⊙ yr−1 to the intergalactic medium, suggesting that thermal gas pressure is sufficient to power the multiphase wind without additional support from cosmic rays7. We also show that the nuclear gas is hotter and faster than the plasma seen on larger scales (kT=0.72&amp;#x2212;0.08+0.10keV" role="presentation"&gt;kT=0.72−0.08+0.10keVkT\,=\,{0.72}_{-0.08}^{+0.10}\,\mathrm{keV}, &amp;#x03C3;=175&amp;#x2212;73+86kms&amp;#x2212;1" role="presentation"&gt;σ=175−73+86kms−1\sigma =17{5}_{-73}^{+86}\,\mathrm{km}\,{{\rm{s}}}^{-1}), suggesting a distinct origin for the latter.</w:t>
      </w:r>
    </w:p>
    <w:p>
      <w:pPr>
        <w:spacing w:before="120" w:after="120"/>
      </w:pPr>
      <w:r>
        <w:rPr>
          <w:sz w:val="18"/>
        </w:rPr>
        <w:t>——————————————————————————————————————————————————————————————————————</w:t>
      </w:r>
    </w:p>
    <w:p>
      <w:pPr>
        <w:spacing w:before="160" w:after="40" w:line="240" w:lineRule="auto"/>
      </w:pPr>
      <w:r>
        <w:rPr>
          <w:b/>
        </w:rPr>
        <w:t xml:space="preserve">[252] </w:t>
      </w:r>
      <w:hyperlink r:id="rId672">
        <w:r>
          <w:rPr>
            <w:color w:val="1155CC"/>
            <w:u w:val="single"/>
          </w:rPr>
          <w:t>为什么昆虫不巨大：对一个几十年旧观点的新挑战</w:t>
        </w:r>
      </w:hyperlink>
    </w:p>
    <w:p>
      <w:pPr>
        <w:spacing w:before="0" w:after="80"/>
      </w:pPr>
      <w:r>
        <w:rPr>
          <w:i/>
          <w:sz w:val="20"/>
        </w:rPr>
        <w:t>EN: Why insects aren't huge: a new challenge to a decades-old idea</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73">
        <w:r>
          <w:rPr>
            <w:color w:val="1155CC"/>
            <w:u w:val="single"/>
          </w:rPr>
          <w:t>10.1038/d41586-026-00976-0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[253] </w:t>
      </w:r>
      <w:hyperlink r:id="rId674">
        <w:r>
          <w:rPr>
            <w:color w:val="1155CC"/>
            <w:u w:val="single"/>
          </w:rPr>
          <w:t>撤回声明：多感官学习将神经元结合成跨模态记忆痕迹</w:t>
        </w:r>
      </w:hyperlink>
    </w:p>
    <w:p>
      <w:pPr>
        <w:spacing w:before="0" w:after="80"/>
      </w:pPr>
      <w:r>
        <w:rPr>
          <w:i/>
          <w:sz w:val="20"/>
        </w:rPr>
        <w:t>EN: Retraction Note: Multisensory learning binds neurons into a cross-modal memory engram</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675">
        <w:r>
          <w:rPr>
            <w:color w:val="1155CC"/>
            <w:u w:val="single"/>
          </w:rPr>
          <w:t>10.1038/s41586-026-10355-4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[254] </w:t>
      </w:r>
      <w:hyperlink r:id="rId676">
        <w:r>
          <w:rPr>
            <w:color w:val="1155CC"/>
            <w:u w:val="single"/>
          </w:rPr>
          <w:t>基于分层滚动优化的耦合电力和交通系统的三级协调策略：整合个人电动汽车调度与网络管理</w:t>
        </w:r>
      </w:hyperlink>
    </w:p>
    <w:p>
      <w:pPr>
        <w:spacing w:before="0" w:after="80"/>
      </w:pPr>
      <w:r>
        <w:rPr>
          <w:i/>
          <w:sz w:val="20"/>
        </w:rPr>
        <w:t>EN: A tri-level coordination strategy for coupled power and transportation systems based on hierarchical rolling optimization: integrating individual EV dispatch with network management</w:t>
      </w:r>
    </w:p>
    <w:p>
      <w:pPr>
        <w:spacing w:before="0" w:after="120"/>
      </w:pPr>
      <w:r>
        <w:rPr>
          <w:b/>
        </w:rPr>
        <w:t xml:space="preserve">Source: </w:t>
      </w:r>
      <w:r>
        <w:t>ScienceDirect Publication: Applied Energy</w:t>
      </w:r>
      <w:r>
        <w:t xml:space="preserve">    </w:t>
      </w:r>
      <w:r>
        <w:rPr>
          <w:b/>
        </w:rPr>
        <w:t xml:space="preserve">Pub date: </w:t>
      </w:r>
      <w:r>
        <w:t>2026-03-25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[255] </w:t>
      </w:r>
      <w:hyperlink r:id="rId677">
        <w:r>
          <w:rPr>
            <w:color w:val="1155CC"/>
            <w:u w:val="single"/>
          </w:rPr>
          <w:t>用于工业电池车队管理的数字孪生框架：一种具有不确定性量化的统一多信号集成方法</w:t>
        </w:r>
      </w:hyperlink>
    </w:p>
    <w:p>
      <w:pPr>
        <w:spacing w:before="0" w:after="80"/>
      </w:pPr>
      <w:r>
        <w:rPr>
          <w:i/>
          <w:sz w:val="20"/>
        </w:rPr>
        <w:t>EN: A digital twin framework for industrial battery fleet management: A unified multi-signal ensemble approach with uncertainty quantification</w:t>
      </w:r>
    </w:p>
    <w:p>
      <w:pPr>
        <w:spacing w:before="0" w:after="120"/>
      </w:pPr>
      <w:r>
        <w:rPr>
          <w:b/>
        </w:rPr>
        <w:t xml:space="preserve">Source: </w:t>
      </w:r>
      <w:r>
        <w:t>ScienceDirect Publication: Applied Energy</w:t>
      </w:r>
      <w:r>
        <w:t xml:space="preserve">    </w:t>
      </w:r>
      <w:r>
        <w:rPr>
          <w:b/>
        </w:rPr>
        <w:t xml:space="preserve">Pub date: </w:t>
      </w:r>
      <w:r>
        <w:t>2026-03-25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[256] </w:t>
      </w:r>
      <w:hyperlink r:id="rId678">
        <w:r>
          <w:rPr>
            <w:color w:val="1155CC"/>
            <w:u w:val="single"/>
          </w:rPr>
          <w:t>软体细胞内电化学反应器</w:t>
        </w:r>
      </w:hyperlink>
    </w:p>
    <w:p>
      <w:pPr>
        <w:spacing w:before="0" w:after="80"/>
      </w:pPr>
      <w:r>
        <w:rPr>
          <w:i/>
          <w:sz w:val="20"/>
        </w:rPr>
        <w:t>EN: Soft intracellular electrochemical reactors</w:t>
      </w:r>
    </w:p>
    <w:p>
      <w:pPr>
        <w:spacing w:before="0" w:after="120"/>
      </w:pPr>
      <w:r>
        <w:rPr>
          <w:b/>
        </w:rPr>
        <w:t xml:space="preserve">Source: </w:t>
      </w:r>
      <w:r>
        <w:t>Nature Chemical Engineering</w:t>
      </w:r>
      <w:r>
        <w:t xml:space="preserve">    </w:t>
      </w:r>
      <w:r>
        <w:rPr>
          <w:b/>
        </w:rPr>
        <w:t xml:space="preserve">Pub date: </w:t>
      </w:r>
      <w:r>
        <w:t>2026-03-25 00:00:00+00:00</w:t>
      </w:r>
      <w:r>
        <w:t xml:space="preserve">    </w:t>
      </w:r>
      <w:r>
        <w:rPr>
          <w:b/>
        </w:rPr>
        <w:t xml:space="preserve">DOI: </w:t>
      </w:r>
      <w:hyperlink r:id="rId679">
        <w:r>
          <w:rPr>
            <w:color w:val="1155CC"/>
            <w:u w:val="single"/>
          </w:rPr>
          <w:t>10.1038/s44286-026-00376-1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[257] </w:t>
      </w:r>
      <w:hyperlink r:id="rId680">
        <w:r>
          <w:rPr>
            <w:color w:val="1155CC"/>
            <w:u w:val="single"/>
          </w:rPr>
          <w:t>发光有机晶体及其器件应用</w:t>
        </w:r>
      </w:hyperlink>
    </w:p>
    <w:p>
      <w:pPr>
        <w:spacing w:before="0" w:after="80"/>
      </w:pPr>
      <w:r>
        <w:rPr>
          <w:i/>
          <w:sz w:val="20"/>
        </w:rPr>
        <w:t>EN: Emissive organic crystals and device applications</w:t>
      </w:r>
    </w:p>
    <w:p>
      <w:pPr>
        <w:spacing w:before="0" w:after="120"/>
      </w:pPr>
      <w:r>
        <w:rPr>
          <w:b/>
        </w:rPr>
        <w:t xml:space="preserve">Source: </w:t>
      </w:r>
      <w:r>
        <w:t>RSC - Chem. Soc. Rev. latest articles</w:t>
      </w:r>
      <w:r>
        <w:t xml:space="preserve">    </w:t>
      </w:r>
      <w:r>
        <w:rPr>
          <w:b/>
        </w:rPr>
        <w:t xml:space="preserve">Pub date: </w:t>
      </w:r>
      <w:r>
        <w:t>2026-03-25 00:00:00+00:00</w:t>
      </w:r>
    </w:p>
    <w:p>
      <w:pPr>
        <w:spacing w:before="0" w:after="120"/>
      </w:pPr>
      <w:r>
        <w:rPr>
          <w:b/>
        </w:rPr>
        <w:t xml:space="preserve">Notes: </w:t>
      </w:r>
      <w:r>
        <w:t>abstract_source=rsc_html</w:t>
      </w:r>
    </w:p>
    <w:p>
      <w:pPr>
        <w:spacing w:before="0" w:after="80" w:lineRule="auto" w:line="276"/>
      </w:pPr>
      <w:r>
        <w:rPr>
          <w:b/>
        </w:rPr>
        <w:t xml:space="preserve">摘要（ZH）: </w:t>
      </w:r>
      <w:r>
        <w:t>发光有机晶体代表了材料科学中快速发展的前沿，提供了一个独特的平台，将晶体结构的优越光电特性与高效光发射相结合。本文综述了该领域，从基本的分子设计原理和光物理机制，如聚集诱导发光、热激活延迟荧光和室温磷光，到晶体堆积和形态的先进工程。详细阐述了这些晶体材料固有的独特光-物质相互作用，这些相互作用是光波导和受激发射（激光）应用的基础。综述还讨论了设备集成，重点介绍了最近的进展</w:t>
      </w:r>
    </w:p>
    <w:p>
      <w:pPr>
        <w:spacing w:before="0" w:after="200" w:lineRule="auto" w:line="276"/>
      </w:pPr>
      <w:r>
        <w:rPr>
          <w:b/>
        </w:rPr>
        <w:t xml:space="preserve">Abstract (EN): </w:t>
      </w:r>
      <w:r>
        <w:t>Emissive organic crystals represent a rapidly advancing frontier in materials science, offering a unique platform that merges the superior optoelectronic characteristics of crystalline order with high-efficiency light emission. This review comprehensively surveys the field, from the fundamental molecular design principles and photophysical mechanisms, such as aggregation-induced emission, thermally activated delayed fluorescence, and room-temperature phosphorescence, to the advanced engineering of crystal packing and morphology. The unique light–matter interactions inherent to these crystalline materials, which underpin applications in optical waveguiding and stimulated emission (lasing), are elaborated upon. The review further discusses device integration, highlighting recent progress in organic light-emitting transistors, single-crystal light-emitting diodes, sensors and display arrays. Finally, the review outlines the existing challenges and future opportunities for these crystalline materials in next-generation photoelectronic technologies.</w:t>
      </w:r>
    </w:p>
    <w:p>
      <w:pPr>
        <w:spacing w:before="120" w:after="120"/>
      </w:pPr>
      <w:r>
        <w:rPr>
          <w:sz w:val="18"/>
        </w:rPr>
        <w:t>——————————————————————————————————————————————————————————————————————</w:t>
      </w:r>
    </w:p>
    <w:p>
      <w:pPr>
        <w:spacing w:before="160" w:after="40" w:line="240" w:lineRule="auto"/>
      </w:pPr>
      <w:r>
        <w:rPr>
          <w:b/>
        </w:rPr>
        <w:t xml:space="preserve">[258] </w:t>
      </w:r>
      <w:hyperlink r:id="rId681">
        <w:r>
          <w:rPr>
            <w:color w:val="1155CC"/>
            <w:u w:val="single"/>
          </w:rPr>
          <w:t>弥合差距：用于外周神经修复的梯度支架作为生物指示平台</w:t>
        </w:r>
      </w:hyperlink>
    </w:p>
    <w:p>
      <w:pPr>
        <w:spacing w:before="0" w:after="80"/>
      </w:pPr>
      <w:r>
        <w:rPr>
          <w:i/>
          <w:sz w:val="20"/>
        </w:rPr>
        <w:t>EN: Bridging the gap: gradient scaffolds as bioinstructive platforms for peripheral nerve repair</w:t>
      </w:r>
    </w:p>
    <w:p>
      <w:pPr>
        <w:spacing w:before="0" w:after="120"/>
      </w:pPr>
      <w:r>
        <w:rPr>
          <w:b/>
        </w:rPr>
        <w:t xml:space="preserve">Source: </w:t>
      </w:r>
      <w:r>
        <w:t>RSC - Chem. Soc. Rev. latest articles</w:t>
      </w:r>
      <w:r>
        <w:t xml:space="preserve">    </w:t>
      </w:r>
      <w:r>
        <w:rPr>
          <w:b/>
        </w:rPr>
        <w:t xml:space="preserve">Pub date: </w:t>
      </w:r>
      <w:r>
        <w:t>2026-03-25 00:00:00+00:00</w:t>
      </w:r>
    </w:p>
    <w:p>
      <w:pPr>
        <w:spacing w:before="0" w:after="120"/>
      </w:pPr>
      <w:r>
        <w:rPr>
          <w:b/>
        </w:rPr>
        <w:t xml:space="preserve">Notes: </w:t>
      </w:r>
      <w:r>
        <w:t>abstract_source=rsc_html</w:t>
      </w:r>
    </w:p>
    <w:p>
      <w:pPr>
        <w:spacing w:before="0" w:after="80" w:lineRule="auto" w:line="276"/>
      </w:pPr>
      <w:r>
        <w:rPr>
          <w:b/>
        </w:rPr>
        <w:t xml:space="preserve">摘要（ZH）: </w:t>
      </w:r>
      <w:r>
        <w:t>周围神经损伤由于其复杂的病理生理学和有限的内在再生能力，仍然是一个主要的临床挑战。因此，有效的神经引导导管（NGCs）不仅需要结构支持，还需要能够主动调节细胞行为的生物指令性线索。空间梯度在通过提供无法通过均匀的生化或结构线索实现的长程引导线索来指导细胞迁移和轴突延伸方面发挥着基本的生物学作用。从材料和化学的角度来看，梯度NGCs代表了一类独特的生物材料，其中物理特性，如地形、孔隙率和刚度，以及生化成分，包括生长因子、趋化因子、肽和细胞外基质</w:t>
      </w:r>
    </w:p>
    <w:p>
      <w:pPr>
        <w:spacing w:before="0" w:after="200" w:lineRule="auto" w:line="276"/>
      </w:pPr>
      <w:r>
        <w:rPr>
          <w:b/>
        </w:rPr>
        <w:t xml:space="preserve">Abstract (EN): </w:t>
      </w:r>
      <w:r>
        <w:t>Peripheral nerve injury remains a major clinical challenge due to its complex pathophysiology and limited intrinsic regenerative capacity. Effective nerve guidance conduits (NGCs) therefore require not only structural support but also bioinstructive cues capable of actively regulating cellular behavior. Spatial gradients play a fundamental biological role in directing cell migration and axonal elongation by providing long-range guidance cues that cannot be achieved with uniform biochemical or structural cues alone. From a materials and chemical perspective, gradient NGCs represent a distinctive class of biomaterials in which physical properties, such as topography, porosity, and stiffness, and biochemical components, including growth factors, chemokines, peptides, and extracellular matrix (ECM) molecules, are spatially encoded within the conduit structure. These gradients are established through physicochemical processes such as diffusion and adsorption kinetics, polymer network formation, crosslinking reactions, and interfacial chemistry. In this review, we discuss the mechanisms by which gradient cues regulate cellular and axonal responses, and summarize recent advances in the materials design and fabrication strategies used to introduce physical and biochemical gradients into NGCs. We further summarize representative in vitro and in vivo regenerative outcomes, highlighting how chemically engineered gradients synergize with structural guidance to promote organized nerve regeneration. Finally, we outline key challenges, including gradient stability, reproducibility, and compatibility with scalable manufacturing, and discuss future directions for the clinical translation of gradient-based NGCs.</w:t>
      </w:r>
    </w:p>
    <w:p>
      <w:pPr>
        <w:spacing w:before="120" w:after="120"/>
      </w:pPr>
      <w:r>
        <w:rPr>
          <w:sz w:val="18"/>
        </w:rPr>
        <w:t>——————————————————————————————————————————————————————————————————————</w:t>
      </w:r>
    </w:p>
    <w:p>
      <w:pPr>
        <w:spacing w:before="160" w:after="40" w:line="240" w:lineRule="auto"/>
      </w:pPr>
      <w:r>
        <w:rPr>
          <w:b/>
        </w:rPr>
        <w:t xml:space="preserve">[259] </w:t>
      </w:r>
      <w:hyperlink r:id="rId682">
        <w:r>
          <w:rPr>
            <w:color w:val="1155CC"/>
            <w:u w:val="single"/>
          </w:rPr>
          <w:t>清洁和化石能源中的能源转型与地缘政治风险：多尺度时变关联性和深度学习预测</w:t>
        </w:r>
      </w:hyperlink>
    </w:p>
    <w:p>
      <w:pPr>
        <w:spacing w:before="0" w:after="80"/>
      </w:pPr>
      <w:r>
        <w:rPr>
          <w:i/>
          <w:sz w:val="20"/>
        </w:rPr>
        <w:t>EN: Energy transition and geopolitical risk in clean and fossil energy with multiscale time-varying connectedness and deep learning forecasts</w:t>
      </w:r>
    </w:p>
    <w:p>
      <w:pPr>
        <w:spacing w:before="0" w:after="120"/>
      </w:pPr>
      <w:r>
        <w:rPr>
          <w:b/>
        </w:rPr>
        <w:t xml:space="preserve">Source: </w:t>
      </w:r>
      <w:r>
        <w:t>ScienceDirect Publication: Applied Energy</w:t>
      </w:r>
      <w:r>
        <w:t xml:space="preserve">    </w:t>
      </w:r>
      <w:r>
        <w:rPr>
          <w:b/>
        </w:rPr>
        <w:t xml:space="preserve">Pub date: </w:t>
      </w:r>
      <w:r>
        <w:t>2026-03-25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[260] </w:t>
      </w:r>
      <w:hyperlink r:id="rId683">
        <w:r>
          <w:rPr>
            <w:color w:val="1155CC"/>
            <w:u w:val="single"/>
          </w:rPr>
          <w:t>化学驱动的活性粒子群体</w:t>
        </w:r>
      </w:hyperlink>
    </w:p>
    <w:p>
      <w:pPr>
        <w:spacing w:before="0" w:after="80"/>
      </w:pPr>
      <w:r>
        <w:rPr>
          <w:i/>
          <w:sz w:val="20"/>
        </w:rPr>
        <w:t>EN: Chemically powered active particle colonies</w:t>
      </w:r>
    </w:p>
    <w:p>
      <w:pPr>
        <w:spacing w:before="0" w:after="120"/>
      </w:pPr>
      <w:r>
        <w:rPr>
          <w:b/>
        </w:rPr>
        <w:t xml:space="preserve">Source: </w:t>
      </w:r>
      <w:r>
        <w:t>Nature Chemical Engineering</w:t>
      </w:r>
      <w:r>
        <w:t xml:space="preserve">    </w:t>
      </w:r>
      <w:r>
        <w:rPr>
          <w:b/>
        </w:rPr>
        <w:t xml:space="preserve">Pub date: </w:t>
      </w:r>
      <w:r>
        <w:t>2026-03-25 00:00:00+00:00</w:t>
      </w:r>
      <w:r>
        <w:t xml:space="preserve">    </w:t>
      </w:r>
      <w:r>
        <w:rPr>
          <w:b/>
        </w:rPr>
        <w:t xml:space="preserve">DOI: </w:t>
      </w:r>
      <w:hyperlink r:id="rId684">
        <w:r>
          <w:rPr>
            <w:color w:val="1155CC"/>
            <w:u w:val="single"/>
          </w:rPr>
          <w:t>10.1038/s44286-026-00368-1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[261] </w:t>
      </w:r>
      <w:hyperlink r:id="rId685">
        <w:r>
          <w:rPr>
            <w:color w:val="1155CC"/>
            <w:u w:val="single"/>
          </w:rPr>
          <w:t>电化学反应的解耦与再耦合</w:t>
        </w:r>
      </w:hyperlink>
    </w:p>
    <w:p>
      <w:pPr>
        <w:spacing w:before="0" w:after="80"/>
      </w:pPr>
      <w:r>
        <w:rPr>
          <w:i/>
          <w:sz w:val="20"/>
        </w:rPr>
        <w:t>EN: Decoupling and recoupling electrochemical reactions</w:t>
      </w:r>
    </w:p>
    <w:p>
      <w:pPr>
        <w:spacing w:before="0" w:after="120"/>
      </w:pPr>
      <w:r>
        <w:rPr>
          <w:b/>
        </w:rPr>
        <w:t xml:space="preserve">Source: </w:t>
      </w:r>
      <w:r>
        <w:t>Nature Chemical Engineering</w:t>
      </w:r>
      <w:r>
        <w:t xml:space="preserve">    </w:t>
      </w:r>
      <w:r>
        <w:rPr>
          <w:b/>
        </w:rPr>
        <w:t xml:space="preserve">Pub date: </w:t>
      </w:r>
      <w:r>
        <w:t>2026-03-25 00:00:00+00:00</w:t>
      </w:r>
      <w:r>
        <w:t xml:space="preserve">    </w:t>
      </w:r>
      <w:r>
        <w:rPr>
          <w:b/>
        </w:rPr>
        <w:t xml:space="preserve">DOI: </w:t>
      </w:r>
      <w:hyperlink r:id="rId686">
        <w:r>
          <w:rPr>
            <w:color w:val="1155CC"/>
            <w:u w:val="single"/>
          </w:rPr>
          <w:t>10.1038/s44286-026-00379-y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[262] </w:t>
      </w:r>
      <w:hyperlink r:id="rId687">
        <w:r>
          <w:rPr>
            <w:color w:val="1155CC"/>
            <w:u w:val="single"/>
          </w:rPr>
          <w:t>从合成气到乙烯的穿梭编织</w:t>
        </w:r>
      </w:hyperlink>
    </w:p>
    <w:p>
      <w:pPr>
        <w:spacing w:before="0" w:after="80"/>
      </w:pPr>
      <w:r>
        <w:rPr>
          <w:i/>
          <w:sz w:val="20"/>
        </w:rPr>
        <w:t>EN: Weaving a shuttle from syngas to ethylene</w:t>
      </w:r>
    </w:p>
    <w:p>
      <w:pPr>
        <w:spacing w:before="0" w:after="120"/>
      </w:pPr>
      <w:r>
        <w:rPr>
          <w:b/>
        </w:rPr>
        <w:t xml:space="preserve">Source: </w:t>
      </w:r>
      <w:r>
        <w:t>Nature Chemical Engineering</w:t>
      </w:r>
      <w:r>
        <w:t xml:space="preserve">    </w:t>
      </w:r>
      <w:r>
        <w:rPr>
          <w:b/>
        </w:rPr>
        <w:t xml:space="preserve">Pub date: </w:t>
      </w:r>
      <w:r>
        <w:t>2026-03-25 00:00:00+00:00</w:t>
      </w:r>
      <w:r>
        <w:t xml:space="preserve">    </w:t>
      </w:r>
      <w:r>
        <w:rPr>
          <w:b/>
        </w:rPr>
        <w:t xml:space="preserve">DOI: </w:t>
      </w:r>
      <w:hyperlink r:id="rId688">
        <w:r>
          <w:rPr>
            <w:color w:val="1155CC"/>
            <w:u w:val="single"/>
          </w:rPr>
          <w:t>10.1038/s44286-026-00374-3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[263] </w:t>
      </w:r>
      <w:hyperlink r:id="rId689">
        <w:r>
          <w:rPr>
            <w:color w:val="1155CC"/>
            <w:u w:val="single"/>
          </w:rPr>
          <w:t>小鼠前后脾枕皮层形成不同的视觉空间回路</w:t>
        </w:r>
      </w:hyperlink>
    </w:p>
    <w:p>
      <w:pPr>
        <w:spacing w:before="0" w:after="80"/>
      </w:pPr>
      <w:r>
        <w:rPr>
          <w:i/>
          <w:sz w:val="20"/>
        </w:rPr>
        <w:t>EN: Anterior and posterior retrosplenial cortex form distinct visuospatial circuits in the mouse</w:t>
      </w:r>
    </w:p>
    <w:p>
      <w:pPr>
        <w:spacing w:before="0" w:after="120"/>
      </w:pPr>
      <w:r>
        <w:rPr>
          <w:b/>
        </w:rPr>
        <w:t xml:space="preserve">Source: </w:t>
      </w:r>
      <w:r>
        <w:t>Nature Communications</w:t>
      </w:r>
      <w:r>
        <w:t xml:space="preserve">    </w:t>
      </w:r>
      <w:r>
        <w:rPr>
          <w:b/>
        </w:rPr>
        <w:t xml:space="preserve">Pub date: </w:t>
      </w:r>
      <w:r>
        <w:t>2026-03-25 00:00:00+00:00</w:t>
      </w:r>
      <w:r>
        <w:t xml:space="preserve">    </w:t>
      </w:r>
      <w:r>
        <w:rPr>
          <w:b/>
        </w:rPr>
        <w:t xml:space="preserve">DOI: </w:t>
      </w:r>
      <w:hyperlink r:id="rId690">
        <w:r>
          <w:rPr>
            <w:color w:val="1155CC"/>
            <w:u w:val="single"/>
          </w:rPr>
          <w:t>10.1038/s41467-026-70762-z</w:t>
        </w:r>
      </w:hyperlink>
    </w:p>
    <w:p>
      <w:pPr>
        <w:spacing w:before="0" w:after="120"/>
      </w:pPr>
      <w:r>
        <w:rPr>
          <w:b/>
        </w:rPr>
        <w:t xml:space="preserve">Notes: </w:t>
      </w:r>
      <w:r>
        <w:t>abstract_source=nature_html</w:t>
      </w:r>
    </w:p>
    <w:p>
      <w:pPr>
        <w:spacing w:before="0" w:after="80" w:lineRule="auto" w:line="276"/>
      </w:pPr>
      <w:r>
        <w:rPr>
          <w:b/>
        </w:rPr>
        <w:t xml:space="preserve">摘要（ZH）: </w:t>
      </w:r>
      <w:r>
        <w:t>后扣带皮层（RSC）整合感觉和记忆信息以支持空间定位和导航，但其各个子区域的视觉空间处理差异尚不清楚。在此，我们结合了导航小鼠的细胞成像和全脑解剖输入追踪，以表征多模态感觉和位置信号如何沿背侧RSC的前后轴整合。我们在功能响应特性和长程连接性方面识别出前后子区域之间的一致差异。前RSC神经元在触觉提示导航期间显示出更锐利和更可靠的位置调谐，并对快速、低空间频率的视觉运动表现出优先敏感性。相比之下，后RSC神经元显示出更广泛的</w:t>
      </w:r>
    </w:p>
    <w:p>
      <w:pPr>
        <w:spacing w:before="0" w:after="200" w:lineRule="auto" w:line="276"/>
      </w:pPr>
      <w:r>
        <w:rPr>
          <w:b/>
        </w:rPr>
        <w:t xml:space="preserve">Abstract (EN): </w:t>
      </w:r>
      <w:r>
        <w:t>The retrosplenial cortex (RSC) integrates sensory and mnemonic information to support spatial orientation and navigation, yet how visuospatial processing differs across its subregions remains unclear. Here, we combined cellular imaging in navigating mice with brain-wide anatomical input tracing to characterize how multimodal sensory and positional signals are integrated along the anterior–posterior axis of dorsal RSC. We identified consistent differences between anterior and posterior subregions in both functional response properties and long-range connectivity. Anterior RSC neurons displayed sharper and more reliable position tuning during tactile-cued navigation and preferential sensitivity to fast, low–spatial-frequency visual motion. In contrast, posterior RSC neurons showed broader position selectivity, stronger responses to slow, high–spatial-frequency visual patterns, and enhanced tuning in visually immersive virtual environments. Consistent with these differences, anterior RSC received denser projections from motor, somatosensory, and parietal areas, whereas posterior RSC received stronger input from primary and posteromedial visual cortices. Together, these findings identify an anterior–posterior functional gradient in RSC, with subregions differing in how they integrate sensory and positional signals during navigation.</w:t>
      </w:r>
    </w:p>
    <w:p>
      <w:pPr>
        <w:spacing w:before="120" w:after="120"/>
      </w:pPr>
      <w:r>
        <w:rPr>
          <w:sz w:val="18"/>
        </w:rPr>
        <w:t>——————————————————————————————————————————————————————————————————————</w:t>
      </w:r>
    </w:p>
    <w:p>
      <w:pPr>
        <w:spacing w:before="160" w:after="40" w:line="240" w:lineRule="auto"/>
      </w:pPr>
      <w:r>
        <w:rPr>
          <w:b/>
        </w:rPr>
        <w:t xml:space="preserve">[264] </w:t>
      </w:r>
      <w:hyperlink r:id="rId691">
        <w:r>
          <w:rPr>
            <w:color w:val="1155CC"/>
            <w:u w:val="single"/>
          </w:rPr>
          <w:t>量子计算的能源和物理资源影响值得更多关注</w:t>
        </w:r>
      </w:hyperlink>
    </w:p>
    <w:p>
      <w:pPr>
        <w:spacing w:before="0" w:after="80"/>
      </w:pPr>
      <w:r>
        <w:rPr>
          <w:i/>
          <w:sz w:val="20"/>
        </w:rPr>
        <w:t>EN: Energy and physical resource impacts of quantum computing merit greater attention</w:t>
      </w:r>
    </w:p>
    <w:p>
      <w:pPr>
        <w:spacing w:before="0" w:after="120"/>
      </w:pPr>
      <w:r>
        <w:rPr>
          <w:b/>
        </w:rPr>
        <w:t xml:space="preserve">Source: </w:t>
      </w:r>
      <w:r>
        <w:t>Nature Reviews Clean Technology</w:t>
      </w:r>
      <w:r>
        <w:t xml:space="preserve">    </w:t>
      </w:r>
      <w:r>
        <w:rPr>
          <w:b/>
        </w:rPr>
        <w:t xml:space="preserve">Pub date: </w:t>
      </w:r>
      <w:r>
        <w:t>2026-03-25 00:00:00+00:00</w:t>
      </w:r>
      <w:r>
        <w:t xml:space="preserve">    </w:t>
      </w:r>
      <w:r>
        <w:rPr>
          <w:b/>
        </w:rPr>
        <w:t xml:space="preserve">DOI: </w:t>
      </w:r>
      <w:hyperlink r:id="rId692">
        <w:r>
          <w:rPr>
            <w:color w:val="1155CC"/>
            <w:u w:val="single"/>
          </w:rPr>
          <w:t>10.1038/s44359-026-00156-3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[265] </w:t>
      </w:r>
      <w:hyperlink r:id="rId693">
        <w:r>
          <w:rPr>
            <w:color w:val="1155CC"/>
            <w:u w:val="single"/>
          </w:rPr>
          <w:t>迈向不会残留的胶水</w:t>
        </w:r>
      </w:hyperlink>
    </w:p>
    <w:p>
      <w:pPr>
        <w:spacing w:before="0" w:after="80"/>
      </w:pPr>
      <w:r>
        <w:rPr>
          <w:i/>
          <w:sz w:val="20"/>
        </w:rPr>
        <w:t>EN: Towards glues that won’t stick around</w:t>
      </w:r>
    </w:p>
    <w:p>
      <w:pPr>
        <w:spacing w:before="0" w:after="120"/>
      </w:pPr>
      <w:r>
        <w:rPr>
          <w:b/>
        </w:rPr>
        <w:t xml:space="preserve">Source: </w:t>
      </w:r>
      <w:r>
        <w:t>Nature Sustainability</w:t>
      </w:r>
      <w:r>
        <w:t xml:space="preserve">    </w:t>
      </w:r>
      <w:r>
        <w:rPr>
          <w:b/>
        </w:rPr>
        <w:t xml:space="preserve">Pub date: </w:t>
      </w:r>
      <w:r>
        <w:t>2026-03-25 00:00:00+00:00</w:t>
      </w:r>
      <w:r>
        <w:t xml:space="preserve">    </w:t>
      </w:r>
      <w:r>
        <w:rPr>
          <w:b/>
        </w:rPr>
        <w:t xml:space="preserve">DOI: </w:t>
      </w:r>
      <w:hyperlink r:id="rId694">
        <w:r>
          <w:rPr>
            <w:color w:val="1155CC"/>
            <w:u w:val="single"/>
          </w:rPr>
          <w:t>10.1038/s41893-026-01800-3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[266] </w:t>
      </w:r>
      <w:hyperlink r:id="rId695">
        <w:r>
          <w:rPr>
            <w:color w:val="1155CC"/>
            <w:u w:val="single"/>
          </w:rPr>
          <w:t>用于灵活化学制造的模块化电化学合成</w:t>
        </w:r>
      </w:hyperlink>
    </w:p>
    <w:p>
      <w:pPr>
        <w:spacing w:before="0" w:after="80"/>
      </w:pPr>
      <w:r>
        <w:rPr>
          <w:i/>
          <w:sz w:val="20"/>
        </w:rPr>
        <w:t>EN: Modular electrochemical synthesis for flexible chemical manufacturing</w:t>
      </w:r>
    </w:p>
    <w:p>
      <w:pPr>
        <w:spacing w:before="0" w:after="120"/>
      </w:pPr>
      <w:r>
        <w:rPr>
          <w:b/>
        </w:rPr>
        <w:t xml:space="preserve">Source: </w:t>
      </w:r>
      <w:r>
        <w:t>Nature Chemical Engineering</w:t>
      </w:r>
      <w:r>
        <w:t xml:space="preserve">    </w:t>
      </w:r>
      <w:r>
        <w:rPr>
          <w:b/>
        </w:rPr>
        <w:t xml:space="preserve">Pub date: </w:t>
      </w:r>
      <w:r>
        <w:t>2026-03-25 00:00:00+00:00</w:t>
      </w:r>
      <w:r>
        <w:t xml:space="preserve">    </w:t>
      </w:r>
      <w:r>
        <w:rPr>
          <w:b/>
        </w:rPr>
        <w:t xml:space="preserve">DOI: </w:t>
      </w:r>
      <w:hyperlink r:id="rId696">
        <w:r>
          <w:rPr>
            <w:color w:val="1155CC"/>
            <w:u w:val="single"/>
          </w:rPr>
          <w:t>10.1038/s44286-026-00364-5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[267] </w:t>
      </w:r>
      <w:hyperlink r:id="rId697">
        <w:r>
          <w:rPr>
            <w:color w:val="1155CC"/>
            <w:u w:val="single"/>
          </w:rPr>
          <w:t>由神经信号控制的智能眼镜</w:t>
        </w:r>
      </w:hyperlink>
    </w:p>
    <w:p>
      <w:pPr>
        <w:spacing w:before="0" w:after="80"/>
      </w:pPr>
      <w:r>
        <w:rPr>
          <w:i/>
          <w:sz w:val="20"/>
        </w:rPr>
        <w:t>EN: Smart glasses controlled by neural signals</w:t>
      </w:r>
    </w:p>
    <w:p>
      <w:pPr>
        <w:spacing w:before="0" w:after="120"/>
      </w:pPr>
      <w:r>
        <w:rPr>
          <w:b/>
        </w:rPr>
        <w:t xml:space="preserve">Source: </w:t>
      </w:r>
      <w:r>
        <w:t>Nature Electronics</w:t>
      </w:r>
      <w:r>
        <w:t xml:space="preserve">    </w:t>
      </w:r>
      <w:r>
        <w:rPr>
          <w:b/>
        </w:rPr>
        <w:t xml:space="preserve">Pub date: </w:t>
      </w:r>
      <w:r>
        <w:t>2026-03-25 00:00:00+00:00</w:t>
      </w:r>
      <w:r>
        <w:t xml:space="preserve">    </w:t>
      </w:r>
      <w:r>
        <w:rPr>
          <w:b/>
        </w:rPr>
        <w:t xml:space="preserve">DOI: </w:t>
      </w:r>
      <w:hyperlink r:id="rId698">
        <w:r>
          <w:rPr>
            <w:color w:val="1155CC"/>
            <w:u w:val="single"/>
          </w:rPr>
          <w:t>10.1038/s41928-026-01606-3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[268] </w:t>
      </w:r>
      <w:hyperlink r:id="rId699">
        <w:r>
          <w:rPr>
            <w:color w:val="1155CC"/>
            <w:u w:val="single"/>
          </w:rPr>
          <w:t>狗在冰河时代的欧洲有深厚的遗传根源</w:t>
        </w:r>
      </w:hyperlink>
    </w:p>
    <w:p>
      <w:pPr>
        <w:spacing w:before="0" w:after="80"/>
      </w:pPr>
      <w:r>
        <w:rPr>
          <w:i/>
          <w:sz w:val="20"/>
        </w:rPr>
        <w:t>EN: Dogs have deep genetic roots in ice-age Europe</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700">
        <w:r>
          <w:rPr>
            <w:color w:val="1155CC"/>
            <w:u w:val="single"/>
          </w:rPr>
          <w:t>10.1038/d41586-026-00378-2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[269] </w:t>
      </w:r>
      <w:hyperlink r:id="rId701">
        <w:r>
          <w:rPr>
            <w:color w:val="1155CC"/>
            <w:u w:val="single"/>
          </w:rPr>
          <w:t>长距离量子链路生成纠缠的速度比其消失的速度更快</w:t>
        </w:r>
      </w:hyperlink>
    </w:p>
    <w:p>
      <w:pPr>
        <w:spacing w:before="0" w:after="80"/>
      </w:pPr>
      <w:r>
        <w:rPr>
          <w:i/>
          <w:sz w:val="20"/>
        </w:rPr>
        <w:t>EN: Long-distance quantum link generates entanglement faster than it is lost</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702">
        <w:r>
          <w:rPr>
            <w:color w:val="1155CC"/>
            <w:u w:val="single"/>
          </w:rPr>
          <w:t>10.1038/d41586-026-00804-5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[270] </w:t>
      </w:r>
      <w:hyperlink r:id="rId703">
        <w:r>
          <w:rPr>
            <w:color w:val="1155CC"/>
            <w:u w:val="single"/>
          </w:rPr>
          <w:t>绘制人类大脑的终身功能组织图</w:t>
        </w:r>
      </w:hyperlink>
    </w:p>
    <w:p>
      <w:pPr>
        <w:spacing w:before="0" w:after="80"/>
      </w:pPr>
      <w:r>
        <w:rPr>
          <w:i/>
          <w:sz w:val="20"/>
        </w:rPr>
        <w:t>EN: Charting the human brain’s lifelong functional organization</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704">
        <w:r>
          <w:rPr>
            <w:color w:val="1155CC"/>
            <w:u w:val="single"/>
          </w:rPr>
          <w:t>10.1038/d41586-026-00637-2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[271] </w:t>
      </w:r>
      <w:hyperlink r:id="rId705">
        <w:r>
          <w:rPr>
            <w:color w:val="1155CC"/>
            <w:u w:val="single"/>
          </w:rPr>
          <w:t>如何打造AI科学家：首篇同行评审论文揭示秘密</w:t>
        </w:r>
      </w:hyperlink>
    </w:p>
    <w:p>
      <w:pPr>
        <w:spacing w:before="0" w:after="80"/>
      </w:pPr>
      <w:r>
        <w:rPr>
          <w:i/>
          <w:sz w:val="20"/>
        </w:rPr>
        <w:t>EN: How to build an AI Scientist: first peer-reviewed paper spills the secrets</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706">
        <w:r>
          <w:rPr>
            <w:color w:val="1155CC"/>
            <w:u w:val="single"/>
          </w:rPr>
          <w:t>10.1038/d41586-026-00899-w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[272] </w:t>
      </w:r>
      <w:hyperlink r:id="rId707">
        <w:r>
          <w:rPr>
            <w:color w:val="1155CC"/>
            <w:u w:val="single"/>
          </w:rPr>
          <w:t>中国能否保持其非凡的研究增长？</w:t>
        </w:r>
      </w:hyperlink>
    </w:p>
    <w:p>
      <w:pPr>
        <w:spacing w:before="0" w:after="80"/>
      </w:pPr>
      <w:r>
        <w:rPr>
          <w:i/>
          <w:sz w:val="20"/>
        </w:rPr>
        <w:t>EN: Can China keep up its extraordinary research growth?</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708">
        <w:r>
          <w:rPr>
            <w:color w:val="1155CC"/>
            <w:u w:val="single"/>
          </w:rPr>
          <w:t>10.1038/d41586-026-00423-0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[273] </w:t>
      </w:r>
      <w:hyperlink r:id="rId709">
        <w:r>
          <w:rPr>
            <w:color w:val="1155CC"/>
            <w:u w:val="single"/>
          </w:rPr>
          <w:t>雄性胚胎后脑中的雄激素活动驱动致命的PFA室管膜瘤</w:t>
        </w:r>
      </w:hyperlink>
    </w:p>
    <w:p>
      <w:pPr>
        <w:spacing w:before="0" w:after="80"/>
      </w:pPr>
      <w:r>
        <w:rPr>
          <w:i/>
          <w:sz w:val="20"/>
        </w:rPr>
        <w:t>EN: Androgen activity in the male embryonic hindbrain drives lethal PFA ependymoma</w:t>
      </w:r>
    </w:p>
    <w:p>
      <w:pPr>
        <w:spacing w:before="0" w:after="120"/>
      </w:pPr>
      <w:r>
        <w:rPr>
          <w:b/>
        </w:rPr>
        <w:t xml:space="preserve">Source: </w:t>
      </w:r>
      <w:r>
        <w:t>Nature</w:t>
      </w:r>
      <w:r>
        <w:t xml:space="preserve">    </w:t>
      </w:r>
      <w:r>
        <w:rPr>
          <w:b/>
        </w:rPr>
        <w:t xml:space="preserve">Pub date: </w:t>
      </w:r>
      <w:r>
        <w:t>2026-03-25 00:00:00+00:00</w:t>
      </w:r>
      <w:r>
        <w:t xml:space="preserve">    </w:t>
      </w:r>
      <w:r>
        <w:rPr>
          <w:b/>
        </w:rPr>
        <w:t xml:space="preserve">DOI: </w:t>
      </w:r>
      <w:hyperlink r:id="rId710">
        <w:r>
          <w:rPr>
            <w:color w:val="1155CC"/>
            <w:u w:val="single"/>
          </w:rPr>
          <w:t>10.1038/s41586-026-10264-6</w:t>
        </w:r>
      </w:hyperlink>
    </w:p>
    <w:p>
      <w:pPr>
        <w:spacing w:before="0" w:after="120"/>
      </w:pPr>
      <w:r>
        <w:rPr>
          <w:b/>
        </w:rPr>
        <w:t xml:space="preserve">Notes: </w:t>
      </w:r>
      <w:r>
        <w:t>abstract_source=nature_html</w:t>
      </w:r>
    </w:p>
    <w:p>
      <w:pPr>
        <w:spacing w:before="0" w:after="80" w:lineRule="auto" w:line="276"/>
      </w:pPr>
      <w:r>
        <w:rPr>
          <w:b/>
        </w:rPr>
        <w:t xml:space="preserve">摘要（ZH）: </w:t>
      </w:r>
      <w:r>
        <w:t>后颅窝A型（PFA）室管膜瘤是一种罕见的婴儿脑肿瘤，已知的体细胞突变很少，被认为是由表观遗传机制驱动的1。PFA室管膜瘤在男性儿童中的发病率显著高于女性儿童，预后也更差2。目前尚不清楚这些性别差异的机制。在此，我们展示了PFA室管膜瘤的细胞层次结构在男性个体中比在女性个体中分化程度更低。在正常发育的小鼠后脑中，男性胶质生成祖细胞的分化程度低于匹配的女性同胞对照。为了进一步解析染色体与性腺对男性后脑的贡献，我们使用了四核基因型小鼠模型3，结果显示雄激素信号，而不是</w:t>
      </w:r>
    </w:p>
    <w:p>
      <w:pPr>
        <w:spacing w:before="0" w:after="200" w:lineRule="auto" w:line="276"/>
      </w:pPr>
      <w:r>
        <w:rPr>
          <w:b/>
        </w:rPr>
        <w:t xml:space="preserve">Abstract (EN): </w:t>
      </w:r>
      <w:r>
        <w:t>Posterior fossa type A (PFA) ependymoma is an unusual infantile brain tumour with few known somatic mutations, thought to be driven by epigenetic mechanisms1. PFA ependymoma has a markedly higher incidence and worse prognosis in male children than in female children2. The mechanisms that underlie these sex differences are at present unknown. Here we show that the cellular hierarchy of PFA ependymoma is less differentiated in male individuals than it is in female individuals. In the normal developing mouse hindbrain, male gliogenic progenitors are less differentiated than matched female sibling controls. To further parse the effects of chromosomal versus gonadal contributions in the male hindbrain, we used the four-core genotype mouse model3, which showed that androgen signalling, rather than sex chromosomes, prolongs hindbrain differentiation in male mice. Androgen supplementation promotes the growth of PFA ependymoma, but not that of other brain tumours. Conversely, androgen blockade diminishes both the stem-like potential and the proliferation of PFA ependymoma. We conclude that androgen signalling in both the normal developing hindbrain and PFA ependymoma is sufficient to promote growth and delay differentiation. Anti-androgen therapies represent a potential clinical avenue to target this currently untreatable childhood cancer.</w:t>
      </w:r>
    </w:p>
    <w:p>
      <w:pPr>
        <w:spacing w:before="120" w:after="120"/>
      </w:pPr>
      <w:r>
        <w:rPr>
          <w:sz w:val="18"/>
        </w:rPr>
        <w:t>——————————————————————————————————————————————————————————————————————</w:t>
      </w:r>
    </w:p>
    <w:p>
      <w:pPr>
        <w:spacing w:before="160" w:after="40" w:line="240" w:lineRule="auto"/>
      </w:pPr>
      <w:r>
        <w:rPr>
          <w:b/>
        </w:rPr>
        <w:t xml:space="preserve">[274] </w:t>
      </w:r>
      <w:hyperlink r:id="rId711">
        <w:r>
          <w:rPr>
            <w:color w:val="1155CC"/>
            <w:u w:val="single"/>
          </w:rPr>
          <w:t>DSO-消费者双层分布鲁棒优化方法与NDOE指导在P2P能源交易中的应用</w:t>
        </w:r>
      </w:hyperlink>
    </w:p>
    <w:p>
      <w:pPr>
        <w:spacing w:before="0" w:after="80"/>
      </w:pPr>
      <w:r>
        <w:rPr>
          <w:i/>
          <w:sz w:val="20"/>
        </w:rPr>
        <w:t>EN: DSO-prosumers bi-level distributionally robust optimization method with NDOE guidance in the P2P energy trading</w:t>
      </w:r>
    </w:p>
    <w:p>
      <w:pPr>
        <w:spacing w:before="0" w:after="120"/>
      </w:pPr>
      <w:r>
        <w:rPr>
          <w:b/>
        </w:rPr>
        <w:t xml:space="preserve">Source: </w:t>
      </w:r>
      <w:r>
        <w:t>ScienceDirect Publication: Applied Energy</w:t>
      </w:r>
      <w:r>
        <w:t xml:space="preserve">    </w:t>
      </w:r>
      <w:r>
        <w:rPr>
          <w:b/>
        </w:rPr>
        <w:t xml:space="preserve">Pub date: </w:t>
      </w:r>
      <w:r>
        <w:t>2026-03-25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[275] </w:t>
      </w:r>
      <w:hyperlink r:id="rId712">
        <w:r>
          <w:rPr>
            <w:color w:val="1155CC"/>
            <w:u w:val="single"/>
          </w:rPr>
          <w:t>胶水的隐形可持续性问题及其解决方法</w:t>
        </w:r>
      </w:hyperlink>
    </w:p>
    <w:p>
      <w:pPr>
        <w:spacing w:before="0" w:after="80"/>
      </w:pPr>
      <w:r>
        <w:rPr>
          <w:i/>
          <w:sz w:val="20"/>
        </w:rPr>
        <w:t>EN: The invisible sustainability problem of glues and how to solve it</w:t>
      </w:r>
    </w:p>
    <w:p>
      <w:pPr>
        <w:spacing w:before="0" w:after="120"/>
      </w:pPr>
      <w:r>
        <w:rPr>
          <w:b/>
        </w:rPr>
        <w:t xml:space="preserve">Source: </w:t>
      </w:r>
      <w:r>
        <w:t>Nature Sustainability</w:t>
      </w:r>
      <w:r>
        <w:t xml:space="preserve">    </w:t>
      </w:r>
      <w:r>
        <w:rPr>
          <w:b/>
        </w:rPr>
        <w:t xml:space="preserve">Pub date: </w:t>
      </w:r>
      <w:r>
        <w:t>2026-03-25 00:00:00+00:00</w:t>
      </w:r>
      <w:r>
        <w:t xml:space="preserve">    </w:t>
      </w:r>
      <w:r>
        <w:rPr>
          <w:b/>
        </w:rPr>
        <w:t xml:space="preserve">DOI: </w:t>
      </w:r>
      <w:hyperlink r:id="rId713">
        <w:r>
          <w:rPr>
            <w:color w:val="1155CC"/>
            <w:u w:val="single"/>
          </w:rPr>
          <w:t>10.1038/s41893-026-01789-9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[276] </w:t>
      </w:r>
      <w:hyperlink r:id="rId714">
        <w:r>
          <w:rPr>
            <w:color w:val="1155CC"/>
            <w:u w:val="single"/>
          </w:rPr>
          <w:t>在寒冷地区规划弹性电动公交运营：基于代理的模拟优化框架</w:t>
        </w:r>
      </w:hyperlink>
    </w:p>
    <w:p>
      <w:pPr>
        <w:spacing w:before="0" w:after="80"/>
      </w:pPr>
      <w:r>
        <w:rPr>
          <w:i/>
          <w:sz w:val="20"/>
        </w:rPr>
        <w:t>EN: Planning resilient electric bus operations in cold regions: An agent-based simulation–optimization framework</w:t>
      </w:r>
    </w:p>
    <w:p>
      <w:pPr>
        <w:spacing w:before="0" w:after="120"/>
      </w:pPr>
      <w:r>
        <w:rPr>
          <w:b/>
        </w:rPr>
        <w:t xml:space="preserve">Source: </w:t>
      </w:r>
      <w:r>
        <w:t>ScienceDirect Publication: Applied Energy</w:t>
      </w:r>
      <w:r>
        <w:t xml:space="preserve">    </w:t>
      </w:r>
      <w:r>
        <w:rPr>
          <w:b/>
        </w:rPr>
        <w:t xml:space="preserve">Pub date: </w:t>
      </w:r>
      <w:r>
        <w:t>2026-03-25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[277] </w:t>
      </w:r>
      <w:hyperlink r:id="rId715">
        <w:r>
          <w:rPr>
            <w:color w:val="1155CC"/>
            <w:u w:val="single"/>
          </w:rPr>
          <w:t>用于多价离子电池的支撑石墨烯-硒复合材料</w:t>
        </w:r>
      </w:hyperlink>
    </w:p>
    <w:p>
      <w:pPr>
        <w:spacing w:before="0" w:after="80"/>
      </w:pPr>
      <w:r>
        <w:rPr>
          <w:i/>
          <w:sz w:val="20"/>
        </w:rPr>
        <w:t>EN: Strutted graphene-selenium composite for transvalent-ion batteries</w:t>
      </w:r>
    </w:p>
    <w:p>
      <w:pPr>
        <w:spacing w:before="0" w:after="120"/>
      </w:pPr>
      <w:r>
        <w:rPr>
          <w:b/>
        </w:rPr>
        <w:t xml:space="preserve">Source: </w:t>
      </w:r>
      <w:r>
        <w:t>Matter</w:t>
      </w:r>
      <w:r>
        <w:t xml:space="preserve">    </w:t>
      </w:r>
      <w:r>
        <w:rPr>
          <w:b/>
        </w:rPr>
        <w:t xml:space="preserve">Pub date: </w:t>
      </w:r>
      <w:r>
        <w:t>2026-03-25 00:00:00+00:00</w:t>
      </w:r>
      <w:r>
        <w:t xml:space="preserve">    </w:t>
      </w:r>
      <w:r>
        <w:rPr>
          <w:b/>
        </w:rPr>
        <w:t xml:space="preserve">DOI: </w:t>
      </w:r>
      <w:hyperlink r:id="rId716">
        <w:r>
          <w:rPr>
            <w:color w:val="1155CC"/>
            <w:u w:val="single"/>
          </w:rPr>
          <w:t>10.1016/j.matt.2026.102710</w:t>
        </w:r>
      </w:hyperlink>
    </w:p>
    <w:p>
      <w:pPr>
        <w:spacing w:before="0" w:after="120"/>
      </w:pPr>
      <w:r>
        <w:rPr>
          <w:b/>
        </w:rPr>
        <w:t xml:space="preserve">Notes: </w:t>
      </w:r>
      <w:r>
        <w:t>abstract_source=rss_cell</w:t>
      </w:r>
    </w:p>
    <w:p>
      <w:pPr>
        <w:spacing w:before="0" w:after="80" w:lineRule="auto" w:line="276"/>
      </w:pPr>
      <w:r>
        <w:rPr>
          <w:b/>
        </w:rPr>
        <w:t xml:space="preserve">摘要（ZH）: </w:t>
      </w:r>
      <w:r>
        <w:t>通过利用氧化还原活性的Cu2+离子作为电荷载体，具有支撑石墨烯-硒阴极的跨价离子Cu-Se电池实现了双倍的电子转移、出色的倍率性能和优异的循环稳定性。该设计超越了传统的容量耗尽策略，利用Cu2+的可变价态实现可逆的Se ⇄ CuSe ⇄ Cu₂Se转化，为高容量摇椅电池提供了新的范式。</w:t>
      </w:r>
    </w:p>
    <w:p>
      <w:pPr>
        <w:spacing w:before="0" w:after="200" w:lineRule="auto" w:line="276"/>
      </w:pPr>
      <w:r>
        <w:rPr>
          <w:b/>
        </w:rPr>
        <w:t xml:space="preserve">Abstract (EN): </w:t>
      </w:r>
      <w:r>
        <w:t>By exploiting redox-active Cu2+ ions as charge carriers, a transvalent-ion Cu-Se battery with a strutted graphene‑selenium cathode achieves doubled electron transfer, outstanding rate performance, and excellent cycling stability. This design goes beyond conventional capacity-exhaustion strategies, leveraging the variable valency of Cu2+ to enable reversible Se ⇄ CuSe ⇄ Cu₂Se conversion, offering a new paradigm for high-capacity rocking-chair batteries.</w:t>
      </w:r>
    </w:p>
    <w:p>
      <w:pPr>
        <w:spacing w:before="120" w:after="120"/>
      </w:pPr>
      <w:r>
        <w:rPr>
          <w:sz w:val="18"/>
        </w:rPr>
        <w:t>——————————————————————————————————————————————————————————————————————</w:t>
      </w:r>
    </w:p>
    <w:p>
      <w:pPr>
        <w:spacing w:before="160" w:after="40" w:line="240" w:lineRule="auto"/>
      </w:pPr>
      <w:r>
        <w:rPr>
          <w:b/>
        </w:rPr>
        <w:t xml:space="preserve">[278] </w:t>
      </w:r>
      <w:hyperlink r:id="rId717">
        <w:r>
          <w:rPr>
            <w:color w:val="1155CC"/>
            <w:u w:val="single"/>
          </w:rPr>
          <w:t>兼容CMOS的锂离子电池用于分布式片上电源架构</w:t>
        </w:r>
      </w:hyperlink>
    </w:p>
    <w:p>
      <w:pPr>
        <w:spacing w:before="0" w:after="80"/>
      </w:pPr>
      <w:r>
        <w:rPr>
          <w:i/>
          <w:sz w:val="20"/>
        </w:rPr>
        <w:t>EN: CMOS-compatible lithium-ion batteries for distributed on-chip power architecture</w:t>
      </w:r>
    </w:p>
    <w:p>
      <w:pPr>
        <w:spacing w:before="0" w:after="120"/>
      </w:pPr>
      <w:r>
        <w:rPr>
          <w:b/>
        </w:rPr>
        <w:t xml:space="preserve">Source: </w:t>
      </w:r>
      <w:r>
        <w:t>Matter</w:t>
      </w:r>
      <w:r>
        <w:t xml:space="preserve">    </w:t>
      </w:r>
      <w:r>
        <w:rPr>
          <w:b/>
        </w:rPr>
        <w:t xml:space="preserve">Pub date: </w:t>
      </w:r>
      <w:r>
        <w:t>2026-03-25 00:00:00+00:00</w:t>
      </w:r>
      <w:r>
        <w:t xml:space="preserve">    </w:t>
      </w:r>
      <w:r>
        <w:rPr>
          <w:b/>
        </w:rPr>
        <w:t xml:space="preserve">DOI: </w:t>
      </w:r>
      <w:hyperlink r:id="rId718">
        <w:r>
          <w:rPr>
            <w:color w:val="1155CC"/>
            <w:u w:val="single"/>
          </w:rPr>
          <w:t>10.1016/j.matt.2026.102709</w:t>
        </w:r>
      </w:hyperlink>
    </w:p>
    <w:p>
      <w:pPr>
        <w:spacing w:before="0" w:after="120"/>
      </w:pPr>
      <w:r>
        <w:rPr>
          <w:b/>
        </w:rPr>
        <w:t xml:space="preserve">Notes: </w:t>
      </w:r>
      <w:r>
        <w:t>abstract_source=rss_cell</w:t>
      </w:r>
    </w:p>
    <w:p>
      <w:pPr>
        <w:spacing w:before="0" w:after="80" w:lineRule="auto" w:line="276"/>
      </w:pPr>
      <w:r>
        <w:rPr>
          <w:b/>
        </w:rPr>
        <w:t xml:space="preserve">摘要（ZH）: </w:t>
      </w:r>
      <w:r>
        <w:t>片上系统正在向异构设计、高功能密度和高能量利用率发展。该工作展示了具有高体积能量密度和容量利用率的CMOS兼容晶圆级锂离子电池，首次实现了分布式片上电源。通过用整体集成的能量存储设备替代离散电池，所提出的分布式片上电源架构为更高效、紧凑和多功能的集成电子系统提供了一条可扩展的途径。</w:t>
      </w:r>
    </w:p>
    <w:p>
      <w:pPr>
        <w:spacing w:before="0" w:after="200" w:lineRule="auto" w:line="276"/>
      </w:pPr>
      <w:r>
        <w:rPr>
          <w:b/>
        </w:rPr>
        <w:t xml:space="preserve">Abstract (EN): </w:t>
      </w:r>
      <w:r>
        <w:t>System-on-chips are being developed toward a heterogeneous design, high function density, and high energy utilization. This work presents CMOS-compatible wafer-scale lithium-ion batteries with high volumetric energy density and capacity utilization that enable the distributed on-chip power supply for the first time. By replacing discrete batteries with monolithically integrated energy storage devices, the proposed distributed on-chip power architecture offers a scalable route toward more efficient, compact, and multifunctional integrated electronic systems.</w:t>
      </w:r>
    </w:p>
    <w:p>
      <w:pPr>
        <w:spacing w:before="120" w:after="120"/>
      </w:pPr>
      <w:r>
        <w:rPr>
          <w:sz w:val="18"/>
        </w:rPr>
        <w:t>——————————————————————————————————————————————————————————————————————</w:t>
      </w:r>
    </w:p>
    <w:p>
      <w:pPr>
        <w:spacing w:before="160" w:after="40" w:line="240" w:lineRule="auto"/>
      </w:pPr>
      <w:r>
        <w:rPr>
          <w:b/>
        </w:rPr>
        <w:t xml:space="preserve">[279] </w:t>
      </w:r>
      <w:hyperlink r:id="rId719">
        <w:r>
          <w:rPr>
            <w:color w:val="1155CC"/>
            <w:u w:val="single"/>
          </w:rPr>
          <w:t>可以追踪黄蜂的芯片</w:t>
        </w:r>
      </w:hyperlink>
    </w:p>
    <w:p>
      <w:pPr>
        <w:spacing w:before="0" w:after="80"/>
      </w:pPr>
      <w:r>
        <w:rPr>
          <w:i/>
          <w:sz w:val="20"/>
        </w:rPr>
        <w:t>EN: A chip that can track wasps</w:t>
      </w:r>
    </w:p>
    <w:p>
      <w:pPr>
        <w:spacing w:before="0" w:after="120"/>
      </w:pPr>
      <w:r>
        <w:rPr>
          <w:b/>
        </w:rPr>
        <w:t xml:space="preserve">Source: </w:t>
      </w:r>
      <w:r>
        <w:t>Nature Electronics</w:t>
      </w:r>
      <w:r>
        <w:t xml:space="preserve">    </w:t>
      </w:r>
      <w:r>
        <w:rPr>
          <w:b/>
        </w:rPr>
        <w:t xml:space="preserve">Pub date: </w:t>
      </w:r>
      <w:r>
        <w:t>2026-03-25 00:00:00+00:00</w:t>
      </w:r>
      <w:r>
        <w:t xml:space="preserve">    </w:t>
      </w:r>
      <w:r>
        <w:rPr>
          <w:b/>
        </w:rPr>
        <w:t xml:space="preserve">DOI: </w:t>
      </w:r>
      <w:hyperlink r:id="rId720">
        <w:r>
          <w:rPr>
            <w:color w:val="1155CC"/>
            <w:u w:val="single"/>
          </w:rPr>
          <w:t>10.1038/s41928-026-01605-4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[280] </w:t>
      </w:r>
      <w:hyperlink r:id="rId721">
        <w:r>
          <w:rPr>
            <w:color w:val="1155CC"/>
            <w:u w:val="single"/>
          </w:rPr>
          <w:t>强韧且可回收的生物衍生聚（酯酰胺）热熔胶</w:t>
        </w:r>
      </w:hyperlink>
    </w:p>
    <w:p>
      <w:pPr>
        <w:spacing w:before="0" w:after="80"/>
      </w:pPr>
      <w:r>
        <w:rPr>
          <w:i/>
          <w:sz w:val="20"/>
        </w:rPr>
        <w:t>EN: Strong and recyclable bio-derived poly(ester amide) hot-melt adhesive</w:t>
      </w:r>
    </w:p>
    <w:p>
      <w:pPr>
        <w:spacing w:before="0" w:after="120"/>
      </w:pPr>
      <w:r>
        <w:rPr>
          <w:b/>
        </w:rPr>
        <w:t xml:space="preserve">Source: </w:t>
      </w:r>
      <w:r>
        <w:t>Nature Sustainability</w:t>
      </w:r>
      <w:r>
        <w:t xml:space="preserve">    </w:t>
      </w:r>
      <w:r>
        <w:rPr>
          <w:b/>
        </w:rPr>
        <w:t xml:space="preserve">Pub date: </w:t>
      </w:r>
      <w:r>
        <w:t>2026-03-25 00:00:00+00:00</w:t>
      </w:r>
      <w:r>
        <w:t xml:space="preserve">    </w:t>
      </w:r>
      <w:r>
        <w:rPr>
          <w:b/>
        </w:rPr>
        <w:t xml:space="preserve">DOI: </w:t>
      </w:r>
      <w:hyperlink r:id="rId722">
        <w:r>
          <w:rPr>
            <w:color w:val="1155CC"/>
            <w:u w:val="single"/>
          </w:rPr>
          <w:t>10.1038/s41893-026-01776-0</w:t>
        </w:r>
      </w:hyperlink>
    </w:p>
    <w:p>
      <w:pPr>
        <w:spacing w:before="0" w:after="120"/>
      </w:pPr>
      <w:r>
        <w:rPr>
          <w:b/>
        </w:rPr>
        <w:t xml:space="preserve">Notes: </w:t>
      </w:r>
      <w:r>
        <w:t>abstract_source=nature_html</w:t>
      </w:r>
    </w:p>
    <w:p>
      <w:pPr>
        <w:spacing w:before="0" w:after="80" w:lineRule="auto" w:line="276"/>
      </w:pPr>
      <w:r>
        <w:rPr>
          <w:b/>
        </w:rPr>
        <w:t xml:space="preserve">摘要（ZH）: </w:t>
      </w:r>
      <w:r>
        <w:t>生物基粘合剂相比传统的石化衍生系统具有固有的优势，包括可再生来源、降低环境影响和潜在的可降解性。然而，大多数生物基粘合剂存在粘附强度差、基材兼容性有限和缺乏化学可回收性的问题。在此，我们提出了一种生物衍生的多嵌段聚(酯酰胺)粘合剂，通过不同片段之间的微相分离来调和机械强度与强界面结合力。值得注意的是，这种多嵌段结构是通过一锅法、选择性无受体脱氢聚合获得的，避免了多步骤合成的需要。该材料在包括金属、玻璃和湿木材等多种基材上表现出优异的粘附性。</w:t>
      </w:r>
    </w:p>
    <w:p>
      <w:pPr>
        <w:spacing w:before="0" w:after="200" w:lineRule="auto" w:line="276"/>
      </w:pPr>
      <w:r>
        <w:rPr>
          <w:b/>
        </w:rPr>
        <w:t xml:space="preserve">Abstract (EN): </w:t>
      </w:r>
      <w:r>
        <w:t>Bio-based adhesives offer inherent advantages over conventional petrochemical-derived systems, including renewable sourcing, reduced environmental impact and potential degradability. However, most bio-based adhesives suffer from poor adhesion strength, limited substrate compatibility and a lack of chemical recyclability. Here we present a bio-derived multiblock poly(ester amide) adhesive that leverages microphase segregation between different segments to reconcile mechanical robustness with strong interfacial bonding. Notably, this multiblock architecture is accessed through a one-pot, selective acceptorless dehydrogenative polymerization, obviating the need for multistep synthesis. The materials exhibit excellent adhesion across a range of substrates including metals, glass and wet wood surpassing commercial benchmarks, while also demonstrating thermal stability, tunable mechanical properties and closed-loop chemical recyclability even in the presence of other commodity plastics. Furthermore, the adhesive strength of these materials could be tuned for various potential applications through control over the chemical composition of the polymer. By integrating renewable feedstocks, high-performance functionality and efficient chemical circularity within a single platform, this work provides a viable pathway toward more sustainable adhesive technologies and contributes to advancing circular materials manufacturing.</w:t>
      </w:r>
    </w:p>
    <w:p>
      <w:pPr>
        <w:spacing w:before="120" w:after="120"/>
      </w:pPr>
      <w:r>
        <w:rPr>
          <w:sz w:val="18"/>
        </w:rPr>
        <w:t>——————————————————————————————————————————————————————————————————————</w:t>
      </w:r>
    </w:p>
    <w:p>
      <w:pPr>
        <w:spacing w:before="160" w:after="40" w:line="240" w:lineRule="auto"/>
      </w:pPr>
      <w:r>
        <w:rPr>
          <w:b/>
        </w:rPr>
        <w:t xml:space="preserve">[281] </w:t>
      </w:r>
      <w:hyperlink r:id="rId723">
        <w:r>
          <w:rPr>
            <w:color w:val="1155CC"/>
            <w:u w:val="single"/>
          </w:rPr>
          <w:t>土著主权与加拿大精准健康计划的局限性</w:t>
        </w:r>
      </w:hyperlink>
    </w:p>
    <w:p>
      <w:pPr>
        <w:spacing w:before="0" w:after="80"/>
      </w:pPr>
      <w:r>
        <w:rPr>
          <w:i/>
          <w:sz w:val="20"/>
        </w:rPr>
        <w:t>EN: Indigenous sovereignty and the limits of the Canadian Precision Health Initiative</w:t>
      </w:r>
    </w:p>
    <w:p>
      <w:pPr>
        <w:spacing w:before="0" w:after="120"/>
      </w:pPr>
      <w:r>
        <w:rPr>
          <w:b/>
        </w:rPr>
        <w:t xml:space="preserve">Source: </w:t>
      </w:r>
      <w:r>
        <w:t>Nature Communications</w:t>
      </w:r>
      <w:r>
        <w:t xml:space="preserve">    </w:t>
      </w:r>
      <w:r>
        <w:rPr>
          <w:b/>
        </w:rPr>
        <w:t xml:space="preserve">Pub date: </w:t>
      </w:r>
      <w:r>
        <w:t>2026-03-25 00:00:00+00:00</w:t>
      </w:r>
      <w:r>
        <w:t xml:space="preserve">    </w:t>
      </w:r>
      <w:r>
        <w:rPr>
          <w:b/>
        </w:rPr>
        <w:t xml:space="preserve">DOI: </w:t>
      </w:r>
      <w:hyperlink r:id="rId724">
        <w:r>
          <w:rPr>
            <w:color w:val="1155CC"/>
            <w:u w:val="single"/>
          </w:rPr>
          <w:t>10.1038/s41467-026-71192-7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[282] </w:t>
      </w:r>
      <w:hyperlink r:id="rId725">
        <w:r>
          <w:rPr>
            <w:color w:val="1155CC"/>
            <w:u w:val="single"/>
          </w:rPr>
          <w:t>使用可穿戴腕部成像进行手部追踪</w:t>
        </w:r>
      </w:hyperlink>
    </w:p>
    <w:p>
      <w:pPr>
        <w:spacing w:before="0" w:after="80"/>
      </w:pPr>
      <w:r>
        <w:rPr>
          <w:i/>
          <w:sz w:val="20"/>
        </w:rPr>
        <w:t>EN: Hand tracking using wearable wrist imaging</w:t>
      </w:r>
    </w:p>
    <w:p>
      <w:pPr>
        <w:spacing w:before="0" w:after="120"/>
      </w:pPr>
      <w:r>
        <w:rPr>
          <w:b/>
        </w:rPr>
        <w:t xml:space="preserve">Source: </w:t>
      </w:r>
      <w:r>
        <w:t>Nature Electronics</w:t>
      </w:r>
      <w:r>
        <w:t xml:space="preserve">    </w:t>
      </w:r>
      <w:r>
        <w:rPr>
          <w:b/>
        </w:rPr>
        <w:t xml:space="preserve">Pub date: </w:t>
      </w:r>
      <w:r>
        <w:t>2026-03-25 00:00:00+00:00</w:t>
      </w:r>
      <w:r>
        <w:t xml:space="preserve">    </w:t>
      </w:r>
      <w:r>
        <w:rPr>
          <w:b/>
        </w:rPr>
        <w:t xml:space="preserve">DOI: </w:t>
      </w:r>
      <w:hyperlink r:id="rId726">
        <w:r>
          <w:rPr>
            <w:color w:val="1155CC"/>
            <w:u w:val="single"/>
          </w:rPr>
          <w:t>10.1038/s41928-026-01594-4</w:t>
        </w:r>
      </w:hyperlink>
    </w:p>
    <w:p>
      <w:pPr>
        <w:spacing w:before="0" w:after="120"/>
      </w:pPr>
      <w:r>
        <w:rPr>
          <w:b/>
        </w:rPr>
        <w:t xml:space="preserve">Notes: </w:t>
      </w:r>
      <w:r>
        <w:t>abstract_source=nature_html</w:t>
      </w:r>
    </w:p>
    <w:p>
      <w:pPr>
        <w:spacing w:before="0" w:after="80" w:lineRule="auto" w:line="276"/>
      </w:pPr>
      <w:r>
        <w:rPr>
          <w:b/>
        </w:rPr>
        <w:t xml:space="preserve">摘要（ZH）: </w:t>
      </w:r>
      <w:r>
        <w:t>人类的手灵巧且多功能，使其能够与物理和虚拟环境互动。在日常活动中追踪手部动作的能力可能对空间计算、虚拟和增强现实、机器人技术和假肢的发展有用。然而，基于摄像头、应变和惯性传感器以及肌电图传感器的当前技术在视角和手部位置上有限制，限制了手部活动和感觉，并且只能分别追踪离散的手势。在此，我们报告了一种完全集成的、无线的、可穿戴的超声成像腕带，并结合了人工智能算法。该腕带可以在日常活动中实时连续追踪五指和手掌的任意手部配置。</w:t>
      </w:r>
    </w:p>
    <w:p>
      <w:pPr>
        <w:spacing w:before="0" w:after="200" w:lineRule="auto" w:line="276"/>
      </w:pPr>
      <w:r>
        <w:rPr>
          <w:b/>
        </w:rPr>
        <w:t xml:space="preserve">Abstract (EN): </w:t>
      </w:r>
      <w:r>
        <w:t>The human hand is dexterous and versatile, allowing it to interact with physical and virtual environments. The ability to track hand movements during daily activities could be of use in the development of spatial computing, virtual and augmented reality, robotics and prosthetics. However, current techniques based on cameras, strain and inertial sensors, and electromyography sensors have limited view angles and hand positions, have constrained hand activities and sensations, and can track only discrete hand gestures, respectively. Here we report a fully integrated, wireless and wearable ultrasound imaging wristband that is combined with an artificial intelligence algorithm. The wristband can continuously track arbitrary hand configurations of the five fingers and the palm in real time during daily activities with a delay of less than 120 ms. We show that the wristband can be used for intuitive and versatile controls in virtual-reality and robotic-hand applications.</w:t>
      </w:r>
    </w:p>
    <w:p>
      <w:pPr>
        <w:spacing w:before="120" w:after="120"/>
      </w:pPr>
      <w:r>
        <w:rPr>
          <w:sz w:val="18"/>
        </w:rPr>
        <w:t>——————————————————————————————————————————————————————————————————————</w:t>
      </w:r>
    </w:p>
    <w:p>
      <w:pPr>
        <w:spacing w:before="160" w:after="40" w:line="240" w:lineRule="auto"/>
      </w:pPr>
      <w:r>
        <w:rPr>
          <w:b/>
        </w:rPr>
        <w:t xml:space="preserve">[283] </w:t>
      </w:r>
      <w:hyperlink r:id="rId727">
        <w:r>
          <w:rPr>
            <w:color w:val="1155CC"/>
            <w:u w:val="single"/>
          </w:rPr>
          <w:t>水溶性PVA大巯基化合物在400 mm s−1下实现细胞交互水凝胶结构的双光子微制造（Adv. Mater. 18/2026）</w:t>
        </w:r>
      </w:hyperlink>
    </w:p>
    <w:p>
      <w:pPr>
        <w:spacing w:before="0" w:after="80"/>
      </w:pPr>
      <w:r>
        <w:rPr>
          <w:i/>
          <w:sz w:val="20"/>
        </w:rPr>
        <w:t>EN: A Water‐Soluble PVA Macrothiol Enables Two‐Photon Microfabrication of Cell‐Interactive Hydrogel Structures at 400 mm s−1 (Adv. Mater. 18/2026)</w:t>
      </w:r>
    </w:p>
    <w:p>
      <w:pPr>
        <w:spacing w:before="0" w:after="120"/>
      </w:pPr>
      <w:r>
        <w:rPr>
          <w:b/>
        </w:rPr>
        <w:t xml:space="preserve">Source: </w:t>
      </w:r>
      <w:r>
        <w:t>Wiley: Advanced Materials: Table of Contents</w:t>
      </w:r>
      <w:r>
        <w:t xml:space="preserve">    </w:t>
      </w:r>
      <w:r>
        <w:rPr>
          <w:b/>
        </w:rPr>
        <w:t xml:space="preserve">Pub date: </w:t>
      </w:r>
      <w:r>
        <w:t>2026-03-25 05:41:45+00:00</w:t>
      </w:r>
      <w:r>
        <w:t xml:space="preserve">    </w:t>
      </w:r>
      <w:r>
        <w:rPr>
          <w:b/>
        </w:rPr>
        <w:t xml:space="preserve">DOI: </w:t>
      </w:r>
      <w:hyperlink r:id="rId728">
        <w:r>
          <w:rPr>
            <w:color w:val="1155CC"/>
            <w:u w:val="single"/>
          </w:rPr>
          <w:t>10.1002/adma.72680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[284] </w:t>
      </w:r>
      <w:hyperlink r:id="rId729">
        <w:r>
          <w:rPr>
            <w:color w:val="1155CC"/>
            <w:u w:val="single"/>
          </w:rPr>
          <w:t>利用靶向光动力疗法协同激活多发性骨髓瘤中的T细胞和NK细胞反应（Adv. Mater. 18/2026）</w:t>
        </w:r>
      </w:hyperlink>
    </w:p>
    <w:p>
      <w:pPr>
        <w:spacing w:before="0" w:after="80"/>
      </w:pPr>
      <w:r>
        <w:rPr>
          <w:i/>
          <w:sz w:val="20"/>
        </w:rPr>
        <w:t>EN: Harnessing Targeted Photodynamic Therapy to Synergistically Activate T Cell and NK Cell Responses in Multiple Myeloma (Adv. Mater. 18/2026)</w:t>
      </w:r>
    </w:p>
    <w:p>
      <w:pPr>
        <w:spacing w:before="0" w:after="120"/>
      </w:pPr>
      <w:r>
        <w:rPr>
          <w:b/>
        </w:rPr>
        <w:t xml:space="preserve">Source: </w:t>
      </w:r>
      <w:r>
        <w:t>Wiley: Advanced Materials: Table of Contents</w:t>
      </w:r>
      <w:r>
        <w:t xml:space="preserve">    </w:t>
      </w:r>
      <w:r>
        <w:rPr>
          <w:b/>
        </w:rPr>
        <w:t xml:space="preserve">Pub date: </w:t>
      </w:r>
      <w:r>
        <w:t>2026-03-25 05:41:45+00:00</w:t>
      </w:r>
      <w:r>
        <w:t xml:space="preserve">    </w:t>
      </w:r>
      <w:r>
        <w:rPr>
          <w:b/>
        </w:rPr>
        <w:t xml:space="preserve">DOI: </w:t>
      </w:r>
      <w:hyperlink r:id="rId730">
        <w:r>
          <w:rPr>
            <w:color w:val="1155CC"/>
            <w:u w:val="single"/>
          </w:rPr>
          <w:t>10.1002/adma.72676</w:t>
        </w:r>
      </w:hyperlink>
    </w:p>
    <w:p>
      <w:pPr>
        <w:spacing w:before="0" w:after="120"/>
      </w:pPr>
      <w:r>
        <w:rPr>
          <w:b/>
        </w:rPr>
        <w:t xml:space="preserve">Notes: </w:t>
      </w:r>
      <w:r>
        <w:t>abstract_source=openalex</w:t>
      </w:r>
    </w:p>
    <w:p>
      <w:pPr>
        <w:spacing w:before="0" w:after="80" w:lineRule="auto" w:line="276"/>
      </w:pPr>
      <w:r>
        <w:rPr>
          <w:b/>
        </w:rPr>
        <w:t xml:space="preserve">摘要（ZH）: </w:t>
      </w:r>
      <w:r>
        <w:t>靶向治疗协同激活T细胞和NK细胞 封面展示了一种靶向光动力治疗系统，协同激活多发性骨髓瘤中的T细胞和NK细胞反应。双受体AIE光敏剂被设计成抗体引导的纳米治疗剂，以高度精确地靶向多发性骨髓瘤。光激活通过诱导ICD、DNA损伤驱动的MICA/B上调以及患者来源的T细胞和NK细胞的强烈激活，协调了协同的适应性-先天免疫。这种双重打击的纳米免疫治疗克服了免疫抑制的骨髓瘤环境，并为下一代癌症治疗提供了一种强有力的策略。更多细节请参见Zhaoyun Liu, Rong Fu, Ji Qi及其合作者的研究文章（DOI: 10.1002/adma.202518663）。</w:t>
      </w:r>
    </w:p>
    <w:p>
      <w:pPr>
        <w:spacing w:before="0" w:after="200" w:lineRule="auto" w:line="276"/>
      </w:pPr>
      <w:r>
        <w:rPr>
          <w:b/>
        </w:rPr>
        <w:t xml:space="preserve">Abstract (EN): </w:t>
      </w:r>
      <w:r>
        <w:t>Targeted Therapy Synergistically Activates T and NK Cells This cover illustrates a targeted photodynamic therapy system synergistically activating T cell and NK cell responses in multiple myeloma. A dual-acceptor AIE photosensitizer is engineered into antibody-guided nanotherapeutics for highly precise multiple myeloma targeting. Photoactivation orchestrates synergistic adaptive–innate immunity by inducing ICD, DNA damage–driven MICA/B upregulation, and robust activation of patient-derived T and NK cells. This dual-pronged nanoimmunotherapy overcomes the immunosuppressive myeloma niche and offers a powerful strategy for next-generation cancer treatment. More details can be found in the Research Article by Zhaoyun Liu, Rong Fu, Ji Qi, and co-workers (DOI: 10.1002/adma.202518663).</w:t>
      </w:r>
    </w:p>
    <w:p>
      <w:pPr>
        <w:spacing w:before="120" w:after="120"/>
      </w:pPr>
      <w:r>
        <w:rPr>
          <w:sz w:val="18"/>
        </w:rPr>
        <w:t>——————————————————————————————————————————————————————————————————————</w:t>
      </w:r>
    </w:p>
    <w:p>
      <w:pPr>
        <w:spacing w:before="160" w:after="40" w:line="240" w:lineRule="auto"/>
      </w:pPr>
      <w:r>
        <w:rPr>
          <w:b/>
        </w:rPr>
        <w:t xml:space="preserve">[285] </w:t>
      </w:r>
      <w:hyperlink r:id="rId731">
        <w:r>
          <w:rPr>
            <w:color w:val="1155CC"/>
            <w:u w:val="single"/>
          </w:rPr>
          <w:t>拉伸应变二维Bi2Ti2O7用于CO2光转化（Adv. Mater. 18/2026）</w:t>
        </w:r>
      </w:hyperlink>
    </w:p>
    <w:p>
      <w:pPr>
        <w:spacing w:before="0" w:after="80"/>
      </w:pPr>
      <w:r>
        <w:rPr>
          <w:i/>
          <w:sz w:val="20"/>
        </w:rPr>
        <w:t>EN: Tensile‐Strained 2D Bi2Ti2O7 for CO2 Photoconversion (Adv. Mater. 18/2026)</w:t>
      </w:r>
    </w:p>
    <w:p>
      <w:pPr>
        <w:spacing w:before="0" w:after="120"/>
      </w:pPr>
      <w:r>
        <w:rPr>
          <w:b/>
        </w:rPr>
        <w:t xml:space="preserve">Source: </w:t>
      </w:r>
      <w:r>
        <w:t>Wiley: Advanced Materials: Table of Contents</w:t>
      </w:r>
      <w:r>
        <w:t xml:space="preserve">    </w:t>
      </w:r>
      <w:r>
        <w:rPr>
          <w:b/>
        </w:rPr>
        <w:t xml:space="preserve">Pub date: </w:t>
      </w:r>
      <w:r>
        <w:t>2026-03-25 05:41:45+00:00</w:t>
      </w:r>
      <w:r>
        <w:t xml:space="preserve">    </w:t>
      </w:r>
      <w:r>
        <w:rPr>
          <w:b/>
        </w:rPr>
        <w:t xml:space="preserve">DOI: </w:t>
      </w:r>
      <w:hyperlink r:id="rId732">
        <w:r>
          <w:rPr>
            <w:color w:val="1155CC"/>
            <w:u w:val="single"/>
          </w:rPr>
          <w:t>10.1002/adma.72672</w:t>
        </w:r>
      </w:hyperlink>
    </w:p>
    <w:p>
      <w:pPr>
        <w:spacing w:before="0" w:after="120"/>
      </w:pPr>
      <w:r>
        <w:rPr>
          <w:b/>
        </w:rPr>
        <w:t xml:space="preserve">Notes: </w:t>
      </w:r>
      <w:r>
        <w:t>abstract_source=openalex</w:t>
      </w:r>
    </w:p>
    <w:p>
      <w:pPr>
        <w:spacing w:before="0" w:after="80" w:lineRule="auto" w:line="276"/>
      </w:pPr>
      <w:r>
        <w:rPr>
          <w:b/>
        </w:rPr>
        <w:t xml:space="preserve">摘要（ZH）: </w:t>
      </w:r>
      <w:r>
        <w:t>2D BTO光催化剂 拉伸应变的2D Bi2Ti2O7纳米片通过晶格应变和氧空位（Ovac）协同调节自旋极化，通过在Bi–Ovac–Ti位点激活侧向CO2结合，实现选择性CO2到CO光还原（31.06 µmol g−1 h−1，选择性接近100%）。这项工作建立了一种缺陷-应变工程范式，以突破CO2还原的活化瓶颈。更多细节请参见Haodong Ji及其合作者的研究文章（DOI: 10.1002/adma.202516152）。</w:t>
      </w:r>
    </w:p>
    <w:p>
      <w:pPr>
        <w:spacing w:before="0" w:after="200" w:lineRule="auto" w:line="276"/>
      </w:pPr>
      <w:r>
        <w:rPr>
          <w:b/>
        </w:rPr>
        <w:t xml:space="preserve">Abstract (EN): </w:t>
      </w:r>
      <w:r>
        <w:t>2D BTO Photocatalyst Tensile-strained 2D Bi2Ti2O7 nanosheets synergistically regulate spin polarization through lattice strain and oxygen vacancies (Ovac), enable selective CO2-to-CO photoreduction (31.06 µmol g−1 h−1, selectivity nearly 100%) by activating side-on CO2 binding at Bi–Ovac–Ti sites. This work establishes a defect–strain engineering paradigm to break the activation bottleneck of CO2 reduction. More details can be found in the Research Article by Haodong Ji and co-workers (DOI: 10.1002/adma.202516152).</w:t>
      </w:r>
    </w:p>
    <w:p>
      <w:pPr>
        <w:spacing w:before="120" w:after="120"/>
      </w:pPr>
      <w:r>
        <w:rPr>
          <w:sz w:val="18"/>
        </w:rPr>
        <w:t>——————————————————————————————————————————————————————————————————————</w:t>
      </w:r>
    </w:p>
    <w:p>
      <w:pPr>
        <w:spacing w:before="160" w:after="40" w:line="240" w:lineRule="auto"/>
      </w:pPr>
      <w:r>
        <w:rPr>
          <w:b/>
        </w:rPr>
        <w:t xml:space="preserve">[286] </w:t>
      </w:r>
      <w:hyperlink r:id="rId733">
        <w:r>
          <w:rPr>
            <w:color w:val="1155CC"/>
            <w:u w:val="single"/>
          </w:rPr>
          <w:t>用于单细胞运输、球体组装和双模式药物筛选的软体微型机器人（Adv. Mater. 18/2026）</w:t>
        </w:r>
      </w:hyperlink>
    </w:p>
    <w:p>
      <w:pPr>
        <w:spacing w:before="0" w:after="80"/>
      </w:pPr>
      <w:r>
        <w:rPr>
          <w:i/>
          <w:sz w:val="20"/>
        </w:rPr>
        <w:t>EN: A Soft Microrobot for Single‐Cell Transport, Spheroid Assembly, and Dual‐Mode Drug Screening (Adv. Mater. 18/2026)</w:t>
      </w:r>
    </w:p>
    <w:p>
      <w:pPr>
        <w:spacing w:before="0" w:after="120"/>
      </w:pPr>
      <w:r>
        <w:rPr>
          <w:b/>
        </w:rPr>
        <w:t xml:space="preserve">Source: </w:t>
      </w:r>
      <w:r>
        <w:t>Wiley: Advanced Materials: Table of Contents</w:t>
      </w:r>
      <w:r>
        <w:t xml:space="preserve">    </w:t>
      </w:r>
      <w:r>
        <w:rPr>
          <w:b/>
        </w:rPr>
        <w:t xml:space="preserve">Pub date: </w:t>
      </w:r>
      <w:r>
        <w:t>2026-03-25 05:41:45+00:00</w:t>
      </w:r>
      <w:r>
        <w:t xml:space="preserve">    </w:t>
      </w:r>
      <w:r>
        <w:rPr>
          <w:b/>
        </w:rPr>
        <w:t xml:space="preserve">DOI: </w:t>
      </w:r>
      <w:hyperlink r:id="rId734">
        <w:r>
          <w:rPr>
            <w:color w:val="1155CC"/>
            <w:u w:val="single"/>
          </w:rPr>
          <w:t>10.1002/adma.72668</w:t>
        </w:r>
      </w:hyperlink>
    </w:p>
    <w:p>
      <w:pPr>
        <w:spacing w:before="0" w:after="120"/>
      </w:pPr>
      <w:r>
        <w:rPr>
          <w:b/>
        </w:rPr>
        <w:t xml:space="preserve">Notes: </w:t>
      </w:r>
      <w:r>
        <w:t>abstract_source=openalex</w:t>
      </w:r>
    </w:p>
    <w:p>
      <w:pPr>
        <w:spacing w:before="0" w:after="80" w:lineRule="auto" w:line="276"/>
      </w:pPr>
      <w:r>
        <w:rPr>
          <w:b/>
        </w:rPr>
        <w:t xml:space="preserve">摘要（ZH）: </w:t>
      </w:r>
      <w:r>
        <w:t>软体微型机器人 插图展示了从单个细胞到完全形成的微型肿瘤的流水线进程。TACSI微型机器人运输和定位单个细胞，应用局部刺激，并在每个步骤感知生物信号。工厂般的序列突出了高通量微型机器人工作流程，以受控、逐步的方式构建和分析复杂的细胞结构。更多细节请参见Philipp Harder, Nergishan İyisan, Yukun Wang和Berna Özkale的研究文章（DOI: 10.1002/adma.202508807）。</w:t>
      </w:r>
    </w:p>
    <w:p>
      <w:pPr>
        <w:spacing w:before="0" w:after="200" w:lineRule="auto" w:line="276"/>
      </w:pPr>
      <w:r>
        <w:rPr>
          <w:b/>
        </w:rPr>
        <w:t xml:space="preserve">Abstract (EN): </w:t>
      </w:r>
      <w:r>
        <w:t>Soft Microrobots The illustration presents an assembly-line progression from individual cells to fully formed microtumours. TACSI Microrobots transport and position single cells, apply localised stimulation, and sense biosignals at each step. The factory-like sequence highlights a high-throughput microrobotic workflow that builds and analyses complex cellular structures in a controlled, stepwise manner. More details can be found in the Research Article by Philipp Harder, Nergishan İyisan, Yukun Wang, and Berna Özkale (DOI: 10.1002/adma.202508807).</w:t>
      </w:r>
    </w:p>
    <w:p>
      <w:pPr>
        <w:spacing w:before="120" w:after="120"/>
      </w:pPr>
      <w:r>
        <w:rPr>
          <w:sz w:val="18"/>
        </w:rPr>
        <w:t>——————————————————————————————————————————————————————————————————————</w:t>
      </w:r>
    </w:p>
    <w:p>
      <w:pPr>
        <w:spacing w:before="160" w:after="40" w:line="240" w:lineRule="auto"/>
      </w:pPr>
      <w:r>
        <w:rPr>
          <w:b/>
        </w:rPr>
        <w:t xml:space="preserve">[287] </w:t>
      </w:r>
      <w:hyperlink r:id="rId735">
        <w:r>
          <w:rPr>
            <w:color w:val="1155CC"/>
            <w:u w:val="single"/>
          </w:rPr>
          <w:t>电子诱导分子编程驱动Ah级锌电池的界面化学</w:t>
        </w:r>
      </w:hyperlink>
    </w:p>
    <w:p>
      <w:pPr>
        <w:spacing w:before="0" w:after="80"/>
      </w:pPr>
      <w:r>
        <w:rPr>
          <w:i/>
          <w:sz w:val="20"/>
        </w:rPr>
        <w:t>EN: Electron‐Induced Molecular Programming Drives Interfacial Chemistry for Ah‐Level Zinc Batteries</w:t>
      </w:r>
    </w:p>
    <w:p>
      <w:pPr>
        <w:spacing w:before="0" w:after="120"/>
      </w:pPr>
      <w:r>
        <w:rPr>
          <w:b/>
        </w:rPr>
        <w:t xml:space="preserve">Source: </w:t>
      </w:r>
      <w:r>
        <w:t>Wiley: Advanced Materials: Table of Contents</w:t>
      </w:r>
      <w:r>
        <w:t xml:space="preserve">    </w:t>
      </w:r>
      <w:r>
        <w:rPr>
          <w:b/>
        </w:rPr>
        <w:t xml:space="preserve">Pub date: </w:t>
      </w:r>
      <w:r>
        <w:t>2026-03-25 05:55:11+00:00</w:t>
      </w:r>
      <w:r>
        <w:t xml:space="preserve">    </w:t>
      </w:r>
      <w:r>
        <w:rPr>
          <w:b/>
        </w:rPr>
        <w:t xml:space="preserve">DOI: </w:t>
      </w:r>
      <w:hyperlink r:id="rId736">
        <w:r>
          <w:rPr>
            <w:color w:val="1155CC"/>
            <w:u w:val="single"/>
          </w:rPr>
          <w:t>10.1002/adma.72891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固体电解质界面（SEI）对于稳定水系锌（Zn）电池（AZB）的金属阳极至关重要，但其形成本质上无法控制，使界面易于溶解和水驱动的寄生反应。在此，我们报告了一种电子诱导的分子编程策略，仅使用1 mM的4-溴苯重氮四氟硼酸盐（BDTF）原位构建在富含ZnF</w:t>
      </w:r>
      <w:r>
        <w:rPr>
          <w:vertAlign w:val="subscript"/>
        </w:rPr>
        <w:t>2</w:t>
      </w:r>
      <w:r>
        <w:t>的SEI表面上的Zn</w:t>
      </w:r>
      <w:r>
        <w:t xml:space="preserve"> </w:t>
      </w:r>
      <w:r>
        <w:t>2+</w:t>
      </w:r>
      <w:r>
        <w:t xml:space="preserve"> </w:t>
      </w:r>
      <w:r>
        <w:t>偏好分子锁。电化学生成的</w:t>
      </w:r>
      <w:r>
        <w:t xml:space="preserve"> </w:t>
      </w:r>
      <w:r>
        <w:t>p</w:t>
      </w:r>
      <w:r>
        <w:t xml:space="preserve"> </w:t>
      </w:r>
      <w:r>
        <w:t>‐溴苯胺分子编织成无机层，形成超薄的分子锁壳（约1 nm）。</w:t>
      </w:r>
    </w:p>
    <w:p>
      <w:pPr>
        <w:spacing w:before="0" w:after="200" w:lineRule="auto" w:line="276"/>
      </w:pPr>
      <w:r>
        <w:rPr>
          <w:b/>
        </w:rPr>
        <w:t xml:space="preserve">Abstract (EN): </w:t>
      </w:r>
      <w:r>
        <w:t>Solid–electrolyte interphases (SEIs) are essential for stabilizing metal anodes in aqueous zinc (Zn) batteries (AZBs), yet their formation remains intrinsically uncontrolled, leaving the interphase vulnerable to dissolution and water‐driven parasitic reactions. Herein, we report an electron‐induced molecular programming strategy that uses only 1 mM of 4‐bromobenzenediazonium tetrafluoroborate (BDTF) to in situ construct a Zn</w:t>
      </w:r>
      <w:r>
        <w:t xml:space="preserve"> </w:t>
      </w:r>
      <w:r>
        <w:t>2+</w:t>
      </w:r>
      <w:r>
        <w:t xml:space="preserve"> </w:t>
      </w:r>
      <w:r>
        <w:t>‐favored molecular lock on the ZnF</w:t>
      </w:r>
      <w:r>
        <w:rPr>
          <w:vertAlign w:val="subscript"/>
        </w:rPr>
        <w:t>2</w:t>
      </w:r>
      <w:r>
        <w:t>‐rich SEI surface. Electrochemically generated</w:t>
      </w:r>
      <w:r>
        <w:t xml:space="preserve"> </w:t>
      </w:r>
      <w:r>
        <w:t>p</w:t>
      </w:r>
      <w:r>
        <w:t xml:space="preserve"> </w:t>
      </w:r>
      <w:r>
        <w:t>‐bromoaniline becomes molecularly woven into the inorganic layer, forming an ultrathin molecular‐lock shell (∼1 nm) atop a graded hybrid SEI. Through N–Zn coordination coupled with Br‐induced interfacial polarization, the molecular lock reorganizes the local electrostatic environment, stabilizes ZnF</w:t>
      </w:r>
      <w:r>
        <w:rPr>
          <w:vertAlign w:val="subscript"/>
        </w:rPr>
        <w:t>2</w:t>
      </w:r>
      <w:r>
        <w:t>, limits water access, and promotes desolvation‐facilitated Zn</w:t>
      </w:r>
      <w:r>
        <w:t xml:space="preserve"> </w:t>
      </w:r>
      <w:r>
        <w:t>2+</w:t>
      </w:r>
      <w:r>
        <w:t xml:space="preserve"> </w:t>
      </w:r>
      <w:r>
        <w:t>transport. As a result, the programmed SEI enables highly reversible Zn plating/stripping with a 99.8% average Coulombic efficiency, and stable cycling under 80% depth of discharge at 10 mA cm</w:t>
      </w:r>
      <w:r>
        <w:t xml:space="preserve"> </w:t>
      </w:r>
      <w:r>
        <w:t>−</w:t>
      </w:r>
      <w:r>
        <w:rPr>
          <w:vertAlign w:val="subscript"/>
        </w:rPr>
        <w:t>2</w:t>
      </w:r>
      <w:r>
        <w:t>. Moreover, it displays broad cathode compatibility, extending cycling stability in vanadium‐, manganese‐, and iodine‐based full cells. In Ah‐level pouch cells with ultrahigh vanadium‐based cathode loading (21 mg cm</w:t>
      </w:r>
      <w:r>
        <w:t xml:space="preserve"> </w:t>
      </w:r>
      <w:r>
        <w:t>−2</w:t>
      </w:r>
      <w:r>
        <w:t xml:space="preserve"> </w:t>
      </w:r>
      <w:r>
        <w:t>), the system delivers 1.2 Ah with 81% retention after 100 cycles, surpassing state‐of‐the‐art aqueous Zn batteries that typically fail at high mass loading.</w:t>
      </w:r>
    </w:p>
    <w:p>
      <w:pPr>
        <w:spacing w:before="120" w:after="120"/>
      </w:pPr>
      <w:r>
        <w:rPr>
          <w:sz w:val="18"/>
        </w:rPr>
        <w:t>——————————————————————————————————————————————————————————————————————</w:t>
      </w:r>
    </w:p>
    <w:p>
      <w:pPr>
        <w:spacing w:before="160" w:after="40" w:line="240" w:lineRule="auto"/>
      </w:pPr>
      <w:r>
        <w:rPr>
          <w:b/>
        </w:rPr>
        <w:t xml:space="preserve">[288] </w:t>
      </w:r>
      <w:hyperlink r:id="rId737">
        <w:r>
          <w:rPr>
            <w:color w:val="1155CC"/>
            <w:u w:val="single"/>
          </w:rPr>
          <w:t>光谱定义的双极黑磷忆阻器实现全光布尔逻辑和多光谱计算</w:t>
        </w:r>
      </w:hyperlink>
    </w:p>
    <w:p>
      <w:pPr>
        <w:spacing w:before="0" w:after="80"/>
      </w:pPr>
      <w:r>
        <w:rPr>
          <w:i/>
          <w:sz w:val="20"/>
        </w:rPr>
        <w:t>EN: Spectrally Defined Bipolar Black Phosphorus Memristor Enables All‐Optical Boolean Logic and Multispectral Computing</w:t>
      </w:r>
    </w:p>
    <w:p>
      <w:pPr>
        <w:spacing w:before="0" w:after="120"/>
      </w:pPr>
      <w:r>
        <w:rPr>
          <w:b/>
        </w:rPr>
        <w:t xml:space="preserve">Source: </w:t>
      </w:r>
      <w:r>
        <w:t>Wiley: Advanced Materials: Table of Contents</w:t>
      </w:r>
      <w:r>
        <w:t xml:space="preserve">    </w:t>
      </w:r>
      <w:r>
        <w:rPr>
          <w:b/>
        </w:rPr>
        <w:t xml:space="preserve">Pub date: </w:t>
      </w:r>
      <w:r>
        <w:t>2026-03-25 06:03:47+00:00</w:t>
      </w:r>
      <w:r>
        <w:t xml:space="preserve">    </w:t>
      </w:r>
      <w:r>
        <w:rPr>
          <w:b/>
        </w:rPr>
        <w:t xml:space="preserve">DOI: </w:t>
      </w:r>
      <w:hyperlink r:id="rId738">
        <w:r>
          <w:rPr>
            <w:color w:val="1155CC"/>
            <w:u w:val="single"/>
          </w:rPr>
          <w:t>10.1002/adma.202522710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尽管具有非易失性双极光电导的光电子忆阻器能够实现传感器内以视觉为中心的神经形态硬件，但在宽光谱范围内实现波长定义的极性反转仍然是一项挑战。在此，展示了一种由非化学计量氧化铅（PbO</w:t>
      </w:r>
      <w:r>
        <w:t xml:space="preserve"> </w:t>
      </w:r>
      <w:r>
        <w:t>x</w:t>
      </w:r>
      <w:r>
        <w:t xml:space="preserve"> </w:t>
      </w:r>
      <w:r>
        <w:t>）涂覆黑磷（BP）纳米片组成的稳定光电子忆阻器。PbO</w:t>
      </w:r>
      <w:r>
        <w:t xml:space="preserve"> </w:t>
      </w:r>
      <w:r>
        <w:t>x</w:t>
      </w:r>
      <w:r>
        <w:t xml:space="preserve"> </w:t>
      </w:r>
      <w:r>
        <w:t>‐BP异质结构中的光电子过程导致在365 nm – 1,550 nm波长范围内可编程的极性光响应。可见光通过光电化学Ag</w:t>
      </w:r>
      <w:r>
        <w:t xml:space="preserve"> </w:t>
      </w:r>
      <w:r>
        <w:t>+</w:t>
      </w:r>
      <w:r>
        <w:t xml:space="preserve"> </w:t>
      </w:r>
      <w:r>
        <w:t>还原和导电性引起正光电导。</w:t>
      </w:r>
    </w:p>
    <w:p>
      <w:pPr>
        <w:spacing w:before="0" w:after="200" w:lineRule="auto" w:line="276"/>
      </w:pPr>
      <w:r>
        <w:rPr>
          <w:b/>
        </w:rPr>
        <w:t xml:space="preserve">Abstract (EN): </w:t>
      </w:r>
      <w:r>
        <w:t>Although optoelectronic memristors with nonvolatile bipolar photoconductivity enable in‐sensor vision‐centric neuromorphic hardware, achieving wavelength‐defined polarity inversion across a broad spectrum remains a challenging task. Herein, a stable optoelectronic memristor composed of nonstoichiometric lead oxide (PbO</w:t>
      </w:r>
      <w:r>
        <w:t xml:space="preserve"> </w:t>
      </w:r>
      <w:r>
        <w:t>x</w:t>
      </w:r>
      <w:r>
        <w:t xml:space="preserve"> </w:t>
      </w:r>
      <w:r>
        <w:t>) coated black phosphorus (BP) nanosheets is demonstrated. The optoelectronic processes in the PbO</w:t>
      </w:r>
      <w:r>
        <w:t xml:space="preserve"> </w:t>
      </w:r>
      <w:r>
        <w:t>x</w:t>
      </w:r>
      <w:r>
        <w:t xml:space="preserve"> </w:t>
      </w:r>
      <w:r>
        <w:t>‐BP heterostructure result in programmable polar photoresponses across the 365 nm – 1,550 nm wavelength range. Visible light causes positive photoconductance via photoelectrochemical Ag</w:t>
      </w:r>
      <w:r>
        <w:t xml:space="preserve"> </w:t>
      </w:r>
      <w:r>
        <w:t>+</w:t>
      </w:r>
      <w:r>
        <w:t xml:space="preserve"> </w:t>
      </w:r>
      <w:r>
        <w:t>reduction and conductive filament reconstruction. Conversely, ultraviolet light drives the reverse photogenerated electron transfer to chemically oxidize the Ag CFs, while infrared light induces their localized melting via the photothermal effect. This bipolar optoelectronic tunability enables all‐optical Boolean logic operations, allowing for the realization of 14 binary functions through optical reconfiguration. Furthermore, multispectral computing tasks, including edge extraction and spectral noise suppression, are performed, yielding a classification accuracy of up to 98.6% for 16 crop species using an all‐optical convolutional neural network. The ultra‐thin oxide coating presents an effective surface modification approach to improve two‐dimensional devices, while the optoelectronic bipolarity establishes a framework for all‐optical modulation in neuromorphic machine vision.</w:t>
      </w:r>
    </w:p>
    <w:p>
      <w:pPr>
        <w:spacing w:before="120" w:after="120"/>
      </w:pPr>
      <w:r>
        <w:rPr>
          <w:sz w:val="18"/>
        </w:rPr>
        <w:t>——————————————————————————————————————————————————————————————————————</w:t>
      </w:r>
    </w:p>
    <w:p>
      <w:pPr>
        <w:spacing w:before="160" w:after="40" w:line="240" w:lineRule="auto"/>
      </w:pPr>
      <w:r>
        <w:rPr>
          <w:b/>
        </w:rPr>
        <w:t xml:space="preserve">[289] </w:t>
      </w:r>
      <w:hyperlink r:id="rId739">
        <w:r>
          <w:rPr>
            <w:color w:val="1155CC"/>
            <w:u w:val="single"/>
          </w:rPr>
          <w:t>基于静电界面增强的仿生电定位</w:t>
        </w:r>
      </w:hyperlink>
    </w:p>
    <w:p>
      <w:pPr>
        <w:spacing w:before="0" w:after="80"/>
      </w:pPr>
      <w:r>
        <w:rPr>
          <w:i/>
          <w:sz w:val="20"/>
        </w:rPr>
        <w:t>EN: Bio‐Inspired Electrolocation Based on Electrostatic Interfacial Enhancement</w:t>
      </w:r>
    </w:p>
    <w:p>
      <w:pPr>
        <w:spacing w:before="0" w:after="120"/>
      </w:pPr>
      <w:r>
        <w:rPr>
          <w:b/>
        </w:rPr>
        <w:t xml:space="preserve">Source: </w:t>
      </w:r>
      <w:r>
        <w:t>Wiley: Advanced Materials: Table of Contents</w:t>
      </w:r>
      <w:r>
        <w:t xml:space="preserve">    </w:t>
      </w:r>
      <w:r>
        <w:rPr>
          <w:b/>
        </w:rPr>
        <w:t xml:space="preserve">Pub date: </w:t>
      </w:r>
      <w:r>
        <w:t>2026-03-25 06:15:26+00:00</w:t>
      </w:r>
      <w:r>
        <w:t xml:space="preserve">    </w:t>
      </w:r>
      <w:r>
        <w:rPr>
          <w:b/>
        </w:rPr>
        <w:t xml:space="preserve">DOI: </w:t>
      </w:r>
      <w:hyperlink r:id="rId740">
        <w:r>
          <w:rPr>
            <w:color w:val="1155CC"/>
            <w:u w:val="single"/>
          </w:rPr>
          <w:t>10.1002/adma.202518561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作为一种遥感能力，电定位使生物体能够通过感知电场来捕猎、导航和与环境互动。在人工系统中模仿这种能力将为远程物体检测和检查提供一种强大的策略。然而，目前的人工方法仅限于导电介质或带电目标，而在非导电介质中对无电荷目标的电定位尚未实现。在这项工作中，提出了一种基于静电界面增强的电定位系统（EIEEs），从根本上扩展了人工电定位的范围。受鲨鱼类鱼类的电器官和昆虫的机械感受毛的启发，EIEEs采用了驻极体材料</w:t>
      </w:r>
    </w:p>
    <w:p>
      <w:pPr>
        <w:spacing w:before="0" w:after="200" w:lineRule="auto" w:line="276"/>
      </w:pPr>
      <w:r>
        <w:rPr>
          <w:b/>
        </w:rPr>
        <w:t xml:space="preserve">Abstract (EN): </w:t>
      </w:r>
      <w:r>
        <w:t>As one of the remote sensing abilities, electrolocation allows organisms to hunt, navigate, and interact with the environment by sensing electric fields. Mimicking this capability in artificial systems will provide a powerful strategy for remote object detection and inspection. However, current artificial approaches are restricted to conductive medium or charged targets, while electrolocation of uncharged targets in the non‐conductive medium has not been achieved yet. In this work, an electrostatic interfacial enhancement‐based electrolocation system (EIEEs) that fundamentally expands the scope of artificial electrolocation is proposed. Inspired by the electric organs of elasmobranch fish and the mechanosensory setae of insects, EIEEs employs electret materials as the electrostatic source and high‐permittivity droplets as mechanosensory structures, locating objects with permittivities different from the medium. The proposed EIEEs can effectively detect uncharged solid/liquid objects without electrical connection, signal processing, or external power supply. Importantly, EIEEs also demonstrates the capability to detect multiple buried defects in objects, including gas in liquids, solid in liquids, liquid in liquids, and gas in solids, which has been largely unexplored in previous electrolocation systems. As a general‐purpose remote sensing system for both surface and subsurface inspection, EIEEs can potentially provide a complementary modality for diverse scientific and technological domains.</w:t>
      </w:r>
    </w:p>
    <w:p>
      <w:pPr>
        <w:spacing w:before="120" w:after="120"/>
      </w:pPr>
      <w:r>
        <w:rPr>
          <w:sz w:val="18"/>
        </w:rPr>
        <w:t>——————————————————————————————————————————————————————————————————————</w:t>
      </w:r>
    </w:p>
    <w:p>
      <w:pPr>
        <w:spacing w:before="160" w:after="40" w:line="240" w:lineRule="auto"/>
      </w:pPr>
      <w:r>
        <w:rPr>
          <w:b/>
        </w:rPr>
        <w:t xml:space="preserve">[290] </w:t>
      </w:r>
      <w:hyperlink r:id="rId741">
        <w:r>
          <w:rPr>
            <w:color w:val="1155CC"/>
            <w:u w:val="single"/>
          </w:rPr>
          <w:t>在全共轭多共振热激活延迟荧光框架内的杂化电荷转移窗口，用于超快反向系统间交叉和高效深蓝色有机发光二极管</w:t>
        </w:r>
      </w:hyperlink>
    </w:p>
    <w:p>
      <w:pPr>
        <w:spacing w:before="0" w:after="80"/>
      </w:pPr>
      <w:r>
        <w:rPr>
          <w:i/>
          <w:sz w:val="20"/>
        </w:rPr>
        <w:t>EN: Hybridized Charge‐Transfer Window within a Fully Conjugated Multi‐Resonance Thermally Activated Delayed Fluorescence Framework for Ultrafast Reverse Intersystem Crossing and High‐Efficiency in Deep‐Blue Organic Light‐Emitting Diodes</w:t>
      </w:r>
    </w:p>
    <w:p>
      <w:pPr>
        <w:spacing w:before="0" w:after="120"/>
      </w:pPr>
      <w:r>
        <w:rPr>
          <w:b/>
        </w:rPr>
        <w:t xml:space="preserve">Source: </w:t>
      </w:r>
      <w:r>
        <w:t>Wiley: Advanced Materials: Table of Contents</w:t>
      </w:r>
      <w:r>
        <w:t xml:space="preserve">    </w:t>
      </w:r>
      <w:r>
        <w:rPr>
          <w:b/>
        </w:rPr>
        <w:t xml:space="preserve">Pub date: </w:t>
      </w:r>
      <w:r>
        <w:t>2026-03-25 06:17:55+00:00</w:t>
      </w:r>
      <w:r>
        <w:t xml:space="preserve">    </w:t>
      </w:r>
      <w:r>
        <w:rPr>
          <w:b/>
        </w:rPr>
        <w:t xml:space="preserve">DOI: </w:t>
      </w:r>
      <w:hyperlink r:id="rId742">
        <w:r>
          <w:rPr>
            <w:color w:val="1155CC"/>
            <w:u w:val="single"/>
          </w:rPr>
          <w:t>10.1002/adma.72861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共振（MR）热激活延迟荧光（TADF）材料，具有窄带发射和高效率，正在用于蓝色有机发光二极管（OLED）应用。然而，与传统的供体-受体（D-A）型TADF发射体相比，这些分子表现出相对较大的单重态-三重态能量差距和缓慢的反向系间窜越（RISC）速率，表明需要进一步研究以克服这些限制。在此，我们通过整合分子内短程电荷转移和长程电荷转移设计了深蓝色MR-TADF分子，以最小化单重态-三重态能量差距并通过混合激发态加速RISC速率，同时保持窄带发射</w:t>
      </w:r>
    </w:p>
    <w:p>
      <w:pPr>
        <w:spacing w:before="0" w:after="200" w:lineRule="auto" w:line="276"/>
      </w:pPr>
      <w:r>
        <w:rPr>
          <w:b/>
        </w:rPr>
        <w:t xml:space="preserve">Abstract (EN): </w:t>
      </w:r>
      <w:r>
        <w:t>Multi‐Resonance (MR) thermally activated delayed fluorescence (TADF) materials, featuring narrow band emission and high efficiency, are being utilized in blue organic light‐emitting diode (OLED) applications. However, compared to conventional donor–acceptor (D–A) type TADF emitters, these molecules exhibit relatively large singlet‐triplet energy gaps and slow reverse intersystem crossing (RISC) rates, indicating the need for further research to overcome these limitations. Herein, we designed deep blue MR‐TADF molecules by integrating intramolecular short‐range charge transfer and long‐range charge transfer to minimize the singlet‐triplet energy gap and accelerate the RISC rate through hybridized excited states maintaining a narrow emission bandwidth. Compared with conventional MR‐TADF molecules emitting only by short‐range charge transfer, the new MR‐TADF molecule is differentiated in that intramolecular long‐range charge transfer within the polyaromatic hydrocarbon framework additionally contributes to the emission process along with short‐range charge transfer for accelerated RISC. As a result, the</w:t>
      </w:r>
      <w:r>
        <w:t xml:space="preserve"> </w:t>
      </w:r>
      <w:r>
        <w:t>bf</w:t>
      </w:r>
      <w:r>
        <w:t xml:space="preserve"> </w:t>
      </w:r>
      <w:r>
        <w:t>DOB‐BN2</w:t>
      </w:r>
      <w:r>
        <w:t xml:space="preserve"> </w:t>
      </w:r>
      <w:r>
        <w:t>MR‐TADF emitter exhibited narrow blue emission at 447 nm with a narrow full width at half maximum (FWHM) of 20 nm, a small singlet‐triplet energy gap of 0.04 eV, and an ultrafast RISC rate of 2.1 × 10</w:t>
      </w:r>
      <w:r>
        <w:rPr>
          <w:vertAlign w:val="subscript"/>
        </w:rPr>
        <w:t>6</w:t>
      </w:r>
      <w:r>
        <w:t>s</w:t>
      </w:r>
      <w:r>
        <w:t xml:space="preserve"> </w:t>
      </w:r>
      <w:r>
        <w:t>−</w:t>
      </w:r>
      <w:r>
        <w:rPr>
          <w:vertAlign w:val="subscript"/>
        </w:rPr>
        <w:t>1</w:t>
      </w:r>
      <w:r>
        <w:t>. In a blue TADF OLED device, the new TADF molecule showed a high external quantum efficiency of 37.5% with color coordinates (0.139 and 0.065).</w:t>
      </w:r>
    </w:p>
    <w:p>
      <w:pPr>
        <w:spacing w:before="120" w:after="120"/>
      </w:pPr>
      <w:r>
        <w:rPr>
          <w:sz w:val="18"/>
        </w:rPr>
        <w:t>——————————————————————————————————————————————————————————————————————</w:t>
      </w:r>
    </w:p>
    <w:p>
      <w:pPr>
        <w:spacing w:before="160" w:after="40" w:line="240" w:lineRule="auto"/>
      </w:pPr>
      <w:r>
        <w:rPr>
          <w:b/>
        </w:rPr>
        <w:t xml:space="preserve">[291] </w:t>
      </w:r>
      <w:hyperlink r:id="rId743">
        <w:r>
          <w:rPr>
            <w:color w:val="1155CC"/>
            <w:u w:val="single"/>
          </w:rPr>
          <w:t>关于警察不当行为的公众意见：歧视和信息抵制</w:t>
        </w:r>
      </w:hyperlink>
    </w:p>
    <w:p>
      <w:pPr>
        <w:spacing w:before="0" w:after="80"/>
      </w:pPr>
      <w:r>
        <w:rPr>
          <w:i/>
          <w:sz w:val="20"/>
        </w:rPr>
        <w:t>EN: Public opinion on police misconduct: Discrimination and information resistance</w:t>
      </w:r>
    </w:p>
    <w:p>
      <w:pPr>
        <w:spacing w:before="0" w:after="120"/>
      </w:pPr>
      <w:r>
        <w:rPr>
          <w:b/>
        </w:rPr>
        <w:t xml:space="preserve">Source: </w:t>
      </w:r>
      <w:r>
        <w:t>AAAS: Science Advances: Table of Contents</w:t>
      </w:r>
      <w:r>
        <w:t xml:space="preserve">    </w:t>
      </w:r>
      <w:r>
        <w:rPr>
          <w:b/>
        </w:rPr>
        <w:t xml:space="preserve">Pub date: </w:t>
      </w:r>
      <w:r>
        <w:t>2026-03-25 07:00:00+00:00</w:t>
      </w:r>
      <w:r>
        <w:t xml:space="preserve">    </w:t>
      </w:r>
      <w:r>
        <w:rPr>
          <w:b/>
        </w:rPr>
        <w:t xml:space="preserve">DOI: </w:t>
      </w:r>
      <w:hyperlink r:id="rId744">
        <w:r>
          <w:rPr>
            <w:color w:val="1155CC"/>
            <w:u w:val="single"/>
          </w:rPr>
          <w:t>10.1126/sciadv.aeb9501</w:t>
        </w:r>
      </w:hyperlink>
    </w:p>
    <w:p>
      <w:pPr>
        <w:spacing w:before="0" w:after="120"/>
      </w:pPr>
      <w:r>
        <w:rPr>
          <w:b/>
        </w:rPr>
        <w:t xml:space="preserve">Notes: </w:t>
      </w:r>
      <w:r>
        <w:t>abstract_source=crossref</w:t>
      </w:r>
    </w:p>
    <w:p>
      <w:pPr>
        <w:spacing w:before="0" w:after="80" w:lineRule="auto" w:line="276"/>
      </w:pPr>
      <w:r>
        <w:rPr>
          <w:b/>
        </w:rPr>
        <w:t xml:space="preserve">摘要（ZH）: </w:t>
      </w:r>
      <w:r>
        <w:t>警察暴力的高调案件引发了激烈的辩论，但学者们对个人为何对暴力警察事件有不同的解读知之甚少。我们在德国进行了一项调查实验，旨在探讨受害者的身份是否对公众舆论有影响（N = 15,941）。我们的设计模拟了新闻事件随时间顺序展开的方式，使我们能够衡量即使在证据不断增加的情况下，歧视性信念是否仍然存在。我们发现，当受害者有移民名字而不是传统的德国名字时，受访者不太可能认为警察的行为构成不当行为。即使在受访者被告知证据证实的情况下，歧视性信念仍然存在</w:t>
      </w:r>
    </w:p>
    <w:p>
      <w:pPr>
        <w:spacing w:before="0" w:after="200" w:lineRule="auto" w:line="276"/>
      </w:pPr>
      <w:r>
        <w:rPr>
          <w:b/>
        </w:rPr>
        <w:t xml:space="preserve">Abstract (EN): </w:t>
      </w:r>
      <w:r>
        <w:t>High-profile cases of police violence have given rise to contentious debates, yet scholars know little about why individuals interpret violent police encounters differently. We fielded a survey experiment in Germany designed to probe whether the victim’s identity matters to public opinion (</w:t>
      </w:r>
      <w:r>
        <w:t xml:space="preserve"> </w:t>
      </w:r>
      <w:r>
        <w:t>N</w:t>
      </w:r>
      <w:r>
        <w:t xml:space="preserve"> </w:t>
      </w:r>
      <w:r>
        <w:t>= 15,941). Our design approximates the way news events unfold sequentially over time, allowing us to measure whether eventual discriminatory beliefs persist even in the face of mounting evidence. We show that respondents are less likely to consider the actions of the police to constitute misconduct when the victim has an immigrant name compared to a traditionally German name. Discriminatory beliefs remain even when respondents are informed about evidence confirming that misconduct occurred. Our analysis shows that these results are driven by right-wing respondents, with both moderates and extremists exhibiting discriminatory beliefs and a resistance to updating. These findings help illuminate why debates over policing are so intractable.</w:t>
      </w:r>
    </w:p>
    <w:p>
      <w:pPr>
        <w:spacing w:before="120" w:after="120"/>
      </w:pPr>
      <w:r>
        <w:rPr>
          <w:sz w:val="18"/>
        </w:rPr>
        <w:t>——————————————————————————————————————————————————————————————————————</w:t>
      </w:r>
    </w:p>
    <w:p>
      <w:pPr>
        <w:spacing w:before="160" w:after="40" w:line="240" w:lineRule="auto"/>
      </w:pPr>
      <w:r>
        <w:rPr>
          <w:b/>
        </w:rPr>
        <w:t xml:space="preserve">[292] </w:t>
      </w:r>
      <w:hyperlink r:id="rId745">
        <w:r>
          <w:rPr>
            <w:color w:val="1155CC"/>
            <w:u w:val="single"/>
          </w:rPr>
          <w:t>致病性GM-CSF驱动自身免疫性关节炎中炎性巨噬细胞的功能多样化</w:t>
        </w:r>
      </w:hyperlink>
    </w:p>
    <w:p>
      <w:pPr>
        <w:spacing w:before="0" w:after="80"/>
      </w:pPr>
      <w:r>
        <w:rPr>
          <w:i/>
          <w:sz w:val="20"/>
        </w:rPr>
        <w:t>EN: Pathogenic GM-CSF drives functional diversification of inflammatory macrophages in autoimmune arthritis</w:t>
      </w:r>
    </w:p>
    <w:p>
      <w:pPr>
        <w:spacing w:before="0" w:after="120"/>
      </w:pPr>
      <w:r>
        <w:rPr>
          <w:b/>
        </w:rPr>
        <w:t xml:space="preserve">Source: </w:t>
      </w:r>
      <w:r>
        <w:t>AAAS: Science Advances: Table of Contents</w:t>
      </w:r>
      <w:r>
        <w:t xml:space="preserve">    </w:t>
      </w:r>
      <w:r>
        <w:rPr>
          <w:b/>
        </w:rPr>
        <w:t xml:space="preserve">Pub date: </w:t>
      </w:r>
      <w:r>
        <w:t>2026-03-25 07:00:00+00:00</w:t>
      </w:r>
      <w:r>
        <w:t xml:space="preserve">    </w:t>
      </w:r>
      <w:r>
        <w:rPr>
          <w:b/>
        </w:rPr>
        <w:t xml:space="preserve">DOI: </w:t>
      </w:r>
      <w:hyperlink r:id="rId746">
        <w:r>
          <w:rPr>
            <w:color w:val="1155CC"/>
            <w:u w:val="single"/>
          </w:rPr>
          <w:t>10.1126/sciadv.aec0986</w:t>
        </w:r>
      </w:hyperlink>
    </w:p>
    <w:p>
      <w:pPr>
        <w:spacing w:before="0" w:after="120"/>
      </w:pPr>
      <w:r>
        <w:rPr>
          <w:b/>
        </w:rPr>
        <w:t xml:space="preserve">Notes: </w:t>
      </w:r>
      <w:r>
        <w:t>abstract_source=crossref</w:t>
      </w:r>
    </w:p>
    <w:p>
      <w:pPr>
        <w:spacing w:before="0" w:after="80" w:lineRule="auto" w:line="276"/>
      </w:pPr>
      <w:r>
        <w:rPr>
          <w:b/>
        </w:rPr>
        <w:t xml:space="preserve">摘要（ZH）: </w:t>
      </w:r>
      <w:r>
        <w:t>自身免疫T细胞与滑膜巨噬细胞共同协调关节炎症和疼痛；然而，调控这些巨噬细胞发育和功能多样化的机制仍不清楚。使用T辅助17细胞（T H 17细胞）介导的自身免疫性关节炎模型，我们发现响应于自身免疫T H 17细胞的关节浸润Ly6C hi 单核细胞，而不是驻留的滑膜巨噬细胞，是疾病发病机制的主要介导者。粒细胞-巨噬细胞集落刺激因子（GM-CSF），作为由致关节炎性T H 17细胞驱动的致病回路的关键组成部分，并不贡献</w:t>
      </w:r>
    </w:p>
    <w:p>
      <w:pPr>
        <w:spacing w:before="0" w:after="200" w:lineRule="auto" w:line="276"/>
      </w:pPr>
      <w:r>
        <w:rPr>
          <w:b/>
        </w:rPr>
        <w:t xml:space="preserve">Abstract (EN): </w:t>
      </w:r>
      <w:r>
        <w:t>Autoimmune T cells orchestrate joint inflammation and pain in concert with synovial macrophages; however, the mechanisms governing the development and functional diversification of these macrophages remain unclear. Using a model of T helper 17 cell (T</w:t>
      </w:r>
      <w:r>
        <w:t xml:space="preserve"> </w:t>
      </w:r>
      <w:r>
        <w:t>H</w:t>
      </w:r>
      <w:r>
        <w:t xml:space="preserve"> </w:t>
      </w:r>
      <w:r>
        <w:t>17 cell)–mediated autoimmune arthritis, we show that joint-infiltrating Ly6C</w:t>
      </w:r>
      <w:r>
        <w:t xml:space="preserve"> </w:t>
      </w:r>
      <w:r>
        <w:t>hi</w:t>
      </w:r>
      <w:r>
        <w:t xml:space="preserve"> </w:t>
      </w:r>
      <w:r>
        <w:t>monocytes in response to autoimmune T</w:t>
      </w:r>
      <w:r>
        <w:t xml:space="preserve"> </w:t>
      </w:r>
      <w:r>
        <w:t>H</w:t>
      </w:r>
      <w:r>
        <w:t xml:space="preserve"> </w:t>
      </w:r>
      <w:r>
        <w:t>17 cells, rather than resident synovial macrophages, are the primary mediators of disease pathogenesis. Granulocyte-macrophage colony-stimulating factor (GM-CSF), a critical component of the pathogenic circuit driven by arthritogenic T</w:t>
      </w:r>
      <w:r>
        <w:t xml:space="preserve"> </w:t>
      </w:r>
      <w:r>
        <w:t>H</w:t>
      </w:r>
      <w:r>
        <w:t xml:space="preserve"> </w:t>
      </w:r>
      <w:r>
        <w:t>17 cells, does not contribute to monocyte recruitment to the synovium but facilitates their subsequent differentiation into functionally distinct synovial macrophage subsets, thereby amplifying joint inflammation. Single-cell RNA sequencing identified two GM-CSF–dependent subpopulations of pathogenic synovial macrophages—Arginase-1</w:t>
      </w:r>
      <w:r>
        <w:t xml:space="preserve"> </w:t>
      </w:r>
      <w:r>
        <w:t>+</w:t>
      </w:r>
      <w:r>
        <w:t xml:space="preserve"> </w:t>
      </w:r>
      <w:r>
        <w:t>and epithelial cell adhesion molecule (EpCAM)</w:t>
      </w:r>
      <w:r>
        <w:t xml:space="preserve"> </w:t>
      </w:r>
      <w:r>
        <w:t>+</w:t>
      </w:r>
      <w:r>
        <w:t xml:space="preserve"> </w:t>
      </w:r>
      <w:r>
        <w:t>clusters—both expressing proinflammatory cytokines and matrix metalloproteinases. Notably, EpCAM</w:t>
      </w:r>
      <w:r>
        <w:t xml:space="preserve"> </w:t>
      </w:r>
      <w:r>
        <w:t>+</w:t>
      </w:r>
      <w:r>
        <w:t xml:space="preserve"> </w:t>
      </w:r>
      <w:r>
        <w:t>macrophages uniquely express</w:t>
      </w:r>
      <w:r>
        <w:t xml:space="preserve"> </w:t>
      </w:r>
      <w:r>
        <w:t>Ccl17</w:t>
      </w:r>
      <w:r>
        <w:t xml:space="preserve"> </w:t>
      </w:r>
      <w:r>
        <w:t>, a pronociceptive mediator implicated in arthritic pain. Collectively, these findings delineate a GM-CSF–driven program of macrophage diversification that underpins both joint inflammation and pain, implicating this axis in the chronic activation of inflammatory and nociceptive pathways in autoimmune arthritis.</w:t>
      </w:r>
    </w:p>
    <w:p>
      <w:pPr>
        <w:spacing w:before="120" w:after="120"/>
      </w:pPr>
      <w:r>
        <w:rPr>
          <w:sz w:val="18"/>
        </w:rPr>
        <w:t>——————————————————————————————————————————————————————————————————————</w:t>
      </w:r>
    </w:p>
    <w:p>
      <w:pPr>
        <w:spacing w:before="160" w:after="40" w:line="240" w:lineRule="auto"/>
      </w:pPr>
      <w:r>
        <w:rPr>
          <w:b/>
        </w:rPr>
        <w:t xml:space="preserve">[293] </w:t>
      </w:r>
      <w:hyperlink r:id="rId747">
        <w:r>
          <w:rPr>
            <w:color w:val="1155CC"/>
            <w:u w:val="single"/>
          </w:rPr>
          <w:t>人工胚胎结节阐明了流动在脊椎动物左右对称破坏中的作用</w:t>
        </w:r>
      </w:hyperlink>
    </w:p>
    <w:p>
      <w:pPr>
        <w:spacing w:before="0" w:after="80"/>
      </w:pPr>
      <w:r>
        <w:rPr>
          <w:i/>
          <w:sz w:val="20"/>
        </w:rPr>
        <w:t>EN: Artificial embryonic node elucidates the role of flow in left-right symmetry breaking in vertebrates</w:t>
      </w:r>
    </w:p>
    <w:p>
      <w:pPr>
        <w:spacing w:before="0" w:after="120"/>
      </w:pPr>
      <w:r>
        <w:rPr>
          <w:b/>
        </w:rPr>
        <w:t xml:space="preserve">Source: </w:t>
      </w:r>
      <w:r>
        <w:t>AAAS: Science Advances: Table of Contents</w:t>
      </w:r>
      <w:r>
        <w:t xml:space="preserve">    </w:t>
      </w:r>
      <w:r>
        <w:rPr>
          <w:b/>
        </w:rPr>
        <w:t xml:space="preserve">Pub date: </w:t>
      </w:r>
      <w:r>
        <w:t>2026-03-25 07:00:00+00:00</w:t>
      </w:r>
      <w:r>
        <w:t xml:space="preserve">    </w:t>
      </w:r>
      <w:r>
        <w:rPr>
          <w:b/>
        </w:rPr>
        <w:t xml:space="preserve">DOI: </w:t>
      </w:r>
      <w:hyperlink r:id="rId748">
        <w:r>
          <w:rPr>
            <w:color w:val="1155CC"/>
            <w:u w:val="single"/>
          </w:rPr>
          <w:t>10.1126/sciadv.aec2328</w:t>
        </w:r>
      </w:hyperlink>
    </w:p>
    <w:p>
      <w:pPr>
        <w:spacing w:before="0" w:after="120"/>
      </w:pPr>
      <w:r>
        <w:rPr>
          <w:b/>
        </w:rPr>
        <w:t xml:space="preserve">Notes: </w:t>
      </w:r>
      <w:r>
        <w:t>abstract_source=crossref</w:t>
      </w:r>
    </w:p>
    <w:p>
      <w:pPr>
        <w:spacing w:before="0" w:after="80" w:lineRule="auto" w:line="276"/>
      </w:pPr>
      <w:r>
        <w:rPr>
          <w:b/>
        </w:rPr>
        <w:t xml:space="preserve">摘要（ZH）: </w:t>
      </w:r>
      <w:r>
        <w:t>在脊椎动物的胚胎发育过程中，最初对称的胚胎会发育出不对称排列的器官。这种不对称性始于胚胎上一个小的充满液体的腔的形成，称为胚胎结点，其中包含产生特定流动模式的运动纤毛。尽管进行了大量实验和计算工作，但这种结点流动被感知并导致不对称性发展的机制仍然难以捉摸。现有假设集中于机械或化学信号传导过程。我们报告了一种实验性人工胚胎结点，结合数值模拟，可以深入研究结点流动及其在左右不对称性发展中的作用。在左侧主要纤毛周围形成不同的流体速度剖面</w:t>
      </w:r>
    </w:p>
    <w:p>
      <w:pPr>
        <w:spacing w:before="0" w:after="200" w:lineRule="auto" w:line="276"/>
      </w:pPr>
      <w:r>
        <w:rPr>
          <w:b/>
        </w:rPr>
        <w:t xml:space="preserve">Abstract (EN): </w:t>
      </w:r>
      <w:r>
        <w:t>During the embryonic development of vertebrates, initially, symmetric embryos develop asymmetrically arranged organs. The asymmetry initiates with the formation of a small fluid-filled cavity on the embryo called the embryonic node, which contains motile cilia that generate specific flow patterns. The mechanism by which this nodal flow is sensed and causes asymmetry development has remained elusive despite major experimental and computational efforts. Existing hypotheses focus on either mechanical or chemical signaling processes. We report an experimental artificial embryonic node that, combined with numerical simulations, enables in-depth investigation of nodal flow and its role in left-right asymmetry development. Dissimilar fluid velocity profiles develop around primary cilia on the left and right nodal sides, producing distinct cilium bending. Also, the distribution of signaling particles with specific diffusivities exhibits spatial and temporal asymmetry. Together, our results support both mechanical and chemical sensing hypotheses and suggest a potential synergy between the two sensing mechanisms for the enhanced robustness of left-right asymmetry development.</w:t>
      </w:r>
    </w:p>
    <w:p>
      <w:pPr>
        <w:spacing w:before="120" w:after="120"/>
      </w:pPr>
      <w:r>
        <w:rPr>
          <w:sz w:val="18"/>
        </w:rPr>
        <w:t>——————————————————————————————————————————————————————————————————————</w:t>
      </w:r>
    </w:p>
    <w:p>
      <w:pPr>
        <w:spacing w:before="160" w:after="40" w:line="240" w:lineRule="auto"/>
      </w:pPr>
      <w:r>
        <w:rPr>
          <w:b/>
        </w:rPr>
        <w:t xml:space="preserve">[294] </w:t>
      </w:r>
      <w:hyperlink r:id="rId749">
        <w:r>
          <w:rPr>
            <w:color w:val="1155CC"/>
            <w:u w:val="single"/>
          </w:rPr>
          <w:t>工程低对称性胶体晶体的光学各向异性</w:t>
        </w:r>
      </w:hyperlink>
    </w:p>
    <w:p>
      <w:pPr>
        <w:spacing w:before="0" w:after="80"/>
      </w:pPr>
      <w:r>
        <w:rPr>
          <w:i/>
          <w:sz w:val="20"/>
        </w:rPr>
        <w:t>EN: Engineering low-symmetry colloidal crystals with optical anisotropies</w:t>
      </w:r>
    </w:p>
    <w:p>
      <w:pPr>
        <w:spacing w:before="0" w:after="120"/>
      </w:pPr>
      <w:r>
        <w:rPr>
          <w:b/>
        </w:rPr>
        <w:t xml:space="preserve">Source: </w:t>
      </w:r>
      <w:r>
        <w:t>AAAS: Science Advances: Table of Contents</w:t>
      </w:r>
      <w:r>
        <w:t xml:space="preserve">    </w:t>
      </w:r>
      <w:r>
        <w:rPr>
          <w:b/>
        </w:rPr>
        <w:t xml:space="preserve">Pub date: </w:t>
      </w:r>
      <w:r>
        <w:t>2026-03-25 07:00:00+00:00</w:t>
      </w:r>
      <w:r>
        <w:t xml:space="preserve">    </w:t>
      </w:r>
      <w:r>
        <w:rPr>
          <w:b/>
        </w:rPr>
        <w:t xml:space="preserve">DOI: </w:t>
      </w:r>
      <w:hyperlink r:id="rId750">
        <w:r>
          <w:rPr>
            <w:color w:val="1155CC"/>
            <w:u w:val="single"/>
          </w:rPr>
          <w:t>10.1126/sciadv.aec7382</w:t>
        </w:r>
      </w:hyperlink>
    </w:p>
    <w:p>
      <w:pPr>
        <w:spacing w:before="0" w:after="120"/>
      </w:pPr>
      <w:r>
        <w:rPr>
          <w:b/>
        </w:rPr>
        <w:t xml:space="preserve">Notes: </w:t>
      </w:r>
      <w:r>
        <w:t>abstract_source=crossref</w:t>
      </w:r>
    </w:p>
    <w:p>
      <w:pPr>
        <w:spacing w:before="0" w:after="80" w:lineRule="auto" w:line="276"/>
      </w:pPr>
      <w:r>
        <w:rPr>
          <w:b/>
        </w:rPr>
        <w:t xml:space="preserve">摘要（ZH）: </w:t>
      </w:r>
      <w:r>
        <w:t>工程化的低对称性胶体晶体正在成为光学器件中天然材料的有前途的性能增强替代品。然而，目前的合成方法无法精确控制这些晶体中的结构特征，如光轴的取向。在此，使用DNA修饰的纳米棒和纳米五角双锥作为可编程原子等效物来合成低对称性胶体晶体。这些晶体显示出三种不同的晶格对称性和晶体习性，使其光轴相对于晶体表面呈垂直、平行和倾斜配置。胶体晶体的低晶格对称性定义了其光学各向异性。具体而言，菱形胶体晶体表现出显著的偏振依赖性</w:t>
      </w:r>
    </w:p>
    <w:p>
      <w:pPr>
        <w:spacing w:before="0" w:after="200" w:lineRule="auto" w:line="276"/>
      </w:pPr>
      <w:r>
        <w:rPr>
          <w:b/>
        </w:rPr>
        <w:t xml:space="preserve">Abstract (EN): </w:t>
      </w:r>
      <w:r>
        <w:t>Engineered low-symmetry colloidal crystals are emerging as promising performance-enhancing alternatives to natural materials for optical devices. However, current synthesis methods cannot precisely control structural features such as the orientation of the optical axes in these crystals. Here, DNA-modified nanorods and nanopentabipyramids were used as programmable atom equivalents to synthesize low-symmetry colloidal crystals. These crystals display three different lattice symmetries and crystal habits, aligning their optical axes in perpendicular, parallel, and oblique configurations relative to the crystal surface. The low lattice symmetries of the colloidal crystals define their optical anisotropies. Specifically, the rhombohedral colloidal crystals exhibit substantial polarization-dependent transmission and scattering characteristics. Optical measurements supported by simulations suggest that these colloidal crystals exhibit large optical anisotropy. This work expands the potential of programmable matter by developing a class of optically anisotropic materials engineered from DNA upon conjugation with relatively simple and readily available nanoparticle building blocks.</w:t>
      </w:r>
    </w:p>
    <w:p>
      <w:pPr>
        <w:spacing w:before="120" w:after="120"/>
      </w:pPr>
      <w:r>
        <w:rPr>
          <w:sz w:val="18"/>
        </w:rPr>
        <w:t>——————————————————————————————————————————————————————————————————————</w:t>
      </w:r>
    </w:p>
    <w:p>
      <w:pPr>
        <w:spacing w:before="160" w:after="40" w:line="240" w:lineRule="auto"/>
      </w:pPr>
      <w:r>
        <w:rPr>
          <w:b/>
        </w:rPr>
        <w:t xml:space="preserve">[295] </w:t>
      </w:r>
      <w:hyperlink r:id="rId751">
        <w:r>
          <w:rPr>
            <w:color w:val="1155CC"/>
            <w:u w:val="single"/>
          </w:rPr>
          <w:t>吸血触发蜱唾液腺前体细胞的终末分化</w:t>
        </w:r>
      </w:hyperlink>
    </w:p>
    <w:p>
      <w:pPr>
        <w:spacing w:before="0" w:after="80"/>
      </w:pPr>
      <w:r>
        <w:rPr>
          <w:i/>
          <w:sz w:val="20"/>
        </w:rPr>
        <w:t>EN: Blood feeding triggers the terminal differentiation of precursor cells in tick salivary glands</w:t>
      </w:r>
    </w:p>
    <w:p>
      <w:pPr>
        <w:spacing w:before="0" w:after="120"/>
      </w:pPr>
      <w:r>
        <w:rPr>
          <w:b/>
        </w:rPr>
        <w:t xml:space="preserve">Source: </w:t>
      </w:r>
      <w:r>
        <w:t>AAAS: Science Advances: Table of Contents</w:t>
      </w:r>
      <w:r>
        <w:t xml:space="preserve">    </w:t>
      </w:r>
      <w:r>
        <w:rPr>
          <w:b/>
        </w:rPr>
        <w:t xml:space="preserve">Pub date: </w:t>
      </w:r>
      <w:r>
        <w:t>2026-03-25 07:00:00+00:00</w:t>
      </w:r>
      <w:r>
        <w:t xml:space="preserve">    </w:t>
      </w:r>
      <w:r>
        <w:rPr>
          <w:b/>
        </w:rPr>
        <w:t xml:space="preserve">DOI: </w:t>
      </w:r>
      <w:hyperlink r:id="rId752">
        <w:r>
          <w:rPr>
            <w:color w:val="1155CC"/>
            <w:u w:val="single"/>
          </w:rPr>
          <w:t>10.1126/sciadv.aec7620</w:t>
        </w:r>
      </w:hyperlink>
    </w:p>
    <w:p>
      <w:pPr>
        <w:spacing w:before="0" w:after="120"/>
      </w:pPr>
      <w:r>
        <w:rPr>
          <w:b/>
        </w:rPr>
        <w:t xml:space="preserve">Notes: </w:t>
      </w:r>
      <w:r>
        <w:t>abstract_source=crossref</w:t>
      </w:r>
    </w:p>
    <w:p>
      <w:pPr>
        <w:spacing w:before="0" w:after="80" w:lineRule="auto" w:line="276"/>
      </w:pPr>
      <w:r>
        <w:rPr>
          <w:b/>
        </w:rPr>
        <w:t xml:space="preserve">摘要（ZH）: </w:t>
      </w:r>
      <w:r>
        <w:t>蜱虫将多种病原体传播给人类。在吸血过程中，它们注入抑制宿主免疫反应的唾液蛋白，从而实现长时间的吸血和病原体传播。这一过程的一个标志是唾液基因表达的动态重编程，称为唾液组开关。在此，我们描述了两种医学上重要的蜱虫物种中这一现象背后一个先前未被认识的细胞机制。通过整合多组学和成像方法，我们在未吸血的蜱虫中识别出一群保守的未分化唾液腺前体细胞。在宿主附着后，这些前体通过一个保守的转录和信号框架进行终末分化，成为专门的分泌亚型，驱动唾液腺激活</w:t>
      </w:r>
    </w:p>
    <w:p>
      <w:pPr>
        <w:spacing w:before="0" w:after="200" w:lineRule="auto" w:line="276"/>
      </w:pPr>
      <w:r>
        <w:rPr>
          <w:b/>
        </w:rPr>
        <w:t xml:space="preserve">Abstract (EN): </w:t>
      </w:r>
      <w:r>
        <w:t>Ticks transmit a wide range of pathogens to humans. During blood feeding, they inject salivary proteins that suppress host immune responses, enabling prolonged feeding and pathogen transmission. A hallmark of this process is the dynamic reprogramming of salivary gene expression, known as the sialome switch. Here, we describe a previously unrecognized cellular mechanism underlying this phenomenon in two medically important tick species. Using integrated multi-omics and imaging approaches, we identified a conserved population of undifferentiated salivary gland precursor cells in unfed ticks. Upon host attachment, these precursors undergo terminal differentiation into specialized secretory subtypes through a conserved transcriptional and signaling framework that drives salivary gland activation and maturation. Unlike other blood-feeding arthropods, tick salivary glands dynamically remodel in response to host contact, producing saliva with a shifting composition. This study suggests the cellular basis of adult female tick salivary gland maturation and offers targets to disrupt feeding and pathogen transmission.</w:t>
      </w:r>
    </w:p>
    <w:p>
      <w:pPr>
        <w:spacing w:before="120" w:after="120"/>
      </w:pPr>
      <w:r>
        <w:rPr>
          <w:sz w:val="18"/>
        </w:rPr>
        <w:t>——————————————————————————————————————————————————————————————————————</w:t>
      </w:r>
    </w:p>
    <w:p>
      <w:pPr>
        <w:spacing w:before="160" w:after="40" w:line="240" w:lineRule="auto"/>
      </w:pPr>
      <w:r>
        <w:rPr>
          <w:b/>
        </w:rPr>
        <w:t xml:space="preserve">[296] </w:t>
      </w:r>
      <w:hyperlink r:id="rId753">
        <w:r>
          <w:rPr>
            <w:color w:val="1155CC"/>
            <w:u w:val="single"/>
          </w:rPr>
          <w:t>超功能TRPC3变体的功能和结构基础</w:t>
        </w:r>
      </w:hyperlink>
    </w:p>
    <w:p>
      <w:pPr>
        <w:spacing w:before="0" w:after="80"/>
      </w:pPr>
      <w:r>
        <w:rPr>
          <w:i/>
          <w:sz w:val="20"/>
        </w:rPr>
        <w:t>EN: Functional and structural basis of a hypermorphic TRPC3 variant</w:t>
      </w:r>
    </w:p>
    <w:p>
      <w:pPr>
        <w:spacing w:before="0" w:after="120"/>
      </w:pPr>
      <w:r>
        <w:rPr>
          <w:b/>
        </w:rPr>
        <w:t xml:space="preserve">Source: </w:t>
      </w:r>
      <w:r>
        <w:t>AAAS: Science Advances: Table of Contents</w:t>
      </w:r>
      <w:r>
        <w:t xml:space="preserve">    </w:t>
      </w:r>
      <w:r>
        <w:rPr>
          <w:b/>
        </w:rPr>
        <w:t xml:space="preserve">Pub date: </w:t>
      </w:r>
      <w:r>
        <w:t>2026-03-25 07:00:00+00:00</w:t>
      </w:r>
      <w:r>
        <w:t xml:space="preserve">    </w:t>
      </w:r>
      <w:r>
        <w:rPr>
          <w:b/>
        </w:rPr>
        <w:t xml:space="preserve">DOI: </w:t>
      </w:r>
      <w:hyperlink r:id="rId754">
        <w:r>
          <w:rPr>
            <w:color w:val="1155CC"/>
            <w:u w:val="single"/>
          </w:rPr>
          <w:t>10.1126/sciadv.aec9284</w:t>
        </w:r>
      </w:hyperlink>
    </w:p>
    <w:p>
      <w:pPr>
        <w:spacing w:before="0" w:after="120"/>
      </w:pPr>
      <w:r>
        <w:rPr>
          <w:b/>
        </w:rPr>
        <w:t xml:space="preserve">Notes: </w:t>
      </w:r>
      <w:r>
        <w:t>abstract_source=crossref</w:t>
      </w:r>
    </w:p>
    <w:p>
      <w:pPr>
        <w:spacing w:before="0" w:after="80" w:lineRule="auto" w:line="276"/>
      </w:pPr>
      <w:r>
        <w:rPr>
          <w:b/>
        </w:rPr>
        <w:t xml:space="preserve">摘要（ZH）: </w:t>
      </w:r>
      <w:r>
        <w:t>小脑共济失调的特征是由于小脑内神经元功能障碍导致的运动协调障碍。导致这种病理和小脑特异性神经退行性变的机制仍然未知。我们揭示了一种功能增益的经典瞬时受体电位成员3（TRPC3）突变如何与小脑特异性异构体结合，稳定通道的开放状态，抵抗主要抑制剂Pyr3，并驱动钙依赖性细胞死亡。通过表达浦肯野细胞钙泵恢复钙稳态可改善细胞活力。在秀丽隐杆线虫中转基因表达TRPC3超功能变体引发神经退行性变，证实其在跨物种中的致病性。冷冻电子显微</w:t>
      </w:r>
    </w:p>
    <w:p>
      <w:pPr>
        <w:spacing w:before="0" w:after="200" w:lineRule="auto" w:line="276"/>
      </w:pPr>
      <w:r>
        <w:rPr>
          <w:b/>
        </w:rPr>
        <w:t xml:space="preserve">Abstract (EN): </w:t>
      </w:r>
      <w:r>
        <w:t>Cerebellar ataxias are characterized by impaired motor coordination resulting from neuronal dysfunction within the cerebellum. The mechanisms underlying this pathology and its cerebellar-specific neurodegeneration remain unknown. We uncover how a gain-of-function canonical transient receptor potential member 3 (TRPC3) mutation, coupled with a cerebellum-specific isoform, stabilizes the channel’s open state, resists the leading inhibitor Pyr3, and drives calcium-dependent cell death. Restoring calcium homeostasis by expressing a Purkinje cell calcium pump improves cell viability. Transgenic expression of the TRPC3 hypermorphic variant in</w:t>
      </w:r>
      <w:r>
        <w:t xml:space="preserve"> </w:t>
      </w:r>
      <w:r>
        <w:t>Caenorhabditis elegans</w:t>
      </w:r>
      <w:r>
        <w:t xml:space="preserve"> </w:t>
      </w:r>
      <w:r>
        <w:t>induces neurodegeneration, confirming its pathogenicity across species. Cryo–electron microscopy and molecular simulations reveal the structural basis for the stabilization of the cerebellar-specific TRPC3 variant in its open state and uncover a druggable allosteric inhibitory binding site. These findings provide an explanation for the vulnerability of cerebellar neurons in TRPC3-associated ataxias and highlight a site for therapeutic intervention.</w:t>
      </w:r>
    </w:p>
    <w:p>
      <w:pPr>
        <w:spacing w:before="120" w:after="120"/>
      </w:pPr>
      <w:r>
        <w:rPr>
          <w:sz w:val="18"/>
        </w:rPr>
        <w:t>——————————————————————————————————————————————————————————————————————</w:t>
      </w:r>
    </w:p>
    <w:p>
      <w:pPr>
        <w:spacing w:before="160" w:after="40" w:line="240" w:lineRule="auto"/>
      </w:pPr>
      <w:r>
        <w:rPr>
          <w:b/>
        </w:rPr>
        <w:t xml:space="preserve">[297] </w:t>
      </w:r>
      <w:hyperlink r:id="rId755">
        <w:r>
          <w:rPr>
            <w:color w:val="1155CC"/>
            <w:u w:val="single"/>
          </w:rPr>
          <w:t>利用灵活的金属有机框架中的协同吸附剂-吸附剂适应性进行可切换的碳氢化合物分离</w:t>
        </w:r>
      </w:hyperlink>
    </w:p>
    <w:p>
      <w:pPr>
        <w:spacing w:before="0" w:after="80"/>
      </w:pPr>
      <w:r>
        <w:rPr>
          <w:i/>
          <w:sz w:val="20"/>
        </w:rPr>
        <w:t>EN: Harnessing cooperative sorbate-sorbent adaptation in a flexible metal-organic framework for switchable hydrocarbon separation</w:t>
      </w:r>
    </w:p>
    <w:p>
      <w:pPr>
        <w:spacing w:before="0" w:after="120"/>
      </w:pPr>
      <w:r>
        <w:rPr>
          <w:b/>
        </w:rPr>
        <w:t xml:space="preserve">Source: </w:t>
      </w:r>
      <w:r>
        <w:t>AAAS: Science Advances: Table of Contents</w:t>
      </w:r>
      <w:r>
        <w:t xml:space="preserve">    </w:t>
      </w:r>
      <w:r>
        <w:rPr>
          <w:b/>
        </w:rPr>
        <w:t xml:space="preserve">Pub date: </w:t>
      </w:r>
      <w:r>
        <w:t>2026-03-25 07:00:00+00:00</w:t>
      </w:r>
      <w:r>
        <w:t xml:space="preserve">    </w:t>
      </w:r>
      <w:r>
        <w:rPr>
          <w:b/>
        </w:rPr>
        <w:t xml:space="preserve">DOI: </w:t>
      </w:r>
      <w:hyperlink r:id="rId756">
        <w:r>
          <w:rPr>
            <w:color w:val="1155CC"/>
            <w:u w:val="single"/>
          </w:rPr>
          <w:t>10.1126/sciadv.aee4346</w:t>
        </w:r>
      </w:hyperlink>
    </w:p>
    <w:p>
      <w:pPr>
        <w:spacing w:before="0" w:after="120"/>
      </w:pPr>
      <w:r>
        <w:rPr>
          <w:b/>
        </w:rPr>
        <w:t xml:space="preserve">Notes: </w:t>
      </w:r>
      <w:r>
        <w:t>abstract_source=crossref</w:t>
      </w:r>
    </w:p>
    <w:p>
      <w:pPr>
        <w:spacing w:before="0" w:after="80" w:lineRule="auto" w:line="276"/>
      </w:pPr>
      <w:r>
        <w:rPr>
          <w:b/>
        </w:rPr>
        <w:t xml:space="preserve">摘要（ZH）: </w:t>
      </w:r>
      <w:r>
        <w:t>分离具有相似形状和相互作用的分子的选择性吸附的追求仍然是一个艰巨的挑战。这项工作利用了一种强大且以前未被认识的机制，在一个灵活的金属有机框架（Flex-Cd-MOF-3）中实现了可切换的吸附选择性。具体而言，Flex-Cd-MOF-3是Flex-Cd-MOF-2的后代，具有更高的连接体刚性和功能化，表现出局部重排和可逆的框架扩展或收缩，显示出相位依赖的丙烯/丙烷选择性。考虑到丙烷，材料和吸附物之间发生了互惠的构象变化，而这种变化在刚性的丙烯中是不可能的，重塑了能量景观。这些独特的相互作用机制对于其他非常相似的分子</w:t>
      </w:r>
    </w:p>
    <w:p>
      <w:pPr>
        <w:spacing w:before="0" w:after="200" w:lineRule="auto" w:line="276"/>
      </w:pPr>
      <w:r>
        <w:rPr>
          <w:b/>
        </w:rPr>
        <w:t xml:space="preserve">Abstract (EN): </w:t>
      </w:r>
      <w:r>
        <w:t>The pursuit of selective adsorption for separating molecules with similar shapes and interactions remains a formidable challenge. This work harnesses a powerful, previously unrecognized mechanism in a flexible metal-organic framework (Flex-Cd-MOF-3) to achieve switchable adsorption selectivity. Specifically, Flex-Cd-MOF-3, a descendant of Flex-Cd-MOF-2 with increased linker rigidity and functionalization, exhibits both local rearrangements and reversible framework expansion or shrinkage, showing phase-dependent propylene/propane selectivity. Considering propane, mutually beneficial conformational changes in the material and sorbate co-occur that are not possible with rigid propylene, reshaping the energy landscapes. These distinct interaction mechanisms, for otherwise very similar molecules, directly lead to pore swelling and shrinking at different pressures and phase switchable selectivity. An innovative modeling approach was developed that describes the full desorption pathway, explaining the relative binding energies and the sorbate-dependent mechanism of pore shrinkage. This work establishes cooperative sorbate-sorbent adaptation as a generalizable adsorption mechanism for achieving precise separation of similar molecules through distinct intermolecular interactions.</w:t>
      </w:r>
    </w:p>
    <w:p>
      <w:pPr>
        <w:spacing w:before="120" w:after="120"/>
      </w:pPr>
      <w:r>
        <w:rPr>
          <w:sz w:val="18"/>
        </w:rPr>
        <w:t>——————————————————————————————————————————————————————————————————————</w:t>
      </w:r>
    </w:p>
    <w:p>
      <w:pPr>
        <w:spacing w:before="160" w:after="40" w:line="240" w:lineRule="auto"/>
      </w:pPr>
      <w:r>
        <w:rPr>
          <w:b/>
        </w:rPr>
        <w:t xml:space="preserve">[298] </w:t>
      </w:r>
      <w:hyperlink r:id="rId757">
        <w:r>
          <w:rPr>
            <w:color w:val="1155CC"/>
            <w:u w:val="single"/>
          </w:rPr>
          <w:t>使用TROPOMI卫星数据量化美国的城市和垃圾填埋场甲烷排放</w:t>
        </w:r>
      </w:hyperlink>
    </w:p>
    <w:p>
      <w:pPr>
        <w:spacing w:before="0" w:after="80"/>
      </w:pPr>
      <w:r>
        <w:rPr>
          <w:i/>
          <w:sz w:val="20"/>
        </w:rPr>
        <w:t>EN: Quantifying urban and landfill methane emissions in the United States using TROPOMI satellite data</w:t>
      </w:r>
    </w:p>
    <w:p>
      <w:pPr>
        <w:spacing w:before="0" w:after="120"/>
      </w:pPr>
      <w:r>
        <w:rPr>
          <w:b/>
        </w:rPr>
        <w:t xml:space="preserve">Source: </w:t>
      </w:r>
      <w:r>
        <w:t>AAAS: Science Advances: Table of Contents</w:t>
      </w:r>
      <w:r>
        <w:t xml:space="preserve">    </w:t>
      </w:r>
      <w:r>
        <w:rPr>
          <w:b/>
        </w:rPr>
        <w:t xml:space="preserve">Pub date: </w:t>
      </w:r>
      <w:r>
        <w:t>2026-03-25 07:00:00+00:00</w:t>
      </w:r>
      <w:r>
        <w:t xml:space="preserve">    </w:t>
      </w:r>
      <w:r>
        <w:rPr>
          <w:b/>
        </w:rPr>
        <w:t xml:space="preserve">DOI: </w:t>
      </w:r>
      <w:hyperlink r:id="rId758">
        <w:r>
          <w:rPr>
            <w:color w:val="1155CC"/>
            <w:u w:val="single"/>
          </w:rPr>
          <w:t>10.1126/sciadv.adz9308</w:t>
        </w:r>
      </w:hyperlink>
    </w:p>
    <w:p>
      <w:pPr>
        <w:spacing w:before="0" w:after="120"/>
      </w:pPr>
      <w:r>
        <w:rPr>
          <w:b/>
        </w:rPr>
        <w:t xml:space="preserve">Notes: </w:t>
      </w:r>
      <w:r>
        <w:t>abstract_source=crossref</w:t>
      </w:r>
    </w:p>
    <w:p>
      <w:pPr>
        <w:spacing w:before="0" w:after="80" w:lineRule="auto" w:line="276"/>
      </w:pPr>
      <w:r>
        <w:rPr>
          <w:b/>
        </w:rPr>
        <w:t xml:space="preserve">摘要（ZH）: </w:t>
      </w:r>
      <w:r>
        <w:t>城市地区是人口驱动的甲烷的主要来源，具有很高的减排潜力，但排放量的量化和部门归因仍然不确定。利用卫星观测和高分辨率（12公里×12公里）的大气反演框架，我们发现12个主要美国城市地区的排放量比美国环境保护署温室气体清单（EPA GHGI）高80%，休斯顿的排放量高达四倍，但洛杉矶和辛辛那提的排放量低32%到37%。垃圾填埋场是清单低估的主要原因，城市级别的管理实践导致人均排放量的巨大差异。对具有气体收集系统的单个垃圾填埋场的检查显示气体收集效率平均</w:t>
      </w:r>
    </w:p>
    <w:p>
      <w:pPr>
        <w:spacing w:before="0" w:after="200" w:lineRule="auto" w:line="276"/>
      </w:pPr>
      <w:r>
        <w:rPr>
          <w:b/>
        </w:rPr>
        <w:t xml:space="preserve">Abstract (EN): </w:t>
      </w:r>
      <w:r>
        <w:t>Urban areas are major sources of population-driven methane with high potential for mitigation, but emission quantification and sectoral attribution remain uncertain. Using satellite observations and a high-resolution (12 kilometers by 12 kilometers) atmospheric inversion framework, we find that emissions from 12 major US urban areas are 80% higher than the US Environmental Protection Agency Greenhouse Gas Inventory (EPA GHGI), with up to four times higher emissions in Houston but 32 to 37% lower emissions in Los Angeles and Cincinnati. Landfills are the principal cause of inventory underestimates, with city-level management practices driving large variations in per capita emissions. Examination of individual landfills with gas collection systems shows gas collection efficiencies averaging 38% (range: 5 to 90%), much lower than their reported average of 70% (range: 40 to 87%). An exception is Los Angeles, where we find landfill gas collection averaging 85%, suggesting large urban methane mitigation potential through improved landfill management.</w:t>
      </w:r>
    </w:p>
    <w:p>
      <w:pPr>
        <w:spacing w:before="120" w:after="120"/>
      </w:pPr>
      <w:r>
        <w:rPr>
          <w:sz w:val="18"/>
        </w:rPr>
        <w:t>——————————————————————————————————————————————————————————————————————</w:t>
      </w:r>
    </w:p>
    <w:p>
      <w:pPr>
        <w:spacing w:before="160" w:after="40" w:line="240" w:lineRule="auto"/>
      </w:pPr>
      <w:r>
        <w:rPr>
          <w:b/>
        </w:rPr>
        <w:t xml:space="preserve">[299] </w:t>
      </w:r>
      <w:hyperlink r:id="rId759">
        <w:r>
          <w:rPr>
            <w:color w:val="1155CC"/>
            <w:u w:val="single"/>
          </w:rPr>
          <w:t>一个保守的糖基化结构诱导对人畜共患病原体猪链球菌的广泛反应性功能抗体</w:t>
        </w:r>
      </w:hyperlink>
    </w:p>
    <w:p>
      <w:pPr>
        <w:spacing w:before="0" w:after="80"/>
      </w:pPr>
      <w:r>
        <w:rPr>
          <w:i/>
          <w:sz w:val="20"/>
        </w:rPr>
        <w:t>EN: A conserved glycan motif induces broadly reactive functional antibodies against the zoonotic pathogen Streptococcus suis</w:t>
      </w:r>
    </w:p>
    <w:p>
      <w:pPr>
        <w:spacing w:before="0" w:after="120"/>
      </w:pPr>
      <w:r>
        <w:rPr>
          <w:b/>
        </w:rPr>
        <w:t xml:space="preserve">Source: </w:t>
      </w:r>
      <w:r>
        <w:t>AAAS: Science Advances: Table of Contents</w:t>
      </w:r>
      <w:r>
        <w:t xml:space="preserve">    </w:t>
      </w:r>
      <w:r>
        <w:rPr>
          <w:b/>
        </w:rPr>
        <w:t xml:space="preserve">Pub date: </w:t>
      </w:r>
      <w:r>
        <w:t>2026-03-25 07:00:00+00:00</w:t>
      </w:r>
      <w:r>
        <w:t xml:space="preserve">    </w:t>
      </w:r>
      <w:r>
        <w:rPr>
          <w:b/>
        </w:rPr>
        <w:t xml:space="preserve">DOI: </w:t>
      </w:r>
      <w:hyperlink r:id="rId760">
        <w:r>
          <w:rPr>
            <w:color w:val="1155CC"/>
            <w:u w:val="single"/>
          </w:rPr>
          <w:t>10.1126/sciadv.adz1854</w:t>
        </w:r>
      </w:hyperlink>
    </w:p>
    <w:p>
      <w:pPr>
        <w:spacing w:before="0" w:after="120"/>
      </w:pPr>
      <w:r>
        <w:rPr>
          <w:b/>
        </w:rPr>
        <w:t xml:space="preserve">Notes: </w:t>
      </w:r>
      <w:r>
        <w:t>abstract_source=crossref</w:t>
      </w:r>
    </w:p>
    <w:p>
      <w:pPr>
        <w:spacing w:before="0" w:after="80" w:lineRule="auto" w:line="276"/>
      </w:pPr>
      <w:r>
        <w:rPr>
          <w:b/>
        </w:rPr>
        <w:t xml:space="preserve">摘要（ZH）: </w:t>
      </w:r>
      <w:r>
        <w:t>猪链球菌是一种被广泛忽视但新兴的细菌性人畜共患病原体，全球关注动物福利、抗生素耐药性发展和人类健康。目前没有有效的疫苗。在此，我们使用基因缺失和（异源）互补、凝集素染色、糖链组成分析和专业的NMR光谱学，鉴定并表征了致病性猪链球菌菌株中两种细胞壁多糖变体的功能和结构。这两种糖链变体是阴离子聚合物，由于糖基转移酶基因的等位基因变异，侧链中葡萄糖的存在不同。删除这种可变的糖基转移酶揭示了一个相同的糖链“核心”</w:t>
      </w:r>
    </w:p>
    <w:p>
      <w:pPr>
        <w:spacing w:before="0" w:after="200" w:lineRule="auto" w:line="276"/>
      </w:pPr>
      <w:r>
        <w:rPr>
          <w:b/>
        </w:rPr>
        <w:t xml:space="preserve">Abstract (EN): </w:t>
      </w:r>
      <w:r>
        <w:t>Streptococcus suis</w:t>
      </w:r>
      <w:r>
        <w:t xml:space="preserve"> </w:t>
      </w:r>
      <w:r>
        <w:t>is a largely neglected but emerging bacterial zoonotic pathogen of global concern for animal welfare, antibiotic resistance development, and human health. No effective vaccines are now available. Here, we identified and characterized the function and structure of two cell wall polysaccharide variants in pathogenic</w:t>
      </w:r>
      <w:r>
        <w:t xml:space="preserve"> </w:t>
      </w:r>
      <w:r>
        <w:t>S. suis</w:t>
      </w:r>
      <w:r>
        <w:t xml:space="preserve"> </w:t>
      </w:r>
      <w:r>
        <w:t>strains using genetic deletion and (heterologous) complementation, lectin staining, glycan composition analysis, and specialized NMR spectroscopy. Both glycan variants were anionic polymers that differed in the presence of glucose in the side chain as a result of allelic variation in a glycosyltransferase gene. Deletion of this variable glycosyltransferase revealed an identical glycan “core” and affected</w:t>
      </w:r>
      <w:r>
        <w:t xml:space="preserve"> </w:t>
      </w:r>
      <w:r>
        <w:t>S. suis</w:t>
      </w:r>
      <w:r>
        <w:t xml:space="preserve"> </w:t>
      </w:r>
      <w:r>
        <w:t>morphology and lysozyme resistance. Immunization of pigs with this core domain elicited antibodies that recognized antigenically diverse pathogenic</w:t>
      </w:r>
      <w:r>
        <w:t xml:space="preserve"> </w:t>
      </w:r>
      <w:r>
        <w:t>S. suis</w:t>
      </w:r>
      <w:r>
        <w:t xml:space="preserve"> </w:t>
      </w:r>
      <w:r>
        <w:t>strains and induced complement deposition on encapsulated pathogenic</w:t>
      </w:r>
      <w:r>
        <w:t xml:space="preserve"> </w:t>
      </w:r>
      <w:r>
        <w:t>S. suis</w:t>
      </w:r>
      <w:r>
        <w:t xml:space="preserve"> </w:t>
      </w:r>
      <w:r>
        <w:t>strains. This study provides valuable insights for developing next-generation glycoconjugate vaccines, whereby a single-glycan target could protect against the emerging zoonotic pathogen</w:t>
      </w:r>
      <w:r>
        <w:t xml:space="preserve"> </w:t>
      </w:r>
      <w:r>
        <w:t>S. suis</w:t>
      </w:r>
      <w:r>
        <w:t xml:space="preserve"> </w:t>
      </w:r>
      <w:r>
        <w:t>.</w:t>
      </w:r>
    </w:p>
    <w:p>
      <w:pPr>
        <w:spacing w:before="120" w:after="120"/>
      </w:pPr>
      <w:r>
        <w:rPr>
          <w:sz w:val="18"/>
        </w:rPr>
        <w:t>——————————————————————————————————————————————————————————————————————</w:t>
      </w:r>
    </w:p>
    <w:p>
      <w:pPr>
        <w:spacing w:before="160" w:after="40" w:line="240" w:lineRule="auto"/>
      </w:pPr>
      <w:r>
        <w:rPr>
          <w:b/>
        </w:rPr>
        <w:t xml:space="preserve">[300] </w:t>
      </w:r>
      <w:hyperlink r:id="rId761">
        <w:r>
          <w:rPr>
            <w:color w:val="1155CC"/>
            <w:u w:val="single"/>
          </w:rPr>
          <w:t>MUTE驱动不对称分裂以在景天科多肉植物中形成气孔附属细胞</w:t>
        </w:r>
      </w:hyperlink>
    </w:p>
    <w:p>
      <w:pPr>
        <w:spacing w:before="0" w:after="80"/>
      </w:pPr>
      <w:r>
        <w:rPr>
          <w:i/>
          <w:sz w:val="20"/>
        </w:rPr>
        <w:t>EN: MUTE drives asymmetric divisions to form stomatal subsidiary cells in Crassulaceae succulents</w:t>
      </w:r>
    </w:p>
    <w:p>
      <w:pPr>
        <w:spacing w:before="0" w:after="120"/>
      </w:pPr>
      <w:r>
        <w:rPr>
          <w:b/>
        </w:rPr>
        <w:t xml:space="preserve">Source: </w:t>
      </w:r>
      <w:r>
        <w:t>AAAS: Science Advances: Table of Contents</w:t>
      </w:r>
      <w:r>
        <w:t xml:space="preserve">    </w:t>
      </w:r>
      <w:r>
        <w:rPr>
          <w:b/>
        </w:rPr>
        <w:t xml:space="preserve">Pub date: </w:t>
      </w:r>
      <w:r>
        <w:t>2026-03-25 07:00:00+00:00</w:t>
      </w:r>
      <w:r>
        <w:t xml:space="preserve">    </w:t>
      </w:r>
      <w:r>
        <w:rPr>
          <w:b/>
        </w:rPr>
        <w:t xml:space="preserve">DOI: </w:t>
      </w:r>
      <w:hyperlink r:id="rId762">
        <w:r>
          <w:rPr>
            <w:color w:val="1155CC"/>
            <w:u w:val="single"/>
          </w:rPr>
          <w:t>10.1126/sciadv.aeb8145</w:t>
        </w:r>
      </w:hyperlink>
    </w:p>
    <w:p>
      <w:pPr>
        <w:spacing w:before="0" w:after="120"/>
      </w:pPr>
      <w:r>
        <w:rPr>
          <w:b/>
        </w:rPr>
        <w:t xml:space="preserve">Notes: </w:t>
      </w:r>
      <w:r>
        <w:t>abstract_source=crossref</w:t>
      </w:r>
    </w:p>
    <w:p>
      <w:pPr>
        <w:spacing w:before="0" w:after="80" w:lineRule="auto" w:line="276"/>
      </w:pPr>
      <w:r>
        <w:rPr>
          <w:b/>
        </w:rPr>
        <w:t xml:space="preserve">摘要（ZH）: </w:t>
      </w:r>
      <w:r>
        <w:t>许多多肉植物的进化创新之一是光合作用的生活方式，其中气孔气体交换与光依赖的碳固定分离。许多景天科叶多肉植物形成了一种气孔形态，由肾形保卫细胞和三个不等细胞（SCs）组成，其功能和发育尚不清楚。在这里，我们建立了</w:t>
      </w:r>
      <w:r>
        <w:t xml:space="preserve"> </w:t>
      </w:r>
      <w:r>
        <w:t>Kalanchoë laxiflora</w:t>
      </w:r>
      <w:r>
        <w:t xml:space="preserve"> </w:t>
      </w:r>
      <w:r>
        <w:t>作为发育模型。钾染色表明SCs可以运输渗透溶质并支持由膨压驱动的气孔运动。基因编辑、报告线、蛋白质过表达和RNA测序表明气孔转录因子</w:t>
      </w:r>
      <w:r>
        <w:t xml:space="preserve"> </w:t>
      </w:r>
      <w:r>
        <w:t>MUTE</w:t>
      </w:r>
      <w:r>
        <w:t xml:space="preserve"> </w:t>
      </w:r>
      <w:r>
        <w:t>在促进额外的不对称分裂中起作用。</w:t>
      </w:r>
    </w:p>
    <w:p>
      <w:pPr>
        <w:spacing w:before="0" w:after="200" w:lineRule="auto" w:line="276"/>
      </w:pPr>
      <w:r>
        <w:rPr>
          <w:b/>
        </w:rPr>
        <w:t xml:space="preserve">Abstract (EN): </w:t>
      </w:r>
      <w:r>
        <w:t>Among the evolutionary innovations of many succulents is a photosynthetic lifestyle, where stomatal gas exchange is decoupled from light-dependent carbon fixation. Many Crassulaceae leaf succulents form a stomatal morphotype consisting of kidney-shaped guard cells surrounded by three anisocytic subsidiary cells (SCs), whose function and development remained unknown. Here, we established</w:t>
      </w:r>
      <w:r>
        <w:t xml:space="preserve"> </w:t>
      </w:r>
      <w:r>
        <w:t>Kalanchoë laxiflora</w:t>
      </w:r>
      <w:r>
        <w:t xml:space="preserve"> </w:t>
      </w:r>
      <w:r>
        <w:t>as a developmental model. Potassium staining suggested SCs to shuttle osmolytes and support turgor-driven stomatal movements. Gene editing, reporter lines, protein overexpression, and RNA sequencing implicated the stomatal transcription factor</w:t>
      </w:r>
      <w:r>
        <w:t xml:space="preserve"> </w:t>
      </w:r>
      <w:r>
        <w:t>MUTE</w:t>
      </w:r>
      <w:r>
        <w:t xml:space="preserve"> </w:t>
      </w:r>
      <w:r>
        <w:t>in facilitating the additional rounds of asymmetric divisions required to form SCs in succulents. This is opposite to the role of</w:t>
      </w:r>
      <w:r>
        <w:t xml:space="preserve"> </w:t>
      </w:r>
      <w:r>
        <w:t>MUTE</w:t>
      </w:r>
      <w:r>
        <w:t xml:space="preserve"> </w:t>
      </w:r>
      <w:r>
        <w:t>in</w:t>
      </w:r>
      <w:r>
        <w:t xml:space="preserve"> </w:t>
      </w:r>
      <w:r>
        <w:t>Arabidopsis thaliana</w:t>
      </w:r>
      <w:r>
        <w:t xml:space="preserve"> </w:t>
      </w:r>
      <w:r>
        <w:t>, where it stops rather than induces asymmetric divisions but reminiscent of</w:t>
      </w:r>
      <w:r>
        <w:t xml:space="preserve"> </w:t>
      </w:r>
      <w:r>
        <w:t>MUTE</w:t>
      </w:r>
      <w:r>
        <w:t xml:space="preserve"> </w:t>
      </w:r>
      <w:r>
        <w:t>’s subsidiary cell–related function in grasses. Our work firmly establishes</w:t>
      </w:r>
      <w:r>
        <w:t xml:space="preserve"> </w:t>
      </w:r>
      <w:r>
        <w:t>K. laxiflora</w:t>
      </w:r>
      <w:r>
        <w:t xml:space="preserve"> </w:t>
      </w:r>
      <w:r>
        <w:t>as a model for succulent development and deciphers an intricate genetic mechanism that generates innovative stomatal morphology in Crassulaceae succulents.</w:t>
      </w:r>
    </w:p>
    <w:p>
      <w:pPr>
        <w:spacing w:before="120" w:after="120"/>
      </w:pPr>
      <w:r>
        <w:rPr>
          <w:sz w:val="18"/>
        </w:rPr>
        <w:t>——————————————————————————————————————————————————————————————————————</w:t>
      </w:r>
    </w:p>
    <w:p>
      <w:pPr>
        <w:spacing w:before="160" w:after="40" w:line="240" w:lineRule="auto"/>
      </w:pPr>
      <w:r>
        <w:rPr>
          <w:b/>
        </w:rPr>
        <w:t xml:space="preserve">[301] </w:t>
      </w:r>
      <w:hyperlink r:id="rId763">
        <w:r>
          <w:rPr>
            <w:color w:val="1155CC"/>
            <w:u w:val="single"/>
          </w:rPr>
          <w:t>小麦纤维通过非短链脂肪酸微生物代谢物训练的肠道巨噬细胞缓解结肠炎</w:t>
        </w:r>
      </w:hyperlink>
    </w:p>
    <w:p>
      <w:pPr>
        <w:spacing w:before="0" w:after="80"/>
      </w:pPr>
      <w:r>
        <w:rPr>
          <w:i/>
          <w:sz w:val="20"/>
        </w:rPr>
        <w:t>EN: Wheat fiber mitigates colitis via non-SCFA microbial metabolite-trained intestinal macrophages</w:t>
      </w:r>
    </w:p>
    <w:p>
      <w:pPr>
        <w:spacing w:before="0" w:after="120"/>
      </w:pPr>
      <w:r>
        <w:rPr>
          <w:b/>
        </w:rPr>
        <w:t xml:space="preserve">Source: </w:t>
      </w:r>
      <w:r>
        <w:t>AAAS: Science Advances: Table of Contents</w:t>
      </w:r>
      <w:r>
        <w:t xml:space="preserve">    </w:t>
      </w:r>
      <w:r>
        <w:rPr>
          <w:b/>
        </w:rPr>
        <w:t xml:space="preserve">Pub date: </w:t>
      </w:r>
      <w:r>
        <w:t>2026-03-25 07:00:00+00:00</w:t>
      </w:r>
      <w:r>
        <w:t xml:space="preserve">    </w:t>
      </w:r>
      <w:r>
        <w:rPr>
          <w:b/>
        </w:rPr>
        <w:t xml:space="preserve">DOI: </w:t>
      </w:r>
      <w:hyperlink r:id="rId764">
        <w:r>
          <w:rPr>
            <w:color w:val="1155CC"/>
            <w:u w:val="single"/>
          </w:rPr>
          <w:t>10.1126/sciadv.aec5757</w:t>
        </w:r>
      </w:hyperlink>
    </w:p>
    <w:p>
      <w:pPr>
        <w:spacing w:before="0" w:after="120"/>
      </w:pPr>
      <w:r>
        <w:rPr>
          <w:b/>
        </w:rPr>
        <w:t xml:space="preserve">Notes: </w:t>
      </w:r>
      <w:r>
        <w:t>abstract_source=crossref</w:t>
      </w:r>
    </w:p>
    <w:p>
      <w:pPr>
        <w:spacing w:before="0" w:after="80" w:lineRule="auto" w:line="276"/>
      </w:pPr>
      <w:r>
        <w:rPr>
          <w:b/>
        </w:rPr>
        <w:t xml:space="preserve">摘要（ZH）: </w:t>
      </w:r>
      <w:r>
        <w:t>高度精制的小麦产品的出现减少了纤维的摄入，这与炎症性肠病（IBD）的风险增加有关。我们发现，用小麦纤维（WF）丰富饮食可以保护小鼠免受结肠炎的侵害，特别是相对于低纤维饮食，通过临床、组织病理学、形态学和免疫学参数评估。WF对结肠炎的保护与短链脂肪酸（SCFAs）无关，但与维持微生物多样性有关，包括维持</w:t>
      </w:r>
      <w:r>
        <w:t xml:space="preserve"> </w:t>
      </w:r>
      <w:r>
        <w:t>Bacteroides thetaiotaomicron</w:t>
      </w:r>
      <w:r>
        <w:t xml:space="preserve"> </w:t>
      </w:r>
      <w:r>
        <w:t>（</w:t>
      </w:r>
      <w:r>
        <w:t xml:space="preserve"> </w:t>
      </w:r>
      <w:r>
        <w:t>B. theta</w:t>
      </w:r>
      <w:r>
        <w:t xml:space="preserve"> </w:t>
      </w:r>
      <w:r>
        <w:t>），这对于WF的结肠炎保护是必要且充分的。</w:t>
      </w:r>
      <w:r>
        <w:t xml:space="preserve"> </w:t>
      </w:r>
      <w:r>
        <w:t>B. theta</w:t>
      </w:r>
      <w:r>
        <w:t xml:space="preserve"> </w:t>
      </w:r>
      <w:r>
        <w:t>在无菌小鼠中的存在导致</w:t>
      </w:r>
    </w:p>
    <w:p>
      <w:pPr>
        <w:spacing w:before="0" w:after="200" w:lineRule="auto" w:line="276"/>
      </w:pPr>
      <w:r>
        <w:rPr>
          <w:b/>
        </w:rPr>
        <w:t xml:space="preserve">Abstract (EN): </w:t>
      </w:r>
      <w:r>
        <w:t>The advent of highly refined wheat products has reduced fiber consumption, which is associated with increased risk for inflammatory bowel disease (IBD). We found that enriching diets with wheat fiber (WF) protected mice against colitis, especially relative to a low-fiber diet, as assessed by clinical, histopathologic, morphologic, and immunologic parameters. WF’s protection against colitis was independent of short-chain fatty acids (SCFAs) yet associated with preservation of microbiota diversity, including maintenance of</w:t>
      </w:r>
      <w:r>
        <w:t xml:space="preserve"> </w:t>
      </w:r>
      <w:r>
        <w:t>Bacteroides thetaiotaomicron</w:t>
      </w:r>
      <w:r>
        <w:t xml:space="preserve"> </w:t>
      </w:r>
      <w:r>
        <w:t>(</w:t>
      </w:r>
      <w:r>
        <w:t xml:space="preserve"> </w:t>
      </w:r>
      <w:r>
        <w:t>B. theta</w:t>
      </w:r>
      <w:r>
        <w:t xml:space="preserve"> </w:t>
      </w:r>
      <w:r>
        <w:t>), which was necessary and sufficient for WF’s colitis protection.</w:t>
      </w:r>
      <w:r>
        <w:t xml:space="preserve"> </w:t>
      </w:r>
      <w:r>
        <w:t>B. theta</w:t>
      </w:r>
      <w:r>
        <w:t xml:space="preserve"> </w:t>
      </w:r>
      <w:r>
        <w:t>’s presence in gnotobiotic mice resulted in WF-induced fecal metabolites that reprogrammed macrophages toward an M2-like phenotype. Metabolic and phenotypic reprogramming of macrophages ex vivo via WF-induced metabolites, followed by their transplantation into mice, recapitulated WF’s protection against colitis. Thus, microbiota-mediated metabolism of WF promotes macrophages that reduce proneness to intestinal inflammation, suggesting a mechanism by which WF consumption may curb development of IBD.</w:t>
      </w:r>
    </w:p>
    <w:p>
      <w:pPr>
        <w:spacing w:before="120" w:after="120"/>
      </w:pPr>
      <w:r>
        <w:rPr>
          <w:sz w:val="18"/>
        </w:rPr>
        <w:t>——————————————————————————————————————————————————————————————————————</w:t>
      </w:r>
    </w:p>
    <w:p>
      <w:pPr>
        <w:spacing w:before="160" w:after="40" w:line="240" w:lineRule="auto"/>
      </w:pPr>
      <w:r>
        <w:rPr>
          <w:b/>
        </w:rPr>
        <w:t xml:space="preserve">[302] </w:t>
      </w:r>
      <w:hyperlink r:id="rId765">
        <w:r>
          <w:rPr>
            <w:color w:val="1155CC"/>
            <w:u w:val="single"/>
          </w:rPr>
          <w:t>杏仁核经颅超声刺激干扰威胁习得和消退学习</w:t>
        </w:r>
      </w:hyperlink>
    </w:p>
    <w:p>
      <w:pPr>
        <w:spacing w:before="0" w:after="80"/>
      </w:pPr>
      <w:r>
        <w:rPr>
          <w:i/>
          <w:sz w:val="20"/>
        </w:rPr>
        <w:t>EN: Amygdala transcranial ultrasound stimulation disrupts threat acquisition and extinction learning</w:t>
      </w:r>
    </w:p>
    <w:p>
      <w:pPr>
        <w:spacing w:before="0" w:after="120"/>
      </w:pPr>
      <w:r>
        <w:rPr>
          <w:b/>
        </w:rPr>
        <w:t xml:space="preserve">Source: </w:t>
      </w:r>
      <w:r>
        <w:t>AAAS: Science Advances: Table of Contents</w:t>
      </w:r>
      <w:r>
        <w:t xml:space="preserve">    </w:t>
      </w:r>
      <w:r>
        <w:rPr>
          <w:b/>
        </w:rPr>
        <w:t xml:space="preserve">Pub date: </w:t>
      </w:r>
      <w:r>
        <w:t>2026-03-25 07:00:00+00:00</w:t>
      </w:r>
      <w:r>
        <w:t xml:space="preserve">    </w:t>
      </w:r>
      <w:r>
        <w:rPr>
          <w:b/>
        </w:rPr>
        <w:t xml:space="preserve">DOI: </w:t>
      </w:r>
      <w:hyperlink r:id="rId766">
        <w:r>
          <w:rPr>
            <w:color w:val="1155CC"/>
            <w:u w:val="single"/>
          </w:rPr>
          <w:t>10.1126/sciadv.aeg8830</w:t>
        </w:r>
      </w:hyperlink>
    </w:p>
    <w:p>
      <w:pPr>
        <w:spacing w:before="0" w:after="120"/>
      </w:pPr>
      <w:r>
        <w:rPr>
          <w:b/>
        </w:rPr>
        <w:t xml:space="preserve">Notes: </w:t>
      </w:r>
      <w:r>
        <w:t>abstract_source=crossref</w:t>
      </w:r>
    </w:p>
    <w:p>
      <w:pPr>
        <w:spacing w:before="0" w:after="80" w:lineRule="auto" w:line="276"/>
      </w:pPr>
      <w:r>
        <w:rPr>
          <w:b/>
        </w:rPr>
        <w:t xml:space="preserve">摘要（ZH）: </w:t>
      </w:r>
      <w:r>
        <w:t>经颅超声刺激应用于人类杏仁核，选择性地影响威胁学习及其后续消退的初始阶段。</w:t>
      </w:r>
    </w:p>
    <w:p>
      <w:pPr>
        <w:spacing w:before="0" w:after="200" w:lineRule="auto" w:line="276"/>
      </w:pPr>
      <w:r>
        <w:rPr>
          <w:b/>
        </w:rPr>
        <w:t xml:space="preserve">Abstract (EN): </w:t>
      </w:r>
      <w:r>
        <w:t>Transcranial ultrasound stimulation applied to the human amygdala selectively impacts the initial phases of both threat learning and its subsequent extinction.</w:t>
      </w:r>
    </w:p>
    <w:p>
      <w:pPr>
        <w:spacing w:before="120" w:after="120"/>
      </w:pPr>
      <w:r>
        <w:rPr>
          <w:sz w:val="18"/>
        </w:rPr>
        <w:t>——————————————————————————————————————————————————————————————————————</w:t>
      </w:r>
    </w:p>
    <w:p>
      <w:pPr>
        <w:spacing w:before="160" w:after="40" w:line="240" w:lineRule="auto"/>
      </w:pPr>
      <w:r>
        <w:rPr>
          <w:b/>
        </w:rPr>
        <w:t xml:space="preserve">[303] </w:t>
      </w:r>
      <w:hyperlink r:id="rId767">
        <w:r>
          <w:rPr>
            <w:color w:val="1155CC"/>
            <w:u w:val="single"/>
          </w:rPr>
          <w:t>用于智能热辐射控制的像素化电可重构超表面</w:t>
        </w:r>
      </w:hyperlink>
    </w:p>
    <w:p>
      <w:pPr>
        <w:spacing w:before="0" w:after="80"/>
      </w:pPr>
      <w:r>
        <w:rPr>
          <w:i/>
          <w:sz w:val="20"/>
        </w:rPr>
        <w:t>EN: Pixelated electrically reconfigurable metasurfaces for intelligent thermal emission control</w:t>
      </w:r>
    </w:p>
    <w:p>
      <w:pPr>
        <w:spacing w:before="0" w:after="120"/>
      </w:pPr>
      <w:r>
        <w:rPr>
          <w:b/>
        </w:rPr>
        <w:t xml:space="preserve">Source: </w:t>
      </w:r>
      <w:r>
        <w:t>AAAS: Science Advances: Table of Contents</w:t>
      </w:r>
      <w:r>
        <w:t xml:space="preserve">    </w:t>
      </w:r>
      <w:r>
        <w:rPr>
          <w:b/>
        </w:rPr>
        <w:t xml:space="preserve">Pub date: </w:t>
      </w:r>
      <w:r>
        <w:t>2026-03-25 07:00:00+00:00</w:t>
      </w:r>
      <w:r>
        <w:t xml:space="preserve">    </w:t>
      </w:r>
      <w:r>
        <w:rPr>
          <w:b/>
        </w:rPr>
        <w:t xml:space="preserve">DOI: </w:t>
      </w:r>
      <w:hyperlink r:id="rId768">
        <w:r>
          <w:rPr>
            <w:color w:val="1155CC"/>
            <w:u w:val="single"/>
          </w:rPr>
          <w:t>10.1126/sciadv.aeb2016</w:t>
        </w:r>
      </w:hyperlink>
    </w:p>
    <w:p>
      <w:pPr>
        <w:spacing w:before="0" w:after="120"/>
      </w:pPr>
      <w:r>
        <w:rPr>
          <w:b/>
        </w:rPr>
        <w:t xml:space="preserve">Notes: </w:t>
      </w:r>
      <w:r>
        <w:t>abstract_source=crossref</w:t>
      </w:r>
    </w:p>
    <w:p>
      <w:pPr>
        <w:spacing w:before="0" w:after="80" w:lineRule="auto" w:line="276"/>
      </w:pPr>
      <w:r>
        <w:rPr>
          <w:b/>
        </w:rPr>
        <w:t xml:space="preserve">摘要（ZH）: </w:t>
      </w:r>
      <w:r>
        <w:t>智能机器时代需要能够在紧凑平台内进行高密度数据采集和处理的先进硬件。热红外辐射具有热和光的双重功能，使其在光学数据采集和信息处理方面具有广阔的应用前景。然而，热辐射固有的随机性和缓慢的热响应速度限制了其实用性。在这项工作中，我们展示了基于GeTe相变材料的电可编程像素化超表面，实现了热红外辐射的动态和局部控制。通过将GeTe集成到具有强场约束的混合等离子体超原子中，我们实现了快速、非易失性切换，并使用最少的活性材料获得了大的光学对比度。</w:t>
      </w:r>
    </w:p>
    <w:p>
      <w:pPr>
        <w:spacing w:before="0" w:after="200" w:lineRule="auto" w:line="276"/>
      </w:pPr>
      <w:r>
        <w:rPr>
          <w:b/>
        </w:rPr>
        <w:t xml:space="preserve">Abstract (EN): </w:t>
      </w:r>
      <w:r>
        <w:t>The era of intelligent machines demands advanced hardware capable of high-density data collection and processing within compact platforms. Thermal-infrared emission, with its dual functionalities of heat and light, enables promising applications in optical data acquisition and information processing. However, the inherent stochastic nature and slow thermal response speed of thermal emission limit practical applications. In this work, we demonstrate electrically programmable, pixelated metasurfaces based on GeTe phase-change materials that enable dynamic and localized control of thermal-infrared emission. By integrating GeTe into hybrid plasmonic meta-atoms with strong field confinement, we achieve fast, nonvolatile switching with large optical contrast using minimal active material. This approach allows multidimensional tunability, establishing a versatile platform for reconfigurable photonic systems with high integration density, adaptive functionality, and embedded intelligence.</w:t>
      </w:r>
    </w:p>
    <w:p>
      <w:pPr>
        <w:spacing w:before="120" w:after="120"/>
      </w:pPr>
      <w:r>
        <w:rPr>
          <w:sz w:val="18"/>
        </w:rPr>
        <w:t>——————————————————————————————————————————————————————————————————————</w:t>
      </w:r>
    </w:p>
    <w:p>
      <w:pPr>
        <w:spacing w:before="160" w:after="40" w:line="240" w:lineRule="auto"/>
      </w:pPr>
      <w:r>
        <w:rPr>
          <w:b/>
        </w:rPr>
        <w:t xml:space="preserve">[304] </w:t>
      </w:r>
      <w:hyperlink r:id="rId769">
        <w:r>
          <w:rPr>
            <w:color w:val="1155CC"/>
            <w:u w:val="single"/>
          </w:rPr>
          <w:t>人类杏仁核在威胁学习和消退中的作用</w:t>
        </w:r>
      </w:hyperlink>
    </w:p>
    <w:p>
      <w:pPr>
        <w:spacing w:before="0" w:after="80"/>
      </w:pPr>
      <w:r>
        <w:rPr>
          <w:i/>
          <w:sz w:val="20"/>
        </w:rPr>
        <w:t>EN: The human amygdala in threat learning and extinction</w:t>
      </w:r>
    </w:p>
    <w:p>
      <w:pPr>
        <w:spacing w:before="0" w:after="120"/>
      </w:pPr>
      <w:r>
        <w:rPr>
          <w:b/>
        </w:rPr>
        <w:t xml:space="preserve">Source: </w:t>
      </w:r>
      <w:r>
        <w:t>AAAS: Science Advances: Table of Contents</w:t>
      </w:r>
      <w:r>
        <w:t xml:space="preserve">    </w:t>
      </w:r>
      <w:r>
        <w:rPr>
          <w:b/>
        </w:rPr>
        <w:t xml:space="preserve">Pub date: </w:t>
      </w:r>
      <w:r>
        <w:t>2026-03-25 07:00:00+00:00</w:t>
      </w:r>
      <w:r>
        <w:t xml:space="preserve">    </w:t>
      </w:r>
      <w:r>
        <w:rPr>
          <w:b/>
        </w:rPr>
        <w:t xml:space="preserve">DOI: </w:t>
      </w:r>
      <w:hyperlink r:id="rId770">
        <w:r>
          <w:rPr>
            <w:color w:val="1155CC"/>
            <w:u w:val="single"/>
          </w:rPr>
          <w:t>10.1126/sciadv.aea8233</w:t>
        </w:r>
      </w:hyperlink>
    </w:p>
    <w:p>
      <w:pPr>
        <w:spacing w:before="0" w:after="120"/>
      </w:pPr>
      <w:r>
        <w:rPr>
          <w:b/>
        </w:rPr>
        <w:t xml:space="preserve">Notes: </w:t>
      </w:r>
      <w:r>
        <w:t>abstract_source=crossref</w:t>
      </w:r>
    </w:p>
    <w:p>
      <w:pPr>
        <w:spacing w:before="0" w:after="80" w:lineRule="auto" w:line="276"/>
      </w:pPr>
      <w:r>
        <w:rPr>
          <w:b/>
        </w:rPr>
        <w:t xml:space="preserve">摘要（ZH）: </w:t>
      </w:r>
      <w:r>
        <w:t>在这里，我们解决了一个长期存在但未证实的假设，即人类杏仁核对于快速获得提示条件化威胁反应是必不可少的。我们提供了杏仁核对形成抗消退威胁记忆的因果证据。使用经颅超声刺激（TUS），这是一种以高空间和时间精度调节深层脑结构的非侵入性技术，我们在健康成人的巴甫洛夫威胁条件化过程中靶向双侧杏仁核。线性混合效应模型和试验级皮肤电导反应的计算建模显示，杏仁核-TUS（实验I，n = 25），而非海马体-TUS（实验II，n = 25），显著影响了威胁记忆的形成。</w:t>
      </w:r>
    </w:p>
    <w:p>
      <w:pPr>
        <w:spacing w:before="0" w:after="200" w:lineRule="auto" w:line="276"/>
      </w:pPr>
      <w:r>
        <w:rPr>
          <w:b/>
        </w:rPr>
        <w:t xml:space="preserve">Abstract (EN): </w:t>
      </w:r>
      <w:r>
        <w:t>Here, we resolve the long-standing but unconfirmed hypothesis that the human amygdala is essential for rapidly acquiring cued-conditioned threat responses. We provide causal evidence for the amygdala’s contribution to forming threat memories that are resistant to extinction. Using transcranial ultrasound stimulation (TUS), a noninvasive technique that modulates deep brain structures with high spatial and temporal precision, we targeted the bilateral amygdala during Pavlovian threat conditioning in healthy adults. Linear mixed-effects models and computational modeling of trial-level skin conductance responses revealed that amygdala-TUS (experiment I,</w:t>
      </w:r>
      <w:r>
        <w:t xml:space="preserve"> </w:t>
      </w:r>
      <w:r>
        <w:t>n</w:t>
      </w:r>
      <w:r>
        <w:t xml:space="preserve"> </w:t>
      </w:r>
      <w:r>
        <w:t>= 25), but not hippocampus-TUS (experiment II,</w:t>
      </w:r>
      <w:r>
        <w:t xml:space="preserve"> </w:t>
      </w:r>
      <w:r>
        <w:t>n</w:t>
      </w:r>
      <w:r>
        <w:t xml:space="preserve"> </w:t>
      </w:r>
      <w:r>
        <w:t>= 25), selectively slowed initial threat acquisition, augmented subsequent extinction, and modulated declarative memory of retrospective threat probability. These findings demonstrate that the human amygdala drives an emotional learning state—learning fast, forgetting slow. Our study shows the potential of TUS for targeted neuromodulation of human deep brain structures implicated in conditions such as posttraumatic stress disorder, where pathological threat memories persist despite therapy.</w:t>
      </w:r>
    </w:p>
    <w:p>
      <w:pPr>
        <w:spacing w:before="120" w:after="120"/>
      </w:pPr>
      <w:r>
        <w:rPr>
          <w:sz w:val="18"/>
        </w:rPr>
        <w:t>——————————————————————————————————————————————————————————————————————</w:t>
      </w:r>
    </w:p>
    <w:p>
      <w:pPr>
        <w:spacing w:before="160" w:after="40" w:line="240" w:lineRule="auto"/>
      </w:pPr>
      <w:r>
        <w:rPr>
          <w:b/>
        </w:rPr>
        <w:t xml:space="preserve">[305] </w:t>
      </w:r>
      <w:hyperlink r:id="rId771">
        <w:r>
          <w:rPr>
            <w:color w:val="1155CC"/>
            <w:u w:val="single"/>
          </w:rPr>
          <w:t>在范德华β-UTe3单层中增强的二维铁磁性</w:t>
        </w:r>
      </w:hyperlink>
    </w:p>
    <w:p>
      <w:pPr>
        <w:spacing w:before="0" w:after="80"/>
      </w:pPr>
      <w:r>
        <w:rPr>
          <w:i/>
          <w:sz w:val="20"/>
        </w:rPr>
        <w:t>EN: Enhanced two-dimensional ferromagnetism in van der Waals β-UTe3 monolayers</w:t>
      </w:r>
    </w:p>
    <w:p>
      <w:pPr>
        <w:spacing w:before="0" w:after="120"/>
      </w:pPr>
      <w:r>
        <w:rPr>
          <w:b/>
        </w:rPr>
        <w:t xml:space="preserve">Source: </w:t>
      </w:r>
      <w:r>
        <w:t>AAAS: Science Advances: Table of Contents</w:t>
      </w:r>
      <w:r>
        <w:t xml:space="preserve">    </w:t>
      </w:r>
      <w:r>
        <w:rPr>
          <w:b/>
        </w:rPr>
        <w:t xml:space="preserve">Pub date: </w:t>
      </w:r>
      <w:r>
        <w:t>2026-03-25 07:00:00+00:00</w:t>
      </w:r>
      <w:r>
        <w:t xml:space="preserve">    </w:t>
      </w:r>
      <w:r>
        <w:rPr>
          <w:b/>
        </w:rPr>
        <w:t xml:space="preserve">DOI: </w:t>
      </w:r>
      <w:hyperlink r:id="rId772">
        <w:r>
          <w:rPr>
            <w:color w:val="1155CC"/>
            <w:u w:val="single"/>
          </w:rPr>
          <w:t>10.1126/sciadv.aea6436</w:t>
        </w:r>
      </w:hyperlink>
    </w:p>
    <w:p>
      <w:pPr>
        <w:spacing w:before="0" w:after="120"/>
      </w:pPr>
      <w:r>
        <w:rPr>
          <w:b/>
        </w:rPr>
        <w:t xml:space="preserve">Notes: </w:t>
      </w:r>
      <w:r>
        <w:t>abstract_source=crossref</w:t>
      </w:r>
    </w:p>
    <w:p>
      <w:pPr>
        <w:spacing w:before="0" w:after="80" w:lineRule="auto" w:line="276"/>
      </w:pPr>
      <w:r>
        <w:rPr>
          <w:b/>
        </w:rPr>
        <w:t xml:space="preserve">摘要（ZH）: </w:t>
      </w:r>
      <w:r>
        <w:t>在范德华（vdW）半导体中发现局部磁矩磁性直至单层极限，导致了对二维（2D）磁体理解的范式转变。在2D vdW金属中引入强电子和磁性关联仍然是一个备受追求的平台，以实现对新兴量子相的控制，并获得更具理论可处理性的复杂材料微观模型。然而，迄今为止，在发现此类金属vdW平台方面取得的成功有限，f电子单层仍然遥不可及。在这里，我们展示了强关联的β-铀三碲化物（β-UTe3）可以剥离到单层极限。出乎意料的是，β-UTe3</w:t>
      </w:r>
    </w:p>
    <w:p>
      <w:pPr>
        <w:spacing w:before="0" w:after="200" w:lineRule="auto" w:line="276"/>
      </w:pPr>
      <w:r>
        <w:rPr>
          <w:b/>
        </w:rPr>
        <w:t xml:space="preserve">Abstract (EN): </w:t>
      </w:r>
      <w:r>
        <w:t>The discovery of local-moment magnetism in van der Waals (vdW) semiconductors down to the single-layer limit has led to a paradigm shift in the understanding of two-dimensional (2D) magnets. The incorporation of strong electronic and magnetic correlations in 2D vdW metals remains a sought-after platform to enable control of emergent quantum phases and to achieve more theoretically tractable microscopic models of complex materials. To date, however, there is limited success in the discovery of such metallic vdW platforms, and f-electron monolayers remain out of reach. Here, we demonstrate that strongly correlated β–uranium tritelluride (β-UTe</w:t>
      </w:r>
      <w:r>
        <w:rPr>
          <w:vertAlign w:val="subscript"/>
        </w:rPr>
        <w:t>3</w:t>
      </w:r>
      <w:r>
        <w:t>) can be exfoliated to the monolayer limit. Unexpectedly, β-UTe</w:t>
      </w:r>
      <w:r>
        <w:rPr>
          <w:vertAlign w:val="subscript"/>
        </w:rPr>
        <w:t>3</w:t>
      </w:r>
      <w:r>
        <w:t>remains ferromagnetic in this limit with an enhanced ordering temperature of 35 kelvin, a factor of two larger than its bulk counterpart. Our work establishes β-UTe</w:t>
      </w:r>
      <w:r>
        <w:rPr>
          <w:vertAlign w:val="subscript"/>
        </w:rPr>
        <w:t>3</w:t>
      </w:r>
      <w:r>
        <w:t>as a materials platform for investigating and modeling correlated behavior in the monolayer limit and opens numerous avenues for quantum control with, e.g., strain engineering.</w:t>
      </w:r>
    </w:p>
    <w:p>
      <w:pPr>
        <w:spacing w:before="120" w:after="120"/>
      </w:pPr>
      <w:r>
        <w:rPr>
          <w:sz w:val="18"/>
        </w:rPr>
        <w:t>——————————————————————————————————————————————————————————————————————</w:t>
      </w:r>
    </w:p>
    <w:p>
      <w:pPr>
        <w:spacing w:before="160" w:after="40" w:line="240" w:lineRule="auto"/>
      </w:pPr>
      <w:r>
        <w:rPr>
          <w:b/>
        </w:rPr>
        <w:t xml:space="preserve">[306] </w:t>
      </w:r>
      <w:hyperlink r:id="rId773">
        <w:r>
          <w:rPr>
            <w:color w:val="1155CC"/>
            <w:u w:val="single"/>
          </w:rPr>
          <w:t>通过延长的结构可塑性顺序形成果蝇回路不对称性</w:t>
        </w:r>
      </w:hyperlink>
    </w:p>
    <w:p>
      <w:pPr>
        <w:spacing w:before="0" w:after="80"/>
      </w:pPr>
      <w:r>
        <w:rPr>
          <w:i/>
          <w:sz w:val="20"/>
        </w:rPr>
        <w:t>EN: Sequential formation of Drosophila circuit asymmetry via prolonged structural plasticity</w:t>
      </w:r>
    </w:p>
    <w:p>
      <w:pPr>
        <w:spacing w:before="0" w:after="120"/>
      </w:pPr>
      <w:r>
        <w:rPr>
          <w:b/>
        </w:rPr>
        <w:t xml:space="preserve">Source: </w:t>
      </w:r>
      <w:r>
        <w:t>AAAS: Science Advances: Table of Contents</w:t>
      </w:r>
      <w:r>
        <w:t xml:space="preserve">    </w:t>
      </w:r>
      <w:r>
        <w:rPr>
          <w:b/>
        </w:rPr>
        <w:t xml:space="preserve">Pub date: </w:t>
      </w:r>
      <w:r>
        <w:t>2026-03-25 07:00:00+00:00</w:t>
      </w:r>
      <w:r>
        <w:t xml:space="preserve">    </w:t>
      </w:r>
      <w:r>
        <w:rPr>
          <w:b/>
        </w:rPr>
        <w:t xml:space="preserve">DOI: </w:t>
      </w:r>
      <w:hyperlink r:id="rId774">
        <w:r>
          <w:rPr>
            <w:color w:val="1155CC"/>
            <w:u w:val="single"/>
          </w:rPr>
          <w:t>10.1126/sciadv.aea6020</w:t>
        </w:r>
      </w:hyperlink>
    </w:p>
    <w:p>
      <w:pPr>
        <w:spacing w:before="0" w:after="120"/>
      </w:pPr>
      <w:r>
        <w:rPr>
          <w:b/>
        </w:rPr>
        <w:t xml:space="preserve">Notes: </w:t>
      </w:r>
      <w:r>
        <w:t>abstract_source=crossref</w:t>
      </w:r>
    </w:p>
    <w:p>
      <w:pPr>
        <w:spacing w:before="0" w:after="80" w:lineRule="auto" w:line="276"/>
      </w:pPr>
      <w:r>
        <w:rPr>
          <w:b/>
        </w:rPr>
        <w:t xml:space="preserve">摘要（ZH）: </w:t>
      </w:r>
      <w:r>
        <w:t>大脑半球之间的结构和功能差异是动物神经系统的常见特征，双侧不对称性减少通常与认知能力受损有关。如何启动和整合神经元的左右不对称性到双侧对称的基础模式中尚不清楚。在此，我们展示了果蝇中央脑回路的方向性不对称性起源于两种类型的双侧先锋神经元的轴突相互作用。随后将邻近神经元招募到不对称神经原基中，导致半球特异性微电路。回路侧化需要细胞粘附分子Fasciclin 2的动态表达，以维持轴突重塑中的结构可塑性。</w:t>
      </w:r>
    </w:p>
    <w:p>
      <w:pPr>
        <w:spacing w:before="0" w:after="200" w:lineRule="auto" w:line="276"/>
      </w:pPr>
      <w:r>
        <w:rPr>
          <w:b/>
        </w:rPr>
        <w:t xml:space="preserve">Abstract (EN): </w:t>
      </w:r>
      <w:r>
        <w:t>Structural and functional differences between brain hemispheres are a common feature of animal nervous systems with reduced bilateral asymmetry often linked to impaired cognitive performance. How neuronal left-right asymmetry is initiated and integrated into a bilaterally symmetrical ground pattern is poorly understood. Here, we show that the directional asymmetry of a</w:t>
      </w:r>
      <w:r>
        <w:t xml:space="preserve"> </w:t>
      </w:r>
      <w:r>
        <w:t>Drosophila</w:t>
      </w:r>
      <w:r>
        <w:t xml:space="preserve"> </w:t>
      </w:r>
      <w:r>
        <w:t>central brain circuit originates from axonal interactions of two types of bilateral pioneer neurons. Subsequent recruitment of neighboring neurons into the asymmetric neuropil primordium results in hemisphere-specific microcircuits. Circuit lateralization requires dynamic expression of the cell adhesion molecule Fasciclin 2 to maintain structural plasticity in axonal remodeling. Reduced circuit asymmetry following cell type–specific Fasciclin 2 manipulation affects adult brain function. These results reveal an unexpected degree of developmental plasticity of late-born</w:t>
      </w:r>
      <w:r>
        <w:t xml:space="preserve"> </w:t>
      </w:r>
      <w:r>
        <w:t>Drosophila</w:t>
      </w:r>
      <w:r>
        <w:t xml:space="preserve"> </w:t>
      </w:r>
      <w:r>
        <w:t>neurons in the formation of a circuit node via the lateralized recruitment of symmetric circuit components.</w:t>
      </w:r>
    </w:p>
    <w:p>
      <w:pPr>
        <w:spacing w:before="120" w:after="120"/>
      </w:pPr>
      <w:r>
        <w:rPr>
          <w:sz w:val="18"/>
        </w:rPr>
        <w:t>——————————————————————————————————————————————————————————————————————</w:t>
      </w:r>
    </w:p>
    <w:p>
      <w:pPr>
        <w:spacing w:before="160" w:after="40" w:line="240" w:lineRule="auto"/>
      </w:pPr>
      <w:r>
        <w:rPr>
          <w:b/>
        </w:rPr>
        <w:t xml:space="preserve">[307] </w:t>
      </w:r>
      <w:hyperlink r:id="rId775">
        <w:r>
          <w:rPr>
            <w:color w:val="1155CC"/>
            <w:u w:val="single"/>
          </w:rPr>
          <w:t>地震节律：加利福尼亚地震对构造、水文和潮汐强迫的响应</w:t>
        </w:r>
      </w:hyperlink>
    </w:p>
    <w:p>
      <w:pPr>
        <w:spacing w:before="0" w:after="80"/>
      </w:pPr>
      <w:r>
        <w:rPr>
          <w:i/>
          <w:sz w:val="20"/>
        </w:rPr>
        <w:t>EN: Seismic rhythms: Earthquake response to tectonic, hydrological, and tidal forcing in California</w:t>
      </w:r>
    </w:p>
    <w:p>
      <w:pPr>
        <w:spacing w:before="0" w:after="120"/>
      </w:pPr>
      <w:r>
        <w:rPr>
          <w:b/>
        </w:rPr>
        <w:t xml:space="preserve">Source: </w:t>
      </w:r>
      <w:r>
        <w:t>AAAS: Science Advances: Table of Contents</w:t>
      </w:r>
      <w:r>
        <w:t xml:space="preserve">    </w:t>
      </w:r>
      <w:r>
        <w:rPr>
          <w:b/>
        </w:rPr>
        <w:t xml:space="preserve">Pub date: </w:t>
      </w:r>
      <w:r>
        <w:t>2026-03-25 07:00:00+00:00</w:t>
      </w:r>
      <w:r>
        <w:t xml:space="preserve">    </w:t>
      </w:r>
      <w:r>
        <w:rPr>
          <w:b/>
        </w:rPr>
        <w:t xml:space="preserve">DOI: </w:t>
      </w:r>
      <w:hyperlink r:id="rId776">
        <w:r>
          <w:rPr>
            <w:color w:val="1155CC"/>
            <w:u w:val="single"/>
          </w:rPr>
          <w:t>10.1126/sciadv.adz5711</w:t>
        </w:r>
      </w:hyperlink>
    </w:p>
    <w:p>
      <w:pPr>
        <w:spacing w:before="0" w:after="120"/>
      </w:pPr>
      <w:r>
        <w:rPr>
          <w:b/>
        </w:rPr>
        <w:t xml:space="preserve">Notes: </w:t>
      </w:r>
      <w:r>
        <w:t>abstract_source=crossref</w:t>
      </w:r>
    </w:p>
    <w:p>
      <w:pPr>
        <w:spacing w:before="0" w:after="80" w:lineRule="auto" w:line="276"/>
      </w:pPr>
      <w:r>
        <w:rPr>
          <w:b/>
        </w:rPr>
        <w:t xml:space="preserve">摘要（ZH）: </w:t>
      </w:r>
      <w:r>
        <w:t>地震活动主要由构造驱动，但自然或人为起源的应力变化可以引发可检测的调制，提供地震物理学的见解。在此，我们识别出加利福尼亚地区表现出与水文表面负荷相关的地震活动率显著季节性调制，但没有显著的半日潮汐调制。地震活动率的峰值滞后于应力率的峰值半个月。假设瞬时成核会大大高估响应，而由速率-状态摩擦控制的时间依赖成核准确捕捉了振幅和时间延迟，摩擦-应力参数aσ约为1到10千帕（kPa），特征松弛时间</w:t>
      </w:r>
    </w:p>
    <w:p>
      <w:pPr>
        <w:spacing w:before="0" w:after="200" w:lineRule="auto" w:line="276"/>
      </w:pPr>
      <w:r>
        <w:rPr>
          <w:b/>
        </w:rPr>
        <w:t xml:space="preserve">Abstract (EN): </w:t>
      </w:r>
      <w:r>
        <w:t>Seismicity is primarily driven by tectonics, but stress variations of natural or human-made origin can induce detectable modulations, offering insights into earthquake physics. Here, we identify regions in California exhibiting significant seasonal modulations of seismicity rate linked to hydrological surface loading but no significant semidiurnal tidal modulation. The peak seismicity rate lags behind the peak stressing rate by half a month. Assuming instantaneous nucleation substantially overpredicts the response, whereas time-dependent nucleation governed by rate-and-state friction accurately captures both the amplitude and the time delay with friction-stress parameter</w:t>
      </w:r>
      <w:r>
        <w:t xml:space="preserve"> </w:t>
      </w:r>
      <w:r>
        <w:t>a</w:t>
      </w:r>
      <w:r>
        <w:t xml:space="preserve"> </w:t>
      </w:r>
      <w:r>
        <w:t>σ ~ 1 to 10 kilopascals (kPa) and characteristic relaxation time</w:t>
      </w:r>
      <w:r>
        <w:t xml:space="preserve"> </w:t>
      </w:r>
      <w:r>
        <w:t>t</w:t>
      </w:r>
      <w:r>
        <w:t xml:space="preserve"> </w:t>
      </w:r>
      <w:r>
        <w:t>a</w:t>
      </w:r>
      <w:r>
        <w:t xml:space="preserve"> </w:t>
      </w:r>
      <w:r>
        <w:t>~ 0.05 to 1 year. The seismicity response to tidal and seasonal stress perturbations allows us to probe fault mechanical properties, providing a way to improve seismic hazard assessment.</w:t>
      </w:r>
    </w:p>
    <w:p>
      <w:pPr>
        <w:spacing w:before="120" w:after="120"/>
      </w:pPr>
      <w:r>
        <w:rPr>
          <w:sz w:val="18"/>
        </w:rPr>
        <w:t>——————————————————————————————————————————————————————————————————————</w:t>
      </w:r>
    </w:p>
    <w:p>
      <w:pPr>
        <w:spacing w:before="160" w:after="40" w:line="240" w:lineRule="auto"/>
      </w:pPr>
      <w:r>
        <w:rPr>
          <w:b/>
        </w:rPr>
        <w:t xml:space="preserve">[308] </w:t>
      </w:r>
      <w:hyperlink r:id="rId777">
        <w:r>
          <w:rPr>
            <w:color w:val="1155CC"/>
            <w:u w:val="single"/>
          </w:rPr>
          <w:t>MXenes中限制水的形态和扩散性的改变：机器学习加速计算结合实验</w:t>
        </w:r>
      </w:hyperlink>
    </w:p>
    <w:p>
      <w:pPr>
        <w:spacing w:before="0" w:after="80"/>
      </w:pPr>
      <w:r>
        <w:rPr>
          <w:i/>
          <w:sz w:val="20"/>
        </w:rPr>
        <w:t>EN: Altered morphology and diffusivity of water confined in MXenes: Machine learning–accelerated computations combined with experiments</w:t>
      </w:r>
    </w:p>
    <w:p>
      <w:pPr>
        <w:spacing w:before="0" w:after="120"/>
      </w:pPr>
      <w:r>
        <w:rPr>
          <w:b/>
        </w:rPr>
        <w:t xml:space="preserve">Source: </w:t>
      </w:r>
      <w:r>
        <w:t>AAAS: Science Advances: Table of Contents</w:t>
      </w:r>
      <w:r>
        <w:t xml:space="preserve">    </w:t>
      </w:r>
      <w:r>
        <w:rPr>
          <w:b/>
        </w:rPr>
        <w:t xml:space="preserve">Pub date: </w:t>
      </w:r>
      <w:r>
        <w:t>2026-03-25 07:00:00+00:00</w:t>
      </w:r>
      <w:r>
        <w:t xml:space="preserve">    </w:t>
      </w:r>
      <w:r>
        <w:rPr>
          <w:b/>
        </w:rPr>
        <w:t xml:space="preserve">DOI: </w:t>
      </w:r>
      <w:hyperlink r:id="rId778">
        <w:r>
          <w:rPr>
            <w:color w:val="1155CC"/>
            <w:u w:val="single"/>
          </w:rPr>
          <w:t>10.1126/sciadv.adz1780</w:t>
        </w:r>
      </w:hyperlink>
    </w:p>
    <w:p>
      <w:pPr>
        <w:spacing w:before="0" w:after="120"/>
      </w:pPr>
      <w:r>
        <w:rPr>
          <w:b/>
        </w:rPr>
        <w:t xml:space="preserve">Notes: </w:t>
      </w:r>
      <w:r>
        <w:t>abstract_source=crossref</w:t>
      </w:r>
    </w:p>
    <w:p>
      <w:pPr>
        <w:spacing w:before="0" w:after="80" w:lineRule="auto" w:line="276"/>
      </w:pPr>
      <w:r>
        <w:rPr>
          <w:b/>
        </w:rPr>
        <w:t xml:space="preserve">摘要（ZH）: </w:t>
      </w:r>
      <w:r>
        <w:t>纳米限域水由于数量有限、氢键受阻和表面相互作用，表现出与体相水不同的独特性质，这对于能量存储和传输应用至关重要。我们结合机器学习加速的从头算分子动力学与X射线衍射（XRD）和非弹性中子散射（INS），系统分析了功能化（-F，-O和-OH）二维（2D）Ti3C2Tx MXene层之间限域水的热力学和动态行为。随着水插层到层间，层间距表现出层依赖的分级特征。</w:t>
      </w:r>
    </w:p>
    <w:p>
      <w:pPr>
        <w:spacing w:before="0" w:after="200" w:lineRule="auto" w:line="276"/>
      </w:pPr>
      <w:r>
        <w:rPr>
          <w:b/>
        </w:rPr>
        <w:t xml:space="preserve">Abstract (EN): </w:t>
      </w:r>
      <w:r>
        <w:t>Nanoconfined water exhibits unique properties compared to bulk water due to limited quantities, frustrated hydrogen bonding, and surface interactions, which are fundamental for energy storage and transport applications. We integrate machine learning–accelerated ab initio molecular dynamics with x-ray diffraction (XRD) and inelastic neutron scattering (INS) to systematically analyze the thermodynamic and dynamic behavior of water confined between functionalized (-F, -O, and -OH) two-dimensional (2D) Ti</w:t>
      </w:r>
      <w:r>
        <w:rPr>
          <w:vertAlign w:val="subscript"/>
        </w:rPr>
        <w:t>3</w:t>
      </w:r>
      <w:r>
        <w:t>C</w:t>
      </w:r>
      <w:r>
        <w:rPr>
          <w:vertAlign w:val="subscript"/>
        </w:rPr>
        <w:t>2</w:t>
      </w:r>
      <w:r>
        <w:t>T</w:t>
      </w:r>
      <w:r>
        <w:t xml:space="preserve"> </w:t>
      </w:r>
      <w:r>
        <w:t>x</w:t>
      </w:r>
      <w:r>
        <w:t xml:space="preserve"> </w:t>
      </w:r>
      <w:r>
        <w:t>MXene layers. As water intercalates between layers, the interlayer spacing exhibits layer-dependent staging characteristics. The water polarization can be flipped by the count and morphology of intercalated molecules interacting with MXene surface groups, resulting in varying electrostatic potential profiles. On the basis of interfacial electrostatic potential, hydrogen bond lifetime, and molecular orientation, we establish a linear combination of exponential model describing water diffusivity. These computational insights align well with experimental x-ray and neutron measurements, suggesting strategies for tuning water morphology and transport by tailoring MXene surface chemistry and water content for electrochemical energy storage and nanofluidic applications.</w:t>
      </w:r>
    </w:p>
    <w:p>
      <w:pPr>
        <w:spacing w:before="120" w:after="120"/>
      </w:pPr>
      <w:r>
        <w:rPr>
          <w:sz w:val="18"/>
        </w:rPr>
        <w:t>——————————————————————————————————————————————————————————————————————</w:t>
      </w:r>
    </w:p>
    <w:p>
      <w:pPr>
        <w:spacing w:before="160" w:after="40" w:line="240" w:lineRule="auto"/>
      </w:pPr>
      <w:r>
        <w:rPr>
          <w:b/>
        </w:rPr>
        <w:t xml:space="preserve">[309] </w:t>
      </w:r>
      <w:hyperlink r:id="rId779">
        <w:r>
          <w:rPr>
            <w:color w:val="1155CC"/>
            <w:u w:val="single"/>
          </w:rPr>
          <w:t>地月空间中的银河宇宙射线空腔</w:t>
        </w:r>
      </w:hyperlink>
    </w:p>
    <w:p>
      <w:pPr>
        <w:spacing w:before="0" w:after="80"/>
      </w:pPr>
      <w:r>
        <w:rPr>
          <w:i/>
          <w:sz w:val="20"/>
        </w:rPr>
        <w:t>EN: A galactic cosmic ray cavity in Earth-Moon space</w:t>
      </w:r>
    </w:p>
    <w:p>
      <w:pPr>
        <w:spacing w:before="0" w:after="120"/>
      </w:pPr>
      <w:r>
        <w:rPr>
          <w:b/>
        </w:rPr>
        <w:t xml:space="preserve">Source: </w:t>
      </w:r>
      <w:r>
        <w:t>AAAS: Science Advances: Table of Contents</w:t>
      </w:r>
      <w:r>
        <w:t xml:space="preserve">    </w:t>
      </w:r>
      <w:r>
        <w:rPr>
          <w:b/>
        </w:rPr>
        <w:t xml:space="preserve">Pub date: </w:t>
      </w:r>
      <w:r>
        <w:t>2026-03-25 07:00:00+00:00</w:t>
      </w:r>
      <w:r>
        <w:t xml:space="preserve">    </w:t>
      </w:r>
      <w:r>
        <w:rPr>
          <w:b/>
        </w:rPr>
        <w:t xml:space="preserve">DOI: </w:t>
      </w:r>
      <w:hyperlink r:id="rId780">
        <w:r>
          <w:rPr>
            <w:color w:val="1155CC"/>
            <w:u w:val="single"/>
          </w:rPr>
          <w:t>10.1126/sciadv.adv1908</w:t>
        </w:r>
      </w:hyperlink>
    </w:p>
    <w:p>
      <w:pPr>
        <w:spacing w:before="0" w:after="120"/>
      </w:pPr>
      <w:r>
        <w:rPr>
          <w:b/>
        </w:rPr>
        <w:t xml:space="preserve">Notes: </w:t>
      </w:r>
      <w:r>
        <w:t>abstract_source=crossref</w:t>
      </w:r>
    </w:p>
    <w:p>
      <w:pPr>
        <w:spacing w:before="0" w:after="80" w:lineRule="auto" w:line="276"/>
      </w:pPr>
      <w:r>
        <w:rPr>
          <w:b/>
        </w:rPr>
        <w:t xml:space="preserve">摘要（ZH）: </w:t>
      </w:r>
      <w:r>
        <w:t>在远离行星磁场的太阳系区域，银河宇宙射线（GCRs）通常被认为在地月距离上均匀分布。然而，我们对嫦娥四号着陆器上的LND（Lunar Lander Neutron and Dosimetry）实验数据的分析显示，在月球轨道的午前区域存在一个GCR通量减少的区域。进一步的研究表明，地球的磁场作为GCR传播的障碍，形成了一个高能粒子空腔。这个空腔表明地球磁场在空间环境中的影响意外地延伸到月球轨道及更远。这一发现为未来的月球探测和深空探测提供了避免高辐射水平的潜力。</w:t>
      </w:r>
    </w:p>
    <w:p>
      <w:pPr>
        <w:spacing w:before="0" w:after="200" w:lineRule="auto" w:line="276"/>
      </w:pPr>
      <w:r>
        <w:rPr>
          <w:b/>
        </w:rPr>
        <w:t xml:space="preserve">Abstract (EN): </w:t>
      </w:r>
      <w:r>
        <w:t>In regions of the Solar System distant from planetary magnetic fields, galactic cosmic rays (GCRs) have generally been assumed to be uniformly distributed over the Earth-Moon distance. However, our analysis of data from the LND (Lunar Lander Neutron and Dosimetry) experiment onboard the Chang’E-4 lander revealed a region of reduced GCR flux in the prenoon sector of the lunar orbit. Further investigation suggests the presence of an energetic particle cavity, formed by Earth’s magnetic field acting as an obstacle to GCR propagation. This cavity indicates that the influence of Earth’s magnetic field within the space environment extends unexpectedly up to and far beyond the lunar orbit. This finding offers the potential to avoid high radiation levels during future lunar exploration and deep-space missions.</w:t>
      </w:r>
    </w:p>
    <w:p>
      <w:pPr>
        <w:spacing w:before="120" w:after="120"/>
      </w:pPr>
      <w:r>
        <w:rPr>
          <w:sz w:val="18"/>
        </w:rPr>
        <w:t>——————————————————————————————————————————————————————————————————————</w:t>
      </w:r>
    </w:p>
    <w:p>
      <w:pPr>
        <w:spacing w:before="160" w:after="40" w:line="240" w:lineRule="auto"/>
      </w:pPr>
      <w:r>
        <w:rPr>
          <w:b/>
        </w:rPr>
        <w:t xml:space="preserve">[310] </w:t>
      </w:r>
      <w:hyperlink r:id="rId781">
        <w:r>
          <w:rPr>
            <w:color w:val="1155CC"/>
            <w:u w:val="single"/>
          </w:rPr>
          <w:t>大西洋多年代际变率在调节北极海冰损失和湿化中的作用</w:t>
        </w:r>
      </w:hyperlink>
    </w:p>
    <w:p>
      <w:pPr>
        <w:spacing w:before="0" w:after="80"/>
      </w:pPr>
      <w:r>
        <w:rPr>
          <w:i/>
          <w:sz w:val="20"/>
        </w:rPr>
        <w:t>EN: Role of Atlantic multidecadal variability in modulating Arctic sea ice loss and wetting</w:t>
      </w:r>
    </w:p>
    <w:p>
      <w:pPr>
        <w:spacing w:before="0" w:after="120"/>
      </w:pPr>
      <w:r>
        <w:rPr>
          <w:b/>
        </w:rPr>
        <w:t xml:space="preserve">Source: </w:t>
      </w:r>
      <w:r>
        <w:t>AAAS: Science Advances: Table of Contents</w:t>
      </w:r>
      <w:r>
        <w:t xml:space="preserve">    </w:t>
      </w:r>
      <w:r>
        <w:rPr>
          <w:b/>
        </w:rPr>
        <w:t xml:space="preserve">Pub date: </w:t>
      </w:r>
      <w:r>
        <w:t>2026-03-25 07:00:00+00:00</w:t>
      </w:r>
      <w:r>
        <w:t xml:space="preserve">    </w:t>
      </w:r>
      <w:r>
        <w:rPr>
          <w:b/>
        </w:rPr>
        <w:t xml:space="preserve">DOI: </w:t>
      </w:r>
      <w:hyperlink r:id="rId782">
        <w:r>
          <w:rPr>
            <w:color w:val="1155CC"/>
            <w:u w:val="single"/>
          </w:rPr>
          <w:t>10.1126/sciadv.ady7595</w:t>
        </w:r>
      </w:hyperlink>
    </w:p>
    <w:p>
      <w:pPr>
        <w:spacing w:before="0" w:after="120"/>
      </w:pPr>
      <w:r>
        <w:rPr>
          <w:b/>
        </w:rPr>
        <w:t xml:space="preserve">Notes: </w:t>
      </w:r>
      <w:r>
        <w:t>abstract_source=crossref</w:t>
      </w:r>
    </w:p>
    <w:p>
      <w:pPr>
        <w:spacing w:before="0" w:after="80" w:lineRule="auto" w:line="276"/>
      </w:pPr>
      <w:r>
        <w:rPr>
          <w:b/>
        </w:rPr>
        <w:t xml:space="preserve">摘要（ZH）: </w:t>
      </w:r>
      <w:r>
        <w:t>北极降水在最近几十年有所增加（以下简称北极湿润），但其驱动因素仍不确定。通过使用观测数据、再分析数据和单模型初始条件大集合（SMILEs），我们表明，由于海冰损失导致的蒸发增强是1979-2024年北极湿润的主要驱动因素，尤其是在大西洋区域。然而，大多数SMILEs中的外部强迫成分仅能解释观测和再分析中约69%的海冰损失和75%的湿润。进一步分析显示，北半球的一个年代际内部变率——大西洋多年代际变率（AMV）从负相转为正相，显著增强了北极海冰损失，从而加速了湿润约31%。</w:t>
      </w:r>
    </w:p>
    <w:p>
      <w:pPr>
        <w:spacing w:before="0" w:after="200" w:lineRule="auto" w:line="276"/>
      </w:pPr>
      <w:r>
        <w:rPr>
          <w:b/>
        </w:rPr>
        <w:t xml:space="preserve">Abstract (EN): </w:t>
      </w:r>
      <w:r>
        <w:t>Arctic precipitation has increased in recent decades (hereafter, Arctic wetting), but the drivers remain uncertain. Using observations, reanalyses, and single-model initial-condition large ensembles (SMILEs), we show that enhanced evaporation due to sea ice loss has been the primary driver of Arctic wetting during 1979–2024, especially in the Atlantic sector. However, the externally forced component in most SMILEs explains only ~69% of sea ice loss and 75% of wetting in the observations and reanalyses. Further analysis reveals that the observed transition of one of the Northern Hemisphere’s interdecadal internal variability—Atlantic multidecadal variability (AMV)—from a negative to a positive phase substantially enhanced Arctic sea ice loss, thereby accelerating wetting by about 31%. Under SSP3-7.0, if the AMV switches phase in the near future from the current +1 to a −1 standard deviation anomaly, then the rates of Arctic sea ice loss and wetting would slow by nearly 29 and 33%, respectively, relative to the externally forced response alone. These results underscore the pivotal role of AMV in modulating Arctic sea ice loss and wetting and highlight the need to account for AMV phase changes in near-term Arctic climate projections.</w:t>
      </w:r>
    </w:p>
    <w:p>
      <w:pPr>
        <w:spacing w:before="120" w:after="120"/>
      </w:pPr>
      <w:r>
        <w:rPr>
          <w:sz w:val="18"/>
        </w:rPr>
        <w:t>——————————————————————————————————————————————————————————————————————</w:t>
      </w:r>
    </w:p>
    <w:p>
      <w:pPr>
        <w:spacing w:before="160" w:after="40" w:line="240" w:lineRule="auto"/>
      </w:pPr>
      <w:r>
        <w:rPr>
          <w:b/>
        </w:rPr>
        <w:t xml:space="preserve">[311] </w:t>
      </w:r>
      <w:hyperlink r:id="rId783">
        <w:r>
          <w:rPr>
            <w:color w:val="1155CC"/>
            <w:u w:val="single"/>
          </w:rPr>
          <w:t>PRISM：用于从单滴微环境中分离和表征噬菌体的统一平台</w:t>
        </w:r>
      </w:hyperlink>
    </w:p>
    <w:p>
      <w:pPr>
        <w:spacing w:before="0" w:after="80"/>
      </w:pPr>
      <w:r>
        <w:rPr>
          <w:i/>
          <w:sz w:val="20"/>
        </w:rPr>
        <w:t>EN: PRISM: A unified platform for phage isolation and characterization from single-droplet microenvironments</w:t>
      </w:r>
    </w:p>
    <w:p>
      <w:pPr>
        <w:spacing w:before="0" w:after="120"/>
      </w:pPr>
      <w:r>
        <w:rPr>
          <w:b/>
        </w:rPr>
        <w:t xml:space="preserve">Source: </w:t>
      </w:r>
      <w:r>
        <w:t>AAAS: Science Advances: Table of Contents</w:t>
      </w:r>
      <w:r>
        <w:t xml:space="preserve">    </w:t>
      </w:r>
      <w:r>
        <w:rPr>
          <w:b/>
        </w:rPr>
        <w:t xml:space="preserve">Pub date: </w:t>
      </w:r>
      <w:r>
        <w:t>2026-03-25 07:00:00+00:00</w:t>
      </w:r>
      <w:r>
        <w:t xml:space="preserve">    </w:t>
      </w:r>
      <w:r>
        <w:rPr>
          <w:b/>
        </w:rPr>
        <w:t xml:space="preserve">DOI: </w:t>
      </w:r>
      <w:hyperlink r:id="rId784">
        <w:r>
          <w:rPr>
            <w:color w:val="1155CC"/>
            <w:u w:val="single"/>
          </w:rPr>
          <w:t>10.1126/sciadv.aeb2362</w:t>
        </w:r>
      </w:hyperlink>
    </w:p>
    <w:p>
      <w:pPr>
        <w:spacing w:before="0" w:after="120"/>
      </w:pPr>
      <w:r>
        <w:rPr>
          <w:b/>
        </w:rPr>
        <w:t xml:space="preserve">Notes: </w:t>
      </w:r>
      <w:r>
        <w:t>abstract_source=crossref</w:t>
      </w:r>
    </w:p>
    <w:p>
      <w:pPr>
        <w:spacing w:before="0" w:after="80" w:lineRule="auto" w:line="276"/>
      </w:pPr>
      <w:r>
        <w:rPr>
          <w:b/>
        </w:rPr>
        <w:t xml:space="preserve">摘要（ZH）: </w:t>
      </w:r>
      <w:r>
        <w:t>对噬菌体多样性的探索仍然受到依赖传统噬斑测定法的限制，这种方法偏向于发现形成可见噬斑的噬菌体。我们提出了PRISM（Phage Recovery and Investigation in Single-droplet Microenvironments），这是一种基于微滴微流控的、无需平板的高通量噬菌体分离、定量和表征平台。通过在单噬菌体分辨率下将噬菌体-宿主相互作用封装在水包油微滴中，并结合荧光检测和分选，我们展示了PRISM在几个关键应用中的能力：（i）从环境样本中回收“形成噬斑”和“不形成噬斑”的沙门氏菌噬菌体，其中不形成噬斑的噬菌体被</w:t>
      </w:r>
    </w:p>
    <w:p>
      <w:pPr>
        <w:spacing w:before="0" w:after="200" w:lineRule="auto" w:line="276"/>
      </w:pPr>
      <w:r>
        <w:rPr>
          <w:b/>
        </w:rPr>
        <w:t xml:space="preserve">Abstract (EN): </w:t>
      </w:r>
      <w:r>
        <w:t>The exploration of bacteriophage diversity remains constrained by reliance on conventional plaque assays, which bias discovery toward phages that form visible plaques. We present PRISM (Phage Recovery and Investigation in Single-droplet Microenvironments), a droplet microfluidics–based, plating-independent platform for high-throughput isolation, quantification, and characterization of bacteriophages. By encapsulating phage-host interactions in water-in-oil microdroplets at single-phage resolution and coupling them with fluorescence-based detection and sorting, we demonstrate PRISM’s capabilities across several key applications: (i) recovery of both “plaquing” and “nonplaquing”</w:t>
      </w:r>
      <w:r>
        <w:t xml:space="preserve"> </w:t>
      </w:r>
      <w:r>
        <w:t>Salmonella</w:t>
      </w:r>
      <w:r>
        <w:t xml:space="preserve"> </w:t>
      </w:r>
      <w:r>
        <w:t>phages from environmental samples, where nonplaquing phages were missed by conventional approaches; (ii) accurate titering of poor-plaquing phages, such as</w:t>
      </w:r>
      <w:r>
        <w:t xml:space="preserve"> </w:t>
      </w:r>
      <w:r>
        <w:t>Rhodococcus</w:t>
      </w:r>
      <w:r>
        <w:t xml:space="preserve"> </w:t>
      </w:r>
      <w:r>
        <w:t>phage ReqiDocB7; and (iii) plating-independent determination of phage resistance and lysogeny frequency, with results closely matching conventional estimates. This highlights PRISM’s enhanced resolution and accuracy, as well as its ability to detect nonplaquing or slow-replicating phages, underscoring the platform’s power to access viral populations overlooked using conventional methods.</w:t>
      </w:r>
    </w:p>
    <w:p>
      <w:pPr>
        <w:spacing w:before="120" w:after="120"/>
      </w:pPr>
      <w:r>
        <w:rPr>
          <w:sz w:val="18"/>
        </w:rPr>
        <w:t>——————————————————————————————————————————————————————————————————————</w:t>
      </w:r>
    </w:p>
    <w:p>
      <w:pPr>
        <w:spacing w:before="160" w:after="40" w:line="240" w:lineRule="auto"/>
      </w:pPr>
      <w:r>
        <w:rPr>
          <w:b/>
        </w:rPr>
        <w:t xml:space="preserve">[312] </w:t>
      </w:r>
      <w:hyperlink r:id="rId785">
        <w:r>
          <w:rPr>
            <w:color w:val="1155CC"/>
            <w:u w:val="single"/>
          </w:rPr>
          <w:t>GAPLESS-OsCASP复合体介导卡氏带形成，以确保水稻内皮蛋白的正确定位和丰度</w:t>
        </w:r>
      </w:hyperlink>
    </w:p>
    <w:p>
      <w:pPr>
        <w:spacing w:before="0" w:after="80"/>
      </w:pPr>
      <w:r>
        <w:rPr>
          <w:i/>
          <w:sz w:val="20"/>
        </w:rPr>
        <w:t>EN: The GAPLESS-OsCASP complex mediates Casparian strip formation for proper localization and abundance of endodermal proteins in rice</w:t>
      </w:r>
    </w:p>
    <w:p>
      <w:pPr>
        <w:spacing w:before="0" w:after="120"/>
      </w:pPr>
      <w:r>
        <w:rPr>
          <w:b/>
        </w:rPr>
        <w:t xml:space="preserve">Source: </w:t>
      </w:r>
      <w:r>
        <w:t>AAAS: Science Advances: Table of Contents</w:t>
      </w:r>
      <w:r>
        <w:t xml:space="preserve">    </w:t>
      </w:r>
      <w:r>
        <w:rPr>
          <w:b/>
        </w:rPr>
        <w:t xml:space="preserve">Pub date: </w:t>
      </w:r>
      <w:r>
        <w:t>2026-03-25 07:00:00+00:00</w:t>
      </w:r>
      <w:r>
        <w:t xml:space="preserve">    </w:t>
      </w:r>
      <w:r>
        <w:rPr>
          <w:b/>
        </w:rPr>
        <w:t xml:space="preserve">DOI: </w:t>
      </w:r>
      <w:hyperlink r:id="rId786">
        <w:r>
          <w:rPr>
            <w:color w:val="1155CC"/>
            <w:u w:val="single"/>
          </w:rPr>
          <w:t>10.1126/sciadv.aeb7840</w:t>
        </w:r>
      </w:hyperlink>
    </w:p>
    <w:p>
      <w:pPr>
        <w:spacing w:before="0" w:after="120"/>
      </w:pPr>
      <w:r>
        <w:rPr>
          <w:b/>
        </w:rPr>
        <w:t xml:space="preserve">Notes: </w:t>
      </w:r>
      <w:r>
        <w:t>abstract_source=crossref</w:t>
      </w:r>
    </w:p>
    <w:p>
      <w:pPr>
        <w:spacing w:before="0" w:after="80" w:lineRule="auto" w:line="276"/>
      </w:pPr>
      <w:r>
        <w:rPr>
          <w:b/>
        </w:rPr>
        <w:t xml:space="preserve">摘要（ZH）: </w:t>
      </w:r>
      <w:r>
        <w:t>卡氏带（CS）密封了相邻内皮细胞之间的细胞外空间，帮助植物维持养分稳态。然而，对于水稻中CS的形成和功能知之甚少。在此，我们证明了GAPLESS1/2/3与OsCASP1/2/3/5一起，通过在水稻中形成相互依赖的复合体，冗余地调节内皮CS的形成。GAPLESSs的三重敲除或OsCASPs的四重敲除导致CS启动延迟、CS-CSD粘附中断以及内皮CS紊乱。在这些突变体中，GAPLESS1、OsCASP1和SCHENGEN3a（OsSGN3a）均匀定位于根尖的质膜或细胞质中，在内皮细胞中的丰度较低。此外，CS缺陷在</w:t>
      </w:r>
    </w:p>
    <w:p>
      <w:pPr>
        <w:spacing w:before="0" w:after="200" w:lineRule="auto" w:line="276"/>
      </w:pPr>
      <w:r>
        <w:rPr>
          <w:b/>
        </w:rPr>
        <w:t xml:space="preserve">Abstract (EN): </w:t>
      </w:r>
      <w:r>
        <w:t>Casparian strip (CS) seals the extracellular space between neighboring endodermal cells and helps plants maintain nutrient homeostasis. However, little is known about CS formation and function in rice. Here, we demonstrate that GAPLESS1/2/3, along with OsCASP1/2/3/5, redundantly regulate endodermal CS formation by forming an interdependent complex in rice. Triple knockout of</w:t>
      </w:r>
      <w:r>
        <w:t xml:space="preserve"> </w:t>
      </w:r>
      <w:r>
        <w:t>GAPLESSs</w:t>
      </w:r>
      <w:r>
        <w:t xml:space="preserve"> </w:t>
      </w:r>
      <w:r>
        <w:t>or quadruple knockout of</w:t>
      </w:r>
      <w:r>
        <w:t xml:space="preserve"> </w:t>
      </w:r>
      <w:r>
        <w:t>OsCASPs</w:t>
      </w:r>
      <w:r>
        <w:t xml:space="preserve"> </w:t>
      </w:r>
      <w:r>
        <w:t>resulted in delayed CS initiation, disrupted CS-CSD adhesion, and disordered CS at the endodermis. In these mutants, GAPLESS1, OsCASP1, and SCHENGEN3a (OsSGN3a) uniformly localized to the plasma membrane or cytoplasm in root tips, with lower abundance in endodermal cells. Furthermore, CS defects in these mutants triggered strong suberization on endodermal cells via OsSGN3a/b-mediated signaling, thereby restricting and reducing the accumulation of the Si transporter Lsi1 exclusively to nonsuberized cells. Like</w:t>
      </w:r>
      <w:r>
        <w:t xml:space="preserve"> </w:t>
      </w:r>
      <w:r>
        <w:t>Oscasp1</w:t>
      </w:r>
      <w:r>
        <w:t xml:space="preserve"> </w:t>
      </w:r>
      <w:r>
        <w:t>, the triple</w:t>
      </w:r>
      <w:r>
        <w:t xml:space="preserve"> </w:t>
      </w:r>
      <w:r>
        <w:t>gapless</w:t>
      </w:r>
      <w:r>
        <w:t xml:space="preserve"> </w:t>
      </w:r>
      <w:r>
        <w:t>mutant exhibited large ionomic changes in shoots. Therefore, the GAPLESS-OsCASP complex functions in CS formation, with its roles in regulating ion homeostasis and protein localization and abundance.</w:t>
      </w:r>
    </w:p>
    <w:p>
      <w:pPr>
        <w:spacing w:before="120" w:after="120"/>
      </w:pPr>
      <w:r>
        <w:rPr>
          <w:sz w:val="18"/>
        </w:rPr>
        <w:t>——————————————————————————————————————————————————————————————————————</w:t>
      </w:r>
    </w:p>
    <w:p>
      <w:pPr>
        <w:spacing w:before="160" w:after="40" w:line="240" w:lineRule="auto"/>
      </w:pPr>
      <w:r>
        <w:rPr>
          <w:b/>
        </w:rPr>
        <w:t xml:space="preserve">[313] </w:t>
      </w:r>
      <w:hyperlink r:id="rId787">
        <w:r>
          <w:rPr>
            <w:color w:val="1155CC"/>
            <w:u w:val="single"/>
          </w:rPr>
          <w:t>使用MALDI质谱成像和机器学习逐层解码当代和历史绘画成分</w:t>
        </w:r>
      </w:hyperlink>
    </w:p>
    <w:p>
      <w:pPr>
        <w:spacing w:before="0" w:after="80"/>
      </w:pPr>
      <w:r>
        <w:rPr>
          <w:i/>
          <w:sz w:val="20"/>
        </w:rPr>
        <w:t>EN: Layer-by-layer decoding of contemporary and historic painting composition using MALDI mass spectrometry imaging and machine learning</w:t>
      </w:r>
    </w:p>
    <w:p>
      <w:pPr>
        <w:spacing w:before="0" w:after="120"/>
      </w:pPr>
      <w:r>
        <w:rPr>
          <w:b/>
        </w:rPr>
        <w:t xml:space="preserve">Source: </w:t>
      </w:r>
      <w:r>
        <w:t>AAAS: Science Advances: Table of Contents</w:t>
      </w:r>
      <w:r>
        <w:t xml:space="preserve">    </w:t>
      </w:r>
      <w:r>
        <w:rPr>
          <w:b/>
        </w:rPr>
        <w:t xml:space="preserve">Pub date: </w:t>
      </w:r>
      <w:r>
        <w:t>2026-03-25 07:00:00+00:00</w:t>
      </w:r>
      <w:r>
        <w:t xml:space="preserve">    </w:t>
      </w:r>
      <w:r>
        <w:rPr>
          <w:b/>
        </w:rPr>
        <w:t xml:space="preserve">DOI: </w:t>
      </w:r>
      <w:hyperlink r:id="rId788">
        <w:r>
          <w:rPr>
            <w:color w:val="1155CC"/>
            <w:u w:val="single"/>
          </w:rPr>
          <w:t>10.1126/sciadv.adz4427</w:t>
        </w:r>
      </w:hyperlink>
    </w:p>
    <w:p>
      <w:pPr>
        <w:spacing w:before="0" w:after="120"/>
      </w:pPr>
      <w:r>
        <w:rPr>
          <w:b/>
        </w:rPr>
        <w:t xml:space="preserve">Notes: </w:t>
      </w:r>
      <w:r>
        <w:t>abstract_source=crossref</w:t>
      </w:r>
    </w:p>
    <w:p>
      <w:pPr>
        <w:spacing w:before="0" w:after="80" w:lineRule="auto" w:line="276"/>
      </w:pPr>
      <w:r>
        <w:rPr>
          <w:b/>
        </w:rPr>
        <w:t xml:space="preserve">摘要（ZH）: </w:t>
      </w:r>
      <w:r>
        <w:t>现代和历史绘画的逐层表征对于理解艺术品的创作方式及其随时间的变化至关重要。这些信息可以揭示历史或社会见解，提供归属和分类的依据，并支持保护工作。由于绘画的复杂多层性质，确定艺术材料的身份、结构和组成仍然具有挑战性。这些结构通常包含有机和无机成分的混合物，具有未知的原位化学相互作用，形成交联和化学修饰的分子网络和组装。在这项工作中，我们开发了一种具有高化学特异性的方法，以识别和绘制现代和历史多层</w:t>
      </w:r>
    </w:p>
    <w:p>
      <w:pPr>
        <w:spacing w:before="0" w:after="200" w:lineRule="auto" w:line="276"/>
      </w:pPr>
      <w:r>
        <w:rPr>
          <w:b/>
        </w:rPr>
        <w:t xml:space="preserve">Abstract (EN): </w:t>
      </w:r>
      <w:r>
        <w:t>Layer-by-layer characterization of modern and historic paintings is essential for understanding how an artwork was created and how it has changed over time. This information can reveal historical or societal insights, inform attribution and classification, and support preservation efforts. The determination of the identity, structure, and composition of art material remains challenging due to the complex, multilayered nature of paintings. These structures often contain mixtures of organic and inorganic components, with unknown in situ chemical interactions, that create cross-linked and chemically modified molecular networks and assemblies. In this work, we have developed a method with high chemical specificity to identify and map organic and inorganic components in modern and historic multilayered paint systems. Our approach achieves an unprecedented level of molecular detail using a single technique. In addition, we have designed the method for automated composition assignment of individual layer through high-resolution matrix-assisted laser desorption/ionization (MALDI) mass spectrometry imaging (MSI) and a dedicated composition prediction model.</w:t>
      </w:r>
    </w:p>
    <w:p>
      <w:pPr>
        <w:spacing w:before="120" w:after="120"/>
      </w:pPr>
      <w:r>
        <w:rPr>
          <w:sz w:val="18"/>
        </w:rPr>
        <w:t>——————————————————————————————————————————————————————————————————————</w:t>
      </w:r>
    </w:p>
    <w:p>
      <w:pPr>
        <w:spacing w:before="160" w:after="40" w:line="240" w:lineRule="auto"/>
      </w:pPr>
      <w:r>
        <w:rPr>
          <w:b/>
        </w:rPr>
        <w:t xml:space="preserve">[314] </w:t>
      </w:r>
      <w:hyperlink r:id="rId789">
        <w:r>
          <w:rPr>
            <w:color w:val="1155CC"/>
            <w:u w:val="single"/>
          </w:rPr>
          <w:t>δ阿片受体治疗特性的机制洞察</w:t>
        </w:r>
      </w:hyperlink>
    </w:p>
    <w:p>
      <w:pPr>
        <w:spacing w:before="0" w:after="80"/>
      </w:pPr>
      <w:r>
        <w:rPr>
          <w:i/>
          <w:sz w:val="20"/>
        </w:rPr>
        <w:t>EN: Mechanistic insights into the therapeutic properties of delta opioid receptor</w:t>
      </w:r>
    </w:p>
    <w:p>
      <w:pPr>
        <w:spacing w:before="0" w:after="120"/>
      </w:pPr>
      <w:r>
        <w:rPr>
          <w:b/>
        </w:rPr>
        <w:t xml:space="preserve">Source: </w:t>
      </w:r>
      <w:r>
        <w:t>AAAS: Science Advances: Table of Contents</w:t>
      </w:r>
      <w:r>
        <w:t xml:space="preserve">    </w:t>
      </w:r>
      <w:r>
        <w:rPr>
          <w:b/>
        </w:rPr>
        <w:t xml:space="preserve">Pub date: </w:t>
      </w:r>
      <w:r>
        <w:t>2026-03-25 07:00:00+00:00</w:t>
      </w:r>
      <w:r>
        <w:t xml:space="preserve">    </w:t>
      </w:r>
      <w:r>
        <w:rPr>
          <w:b/>
        </w:rPr>
        <w:t xml:space="preserve">DOI: </w:t>
      </w:r>
      <w:hyperlink r:id="rId790">
        <w:r>
          <w:rPr>
            <w:color w:val="1155CC"/>
            <w:u w:val="single"/>
          </w:rPr>
          <w:t>10.1126/sciadv.aeb6737</w:t>
        </w:r>
      </w:hyperlink>
    </w:p>
    <w:p>
      <w:pPr>
        <w:spacing w:before="0" w:after="120"/>
      </w:pPr>
      <w:r>
        <w:rPr>
          <w:b/>
        </w:rPr>
        <w:t xml:space="preserve">Notes: </w:t>
      </w:r>
      <w:r>
        <w:t>abstract_source=crossref</w:t>
      </w:r>
    </w:p>
    <w:p>
      <w:pPr>
        <w:spacing w:before="0" w:after="80" w:lineRule="auto" w:line="276"/>
      </w:pPr>
      <w:r>
        <w:rPr>
          <w:b/>
        </w:rPr>
        <w:t xml:space="preserve">摘要（ZH）: </w:t>
      </w:r>
      <w:r>
        <w:t>δ阿片受体（DOR）是治疗疼痛、焦虑和抑郁的有前途的靶点，但尚无基于DOR的药物进入临床。在此，我们研究了具有不同治疗特性的配体如何调节DOR功能。虽然全激动剂迅速内化受体，但部分激动剂显示出较慢的内化速率，而拮抗剂则增加了细胞表面DOR水平。配体结合的DOR-G</w:t>
      </w:r>
      <w:r>
        <w:t xml:space="preserve"> </w:t>
      </w:r>
      <w:r>
        <w:t>i1</w:t>
      </w:r>
      <w:r>
        <w:t xml:space="preserve"> </w:t>
      </w:r>
      <w:r>
        <w:t>复合物的高分辨率结构，包括与拮抗剂结合的复合物，揭示了关键的相互作用，这些相互作用解释了DOR配体的选择性、效力和功效。单分子荧光共振能量转移研究表明，DOR动态地采样三种不同状态（活跃、强制预活跃和不活跃），并转变</w:t>
      </w:r>
    </w:p>
    <w:p>
      <w:pPr>
        <w:spacing w:before="0" w:after="200" w:lineRule="auto" w:line="276"/>
      </w:pPr>
      <w:r>
        <w:rPr>
          <w:b/>
        </w:rPr>
        <w:t xml:space="preserve">Abstract (EN): </w:t>
      </w:r>
      <w:r>
        <w:t>The delta opioid receptor (DOR) is a promising target for treating pain, anxiety, and depression, yet no DOR-based drugs have reached the clinic. Here, we examine how ligands with varying therapeutic properties modulate DOR function. While full agonists rapidly internalize the receptor, partial agonists show a slower rate of internalization, and antagonists increase cell-surface DOR levels. High-resolution structures of ligand-bound DOR-G</w:t>
      </w:r>
      <w:r>
        <w:t xml:space="preserve"> </w:t>
      </w:r>
      <w:r>
        <w:t>i1</w:t>
      </w:r>
      <w:r>
        <w:t xml:space="preserve"> </w:t>
      </w:r>
      <w:r>
        <w:t>complexes, including those with antagonists engaged, reveal key interactions that account for DOR ligand selectivity, potency, and efficacy. Single-molecule fluorescence resonance energy transfer studies show that DOR dynamically samples three distinct states (active, obligate preactive, and inactive), and transition rates are tuned by both ligand efficacy and G protein coupling. The endogenous agonist, met-enkephalin, not only stabilizes the active-state conformation but also catalyzes transitions between the active and inactive states. These results reveal how ligand-specific interactions and receptor dynamics can govern pharmacological profiles and provide a framework for developing DOR-targeted therapeutics.</w:t>
      </w:r>
    </w:p>
    <w:p>
      <w:pPr>
        <w:spacing w:before="120" w:after="120"/>
      </w:pPr>
      <w:r>
        <w:rPr>
          <w:sz w:val="18"/>
        </w:rPr>
        <w:t>——————————————————————————————————————————————————————————————————————</w:t>
      </w:r>
    </w:p>
    <w:p>
      <w:pPr>
        <w:spacing w:before="160" w:after="40" w:line="240" w:lineRule="auto"/>
      </w:pPr>
      <w:r>
        <w:rPr>
          <w:b/>
        </w:rPr>
        <w:t xml:space="preserve">[315] </w:t>
      </w:r>
      <w:hyperlink r:id="rId791">
        <w:r>
          <w:rPr>
            <w:color w:val="1155CC"/>
            <w:u w:val="single"/>
          </w:rPr>
          <w:t>WNK1介导的PHGDH磷酸化作为代谢脆弱性和对奥沙利铂治疗反应的双重标志物</w:t>
        </w:r>
      </w:hyperlink>
    </w:p>
    <w:p>
      <w:pPr>
        <w:spacing w:before="0" w:after="80"/>
      </w:pPr>
      <w:r>
        <w:rPr>
          <w:i/>
          <w:sz w:val="20"/>
        </w:rPr>
        <w:t>EN: PHGDH phosphorylation mediated by WNK1 serves as a dual marker of metabolic vulnerability and responsiveness to oxaliplatin treatment</w:t>
      </w:r>
    </w:p>
    <w:p>
      <w:pPr>
        <w:spacing w:before="0" w:after="120"/>
      </w:pPr>
      <w:r>
        <w:rPr>
          <w:b/>
        </w:rPr>
        <w:t xml:space="preserve">Source: </w:t>
      </w:r>
      <w:r>
        <w:t>Proceedings of the National Academy of Sciences: Keyword search for query</w:t>
      </w:r>
      <w:r>
        <w:t xml:space="preserve">    </w:t>
      </w:r>
      <w:r>
        <w:rPr>
          <w:b/>
        </w:rPr>
        <w:t xml:space="preserve">Pub date: </w:t>
      </w:r>
      <w:r>
        <w:t>2026-03-25 07:00:00+00:00</w:t>
      </w:r>
      <w:r>
        <w:t xml:space="preserve">    </w:t>
      </w:r>
      <w:r>
        <w:rPr>
          <w:b/>
        </w:rPr>
        <w:t xml:space="preserve">DOI: </w:t>
      </w:r>
      <w:hyperlink r:id="rId792">
        <w:r>
          <w:rPr>
            <w:color w:val="1155CC"/>
            <w:u w:val="single"/>
          </w:rPr>
          <w:t>10.1073/pnas.2525213123</w:t>
        </w:r>
      </w:hyperlink>
    </w:p>
    <w:p>
      <w:pPr>
        <w:spacing w:before="0" w:after="120"/>
      </w:pPr>
      <w:r>
        <w:rPr>
          <w:b/>
        </w:rPr>
        <w:t xml:space="preserve">Notes: </w:t>
      </w:r>
      <w:r>
        <w:t>abstract_source=crossref</w:t>
      </w:r>
    </w:p>
    <w:p>
      <w:pPr>
        <w:spacing w:before="0" w:after="80" w:lineRule="auto" w:line="276"/>
      </w:pPr>
      <w:r>
        <w:rPr>
          <w:b/>
        </w:rPr>
        <w:t xml:space="preserve">摘要（ZH）: </w:t>
      </w:r>
      <w:r>
        <w:t>代谢重编程是癌症进展的基本标志。然而，胃癌（GC）中丝氨酸代谢的致癌机制及其对化疗敏感性的影响仍未明确。在此，通过综合代谢组学和13C标记的代谢流分析，我们发现GC中丝氨酸代谢的显著失调，主要由磷酸甘油酸脱氢酶（PHGDH）表达增加驱动。从机制上看，我们表明无赖氨酸激酶1（WNK1）在Ser349和Ser371位点磷酸化PHGDH，通过防止泛素介导的降解增强其酶活性和蛋白稳定性。在体内，WNK1敲除小鼠表现出显著减少的胃肿瘤负担，伴随减少</w:t>
      </w:r>
    </w:p>
    <w:p>
      <w:pPr>
        <w:spacing w:before="0" w:after="200" w:lineRule="auto" w:line="276"/>
      </w:pPr>
      <w:r>
        <w:rPr>
          <w:b/>
        </w:rPr>
        <w:t xml:space="preserve">Abstract (EN): </w:t>
      </w:r>
      <w:r>
        <w:t>Metabolic reprogramming is a fundamental hallmark of cancer progression. However, the oncogenic mechanisms underlying serine metabolism and its impact on chemotherapeutic sensitivity in gastric cancer (GC) remain poorly defined. Here, through integrated metabolomics and</w:t>
      </w:r>
      <w:r>
        <w:rPr>
          <w:vertAlign w:val="subscript"/>
        </w:rPr>
        <w:t>13</w:t>
      </w:r>
      <w:r>
        <w:t>C-labeled metabolic flux analysis, we identify marked dysregulation of serine metabolism in GC, primarily driven by increased expression of phosphoglycerate dehydrogenase (PHGDH). Mechanistically, we show that with no lysine kinase 1 (WNK1) phosphorylates PHGDH at Ser349 and Ser371, enhancing its enzymatic activity and protein stability by preventing ubiquitin-mediated degradation. In vivo, WNK1 knockout mice exhibit significantly reduced gastric tumor burden, accompanied by decreased serine levels and disrupted redox balance, supporting the protumorigenic role of the WNK1–PHGDH axis. Clinically, enhanced PHGDH activity, elevated serine levels, and increased glutathione abundance are strongly associated with poor oxaliplatin response in GC patient cohorts, suggesting PHGDH as a potential predictive biomarker for chemotherapy resistance. Together, these findings delineate a WNK1–PHGDH–driven serine metabolic reprogramming axis that promotes redox adaptation and chemoresistance in GC, highlighting its dual value as a mechanistic driver and a therapeutic vulnerability in cancer treatment.</w:t>
      </w:r>
    </w:p>
    <w:p>
      <w:pPr>
        <w:spacing w:before="120" w:after="120"/>
      </w:pPr>
      <w:r>
        <w:rPr>
          <w:sz w:val="18"/>
        </w:rPr>
        <w:t>——————————————————————————————————————————————————————————————————————</w:t>
      </w:r>
    </w:p>
    <w:p>
      <w:pPr>
        <w:spacing w:before="160" w:after="40" w:line="240" w:lineRule="auto"/>
      </w:pPr>
      <w:r>
        <w:rPr>
          <w:b/>
        </w:rPr>
        <w:t xml:space="preserve">[316] </w:t>
      </w:r>
      <w:hyperlink r:id="rId793">
        <w:r>
          <w:rPr>
            <w:color w:val="1155CC"/>
            <w:u w:val="single"/>
          </w:rPr>
          <w:t>受体激酶信号的比较蛋白质组学分析揭示了强制植物气孔发育的关键运输成分</w:t>
        </w:r>
      </w:hyperlink>
    </w:p>
    <w:p>
      <w:pPr>
        <w:spacing w:before="0" w:after="80"/>
      </w:pPr>
      <w:r>
        <w:rPr>
          <w:i/>
          <w:sz w:val="20"/>
        </w:rPr>
        <w:t>EN: Comparative proteomic profiling of receptor kinase signaling reveals key trafficking components enforcing plant stomatal development</w:t>
      </w:r>
    </w:p>
    <w:p>
      <w:pPr>
        <w:spacing w:before="0" w:after="120"/>
      </w:pPr>
      <w:r>
        <w:rPr>
          <w:b/>
        </w:rPr>
        <w:t xml:space="preserve">Source: </w:t>
      </w:r>
      <w:r>
        <w:t>AAAS: Science Advances: Table of Contents</w:t>
      </w:r>
      <w:r>
        <w:t xml:space="preserve">    </w:t>
      </w:r>
      <w:r>
        <w:rPr>
          <w:b/>
        </w:rPr>
        <w:t xml:space="preserve">Pub date: </w:t>
      </w:r>
      <w:r>
        <w:t>2026-03-25 07:00:00+00:00</w:t>
      </w:r>
      <w:r>
        <w:t xml:space="preserve">    </w:t>
      </w:r>
      <w:r>
        <w:rPr>
          <w:b/>
        </w:rPr>
        <w:t xml:space="preserve">DOI: </w:t>
      </w:r>
      <w:hyperlink r:id="rId794">
        <w:r>
          <w:rPr>
            <w:color w:val="1155CC"/>
            <w:u w:val="single"/>
          </w:rPr>
          <w:t>10.1126/sciadv.aeb6464</w:t>
        </w:r>
      </w:hyperlink>
    </w:p>
    <w:p>
      <w:pPr>
        <w:spacing w:before="0" w:after="120"/>
      </w:pPr>
      <w:r>
        <w:rPr>
          <w:b/>
        </w:rPr>
        <w:t xml:space="preserve">Notes: </w:t>
      </w:r>
      <w:r>
        <w:t>abstract_source=crossref</w:t>
      </w:r>
    </w:p>
    <w:p>
      <w:pPr>
        <w:spacing w:before="0" w:after="80" w:lineRule="auto" w:line="276"/>
      </w:pPr>
      <w:r>
        <w:rPr>
          <w:b/>
        </w:rPr>
        <w:t xml:space="preserve">摘要（ZH）: </w:t>
      </w:r>
      <w:r>
        <w:t>受体激酶对植物的生长、发育和环境响应至关重要。然而，其调控机制和空间动态仍未被充分探索。ERECTA家族受体激酶协调多种发育过程，包括气孔发育。为了理解ERECTA介导的信号通路的蛋白质组学景观，我们通过表位标记的亲和纯化（ET-AP）和TurboID基础的邻近标记（TbID-PL）质谱分别报告了ERECTA互作组和邻近组的比较分析。虽然ET-AP恢复了受体复合物成分（例如，TOO MANY MOUTHS），TbID-PL有效捕获了与内体运输成分的瞬时关联，即网格蛋白介导的内吞机制。我们进一步识别</w:t>
      </w:r>
    </w:p>
    <w:p>
      <w:pPr>
        <w:spacing w:before="0" w:after="200" w:lineRule="auto" w:line="276"/>
      </w:pPr>
      <w:r>
        <w:rPr>
          <w:b/>
        </w:rPr>
        <w:t xml:space="preserve">Abstract (EN): </w:t>
      </w:r>
      <w:r>
        <w:t>Receptor kinases are pivotal for growth, development, and environmental response of plants. Yet, their regulatory mechanisms and spatial dynamics remain underexplored. The ERECTA-family receptor kinases coordinate diverse developmental processes, including stomatal development. To understand the proteomic landscape of the ERECTA-mediated signaling pathways, we report comparative analyses of the ERECTA interactome and proximitome by epitope-tagged affinity-purification (ET-AP) and TurboID-based proximity labeling (TbID-PL) mass spectrometry, respectively. While ET-AP recovered receptor complex components (e.g., TOO MANY MOUTHS), TbID-PL effectively captured transient associations with the components of endosomal trafficking, i.e., clathrin-mediated endocytosis machinery. We further identify that specific subfamily members of phosphatidylinositol-binding clathrin assembly proteins (PICALMs) interact with and synergistically regulate ERECTA internalization. Mutations in</w:t>
      </w:r>
      <w:r>
        <w:t xml:space="preserve"> </w:t>
      </w:r>
      <w:r>
        <w:t>PICALMs</w:t>
      </w:r>
      <w:r>
        <w:t xml:space="preserve"> </w:t>
      </w:r>
      <w:r>
        <w:t>impair ERECTA endocytosis and lead to excessive stomatal clustering by dampening the downstream signaling output. Together, we provide a proteomic atlas of the ERECTA signaling network and demonstrate that timely removal of receptor kinase by the endocytosis machinery is essential for active signal transduction enforcing stomatal patterning.</w:t>
      </w:r>
    </w:p>
    <w:p>
      <w:pPr>
        <w:spacing w:before="120" w:after="120"/>
      </w:pPr>
      <w:r>
        <w:rPr>
          <w:sz w:val="18"/>
        </w:rPr>
        <w:t>——————————————————————————————————————————————————————————————————————</w:t>
      </w:r>
    </w:p>
    <w:p>
      <w:pPr>
        <w:spacing w:before="160" w:after="40" w:line="240" w:lineRule="auto"/>
      </w:pPr>
      <w:r>
        <w:rPr>
          <w:b/>
        </w:rPr>
        <w:t xml:space="preserve">[317] </w:t>
      </w:r>
      <w:hyperlink r:id="rId795">
        <w:r>
          <w:rPr>
            <w:color w:val="1155CC"/>
            <w:u w:val="single"/>
          </w:rPr>
          <w:t>Tau以多态性依赖的方式催化淀粉样β聚集和毒性</w:t>
        </w:r>
      </w:hyperlink>
    </w:p>
    <w:p>
      <w:pPr>
        <w:spacing w:before="0" w:after="80"/>
      </w:pPr>
      <w:r>
        <w:rPr>
          <w:i/>
          <w:sz w:val="20"/>
        </w:rPr>
        <w:t>EN: Tau catalyzes amyloid-β aggregation and toxicity in a polymorph-dependent manner</w:t>
      </w:r>
    </w:p>
    <w:p>
      <w:pPr>
        <w:spacing w:before="0" w:after="120"/>
      </w:pPr>
      <w:r>
        <w:rPr>
          <w:b/>
        </w:rPr>
        <w:t xml:space="preserve">Source: </w:t>
      </w:r>
      <w:r>
        <w:t>Proceedings of the National Academy of Sciences: Keyword search for query</w:t>
      </w:r>
      <w:r>
        <w:t xml:space="preserve">    </w:t>
      </w:r>
      <w:r>
        <w:rPr>
          <w:b/>
        </w:rPr>
        <w:t xml:space="preserve">Pub date: </w:t>
      </w:r>
      <w:r>
        <w:t>2026-03-25 07:00:00+00:00</w:t>
      </w:r>
      <w:r>
        <w:t xml:space="preserve">    </w:t>
      </w:r>
      <w:r>
        <w:rPr>
          <w:b/>
        </w:rPr>
        <w:t xml:space="preserve">DOI: </w:t>
      </w:r>
      <w:hyperlink r:id="rId796">
        <w:r>
          <w:rPr>
            <w:color w:val="1155CC"/>
            <w:u w:val="single"/>
          </w:rPr>
          <w:t>10.1073/pnas.2532775123</w:t>
        </w:r>
      </w:hyperlink>
    </w:p>
    <w:p>
      <w:pPr>
        <w:spacing w:before="0" w:after="120"/>
      </w:pPr>
      <w:r>
        <w:rPr>
          <w:b/>
        </w:rPr>
        <w:t xml:space="preserve">Notes: </w:t>
      </w:r>
      <w:r>
        <w:t>abstract_source=crossref</w:t>
      </w:r>
    </w:p>
    <w:p>
      <w:pPr>
        <w:spacing w:before="0" w:after="80" w:lineRule="auto" w:line="276"/>
      </w:pPr>
      <w:r>
        <w:rPr>
          <w:b/>
        </w:rPr>
        <w:t xml:space="preserve">摘要（ZH）: </w:t>
      </w:r>
      <w:r>
        <w:t>淀粉样蛋白的相互作用正在成为神经退行性疾病的关键驱动因素。在阿尔茨海默病（AD）和严重形式的慢性创伤性脑病（CTE）中，tau和淀粉样蛋白-β（Aβ）的共沉积导致临床结果恶化和疾病进展。尽管这种异质相互作用的重要性，潜在的分子机制仍然难以确定。在此，我们结合体外重建和体内模型研究了Aβ和tau之间的直接相互作用。我们发现，特征性的AD成对螺旋丝（PHF）和CTE折叠以酶样动力学方式催化Aβ42的初级成核，具有特定折叠方式。特别是，CTE纤维表现出最高的催化活性</w:t>
      </w:r>
    </w:p>
    <w:p>
      <w:pPr>
        <w:spacing w:before="0" w:after="200" w:lineRule="auto" w:line="276"/>
      </w:pPr>
      <w:r>
        <w:rPr>
          <w:b/>
        </w:rPr>
        <w:t xml:space="preserve">Abstract (EN): </w:t>
      </w:r>
      <w:r>
        <w:t>Interactions between amyloidogenic proteins are emerging as critical drivers of neurodegenerative diseases. Among others, in Alzheimer’s disease (AD) and severe forms of chronic traumatic encephalopathy (CTE), codeposition of tau and amyloid-β (Aβ) leads to worsening of clinical outcomes and disease progression. Despite the importance of such heterotypic interactions, the underlying molecular mechanisms have proven challenging to be established. Here, we investigated the direct interaction between Aβ and tau, combining in vitro reconstruction, and in vivo models. We find that characteristic AD paired helical filament (PHF) and CTE folds catalyze the primary nucleation of Aβ42 in a fold-specific manner with enzyme-like kinetics. In particular, CTE fibrils exhibit the highest catalytic activity and constrain Aβ42 polymorphism, suggesting templating effects. Moreover, PHF and CTE tau fibrils increase Aβ42 toxicity in SH-SY5Y neuroblastoma cells and transgenic</w:t>
      </w:r>
      <w:r>
        <w:t xml:space="preserve"> </w:t>
      </w:r>
      <w:r>
        <w:t>Caenorhabditis elegans,</w:t>
      </w:r>
      <w:r>
        <w:t xml:space="preserve"> </w:t>
      </w:r>
      <w:r>
        <w:t>preserving fold-dependent reactivities. Our findings shed light on the molecular mechanisms of heterotypic interaction between amyloidogenic proteins in disease-relevant conditions, highlighting the role of amyloid structure and recognition mechanisms as key determinants. These results offer insights into the pathological mechanisms of multiple proteinopathies. The mechanisms described here might be used as a blueprint for structure-based design of new therapeutic agents targeting specific amyloidogenic interactions.</w:t>
      </w:r>
    </w:p>
    <w:p>
      <w:pPr>
        <w:spacing w:before="120" w:after="120"/>
      </w:pPr>
      <w:r>
        <w:rPr>
          <w:sz w:val="18"/>
        </w:rPr>
        <w:t>——————————————————————————————————————————————————————————————————————</w:t>
      </w:r>
    </w:p>
    <w:p>
      <w:pPr>
        <w:spacing w:before="160" w:after="40" w:line="240" w:lineRule="auto"/>
      </w:pPr>
      <w:r>
        <w:rPr>
          <w:b/>
        </w:rPr>
        <w:t xml:space="preserve">[318] </w:t>
      </w:r>
      <w:hyperlink r:id="rId797">
        <w:r>
          <w:rPr>
            <w:color w:val="1155CC"/>
            <w:u w:val="single"/>
          </w:rPr>
          <w:t>微管引导Aurora B底物几何形状以实现准确的染色体分离</w:t>
        </w:r>
      </w:hyperlink>
    </w:p>
    <w:p>
      <w:pPr>
        <w:spacing w:before="0" w:after="80"/>
      </w:pPr>
      <w:r>
        <w:rPr>
          <w:i/>
          <w:sz w:val="20"/>
        </w:rPr>
        <w:t>EN: Microtubules guide Aurora B substrate geometries for accurate chromosome segregation</w:t>
      </w:r>
    </w:p>
    <w:p>
      <w:pPr>
        <w:spacing w:before="0" w:after="120"/>
      </w:pPr>
      <w:r>
        <w:rPr>
          <w:b/>
        </w:rPr>
        <w:t xml:space="preserve">Source: </w:t>
      </w:r>
      <w:r>
        <w:t>AAAS: Science Advances: Table of Contents</w:t>
      </w:r>
      <w:r>
        <w:t xml:space="preserve">    </w:t>
      </w:r>
      <w:r>
        <w:rPr>
          <w:b/>
        </w:rPr>
        <w:t xml:space="preserve">Pub date: </w:t>
      </w:r>
      <w:r>
        <w:t>2026-03-25 07:00:00+00:00</w:t>
      </w:r>
      <w:r>
        <w:t xml:space="preserve">    </w:t>
      </w:r>
      <w:r>
        <w:rPr>
          <w:b/>
        </w:rPr>
        <w:t xml:space="preserve">DOI: </w:t>
      </w:r>
      <w:hyperlink r:id="rId798">
        <w:r>
          <w:rPr>
            <w:color w:val="1155CC"/>
            <w:u w:val="single"/>
          </w:rPr>
          <w:t>10.1126/sciadv.aea2112</w:t>
        </w:r>
      </w:hyperlink>
    </w:p>
    <w:p>
      <w:pPr>
        <w:spacing w:before="0" w:after="120"/>
      </w:pPr>
      <w:r>
        <w:rPr>
          <w:b/>
        </w:rPr>
        <w:t xml:space="preserve">Notes: </w:t>
      </w:r>
      <w:r>
        <w:t>abstract_source=crossref</w:t>
      </w:r>
    </w:p>
    <w:p>
      <w:pPr>
        <w:spacing w:before="0" w:after="80" w:lineRule="auto" w:line="276"/>
      </w:pPr>
      <w:r>
        <w:rPr>
          <w:b/>
        </w:rPr>
        <w:t xml:space="preserve">摘要（ZH）: </w:t>
      </w:r>
      <w:r>
        <w:t>准确的染色体分离需要Aurora B（染色体乘客复合物（CPC）的激酶亚基）对微管结合底物的差异性调控。微管如何同时上调和下调Aurora B的磷酸化仍不清楚。通过设计一种新的冷冻电子显微镜工作流程，我们确定了CPC和关键Aurora B底物的微管结合结构，解析了它们的磷酸化位点，发现微管可以根据结合几何形状促进或限制Aurora B介导的磷酸化。动粒Ndc80复合物通过多价相互作用在微管上聚合，包括其激酶识别位点，立体限制激酶的接触以抵消磷酸化诱导的分离。减弱这种ol</w:t>
      </w:r>
    </w:p>
    <w:p>
      <w:pPr>
        <w:spacing w:before="0" w:after="200" w:lineRule="auto" w:line="276"/>
      </w:pPr>
      <w:r>
        <w:rPr>
          <w:b/>
        </w:rPr>
        <w:t xml:space="preserve">Abstract (EN): </w:t>
      </w:r>
      <w:r>
        <w:t>Accurate chromosome segregation requires differential regulation of microtubule-binding substrates by Aurora B, the kinase subunit of the chromosomal passenger complex (CPC). How microtubules simultaneously up- and down-regulate Aurora B phosphorylation remains unclear. Devising a new cryo–electron microscopy workflow, we determined microtubule-bound structures of the CPC and key Aurora B substrates that resolve their phosphorylation sites, finding that microtubules can promote or restrict Aurora B–mediated phosphorylation depending upon binding geometry. The kinetochore Ndc80 complex oligomerizes on microtubules through multivalent interactions including its kinase recognition sites, sterically restricting kinase access to counteract phosphorylation-induced detachment. Attenuating this oligomerization compromised stable kinetochore-microtubule attachments and causes chromosome mis-segregation. Conversely, Aurora B recognition sites of the microtubule-depolymerase mitotic centromere–associated kinesin (MCAK) remain accessible on microtubules, explaining how microtubule-bound CPC can promote MCAK phosphorylation and inactivation. We propose that microtubule-guided substrate remodeling can serve as a general mechanism for controlling Aurora B–mediated phosphorylation during mitosis, which can coordinate diverse processes underlying faithful chromosome segregation.</w:t>
      </w:r>
    </w:p>
    <w:p>
      <w:pPr>
        <w:spacing w:before="120" w:after="120"/>
      </w:pPr>
      <w:r>
        <w:rPr>
          <w:sz w:val="18"/>
        </w:rPr>
        <w:t>——————————————————————————————————————————————————————————————————————</w:t>
      </w:r>
    </w:p>
    <w:p>
      <w:pPr>
        <w:spacing w:before="160" w:after="40" w:line="240" w:lineRule="auto"/>
      </w:pPr>
      <w:r>
        <w:rPr>
          <w:b/>
        </w:rPr>
        <w:t xml:space="preserve">[319] </w:t>
      </w:r>
      <w:hyperlink r:id="rId799">
        <w:r>
          <w:rPr>
            <w:color w:val="1155CC"/>
            <w:u w:val="single"/>
          </w:rPr>
          <w:t>通过等效性实现生态和进化动力学的全球稳定性</w:t>
        </w:r>
      </w:hyperlink>
    </w:p>
    <w:p>
      <w:pPr>
        <w:spacing w:before="0" w:after="80"/>
      </w:pPr>
      <w:r>
        <w:rPr>
          <w:i/>
          <w:sz w:val="20"/>
        </w:rPr>
        <w:t>EN: Global stability of ecological and evolutionary dynamics via equivalence</w:t>
      </w:r>
    </w:p>
    <w:p>
      <w:pPr>
        <w:spacing w:before="0" w:after="120"/>
      </w:pPr>
      <w:r>
        <w:rPr>
          <w:b/>
        </w:rPr>
        <w:t xml:space="preserve">Source: </w:t>
      </w:r>
      <w:r>
        <w:t>Proceedings of the National Academy of Sciences: Keyword search for query</w:t>
      </w:r>
      <w:r>
        <w:t xml:space="preserve">    </w:t>
      </w:r>
      <w:r>
        <w:rPr>
          <w:b/>
        </w:rPr>
        <w:t xml:space="preserve">Pub date: </w:t>
      </w:r>
      <w:r>
        <w:t>2026-03-25 07:00:00+00:00</w:t>
      </w:r>
      <w:r>
        <w:t xml:space="preserve">    </w:t>
      </w:r>
      <w:r>
        <w:rPr>
          <w:b/>
        </w:rPr>
        <w:t xml:space="preserve">DOI: </w:t>
      </w:r>
      <w:hyperlink r:id="rId800">
        <w:r>
          <w:rPr>
            <w:color w:val="1155CC"/>
            <w:u w:val="single"/>
          </w:rPr>
          <w:t>10.1073/pnas.2534915123</w:t>
        </w:r>
      </w:hyperlink>
    </w:p>
    <w:p>
      <w:pPr>
        <w:spacing w:before="0" w:after="120"/>
      </w:pPr>
      <w:r>
        <w:rPr>
          <w:b/>
        </w:rPr>
        <w:t xml:space="preserve">Notes: </w:t>
      </w:r>
      <w:r>
        <w:t>abstract_source=crossref</w:t>
      </w:r>
    </w:p>
    <w:p>
      <w:pPr>
        <w:spacing w:before="0" w:after="80" w:lineRule="auto" w:line="276"/>
      </w:pPr>
      <w:r>
        <w:rPr>
          <w:b/>
        </w:rPr>
        <w:t xml:space="preserve">摘要（ZH）: </w:t>
      </w:r>
      <w:r>
        <w:t>复制子方程和广义Lotka–Volterra方程是进化博弈论和群落生态学中密切相关的基础模型。进化稳定性概念及其与动态稳定性的关系受到了显著关注：在复制子方程中，进化稳定策略也是动态全局稳定的，即任何从正条件出发的轨迹都会达到。然而，令人惊讶的是，反之不成立：存在复制子方程产生动态稳定但非进化稳定的策略。在此，我们考虑复制子方程的两类等价性（即不改变定性动态的变换），以确定是否存在全局稳定但非进化</w:t>
      </w:r>
    </w:p>
    <w:p>
      <w:pPr>
        <w:spacing w:before="0" w:after="200" w:lineRule="auto" w:line="276"/>
      </w:pPr>
      <w:r>
        <w:rPr>
          <w:b/>
        </w:rPr>
        <w:t xml:space="preserve">Abstract (EN): </w:t>
      </w:r>
      <w:r>
        <w:t>The replicator and the Generalized Lotka–Volterra equations are closely related, foundational models in evolutionary game theory and community ecology, respectively. The concept of evolutionary stability and its relationship with dynamic stability has received significant attention: In the replicator equation, an evolutionarily stable strategy is also dynamically globally stable—i.e., will be reached by any trajectory originating from positive conditions. Intriguingly, the converse is not true: There are replicator equations yielding dynamically stable strategies that are not evolutionarily stable. Here, we consider two classes of equivalence (i.e., transformations that do not alter the qualitative dynamics) for the replicator equation, to determine whether a globally stable, but not evolutionarily stable strategy maps into an equivalent state that is evolutionarily stable—and show that this is the case for the examples that have been put forward so far. We derive the same two classes of equivalence for the Generalized Lotka–Volterra model, obtaining the same conditions for stability as for the replicator equation, and show that in this way we can characterize stability when other methods fail. By unifying the approach to proving stability for the replicator equation and Lotka–Volterra models, we bring these foundational equations even closer together.</w:t>
      </w:r>
    </w:p>
    <w:p>
      <w:pPr>
        <w:spacing w:before="120" w:after="120"/>
      </w:pPr>
      <w:r>
        <w:rPr>
          <w:sz w:val="18"/>
        </w:rPr>
        <w:t>——————————————————————————————————————————————————————————————————————</w:t>
      </w:r>
    </w:p>
    <w:p>
      <w:pPr>
        <w:spacing w:before="160" w:after="40" w:line="240" w:lineRule="auto"/>
      </w:pPr>
      <w:r>
        <w:rPr>
          <w:b/>
        </w:rPr>
        <w:t xml:space="preserve">[320] </w:t>
      </w:r>
      <w:hyperlink r:id="rId801">
        <w:r>
          <w:rPr>
            <w:color w:val="1155CC"/>
            <w:u w:val="single"/>
          </w:rPr>
          <w:t>超声响应脂质体：解码声学参数影响的机制框架</w:t>
        </w:r>
      </w:hyperlink>
    </w:p>
    <w:p>
      <w:pPr>
        <w:spacing w:before="0" w:after="80"/>
      </w:pPr>
      <w:r>
        <w:rPr>
          <w:i/>
          <w:sz w:val="20"/>
        </w:rPr>
        <w:t>EN: Ultrasound-responsive liposomes: A mechanistic framework to decode the effects of acoustic parameters</w:t>
      </w:r>
    </w:p>
    <w:p>
      <w:pPr>
        <w:spacing w:before="0" w:after="120"/>
      </w:pPr>
      <w:r>
        <w:rPr>
          <w:b/>
        </w:rPr>
        <w:t xml:space="preserve">Source: </w:t>
      </w:r>
      <w:r>
        <w:t>Proceedings of the National Academy of Sciences: Keyword search for query</w:t>
      </w:r>
      <w:r>
        <w:t xml:space="preserve">    </w:t>
      </w:r>
      <w:r>
        <w:rPr>
          <w:b/>
        </w:rPr>
        <w:t xml:space="preserve">Pub date: </w:t>
      </w:r>
      <w:r>
        <w:t>2026-03-25 07:00:00+00:00</w:t>
      </w:r>
      <w:r>
        <w:t xml:space="preserve">    </w:t>
      </w:r>
      <w:r>
        <w:rPr>
          <w:b/>
        </w:rPr>
        <w:t xml:space="preserve">DOI: </w:t>
      </w:r>
      <w:hyperlink r:id="rId802">
        <w:r>
          <w:rPr>
            <w:color w:val="1155CC"/>
            <w:u w:val="single"/>
          </w:rPr>
          <w:t>10.1073/pnas.2535429123</w:t>
        </w:r>
      </w:hyperlink>
    </w:p>
    <w:p>
      <w:pPr>
        <w:spacing w:before="0" w:after="120"/>
      </w:pPr>
      <w:r>
        <w:rPr>
          <w:b/>
        </w:rPr>
        <w:t xml:space="preserve">Notes: </w:t>
      </w:r>
      <w:r>
        <w:t>abstract_source=crossref</w:t>
      </w:r>
    </w:p>
    <w:p>
      <w:pPr>
        <w:spacing w:before="0" w:after="80" w:lineRule="auto" w:line="276"/>
      </w:pPr>
      <w:r>
        <w:rPr>
          <w:b/>
        </w:rPr>
        <w:t xml:space="preserve">摘要（ZH）: </w:t>
      </w:r>
      <w:r>
        <w:t>超声波提供了一种非侵入性、临床相关的方法，可以在深层组织内实现超声响应药物递送系统的货物释放的精确时空控制。这种方法能够实现治疗剂的靶向递送，提高疗效的同时最大限度地减少全身毒性。尽管先前的研究表明，超声响应脂质体的释放取决于声学参数，但其潜在机制仍不清楚。深入的机制理解对于实现释放的精确性和最大化治疗效果至关重要。为此，我们提出了一个基于声孔效应的框架，以描述超声响应聚乙二醇功能化系统在不同频率、压力、占空比和脉冲重复频率下的释放动态。</w:t>
      </w:r>
    </w:p>
    <w:p>
      <w:pPr>
        <w:spacing w:before="0" w:after="200" w:lineRule="auto" w:line="276"/>
      </w:pPr>
      <w:r>
        <w:rPr>
          <w:b/>
        </w:rPr>
        <w:t xml:space="preserve">Abstract (EN): </w:t>
      </w:r>
      <w:r>
        <w:t>Ultrasound offers a noninvasive, clinically relevant means to achieve precise spatiotemporal control of cargo release from ultrasound-responsive drug delivery systems within deep tissues. This approach enables targeted delivery of therapeutic agents, enhancing efficacy while minimizing systemic toxicity. While previous studies show that release from ultrasound-responsive liposomes depends on acoustic parameters, the underlying mechanisms remain unclear. A deeper mechanistic understanding is essential to achieve precision over release and maximize therapeutic outcomes. To address this, we propose a sonoporation-based framework to describe release dynamics across varying frequencies, pressures, duty cycles, and pulse repetition frequencies for ultrasound-responsive poly(ethylene glycol)-functionalized liposomes. Using computational simulations validated by empirical results, our framework identifies a critical pressure threshold for release onset and demonstrates how the time spent above this threshold, modulated by acoustic parameters, governs release efficiency. To elucidate these effects, custom-built ultrasound transducers with different resonance frequencies were fabricated and characterized to ensure precise sample alignment, minimize acoustic distortion, and maintain a controlled focal-volume-to-sample-volume ratio across different frequencies. COMSOL simulations indicated that oscillatory acoustic pressure plays a more dominant role than acoustic radiation force, while coarse-grained molecular dynamics simulations captured pressure-dependent pore formation dynamics within the lipid bilayer. Together, our experiments and simulations highlight mechanical effects—particularly oscillatory acoustic pressure—as the primary driver of sonoporation-facilitated release. Finally, we discuss how optimizing acoustic parameters through this mechanistic framework could facilitate safe and effective clinical translation by considering tissue safety and ultrasound transducer design.</w:t>
      </w:r>
    </w:p>
    <w:p>
      <w:pPr>
        <w:spacing w:before="120" w:after="120"/>
      </w:pPr>
      <w:r>
        <w:rPr>
          <w:sz w:val="18"/>
        </w:rPr>
        <w:t>——————————————————————————————————————————————————————————————————————</w:t>
      </w:r>
    </w:p>
    <w:p>
      <w:pPr>
        <w:spacing w:before="160" w:after="40" w:line="240" w:lineRule="auto"/>
      </w:pPr>
      <w:r>
        <w:rPr>
          <w:b/>
        </w:rPr>
        <w:t xml:space="preserve">[321] </w:t>
      </w:r>
      <w:hyperlink r:id="rId803">
        <w:r>
          <w:rPr>
            <w:color w:val="1155CC"/>
            <w:u w:val="single"/>
          </w:rPr>
          <w:t>家禽生产中沙门氏菌和弯曲杆菌的基因组流行病学：量化原种繁殖者的贡献</w:t>
        </w:r>
      </w:hyperlink>
    </w:p>
    <w:p>
      <w:pPr>
        <w:spacing w:before="0" w:after="80"/>
      </w:pPr>
      <w:r>
        <w:rPr>
          <w:i/>
          <w:sz w:val="20"/>
        </w:rPr>
        <w:t>EN: Genomic epidemiology of Salmonella and Campylobacter in poultry production: Quantifying the contribution of primary breeders</w:t>
      </w:r>
    </w:p>
    <w:p>
      <w:pPr>
        <w:spacing w:before="0" w:after="120"/>
      </w:pPr>
      <w:r>
        <w:rPr>
          <w:b/>
        </w:rPr>
        <w:t xml:space="preserve">Source: </w:t>
      </w:r>
      <w:r>
        <w:t>Proceedings of the National Academy of Sciences: Keyword search for query</w:t>
      </w:r>
      <w:r>
        <w:t xml:space="preserve">    </w:t>
      </w:r>
      <w:r>
        <w:rPr>
          <w:b/>
        </w:rPr>
        <w:t xml:space="preserve">Pub date: </w:t>
      </w:r>
      <w:r>
        <w:t>2026-03-25 07:00:00+00:00</w:t>
      </w:r>
      <w:r>
        <w:t xml:space="preserve">    </w:t>
      </w:r>
      <w:r>
        <w:rPr>
          <w:b/>
        </w:rPr>
        <w:t xml:space="preserve">DOI: </w:t>
      </w:r>
      <w:hyperlink r:id="rId804">
        <w:r>
          <w:rPr>
            <w:color w:val="1155CC"/>
            <w:u w:val="single"/>
          </w:rPr>
          <w:t>10.1073/pnas.2536554123</w:t>
        </w:r>
      </w:hyperlink>
    </w:p>
    <w:p>
      <w:pPr>
        <w:spacing w:before="0" w:after="120"/>
      </w:pPr>
      <w:r>
        <w:rPr>
          <w:b/>
        </w:rPr>
        <w:t xml:space="preserve">Notes: </w:t>
      </w:r>
      <w:r>
        <w:t>abstract_source=crossref</w:t>
      </w:r>
    </w:p>
    <w:p>
      <w:pPr>
        <w:spacing w:before="0" w:after="80" w:lineRule="auto" w:line="276"/>
      </w:pPr>
      <w:r>
        <w:rPr>
          <w:b/>
        </w:rPr>
        <w:t xml:space="preserve">摘要（ZH）: </w:t>
      </w:r>
      <w:r>
        <w:t>美国肉鸡生产系统通过高度集成的金字塔结构每年加工超过93亿只鸡，其中两家主要育种公司向全国约40家主要整合商提供遗传种群。为了提供污染来源的定量、系统范围估计，我分析了从800多个加工设施收集的</w:t>
      </w:r>
      <w:r>
        <w:t xml:space="preserve"> </w:t>
      </w:r>
      <w:r>
        <w:t>沙门氏菌</w:t>
      </w:r>
      <w:r>
        <w:t xml:space="preserve"> </w:t>
      </w:r>
      <w:r>
        <w:t>和</w:t>
      </w:r>
      <w:r>
        <w:t xml:space="preserve"> </w:t>
      </w:r>
      <w:r>
        <w:t>弯曲杆菌</w:t>
      </w:r>
      <w:r>
        <w:t xml:space="preserve"> </w:t>
      </w:r>
      <w:r>
        <w:t>分离株的全基因组序列，这些数据是美国农业部食品安全检验局验证采样（2019-2025）的一部分。单链聚类识别出具有共同来源的分离株（</w:t>
      </w:r>
    </w:p>
    <w:p>
      <w:pPr>
        <w:spacing w:before="0" w:after="200" w:lineRule="auto" w:line="276"/>
      </w:pPr>
      <w:r>
        <w:rPr>
          <w:b/>
        </w:rPr>
        <w:t xml:space="preserve">Abstract (EN): </w:t>
      </w:r>
      <w:r>
        <w:t>The US broiler production system processes over 9.3 billion chickens annually through a highly integrated pyramid structure where two primary breeding companies supply genetic stock to approximately 40 major integrators operating nationwide. To provide a quantitative, system-wide estimate of contamination origins, I analyzed whole-genome sequences from</w:t>
      </w:r>
      <w:r>
        <w:t xml:space="preserve"> </w:t>
      </w:r>
      <w:r>
        <w:t>Salmonella</w:t>
      </w:r>
      <w:r>
        <w:t xml:space="preserve"> </w:t>
      </w:r>
      <w:r>
        <w:t>and</w:t>
      </w:r>
      <w:r>
        <w:t xml:space="preserve"> </w:t>
      </w:r>
      <w:r>
        <w:t>Campylobacter</w:t>
      </w:r>
      <w:r>
        <w:t xml:space="preserve"> </w:t>
      </w:r>
      <w:r>
        <w:t>isolates collected from over 800 processing facilities as part of the United States Department of Agriculture’s Food Safety Inspection Service verification sampling (2019-2025). Single-linkage clustering identified isolates sharing common origins (≤2, 4, or 8 SNPs genome-wide), which were categorized by processing complex, company, and geographical distributions to infer contamination sources. Among the isolates analyzed, 78% of</w:t>
      </w:r>
      <w:r>
        <w:t xml:space="preserve"> </w:t>
      </w:r>
      <w:r>
        <w:t>Campylobacter</w:t>
      </w:r>
      <w:r>
        <w:t xml:space="preserve"> </w:t>
      </w:r>
      <w:r>
        <w:t>, 77% of non-Enteritidis</w:t>
      </w:r>
      <w:r>
        <w:t xml:space="preserve"> </w:t>
      </w:r>
      <w:r>
        <w:t>Salmonella</w:t>
      </w:r>
      <w:r>
        <w:t xml:space="preserve"> </w:t>
      </w:r>
      <w:r>
        <w:t>, and 96% of</w:t>
      </w:r>
      <w:r>
        <w:t xml:space="preserve"> </w:t>
      </w:r>
      <w:r>
        <w:t>Salmonella</w:t>
      </w:r>
      <w:r>
        <w:t xml:space="preserve"> </w:t>
      </w:r>
      <w:r>
        <w:t>Enteritidis belonged to clusters spanning multiple companies and geographic regions—a pattern consistent with primary breeder origin. The geographic spread of Enteritidis isolates within clusters matched a random model, and cluster populations showed temporal turnover yet spatial synchrony—patterns explicable only by contamination from the apex of the breeding pyramid.</w:t>
      </w:r>
      <w:r>
        <w:t xml:space="preserve"> </w:t>
      </w:r>
      <w:r>
        <w:t>Campylobacter</w:t>
      </w:r>
      <w:r>
        <w:t xml:space="preserve"> </w:t>
      </w:r>
      <w:r>
        <w:t>showed regional clustering implying sources at lower levels of the breeding pyramid. Cluster persistence exceeded multiple production cycles (median &amp;gt;4 y for</w:t>
      </w:r>
      <w:r>
        <w:t xml:space="preserve"> </w:t>
      </w:r>
      <w:r>
        <w:t>Campylobacter</w:t>
      </w:r>
      <w:r>
        <w:t xml:space="preserve"> </w:t>
      </w:r>
      <w:r>
        <w:t>, &amp;gt;4.5 y for 75% of Enteritidis isolates), indicating stable contamination reservoirs upstream of processing. These results demonstrate that the primary breeders are a major source of broiler contamination and suggest that upstream interventions targeting breeding stock, in particular for Enteritidis, may represent an efficient strategy for further reducing clinical cases of foodborne illness.</w:t>
      </w:r>
    </w:p>
    <w:p>
      <w:pPr>
        <w:spacing w:before="120" w:after="120"/>
      </w:pPr>
      <w:r>
        <w:rPr>
          <w:sz w:val="18"/>
        </w:rPr>
        <w:t>——————————————————————————————————————————————————————————————————————</w:t>
      </w:r>
    </w:p>
    <w:p>
      <w:pPr>
        <w:spacing w:before="160" w:after="40" w:line="240" w:lineRule="auto"/>
      </w:pPr>
      <w:r>
        <w:rPr>
          <w:b/>
        </w:rPr>
        <w:t xml:space="preserve">[322] </w:t>
      </w:r>
      <w:hyperlink r:id="rId805">
        <w:r>
          <w:rPr>
            <w:color w:val="1155CC"/>
            <w:u w:val="single"/>
          </w:rPr>
          <w:t>DNA甲基化位点丢失导致的可塑性引导的新性状遗传固定</w:t>
        </w:r>
      </w:hyperlink>
    </w:p>
    <w:p>
      <w:pPr>
        <w:spacing w:before="0" w:after="80"/>
      </w:pPr>
      <w:r>
        <w:rPr>
          <w:i/>
          <w:sz w:val="20"/>
        </w:rPr>
        <w:t>EN: DNA methylation site loss for plasticity-led novel trait genetic fixation</w:t>
      </w:r>
    </w:p>
    <w:p>
      <w:pPr>
        <w:spacing w:before="0" w:after="120"/>
      </w:pPr>
      <w:r>
        <w:rPr>
          <w:b/>
        </w:rPr>
        <w:t xml:space="preserve">Source: </w:t>
      </w:r>
      <w:r>
        <w:t>Proceedings of the National Academy of Sciences: Keyword search for query</w:t>
      </w:r>
      <w:r>
        <w:t xml:space="preserve">    </w:t>
      </w:r>
      <w:r>
        <w:rPr>
          <w:b/>
        </w:rPr>
        <w:t xml:space="preserve">Pub date: </w:t>
      </w:r>
      <w:r>
        <w:t>2026-03-25 07:00:00+00:00</w:t>
      </w:r>
      <w:r>
        <w:t xml:space="preserve">    </w:t>
      </w:r>
      <w:r>
        <w:rPr>
          <w:b/>
        </w:rPr>
        <w:t xml:space="preserve">DOI: </w:t>
      </w:r>
      <w:hyperlink r:id="rId806">
        <w:r>
          <w:rPr>
            <w:color w:val="1155CC"/>
            <w:u w:val="single"/>
          </w:rPr>
          <w:t>10.1073/pnas.2534817123</w:t>
        </w:r>
      </w:hyperlink>
    </w:p>
    <w:p>
      <w:pPr>
        <w:spacing w:before="0" w:after="120"/>
      </w:pPr>
      <w:r>
        <w:rPr>
          <w:b/>
        </w:rPr>
        <w:t xml:space="preserve">Notes: </w:t>
      </w:r>
      <w:r>
        <w:t>abstract_source=crossref</w:t>
      </w:r>
    </w:p>
    <w:p>
      <w:pPr>
        <w:spacing w:before="0" w:after="80" w:lineRule="auto" w:line="276"/>
      </w:pPr>
      <w:r>
        <w:rPr>
          <w:b/>
        </w:rPr>
        <w:t xml:space="preserve">摘要（ZH）: </w:t>
      </w:r>
      <w:r>
        <w:t>表型可塑性允许生物体在环境变化中适应特征，但这种可塑性特征如何在分子基础上变得遗传固定仍不清楚。在此，我们通过全基因组甲基化分析、CRISPR/Cas9介导的删除和群体基因组分析研究了青鳉鱼（</w:t>
      </w:r>
      <w:r>
        <w:t xml:space="preserve"> </w:t>
      </w:r>
      <w:r>
        <w:t>Oryzias latipes</w:t>
      </w:r>
      <w:r>
        <w:t xml:space="preserve"> </w:t>
      </w:r>
      <w:r>
        <w:t>）的肠道长度可塑性。我们发现，</w:t>
      </w:r>
      <w:r>
        <w:t xml:space="preserve"> </w:t>
      </w:r>
      <w:r>
        <w:t>Plxnb3</w:t>
      </w:r>
      <w:r>
        <w:t xml:space="preserve"> </w:t>
      </w:r>
      <w:r>
        <w:t>上游CpG位点的季节性甲基化与肠道长度可塑性相关，删除该区域会消除可塑性。此外，</w:t>
      </w:r>
      <w:r>
        <w:t xml:space="preserve"> </w:t>
      </w:r>
      <w:r>
        <w:t>Ppp3r1</w:t>
      </w:r>
      <w:r>
        <w:t xml:space="preserve"> </w:t>
      </w:r>
      <w:r>
        <w:t>的现存变异与缺乏可塑性的群体中遗传固定的较长肠道长度相关。这些结果</w:t>
      </w:r>
    </w:p>
    <w:p>
      <w:pPr>
        <w:spacing w:before="0" w:after="200" w:lineRule="auto" w:line="276"/>
      </w:pPr>
      <w:r>
        <w:rPr>
          <w:b/>
        </w:rPr>
        <w:t xml:space="preserve">Abstract (EN): </w:t>
      </w:r>
      <w:r>
        <w:t>Phenotypic plasticity allows organisms to adapt traits in response to environmental changes, yet the molecular basis by which such plastic traits become genetically fixed remains unclear. Here, we investigated gut-length plasticity in medaka fish (</w:t>
      </w:r>
      <w:r>
        <w:t xml:space="preserve"> </w:t>
      </w:r>
      <w:r>
        <w:t>Oryzias latipes</w:t>
      </w:r>
      <w:r>
        <w:t xml:space="preserve"> </w:t>
      </w:r>
      <w:r>
        <w:t>) through genome-wide methylation profiling, CRISPR/Cas9-mediated deletion, and population genomic analyses. We found that seasonal methylation of CpG sites upstream of the</w:t>
      </w:r>
      <w:r>
        <w:t xml:space="preserve"> </w:t>
      </w:r>
      <w:r>
        <w:t>Plxnb3</w:t>
      </w:r>
      <w:r>
        <w:t xml:space="preserve"> </w:t>
      </w:r>
      <w:r>
        <w:t>is correlated with gut-length plasticity, and deletion of this region abolishes plasticity. Additionally, standing variation in</w:t>
      </w:r>
      <w:r>
        <w:t xml:space="preserve"> </w:t>
      </w:r>
      <w:r>
        <w:t>Ppp3r1</w:t>
      </w:r>
      <w:r>
        <w:t xml:space="preserve"> </w:t>
      </w:r>
      <w:r>
        <w:t>is associated with genetically fixed longer gut length in populations lacking plasticity. These results suggest that loss of epigenetic regulation via CpG site reduction triggers the genetic fixation of novel traits. Our findings provide molecular evidence linking epigenetic plasticity and genetic assimilation, advancing understanding of plasticity-led evolution in natural populations.</w:t>
      </w:r>
    </w:p>
    <w:p>
      <w:pPr>
        <w:spacing w:before="120" w:after="120"/>
      </w:pPr>
      <w:r>
        <w:rPr>
          <w:sz w:val="18"/>
        </w:rPr>
        <w:t>——————————————————————————————————————————————————————————————————————</w:t>
      </w:r>
    </w:p>
    <w:p>
      <w:pPr>
        <w:spacing w:before="160" w:after="40" w:line="240" w:lineRule="auto"/>
      </w:pPr>
      <w:r>
        <w:rPr>
          <w:b/>
        </w:rPr>
        <w:t xml:space="preserve">[323] </w:t>
      </w:r>
      <w:hyperlink r:id="rId807">
        <w:r>
          <w:rPr>
            <w:color w:val="1155CC"/>
            <w:u w:val="single"/>
          </w:rPr>
          <w:t>受体序列的分歧、增益、丢失、重复和新功能化驱动果蝇嗜醋果蝇的嗅觉适应</w:t>
        </w:r>
      </w:hyperlink>
    </w:p>
    <w:p>
      <w:pPr>
        <w:spacing w:before="0" w:after="80"/>
      </w:pPr>
      <w:r>
        <w:rPr>
          <w:i/>
          <w:sz w:val="20"/>
        </w:rPr>
        <w:t>EN: Receptor sequence divergence, gain, loss, duplication, and neofunctionalization drive olfactory adaptation in Drosophila suzukii</w:t>
      </w:r>
    </w:p>
    <w:p>
      <w:pPr>
        <w:spacing w:before="0" w:after="120"/>
      </w:pPr>
      <w:r>
        <w:rPr>
          <w:b/>
        </w:rPr>
        <w:t xml:space="preserve">Source: </w:t>
      </w:r>
      <w:r>
        <w:t>Proceedings of the National Academy of Sciences: Keyword search for query</w:t>
      </w:r>
      <w:r>
        <w:t xml:space="preserve">    </w:t>
      </w:r>
      <w:r>
        <w:rPr>
          <w:b/>
        </w:rPr>
        <w:t xml:space="preserve">Pub date: </w:t>
      </w:r>
      <w:r>
        <w:t>2026-03-25 07:00:00+00:00</w:t>
      </w:r>
      <w:r>
        <w:t xml:space="preserve">    </w:t>
      </w:r>
      <w:r>
        <w:rPr>
          <w:b/>
        </w:rPr>
        <w:t xml:space="preserve">DOI: </w:t>
      </w:r>
      <w:hyperlink r:id="rId808">
        <w:r>
          <w:rPr>
            <w:color w:val="1155CC"/>
            <w:u w:val="single"/>
          </w:rPr>
          <w:t>10.1073/pnas.2529586123</w:t>
        </w:r>
      </w:hyperlink>
    </w:p>
    <w:p>
      <w:pPr>
        <w:spacing w:before="0" w:after="120"/>
      </w:pPr>
      <w:r>
        <w:rPr>
          <w:b/>
        </w:rPr>
        <w:t xml:space="preserve">Notes: </w:t>
      </w:r>
      <w:r>
        <w:t>abstract_source=crossref</w:t>
      </w:r>
    </w:p>
    <w:p>
      <w:pPr>
        <w:spacing w:before="0" w:after="80" w:lineRule="auto" w:line="276"/>
      </w:pPr>
      <w:r>
        <w:rPr>
          <w:b/>
        </w:rPr>
        <w:t xml:space="preserve">摘要（ZH）: </w:t>
      </w:r>
      <w:r>
        <w:t>生态位的变化通常由嗅觉系统的进化变化驱动，但其潜在机制仍然知之甚少。为此，我们使用</w:t>
      </w:r>
      <w:r>
        <w:t xml:space="preserve"> </w:t>
      </w:r>
      <w:r>
        <w:t>Drosophila suzukii</w:t>
      </w:r>
      <w:r>
        <w:t xml:space="preserve"> </w:t>
      </w:r>
      <w:r>
        <w:t>，一种入侵性果实害虫，作为模型。与大多数偏好过熟水果的</w:t>
      </w:r>
      <w:r>
        <w:t xml:space="preserve"> </w:t>
      </w:r>
      <w:r>
        <w:t>Drosophila</w:t>
      </w:r>
      <w:r>
        <w:t xml:space="preserve"> </w:t>
      </w:r>
      <w:r>
        <w:t>物种不同，</w:t>
      </w:r>
      <w:r>
        <w:t xml:space="preserve"> </w:t>
      </w:r>
      <w:r>
        <w:t>D. suzukii</w:t>
      </w:r>
      <w:r>
        <w:t xml:space="preserve"> </w:t>
      </w:r>
      <w:r>
        <w:t>强烈偏好在成熟水果中产卵。我们发现这种转变伴随着仅少数嗅觉受体神经元（ORNs）气味调谐的显著变化，与</w:t>
      </w:r>
      <w:r>
        <w:t xml:space="preserve"> </w:t>
      </w:r>
      <w:r>
        <w:t>Drosophila melanogaster</w:t>
      </w:r>
      <w:r>
        <w:t xml:space="preserve"> </w:t>
      </w:r>
      <w:r>
        <w:t>相比。一些变化与其亲缘种</w:t>
      </w:r>
      <w:r>
        <w:t xml:space="preserve"> </w:t>
      </w:r>
      <w:r>
        <w:t>Drosophila biarmipes</w:t>
      </w:r>
      <w:r>
        <w:t xml:space="preserve"> </w:t>
      </w:r>
      <w:r>
        <w:t>共享，而其他</w:t>
      </w:r>
    </w:p>
    <w:p>
      <w:pPr>
        <w:spacing w:before="0" w:after="200" w:lineRule="auto" w:line="276"/>
      </w:pPr>
      <w:r>
        <w:rPr>
          <w:b/>
        </w:rPr>
        <w:t xml:space="preserve">Abstract (EN): </w:t>
      </w:r>
      <w:r>
        <w:t>Shifts in ecological niches are often driven by evolutionary changes in the olfactory system, yet the underlying mechanisms remain poorly understood. To investigate this, we used</w:t>
      </w:r>
      <w:r>
        <w:t xml:space="preserve"> </w:t>
      </w:r>
      <w:r>
        <w:t>Drosophila suzukii</w:t>
      </w:r>
      <w:r>
        <w:t xml:space="preserve"> </w:t>
      </w:r>
      <w:r>
        <w:t>, an invasive fruit pest, as a model. Unlike most</w:t>
      </w:r>
      <w:r>
        <w:t xml:space="preserve"> </w:t>
      </w:r>
      <w:r>
        <w:t>Drosophila</w:t>
      </w:r>
      <w:r>
        <w:t xml:space="preserve"> </w:t>
      </w:r>
      <w:r>
        <w:t>species, which prefer overripe fruit,</w:t>
      </w:r>
      <w:r>
        <w:t xml:space="preserve"> </w:t>
      </w:r>
      <w:r>
        <w:t>D. suzukii</w:t>
      </w:r>
      <w:r>
        <w:t xml:space="preserve"> </w:t>
      </w:r>
      <w:r>
        <w:t>strongly prefers laying eggs in ripe fruit. We found that this shift is accompanied by pronounced changes in the odorant tuning of only a few olfactory receptor neurons (ORNs) compared to</w:t>
      </w:r>
      <w:r>
        <w:t xml:space="preserve"> </w:t>
      </w:r>
      <w:r>
        <w:t>Drosophila melanogaster</w:t>
      </w:r>
      <w:r>
        <w:t xml:space="preserve"> </w:t>
      </w:r>
      <w:r>
        <w:t>. Some changes are shared with its relative</w:t>
      </w:r>
      <w:r>
        <w:t xml:space="preserve"> </w:t>
      </w:r>
      <w:r>
        <w:t>Drosophila biarmipes</w:t>
      </w:r>
      <w:r>
        <w:t xml:space="preserve"> </w:t>
      </w:r>
      <w:r>
        <w:t>, whereas others are unique to</w:t>
      </w:r>
      <w:r>
        <w:t xml:space="preserve"> </w:t>
      </w:r>
      <w:r>
        <w:t>D. suzukii</w:t>
      </w:r>
      <w:r>
        <w:t xml:space="preserve"> </w:t>
      </w:r>
      <w:r>
        <w:t>. These shifts resulted not only from receptor sequence divergence but also from additional mechanisms. In one ORN, a second odorant receptor (</w:t>
      </w:r>
      <w:r>
        <w:t xml:space="preserve"> </w:t>
      </w:r>
      <w:r>
        <w:t>Or</w:t>
      </w:r>
      <w:r>
        <w:t xml:space="preserve"> </w:t>
      </w:r>
      <w:r>
        <w:t>), distinct from the ancestral</w:t>
      </w:r>
      <w:r>
        <w:t xml:space="preserve"> </w:t>
      </w:r>
      <w:r>
        <w:t>Or</w:t>
      </w:r>
      <w:r>
        <w:t xml:space="preserve"> </w:t>
      </w:r>
      <w:r>
        <w:t>, mediates detection of a leaf-derived odorant, while a single amino acid substitution—likely acting with additional changes—in the ancestral Or fine-tunes sensitivity to fruit-ripening esters. In two additional ORNs, four gene duplicates derived from an ancestral</w:t>
      </w:r>
      <w:r>
        <w:t xml:space="preserve"> </w:t>
      </w:r>
      <w:r>
        <w:t>Or</w:t>
      </w:r>
      <w:r>
        <w:t xml:space="preserve"> </w:t>
      </w:r>
      <w:r>
        <w:t>mediate tuning shifts: Two duplicates maintain responses similar to the original ORN, while two tandem duplicates confer responses in a preexisting ORN that has lost its ancestral</w:t>
      </w:r>
      <w:r>
        <w:t xml:space="preserve"> </w:t>
      </w:r>
      <w:r>
        <w:t>Or</w:t>
      </w:r>
      <w:r>
        <w:t xml:space="preserve"> </w:t>
      </w:r>
      <w:r>
        <w:t>. This neofunctionalization is unique to</w:t>
      </w:r>
      <w:r>
        <w:t xml:space="preserve"> </w:t>
      </w:r>
      <w:r>
        <w:t>D. suzukii</w:t>
      </w:r>
      <w:r>
        <w:t xml:space="preserve"> </w:t>
      </w:r>
      <w:r>
        <w:t>. Finally, we show that two of the receptors underlying these innovations are required for attraction to ripe fruit but are dispensable for egg-laying preference. Our findings reveal how receptor sequence divergence, coexpression, loss, duplication, and neofunctionalization drive sensory adaptation and ecological specialization and provide a foundation for identifying additional attractants and repellents to control</w:t>
      </w:r>
      <w:r>
        <w:t xml:space="preserve"> </w:t>
      </w:r>
      <w:r>
        <w:t>D. suzukii</w:t>
      </w:r>
      <w:r>
        <w:t xml:space="preserve"> </w:t>
      </w:r>
      <w:r>
        <w:t>.</w:t>
      </w:r>
    </w:p>
    <w:p>
      <w:pPr>
        <w:spacing w:before="120" w:after="120"/>
      </w:pPr>
      <w:r>
        <w:rPr>
          <w:sz w:val="18"/>
        </w:rPr>
        <w:t>——————————————————————————————————————————————————————————————————————</w:t>
      </w:r>
    </w:p>
    <w:p>
      <w:pPr>
        <w:spacing w:before="160" w:after="40" w:line="240" w:lineRule="auto"/>
      </w:pPr>
      <w:r>
        <w:rPr>
          <w:b/>
        </w:rPr>
        <w:t xml:space="preserve">[324] </w:t>
      </w:r>
      <w:hyperlink r:id="rId809">
        <w:r>
          <w:rPr>
            <w:color w:val="1155CC"/>
            <w:u w:val="single"/>
          </w:rPr>
          <w:t>湍流中拉格朗日粒子动力学的数据驱动Mori–Zwanzig建模</w:t>
        </w:r>
      </w:hyperlink>
    </w:p>
    <w:p>
      <w:pPr>
        <w:spacing w:before="0" w:after="80"/>
      </w:pPr>
      <w:r>
        <w:rPr>
          <w:i/>
          <w:sz w:val="20"/>
        </w:rPr>
        <w:t>EN: Data-driven Mori–Zwanzig modeling of Lagrangian particle dynamics in turbulent flows</w:t>
      </w:r>
    </w:p>
    <w:p>
      <w:pPr>
        <w:spacing w:before="0" w:after="120"/>
      </w:pPr>
      <w:r>
        <w:rPr>
          <w:b/>
        </w:rPr>
        <w:t xml:space="preserve">Source: </w:t>
      </w:r>
      <w:r>
        <w:t>Proceedings of the National Academy of Sciences: Keyword search for query</w:t>
      </w:r>
      <w:r>
        <w:t xml:space="preserve">    </w:t>
      </w:r>
      <w:r>
        <w:rPr>
          <w:b/>
        </w:rPr>
        <w:t xml:space="preserve">Pub date: </w:t>
      </w:r>
      <w:r>
        <w:t>2026-03-25 07:00:00+00:00</w:t>
      </w:r>
      <w:r>
        <w:t xml:space="preserve">    </w:t>
      </w:r>
      <w:r>
        <w:rPr>
          <w:b/>
        </w:rPr>
        <w:t xml:space="preserve">DOI: </w:t>
      </w:r>
      <w:hyperlink r:id="rId810">
        <w:r>
          <w:rPr>
            <w:color w:val="1155CC"/>
            <w:u w:val="single"/>
          </w:rPr>
          <w:t>10.1073/pnas.2525390123</w:t>
        </w:r>
      </w:hyperlink>
    </w:p>
    <w:p>
      <w:pPr>
        <w:spacing w:before="0" w:after="120"/>
      </w:pPr>
      <w:r>
        <w:rPr>
          <w:b/>
        </w:rPr>
        <w:t xml:space="preserve">Notes: </w:t>
      </w:r>
      <w:r>
        <w:t>abstract_source=crossref</w:t>
      </w:r>
    </w:p>
    <w:p>
      <w:pPr>
        <w:spacing w:before="0" w:after="80" w:lineRule="auto" w:line="276"/>
      </w:pPr>
      <w:r>
        <w:rPr>
          <w:b/>
        </w:rPr>
        <w:t xml:space="preserve">摘要（ZH）: </w:t>
      </w:r>
      <w:r>
        <w:t>湍流中拉格朗日粒子的动力学在复杂流动中的混合、传输和扩散中起着至关重要的作用。它们的轨迹表现出高度复杂的统计行为，这促使开发替代模型，这些模型可以在不产生直接数值模拟完整欧拉场的高计算成本的情况下再现这些轨迹。这项任务特别具有挑战性，因为降阶模型通常无法访问与底层湍流场的完整交互集。新颖的数据驱动机器学习技术在捕捉和再现降阶/替代动力学的复杂统计方面具有强大功能。在这项工作中，我们展示了如何学习一个替代动力系统，该系统能够演化湍流拉格朗日粒子。</w:t>
      </w:r>
    </w:p>
    <w:p>
      <w:pPr>
        <w:spacing w:before="0" w:after="200" w:lineRule="auto" w:line="276"/>
      </w:pPr>
      <w:r>
        <w:rPr>
          <w:b/>
        </w:rPr>
        <w:t xml:space="preserve">Abstract (EN): </w:t>
      </w:r>
      <w:r>
        <w:t>The dynamics of Lagrangian particles in turbulence play a crucial role in mixing, transport, and dispersion in complex flows. Their trajectories exhibit highly nontrivial statistical behavior, motivating the development of surrogate models that can reproduce these trajectories without incurring the high computational cost of direct numerical simulations of the full Eulerian field. This task is particularly challenging because reduced-order models typically lack access to the full set of interactions with the underlying turbulent field. Novel data-driven machine learning techniques can be powerful in capturing and reproducing complex statistics of the reduced-order/surrogate dynamics. In this work, we show how one can learn a surrogate dynamical system that is able to evolve a turbulent Lagrangian trajectory in a way that is point-wise accurate for short-time predictions (with respect to Kolmogorov time) and stable and statistically accurate at long times. This approach is based on the Mori–Zwanzig formalism, which prescribes a mathematical decomposition of the full dynamical system into resolved dynamics that depend on the current state and the past history of a reduced set of observables, and the unresolved orthogonal dynamics due to unresolved degrees of freedom of the initial state. We show how by training this reduced order model on a point-wise error metric on short time-prediction, we are able to correctly learn the dynamics of Lagrangian turbulence, such that also the long-time statistical behavior is stably recovered at test time. This opens up a range of applications, for example, for the control of active Lagrangian agents in turbulence.</w:t>
      </w:r>
    </w:p>
    <w:p>
      <w:pPr>
        <w:spacing w:before="120" w:after="120"/>
      </w:pPr>
      <w:r>
        <w:rPr>
          <w:sz w:val="18"/>
        </w:rPr>
        <w:t>——————————————————————————————————————————————————————————————————————</w:t>
      </w:r>
    </w:p>
    <w:p>
      <w:pPr>
        <w:spacing w:before="160" w:after="40" w:line="240" w:lineRule="auto"/>
      </w:pPr>
      <w:r>
        <w:rPr>
          <w:b/>
        </w:rPr>
        <w:t xml:space="preserve">[325] </w:t>
      </w:r>
      <w:hyperlink r:id="rId811">
        <w:r>
          <w:rPr>
            <w:color w:val="1155CC"/>
            <w:u w:val="single"/>
          </w:rPr>
          <w:t>在异质社会中改变社会规范的领导力</w:t>
        </w:r>
      </w:hyperlink>
    </w:p>
    <w:p>
      <w:pPr>
        <w:spacing w:before="0" w:after="80"/>
      </w:pPr>
      <w:r>
        <w:rPr>
          <w:i/>
          <w:sz w:val="20"/>
        </w:rPr>
        <w:t>EN: The power of leadership in changing social norms in heterogeneous societies</w:t>
      </w:r>
    </w:p>
    <w:p>
      <w:pPr>
        <w:spacing w:before="0" w:after="120"/>
      </w:pPr>
      <w:r>
        <w:rPr>
          <w:b/>
        </w:rPr>
        <w:t xml:space="preserve">Source: </w:t>
      </w:r>
      <w:r>
        <w:t>Proceedings of the National Academy of Sciences: Keyword search for query</w:t>
      </w:r>
      <w:r>
        <w:t xml:space="preserve">    </w:t>
      </w:r>
      <w:r>
        <w:rPr>
          <w:b/>
        </w:rPr>
        <w:t xml:space="preserve">Pub date: </w:t>
      </w:r>
      <w:r>
        <w:t>2026-03-25 07:00:00+00:00</w:t>
      </w:r>
      <w:r>
        <w:t xml:space="preserve">    </w:t>
      </w:r>
      <w:r>
        <w:rPr>
          <w:b/>
        </w:rPr>
        <w:t xml:space="preserve">DOI: </w:t>
      </w:r>
      <w:hyperlink r:id="rId812">
        <w:r>
          <w:rPr>
            <w:color w:val="1155CC"/>
            <w:u w:val="single"/>
          </w:rPr>
          <w:t>10.1073/pnas.2526916123</w:t>
        </w:r>
      </w:hyperlink>
    </w:p>
    <w:p>
      <w:pPr>
        <w:spacing w:before="0" w:after="120"/>
      </w:pPr>
      <w:r>
        <w:rPr>
          <w:b/>
        </w:rPr>
        <w:t xml:space="preserve">Notes: </w:t>
      </w:r>
      <w:r>
        <w:t>abstract_source=crossref</w:t>
      </w:r>
    </w:p>
    <w:p>
      <w:pPr>
        <w:spacing w:before="0" w:after="80" w:lineRule="auto" w:line="276"/>
      </w:pPr>
      <w:r>
        <w:rPr>
          <w:b/>
        </w:rPr>
        <w:t xml:space="preserve">摘要（ZH）: </w:t>
      </w:r>
      <w:r>
        <w:t>由于强烈的从众压力，放弃有害的社会规范是复杂的。我们研究了领导者如何在个体偏好以不同速度演变的异质社会中引导规范变革。受[J. Andreoni, N. Nikiforakis, 和 S. Siegenthaler, Proc. Natl. Acad. Sci. U.S.A. 118, e2014893118 (2021)]的模型和实验设计启发，我们进行了一项大规模实验室实验，在其中我们操控社会中偏好变化的速度，并引入具有不同、不断变化偏好的领导者。在没有领导者的情况下，偏好快速变化的少数公民无法在大多数个体偏好变化缓慢的社会中推翻现有规范。当快速</w:t>
      </w:r>
    </w:p>
    <w:p>
      <w:pPr>
        <w:spacing w:before="0" w:after="200" w:lineRule="auto" w:line="276"/>
      </w:pPr>
      <w:r>
        <w:rPr>
          <w:b/>
        </w:rPr>
        <w:t xml:space="preserve">Abstract (EN): </w:t>
      </w:r>
      <w:r>
        <w:t>Abandoning detrimental social norms is complex due to the strong pressure to conform. We examine how leaders can guide norm change in heterogeneous societies where individual preferences evolve at different rates. Inspired by the model and experimental design of [J. Andreoni, N. Nikiforakis, and S. Siegenthaler,</w:t>
      </w:r>
      <w:r>
        <w:t xml:space="preserve"> </w:t>
      </w:r>
      <w:r>
        <w:t>Proc. Natl. Acad. Sci. U.S.A.</w:t>
      </w:r>
      <w:r>
        <w:rPr>
          <w:vertAlign w:val="subscript"/>
        </w:rPr>
        <w:t>118</w:t>
      </w:r>
      <w:r>
        <w:t>, e2014893118 (2021)], we conduct a large-scale laboratory experiment in which we manipulate the speed at which preferences change within a society and introduce leaders with different, evolving preferences. Without leaders, a minority of citizens with rapidly changing preferences cannot overturn an existing norm in a society where most individuals have slow-changing preferences. When fast-changing citizens form the majority, norm change occurs in most groups, but at high welfare costs. In contrast, exogenously selected leaders are highly effective at coordinating expectations and shifting heterogeneous societies toward a more efficient norm—at lower welfare costs and regardless of the underlying distribution of preference evolution across individuals. However, the timing of norm change depends on whether leaders prioritize their preferences (autocratic leadership) or those of the majority (democratic leadership). A follow-up experiment shows that peer-to-peer communication encourages leaders to adopt a more democratic leadership style. These results highlight the pivotal role of leadership in driving norm change and the importance of public voice in shaping leaders’ behavior.</w:t>
      </w:r>
    </w:p>
    <w:p>
      <w:pPr>
        <w:spacing w:before="120" w:after="120"/>
      </w:pPr>
      <w:r>
        <w:rPr>
          <w:sz w:val="18"/>
        </w:rPr>
        <w:t>——————————————————————————————————————————————————————————————————————</w:t>
      </w:r>
    </w:p>
    <w:p>
      <w:pPr>
        <w:spacing w:before="160" w:after="40" w:line="240" w:lineRule="auto"/>
      </w:pPr>
      <w:r>
        <w:rPr>
          <w:b/>
        </w:rPr>
        <w:t xml:space="preserve">[326] </w:t>
      </w:r>
      <w:hyperlink r:id="rId813">
        <w:r>
          <w:rPr>
            <w:color w:val="1155CC"/>
            <w:u w:val="single"/>
          </w:rPr>
          <w:t>来自蓝藻Anabaena sp. PCC 7120的光系统I-CpcL-藻胆蛋白超复合物的结构洞察</w:t>
        </w:r>
      </w:hyperlink>
    </w:p>
    <w:p>
      <w:pPr>
        <w:spacing w:before="0" w:after="80"/>
      </w:pPr>
      <w:r>
        <w:rPr>
          <w:i/>
          <w:sz w:val="20"/>
        </w:rPr>
        <w:t>EN: Structural insight of a photosystem I-CpcL-phycobilisome supercomplex from a cyanobacterium Anabaena sp. PCC 7120</w:t>
      </w:r>
    </w:p>
    <w:p>
      <w:pPr>
        <w:spacing w:before="0" w:after="120"/>
      </w:pPr>
      <w:r>
        <w:rPr>
          <w:b/>
        </w:rPr>
        <w:t xml:space="preserve">Source: </w:t>
      </w:r>
      <w:r>
        <w:t>Proceedings of the National Academy of Sciences: Keyword search for query</w:t>
      </w:r>
      <w:r>
        <w:t xml:space="preserve">    </w:t>
      </w:r>
      <w:r>
        <w:rPr>
          <w:b/>
        </w:rPr>
        <w:t xml:space="preserve">Pub date: </w:t>
      </w:r>
      <w:r>
        <w:t>2026-03-25 07:00:00+00:00</w:t>
      </w:r>
      <w:r>
        <w:t xml:space="preserve">    </w:t>
      </w:r>
      <w:r>
        <w:rPr>
          <w:b/>
        </w:rPr>
        <w:t xml:space="preserve">DOI: </w:t>
      </w:r>
      <w:hyperlink r:id="rId814">
        <w:r>
          <w:rPr>
            <w:color w:val="1155CC"/>
            <w:u w:val="single"/>
          </w:rPr>
          <w:t>10.1073/pnas.2530459123</w:t>
        </w:r>
      </w:hyperlink>
    </w:p>
    <w:p>
      <w:pPr>
        <w:spacing w:before="0" w:after="120"/>
      </w:pPr>
      <w:r>
        <w:rPr>
          <w:b/>
        </w:rPr>
        <w:t xml:space="preserve">Notes: </w:t>
      </w:r>
      <w:r>
        <w:t>abstract_source=crossref</w:t>
      </w:r>
    </w:p>
    <w:p>
      <w:pPr>
        <w:spacing w:before="0" w:after="80" w:lineRule="auto" w:line="276"/>
      </w:pPr>
      <w:r>
        <w:rPr>
          <w:b/>
        </w:rPr>
        <w:t xml:space="preserve">摘要（ZH）: </w:t>
      </w:r>
      <w:r>
        <w:t>藻胆体（PBSs）是由藻胆蛋白和连接蛋白组成的超分子色素-蛋白复合物，作为主要的光捕获复合物，将光能传递给蓝藻和真核红藻中的光系统II（PSII）和光系统I（PSI）。在蓝藻中，一种没有核心的杆状PBS通过连接蛋白CpcL专门连接到PSI上，形成PSI-CpcL-PBS超复合物。然而，CpcL-PBS与PSI结合的机制仍不清楚。在此，我们报告了来自蓝藻Anabaena sp. PCC 7120的PSI-CpcL-PBS在2.98 Å和CpcL-PBS在2.93 Å分辨率下的冷冻电子显微结构。CpcL-PBS位于PSI四聚体的基质侧，并且</w:t>
      </w:r>
    </w:p>
    <w:p>
      <w:pPr>
        <w:spacing w:before="0" w:after="200" w:lineRule="auto" w:line="276"/>
      </w:pPr>
      <w:r>
        <w:rPr>
          <w:b/>
        </w:rPr>
        <w:t xml:space="preserve">Abstract (EN): </w:t>
      </w:r>
      <w:r>
        <w:t>Phycobilisomes (PBSs) are supramolecular pigment–protein complexes composed of phycobiliproteins and linker proteins, serving as the major light-harvesting complexes that capture and transfer light energy to photosystem II (PSII) and photosystem I (PSI) in cyanobacteria and eukaryotic red algae. In cyanobacteria, a rod-type PBS that does not have a core is specifically connected to PSI by a linker protein CpcL to form a PSI-CpcL-PBS supercomplex. However, the mechanism of CpcL-PBS association to PSI remains unclear. Here, we report the cryoelectron microscopic structures of PSI-CpcL-PBS at 2.98 Å and CpcL-PBS at 2.93 Å resolution from a cyanobacterium</w:t>
      </w:r>
      <w:r>
        <w:t xml:space="preserve"> </w:t>
      </w:r>
      <w:r>
        <w:t>Anabaena</w:t>
      </w:r>
      <w:r>
        <w:t xml:space="preserve"> </w:t>
      </w:r>
      <w:r>
        <w:t>sp. PCC 7120, respectively. CpcL-PBS is located on the stromal side of a PSI tetramer and exhibits a structure of three-layered PBS consisting of four linkers (CpcL, CpcC1, CpcC2, PecC) and 18 pairs of phycocyanin αβ monomers. The C-terminal transmembrane helix of CpcL inserts to the membrane and interacts with PsaA, PsaB, and PsaM of PSI at an interface I between two PSI monomers, enabling the formation of the PSI-CpcL-PBS supercomplex. The exact structure of protein subunits and arrangement of bilin and chlorophyll pigments are revealed, which provide a structural basis for the assembly of PSI-CpcL-PBS and possible excitation energy transfer pathways from antennas to PSI within this supercomplex, shedding light on the organization and attachment of CpcL-PBS in cyanobacterial thylakoids.</w:t>
      </w:r>
    </w:p>
    <w:p>
      <w:pPr>
        <w:spacing w:before="120" w:after="120"/>
      </w:pPr>
      <w:r>
        <w:rPr>
          <w:sz w:val="18"/>
        </w:rPr>
        <w:t>——————————————————————————————————————————————————————————————————————</w:t>
      </w:r>
    </w:p>
    <w:p>
      <w:pPr>
        <w:spacing w:before="160" w:after="40" w:line="240" w:lineRule="auto"/>
      </w:pPr>
      <w:r>
        <w:rPr>
          <w:b/>
        </w:rPr>
        <w:t xml:space="preserve">[327] </w:t>
      </w:r>
      <w:hyperlink r:id="rId815">
        <w:r>
          <w:rPr>
            <w:color w:val="1155CC"/>
            <w:u w:val="single"/>
          </w:rPr>
          <w:t>一种保守的乙烯触发的细胞死亡机制可能是植物种间空心茎形成的基础</w:t>
        </w:r>
      </w:hyperlink>
    </w:p>
    <w:p>
      <w:pPr>
        <w:spacing w:before="0" w:after="80"/>
      </w:pPr>
      <w:r>
        <w:rPr>
          <w:i/>
          <w:sz w:val="20"/>
        </w:rPr>
        <w:t>EN: A conserved ethylene-triggered cell death mechanism may underlie hollow stem formation across plant species</w:t>
      </w:r>
    </w:p>
    <w:p>
      <w:pPr>
        <w:spacing w:before="0" w:after="120"/>
      </w:pPr>
      <w:r>
        <w:rPr>
          <w:b/>
        </w:rPr>
        <w:t xml:space="preserve">Source: </w:t>
      </w:r>
      <w:r>
        <w:t>Proceedings of the National Academy of Sciences: Keyword search for query</w:t>
      </w:r>
      <w:r>
        <w:t xml:space="preserve">    </w:t>
      </w:r>
      <w:r>
        <w:rPr>
          <w:b/>
        </w:rPr>
        <w:t xml:space="preserve">Pub date: </w:t>
      </w:r>
      <w:r>
        <w:t>2026-03-25 07:00:00+00:00</w:t>
      </w:r>
      <w:r>
        <w:t xml:space="preserve">    </w:t>
      </w:r>
      <w:r>
        <w:rPr>
          <w:b/>
        </w:rPr>
        <w:t xml:space="preserve">DOI: </w:t>
      </w:r>
      <w:hyperlink r:id="rId816">
        <w:r>
          <w:rPr>
            <w:color w:val="1155CC"/>
            <w:u w:val="single"/>
          </w:rPr>
          <w:t>10.1073/pnas.2530957123</w:t>
        </w:r>
      </w:hyperlink>
    </w:p>
    <w:p>
      <w:pPr>
        <w:spacing w:before="0" w:after="120"/>
      </w:pPr>
      <w:r>
        <w:rPr>
          <w:b/>
        </w:rPr>
        <w:t xml:space="preserve">Notes: </w:t>
      </w:r>
      <w:r>
        <w:t>abstract_source=crossref</w:t>
      </w:r>
    </w:p>
    <w:p>
      <w:pPr>
        <w:spacing w:before="0" w:after="80" w:lineRule="auto" w:line="276"/>
      </w:pPr>
      <w:r>
        <w:rPr>
          <w:b/>
        </w:rPr>
        <w:t xml:space="preserve">摘要（ZH）: </w:t>
      </w:r>
      <w:r>
        <w:t>植物界中，中空茎已经多次独立进化，并在植物发育和各种环境适应中发挥着关键作用。然而，茎中空的机制仍然知之甚少。空心菜（</w:t>
      </w:r>
      <w:r>
        <w:t xml:space="preserve"> </w:t>
      </w:r>
      <w:r>
        <w:t>Ipomoea aquatica</w:t>
      </w:r>
      <w:r>
        <w:t xml:space="preserve"> </w:t>
      </w:r>
      <w:r>
        <w:t>）是</w:t>
      </w:r>
      <w:r>
        <w:t xml:space="preserve"> </w:t>
      </w:r>
      <w:r>
        <w:t>Convolvulaceae</w:t>
      </w:r>
      <w:r>
        <w:t xml:space="preserve"> </w:t>
      </w:r>
      <w:r>
        <w:t>科（真双子叶植物：菊类）中少数具有中空茎的植物之一，其中空茎对于在水生环境中茁壮成长至关重要。通过组织化学染色和转录组分析，我们发现程序性细胞死亡（PCD）参与了空心菜芽尖的腔体形成。单细胞和空间转录组分析进一步揭示了乙烯和活性氧（ROS）可能驱动</w:t>
      </w:r>
    </w:p>
    <w:p>
      <w:pPr>
        <w:spacing w:before="0" w:after="200" w:lineRule="auto" w:line="276"/>
      </w:pPr>
      <w:r>
        <w:rPr>
          <w:b/>
        </w:rPr>
        <w:t xml:space="preserve">Abstract (EN): </w:t>
      </w:r>
      <w:r>
        <w:t>Hollow stems have independently evolved multiple times across the plant kingdom and play crucial roles in plant development and various environmental adaptations. However, the mechanisms underlying stem hollowness remain poorly understood. Water spinach (</w:t>
      </w:r>
      <w:r>
        <w:t xml:space="preserve"> </w:t>
      </w:r>
      <w:r>
        <w:t>Ipomoea aquatica</w:t>
      </w:r>
      <w:r>
        <w:t xml:space="preserve"> </w:t>
      </w:r>
      <w:r>
        <w:t>) is one of the few hollow-stemmed plants in the</w:t>
      </w:r>
      <w:r>
        <w:t xml:space="preserve"> </w:t>
      </w:r>
      <w:r>
        <w:t>Convolvulaceae</w:t>
      </w:r>
      <w:r>
        <w:t xml:space="preserve"> </w:t>
      </w:r>
      <w:r>
        <w:t>family (eudicot: asterid), and its hollow stems are essential for thriving in aquatic environments. Using histochemical staining and transcriptome analysis, we found that programmed cell death (PCD) is involved in cavity formation at water spinach shoot tips. Single-cell and spatial transcriptome analyses further revealed that ethylene and reactive oxygen species (ROS) likely drive and regulate this process by activating transcription factors</w:t>
      </w:r>
      <w:r>
        <w:t xml:space="preserve"> </w:t>
      </w:r>
      <w:r>
        <w:t>IaNAC074</w:t>
      </w:r>
      <w:r>
        <w:t xml:space="preserve"> </w:t>
      </w:r>
      <w:r>
        <w:t>,</w:t>
      </w:r>
      <w:r>
        <w:t xml:space="preserve"> </w:t>
      </w:r>
      <w:r>
        <w:t>IaNAC087</w:t>
      </w:r>
      <w:r>
        <w:t xml:space="preserve"> </w:t>
      </w:r>
      <w:r>
        <w:t>,</w:t>
      </w:r>
      <w:r>
        <w:t xml:space="preserve"> </w:t>
      </w:r>
      <w:r>
        <w:t>IaNAC029</w:t>
      </w:r>
      <w:r>
        <w:t xml:space="preserve"> </w:t>
      </w:r>
      <w:r>
        <w:t>,</w:t>
      </w:r>
      <w:r>
        <w:t xml:space="preserve"> </w:t>
      </w:r>
      <w:r>
        <w:t>IaNTL9</w:t>
      </w:r>
      <w:r>
        <w:t xml:space="preserve"> </w:t>
      </w:r>
      <w:r>
        <w:t>, and</w:t>
      </w:r>
      <w:r>
        <w:t xml:space="preserve"> </w:t>
      </w:r>
      <w:r>
        <w:t>IaTGA9</w:t>
      </w:r>
      <w:r>
        <w:t xml:space="preserve"> </w:t>
      </w:r>
      <w:r>
        <w:t>, which likely initiate PCD, senescence, and autophagy, collectively leading to pith cell death. These findings were validated through treatments with ethylene and ROS reagents in water spinach, as well as transient expression assays in tobacco. Additionally, transcriptomic data suggest that these mechanisms may also play a role in hollow stem formation in horsetail (fern), moso bamboo (monocot), and broad bean (eudicot: rosid), highlighting the conservation of PCD regulatory mechanisms in hollow stem formation. This study not only fills a major knowledge gap in the adaptive mechanisms of hollow stem formation but also opens broad avenues for agricultural and ecological applications, offering strategies to enhance crop tolerance to flooding and accelerate crop growth.</w:t>
      </w:r>
    </w:p>
    <w:p>
      <w:pPr>
        <w:spacing w:before="120" w:after="120"/>
      </w:pPr>
      <w:r>
        <w:rPr>
          <w:sz w:val="18"/>
        </w:rPr>
        <w:t>——————————————————————————————————————————————————————————————————————</w:t>
      </w:r>
    </w:p>
    <w:p>
      <w:pPr>
        <w:spacing w:before="160" w:after="40" w:line="240" w:lineRule="auto"/>
      </w:pPr>
      <w:r>
        <w:rPr>
          <w:b/>
        </w:rPr>
        <w:t xml:space="preserve">[328] </w:t>
      </w:r>
      <w:hyperlink r:id="rId817">
        <w:r>
          <w:rPr>
            <w:color w:val="1155CC"/>
            <w:u w:val="single"/>
          </w:rPr>
          <w:t>由急性压力驱动的人类心理韧性的神经特征</w:t>
        </w:r>
      </w:hyperlink>
    </w:p>
    <w:p>
      <w:pPr>
        <w:spacing w:before="0" w:after="80"/>
      </w:pPr>
      <w:r>
        <w:rPr>
          <w:i/>
          <w:sz w:val="20"/>
        </w:rPr>
        <w:t>EN: Neural signatures of human psychological resilience driven by acute stress</w:t>
      </w:r>
    </w:p>
    <w:p>
      <w:pPr>
        <w:spacing w:before="0" w:after="120"/>
      </w:pPr>
      <w:r>
        <w:rPr>
          <w:b/>
        </w:rPr>
        <w:t xml:space="preserve">Source: </w:t>
      </w:r>
      <w:r>
        <w:t>Proceedings of the National Academy of Sciences: Keyword search for query</w:t>
      </w:r>
      <w:r>
        <w:t xml:space="preserve">    </w:t>
      </w:r>
      <w:r>
        <w:rPr>
          <w:b/>
        </w:rPr>
        <w:t xml:space="preserve">Pub date: </w:t>
      </w:r>
      <w:r>
        <w:t>2026-03-25 07:00:00+00:00</w:t>
      </w:r>
      <w:r>
        <w:t xml:space="preserve">    </w:t>
      </w:r>
      <w:r>
        <w:rPr>
          <w:b/>
        </w:rPr>
        <w:t xml:space="preserve">DOI: </w:t>
      </w:r>
      <w:hyperlink r:id="rId818">
        <w:r>
          <w:rPr>
            <w:color w:val="1155CC"/>
            <w:u w:val="single"/>
          </w:rPr>
          <w:t>10.1073/pnas.2524075123</w:t>
        </w:r>
      </w:hyperlink>
    </w:p>
    <w:p>
      <w:pPr>
        <w:spacing w:before="0" w:after="120"/>
      </w:pPr>
      <w:r>
        <w:rPr>
          <w:b/>
        </w:rPr>
        <w:t xml:space="preserve">Notes: </w:t>
      </w:r>
      <w:r>
        <w:t>abstract_source=crossref</w:t>
      </w:r>
    </w:p>
    <w:p>
      <w:pPr>
        <w:spacing w:before="0" w:after="80" w:lineRule="auto" w:line="276"/>
      </w:pPr>
      <w:r>
        <w:rPr>
          <w:b/>
        </w:rPr>
        <w:t xml:space="preserve">摘要（ZH）: </w:t>
      </w:r>
      <w:r>
        <w:t>心理韧性——克服逆境的能力——的神经生理机制在动物中已被广泛研究。然而，与动物相比，人类的韧性是独特的，因为它由更高阶的认知功能支撑，如自信、坚韧和对挑战的积极态度。鉴于这些差异，人类特有的韧性背后的神经生理机制仍不清楚。为了解决这个问题，我们旨在通过功能性脑成像和外围生理测量记录急性压力暴露后1.5小时的多模态反应。我们显示，个体韧性的程度由急性压力后1小时内神经动态的多重变化所指示。功能性磁共振成像和</w:t>
      </w:r>
    </w:p>
    <w:p>
      <w:pPr>
        <w:spacing w:before="0" w:after="200" w:lineRule="auto" w:line="276"/>
      </w:pPr>
      <w:r>
        <w:rPr>
          <w:b/>
        </w:rPr>
        <w:t xml:space="preserve">Abstract (EN): </w:t>
      </w:r>
      <w:r>
        <w:t>Neurophysiological mechanisms underlying psychological resilience—the ability to overcome adversity—have been extensively studied in animals. However, compared to that in animals, human resilience is unique in that it is underpinned by higher-order cognitive functions, such as self-confidence, tenacity, and a positive attitude to challenges. Given these discrepancies, the neurophysiological mechanisms underlying human-specific resilience remain unclear. To address this issue, we aimed to record multimodal responses after acute stress exposure over 1.5 h using functional brain imaging and peripheral physiological measurements. We showed that the degree of individual resilience is indexed by multiple changes in neural dynamics 1 h after acute stress. Functional magnetic resonance imaging and electroencephalography show that activity in the cortical salience network and power in high-beta and gamma oscillations increase in less resilient individuals. Contrastingly, activity in the cortical default mode network and spontaneous activity in the posterior hippocampus increase in more resilient individuals. Machine learning analysis confirmed that, 1 h after stress exposure, the functional connectivity in the salience network was the most influential, followed by that in the default mode network, gamma power, high-beta power, and hippocampal activity. The neurophysiological dynamics for resilience do not occur as previously thought, but rather in a time-lagged manner against stress exposure. Our findings shed light on an approach to recovery from stress-induced deficits such as delayed neuromodulation after a stressful event.</w:t>
      </w:r>
    </w:p>
    <w:p>
      <w:pPr>
        <w:spacing w:before="120" w:after="120"/>
      </w:pPr>
      <w:r>
        <w:rPr>
          <w:sz w:val="18"/>
        </w:rPr>
        <w:t>——————————————————————————————————————————————————————————————————————</w:t>
      </w:r>
    </w:p>
    <w:p>
      <w:pPr>
        <w:spacing w:before="160" w:after="40" w:line="240" w:lineRule="auto"/>
      </w:pPr>
      <w:r>
        <w:rPr>
          <w:b/>
        </w:rPr>
        <w:t xml:space="preserve">[329] </w:t>
      </w:r>
      <w:hyperlink r:id="rId819">
        <w:r>
          <w:rPr>
            <w:color w:val="1155CC"/>
            <w:u w:val="single"/>
          </w:rPr>
          <w:t>酪氨酸磷酸蛋白组分析识别限制酪氨酸激酶抑制剂疗法效力的细胞内在信号</w:t>
        </w:r>
      </w:hyperlink>
    </w:p>
    <w:p>
      <w:pPr>
        <w:spacing w:before="0" w:after="80"/>
      </w:pPr>
      <w:r>
        <w:rPr>
          <w:i/>
          <w:sz w:val="20"/>
        </w:rPr>
        <w:t>EN: Tyrosine phosphoproteome profiling identifies cell-intrinsic signals limiting the efficacy of tyrosine kinase inhibitor therapies</w:t>
      </w:r>
    </w:p>
    <w:p>
      <w:pPr>
        <w:spacing w:before="0" w:after="120"/>
      </w:pPr>
      <w:r>
        <w:rPr>
          <w:b/>
        </w:rPr>
        <w:t xml:space="preserve">Source: </w:t>
      </w:r>
      <w:r>
        <w:t>Proceedings of the National Academy of Sciences: Keyword search for query</w:t>
      </w:r>
      <w:r>
        <w:t xml:space="preserve">    </w:t>
      </w:r>
      <w:r>
        <w:rPr>
          <w:b/>
        </w:rPr>
        <w:t xml:space="preserve">Pub date: </w:t>
      </w:r>
      <w:r>
        <w:t>2026-03-25 07:00:00+00:00</w:t>
      </w:r>
      <w:r>
        <w:t xml:space="preserve">    </w:t>
      </w:r>
      <w:r>
        <w:rPr>
          <w:b/>
        </w:rPr>
        <w:t xml:space="preserve">DOI: </w:t>
      </w:r>
      <w:hyperlink r:id="rId820">
        <w:r>
          <w:rPr>
            <w:color w:val="1155CC"/>
            <w:u w:val="single"/>
          </w:rPr>
          <w:t>10.1073/pnas.2522090123</w:t>
        </w:r>
      </w:hyperlink>
    </w:p>
    <w:p>
      <w:pPr>
        <w:spacing w:before="0" w:after="120"/>
      </w:pPr>
      <w:r>
        <w:rPr>
          <w:b/>
        </w:rPr>
        <w:t xml:space="preserve">Notes: </w:t>
      </w:r>
      <w:r>
        <w:t>abstract_source=crossref</w:t>
      </w:r>
    </w:p>
    <w:p>
      <w:pPr>
        <w:spacing w:before="0" w:after="80" w:lineRule="auto" w:line="276"/>
      </w:pPr>
      <w:r>
        <w:rPr>
          <w:b/>
        </w:rPr>
        <w:t xml:space="preserve">摘要（ZH）: </w:t>
      </w:r>
      <w:r>
        <w:t>酪氨酸激酶（TKs）在癌症中经常发生突变或过度表达，而TK抑制剂（TKIs）是针对TK驱动癌症的重要治疗方式，但许多患者对基于肿瘤基因型的TKIs反应不佳。为了寻找可能预测对TKI疗法反应不佳的细胞内在TK信号模式，我们使用高灵敏度多重质谱技术量化了1,222个磷酸酪氨酸（pY）位点在具有不同基因型匹配TKIs反应的TK驱动人类癌细胞系蛋白质组中的内源水平。在具有共同驱动TK的TKI耐受和TKI敏感细胞系之间的直接比较中，我们发现TKI治疗在阻断驱动TK信号方面同样有效，而更高的基础活性</w:t>
      </w:r>
    </w:p>
    <w:p>
      <w:pPr>
        <w:spacing w:before="0" w:after="200" w:lineRule="auto" w:line="276"/>
      </w:pPr>
      <w:r>
        <w:rPr>
          <w:b/>
        </w:rPr>
        <w:t xml:space="preserve">Abstract (EN): </w:t>
      </w:r>
      <w:r>
        <w:t>Tyrosine kinases (TKs) are frequently mutated or overexpressed in cancer, and TK inhibitors (TKIs) are an important therapeutic modality against TK-driven cancers, but many patients show an underwhelming response to TKIs prescribed on the basis of tumor genotype. To find cell-intrinsic TK signaling patterns which might be predictive of poor response to TKI therapies, we used high-sensitivity multiplexed mass spectrometry to quantify endogenous levels of 1,222 phosphotyrosine (pY) sites across the proteomes of TK-driven human cancer cell lines with variable response to genotype-matched TKIs. In direct comparisons between TKI-tolerant and TKI-sensitive lines with a common driver TK, we found that TKI treatment was equally effective at blocking driver TK signaling, and higher basal activity of the driver TK did not always predict higher sensitivity to TKI. All tolerant lines showed a dampened proteome-wide pY response to TKI exposure compared to sensitive lines, suggesting that tumor cells with more robust TK signaling are less vulnerable to driver TK blockade. We found that each tolerant line depends on a unique set of compensatory TKs and signaling axes but are unified by hyperactivity of at least one of the SRC family kinases (SFKs) or the related ABL1/2 kinases, both at rest and under TKI treatment, despite the absence of SFK or ABL genetic mutations. In time- and dose-resolved drug combination experiments, SFK/ABL inhibitors were potently synergistic with all TKIs tested, demonstrating that elevated SFK/ABL signaling is a conserved bottleneck for maximal TKI efficacy which could be exploited therapeutically.</w:t>
      </w:r>
    </w:p>
    <w:p>
      <w:pPr>
        <w:spacing w:before="120" w:after="120"/>
      </w:pPr>
      <w:r>
        <w:rPr>
          <w:sz w:val="18"/>
        </w:rPr>
        <w:t>——————————————————————————————————————————————————————————————————————</w:t>
      </w:r>
    </w:p>
    <w:p>
      <w:pPr>
        <w:spacing w:before="160" w:after="40" w:line="240" w:lineRule="auto"/>
      </w:pPr>
      <w:r>
        <w:rPr>
          <w:b/>
        </w:rPr>
        <w:t xml:space="preserve">[330] </w:t>
      </w:r>
      <w:hyperlink r:id="rId821">
        <w:r>
          <w:rPr>
            <w:color w:val="1155CC"/>
            <w:u w:val="single"/>
          </w:rPr>
          <w:t>内源性ATP驱动的纳米马达指导神经干细胞分化用于帕金森病治疗</w:t>
        </w:r>
      </w:hyperlink>
    </w:p>
    <w:p>
      <w:pPr>
        <w:spacing w:before="0" w:after="80"/>
      </w:pPr>
      <w:r>
        <w:rPr>
          <w:i/>
          <w:sz w:val="20"/>
        </w:rPr>
        <w:t>EN: Endogenous ATP–powered nanomotors directing neural stem cell differentiation for Parkinson’s disease treatment</w:t>
      </w:r>
    </w:p>
    <w:p>
      <w:pPr>
        <w:spacing w:before="0" w:after="120"/>
      </w:pPr>
      <w:r>
        <w:rPr>
          <w:b/>
        </w:rPr>
        <w:t xml:space="preserve">Source: </w:t>
      </w:r>
      <w:r>
        <w:t>Proceedings of the National Academy of Sciences: Keyword search for query</w:t>
      </w:r>
      <w:r>
        <w:t xml:space="preserve">    </w:t>
      </w:r>
      <w:r>
        <w:rPr>
          <w:b/>
        </w:rPr>
        <w:t xml:space="preserve">Pub date: </w:t>
      </w:r>
      <w:r>
        <w:t>2026-03-25 07:00:00+00:00</w:t>
      </w:r>
      <w:r>
        <w:t xml:space="preserve">    </w:t>
      </w:r>
      <w:r>
        <w:rPr>
          <w:b/>
        </w:rPr>
        <w:t xml:space="preserve">DOI: </w:t>
      </w:r>
      <w:hyperlink r:id="rId822">
        <w:r>
          <w:rPr>
            <w:color w:val="1155CC"/>
            <w:u w:val="single"/>
          </w:rPr>
          <w:t>10.1073/pnas.2520119123</w:t>
        </w:r>
      </w:hyperlink>
    </w:p>
    <w:p>
      <w:pPr>
        <w:spacing w:before="0" w:after="120"/>
      </w:pPr>
      <w:r>
        <w:rPr>
          <w:b/>
        </w:rPr>
        <w:t xml:space="preserve">Notes: </w:t>
      </w:r>
      <w:r>
        <w:t>abstract_source=crossref</w:t>
      </w:r>
    </w:p>
    <w:p>
      <w:pPr>
        <w:spacing w:before="0" w:after="80" w:lineRule="auto" w:line="276"/>
      </w:pPr>
      <w:r>
        <w:rPr>
          <w:b/>
        </w:rPr>
        <w:t xml:space="preserve">摘要（ZH）: </w:t>
      </w:r>
      <w:r>
        <w:t>无移植的神经元再生在逆转帕金森病（PD）方面仍然具有吸引力但尚未解决。在此，我们展示了酶驱动的介孔金纳米马达（Apyrase@Au），利用内源性生化能量在时空上控制促进神经干细胞（NSC）分化，而无需外源性干细胞移植。通过催化内源性三磷酸腺苷（ATP）水解，Apyrase@Au纳米马达同时产生定向推进和局部信号信使质子。这些质子诱导钙流入并激活PD小鼠脑室-脑室下区的静止NSCs，引导其分化为功能性神经元并缓解运动功能障碍。该生物能量转换系统赋予双重功能</w:t>
      </w:r>
    </w:p>
    <w:p>
      <w:pPr>
        <w:spacing w:before="0" w:after="200" w:lineRule="auto" w:line="276"/>
      </w:pPr>
      <w:r>
        <w:rPr>
          <w:b/>
        </w:rPr>
        <w:t xml:space="preserve">Abstract (EN): </w:t>
      </w:r>
      <w:r>
        <w:t>Transplantation-free neuron regeneration remains attractive yet unsolved for reversing Parkinson’s disease (PD). Here, we present enzyme-driven mesoporous gold nanomotors (Apyrase@Au) that leverage endogenous biochemical energy for spatiotemporally controlled promotion of neural stem cell (NSC) differentiation, without exogenous stem cell transplantation. By catalyzing endogenous adenosine triphosphate (ATP) hydrolysis, Apyrase@Au nanomotors simultaneously generate directional propulsion and localized signaling messenger protons. These protons induce calcium influx and activate quiescent NSCs within the ventricular-subventricular zone of PD mice, directing their differentiation into functional neurons and alleviating moving dysfunction. The bioenergy-converting system imparts dual functionality to active matter, propelling while concurrently yielding bioactive products. This work demonstrates the potential of ATP-powered nanomachines as a self-sustaining and targeted biointerface, offering a promising strategy for promoting NSC differentiation and alleviating moving dysfunction in degenerative diseases.</w:t>
      </w:r>
    </w:p>
    <w:p>
      <w:pPr>
        <w:spacing w:before="120" w:after="120"/>
      </w:pPr>
      <w:r>
        <w:rPr>
          <w:sz w:val="18"/>
        </w:rPr>
        <w:t>——————————————————————————————————————————————————————————————————————</w:t>
      </w:r>
    </w:p>
    <w:p>
      <w:pPr>
        <w:spacing w:before="160" w:after="40" w:line="240" w:lineRule="auto"/>
      </w:pPr>
      <w:r>
        <w:rPr>
          <w:b/>
        </w:rPr>
        <w:t xml:space="preserve">[331] </w:t>
      </w:r>
      <w:hyperlink r:id="rId823">
        <w:r>
          <w:rPr>
            <w:color w:val="1155CC"/>
            <w:u w:val="single"/>
          </w:rPr>
          <w:t>用于燃料电池的微应变工程铂纳米笼</w:t>
        </w:r>
      </w:hyperlink>
    </w:p>
    <w:p>
      <w:pPr>
        <w:spacing w:before="0" w:after="80"/>
      </w:pPr>
      <w:r>
        <w:rPr>
          <w:i/>
          <w:sz w:val="20"/>
        </w:rPr>
        <w:t>EN: Microstrain-engineered platinum nanoclathrins for fuel cells</w:t>
      </w:r>
    </w:p>
    <w:p>
      <w:pPr>
        <w:spacing w:before="0" w:after="120"/>
      </w:pPr>
      <w:r>
        <w:rPr>
          <w:b/>
        </w:rPr>
        <w:t xml:space="preserve">Source: </w:t>
      </w:r>
      <w:r>
        <w:t>Proceedings of the National Academy of Sciences: Keyword search for query</w:t>
      </w:r>
      <w:r>
        <w:t xml:space="preserve">    </w:t>
      </w:r>
      <w:r>
        <w:rPr>
          <w:b/>
        </w:rPr>
        <w:t xml:space="preserve">Pub date: </w:t>
      </w:r>
      <w:r>
        <w:t>2026-03-25 07:00:00+00:00</w:t>
      </w:r>
      <w:r>
        <w:t xml:space="preserve">    </w:t>
      </w:r>
      <w:r>
        <w:rPr>
          <w:b/>
        </w:rPr>
        <w:t xml:space="preserve">DOI: </w:t>
      </w:r>
      <w:hyperlink r:id="rId824">
        <w:r>
          <w:rPr>
            <w:color w:val="1155CC"/>
            <w:u w:val="single"/>
          </w:rPr>
          <w:t>10.1073/pnas.2518463123</w:t>
        </w:r>
      </w:hyperlink>
    </w:p>
    <w:p>
      <w:pPr>
        <w:spacing w:before="0" w:after="120"/>
      </w:pPr>
      <w:r>
        <w:rPr>
          <w:b/>
        </w:rPr>
        <w:t xml:space="preserve">Notes: </w:t>
      </w:r>
      <w:r>
        <w:t>abstract_source=crossref</w:t>
      </w:r>
    </w:p>
    <w:p>
      <w:pPr>
        <w:spacing w:before="0" w:after="80" w:lineRule="auto" w:line="276"/>
      </w:pPr>
      <w:r>
        <w:rPr>
          <w:b/>
        </w:rPr>
        <w:t xml:space="preserve">摘要（ZH）: </w:t>
      </w:r>
      <w:r>
        <w:t>质子交换膜燃料电池（PEMFCs）在清洁能源转换方面具有巨大潜力，但其性能受限于催化层内不足的质量传输瓶颈。解决这一基本问题需要创新的催化剂纳米结构设计。受细胞运输机制中进化优化的通道系统启发，我们通过硒诱导的自组装方法设计了具有纳米孔壳和内部空腔的网格蛋白模拟贵金属纳米结构。这种纳米网格蛋白的创建依赖于原位形成的Se，其中无定形结构诱导贵金属在表面上的无序生长，最终建立纳米网格蛋白结构。该策略可以扩展以创建多样化的纳米网格蛋白</w:t>
      </w:r>
    </w:p>
    <w:p>
      <w:pPr>
        <w:spacing w:before="0" w:after="200" w:lineRule="auto" w:line="276"/>
      </w:pPr>
      <w:r>
        <w:rPr>
          <w:b/>
        </w:rPr>
        <w:t xml:space="preserve">Abstract (EN): </w:t>
      </w:r>
      <w:r>
        <w:t>Proton exchange membrane fuel cells (PEMFCs) hold great promise for clean energy conversion, yet their performance is limited by insufficient mass transport bottlenecks within the catalyst layer. Addressing this fundamental issue demands innovative catalyst nanostructuring. Inspired by the evolutionarily optimized channel systems in cellular transport mechanisms, we design clathrin-mimetic noble metal nanostructures featuring nanoporous shells and internal cavities via a selenium-induced self-assembly method. The creation of such nanoclathrin relies on the in situ formed Se, where the amorphous structure induces the disordered growth of noble metals on the surface, ultimately establishing the nanoclathrin architecture. This strategy can be extended to create diverse nanoclathrins with controlled hollow size, shell thickness, as well as composition. Furthermore, precise microstrain engineering enables performance fine-tuning of platinum nanoclathrins (Pt NCLs) for half reactions in PEMFCs. Benefiting from enhanced mass transfer and optimized microstrain, Pt NCLs can serve as both efficient cathode and anode catalysts in practical fuel cells, achieving rated power densities of 1.25 W cm</w:t>
      </w:r>
      <w:r>
        <w:t xml:space="preserve"> </w:t>
      </w:r>
      <w:r>
        <w:t>−2</w:t>
      </w:r>
      <w:r>
        <w:t xml:space="preserve"> </w:t>
      </w:r>
      <w:r>
        <w:t>in H</w:t>
      </w:r>
      <w:r>
        <w:rPr>
          <w:vertAlign w:val="subscript"/>
        </w:rPr>
        <w:t>2</w:t>
      </w:r>
      <w:r>
        <w:t>/O</w:t>
      </w:r>
      <w:r>
        <w:rPr>
          <w:vertAlign w:val="subscript"/>
        </w:rPr>
        <w:t>2</w:t>
      </w:r>
      <w:r>
        <w:t>and 0.83 W cm</w:t>
      </w:r>
      <w:r>
        <w:t xml:space="preserve"> </w:t>
      </w:r>
      <w:r>
        <w:t>−2</w:t>
      </w:r>
      <w:r>
        <w:t xml:space="preserve"> </w:t>
      </w:r>
      <w:r>
        <w:t>in H</w:t>
      </w:r>
      <w:r>
        <w:rPr>
          <w:vertAlign w:val="subscript"/>
        </w:rPr>
        <w:t>2</w:t>
      </w:r>
      <w:r>
        <w:t>/Air, which positions Pt NCLs among the best-performing pure-Pt catalysts and even rivals many state-of-the-art Pt-alloy catalysts. The clathrin-like structures also exhibit excellent stability, retaining 95.7% of their initial activity after 30,000 accelerated stress test cycles. This work highlights the significance of designing clathrin-like architecture with promoted mass transfer for practical devices and beyond in sustainable energy applications.</w:t>
      </w:r>
    </w:p>
    <w:p>
      <w:pPr>
        <w:spacing w:before="120" w:after="120"/>
      </w:pPr>
      <w:r>
        <w:rPr>
          <w:sz w:val="18"/>
        </w:rPr>
        <w:t>——————————————————————————————————————————————————————————————————————</w:t>
      </w:r>
    </w:p>
    <w:p>
      <w:pPr>
        <w:spacing w:before="160" w:after="40" w:line="240" w:lineRule="auto"/>
      </w:pPr>
      <w:r>
        <w:rPr>
          <w:b/>
        </w:rPr>
        <w:t xml:space="preserve">[332] </w:t>
      </w:r>
      <w:hyperlink r:id="rId825">
        <w:r>
          <w:rPr>
            <w:color w:val="1155CC"/>
            <w:u w:val="single"/>
          </w:rPr>
          <w:t>S-1117的多药理学，一种Fc融合的IgG选择性降解酶，用于慢性治疗自身抗体介导的疾病</w:t>
        </w:r>
      </w:hyperlink>
    </w:p>
    <w:p>
      <w:pPr>
        <w:spacing w:before="0" w:after="80"/>
      </w:pPr>
      <w:r>
        <w:rPr>
          <w:i/>
          <w:sz w:val="20"/>
        </w:rPr>
        <w:t>EN: Polypharmacology of S-1117, an Fc-fused IgG-selective degrading enzyme, for chronic treatment of autoantibody-mediated diseases</w:t>
      </w:r>
    </w:p>
    <w:p>
      <w:pPr>
        <w:spacing w:before="0" w:after="120"/>
      </w:pPr>
      <w:r>
        <w:rPr>
          <w:b/>
        </w:rPr>
        <w:t xml:space="preserve">Source: </w:t>
      </w:r>
      <w:r>
        <w:t>Proceedings of the National Academy of Sciences: Keyword search for query</w:t>
      </w:r>
      <w:r>
        <w:t xml:space="preserve">    </w:t>
      </w:r>
      <w:r>
        <w:rPr>
          <w:b/>
        </w:rPr>
        <w:t xml:space="preserve">Pub date: </w:t>
      </w:r>
      <w:r>
        <w:t>2026-03-25 07:00:00+00:00</w:t>
      </w:r>
      <w:r>
        <w:t xml:space="preserve">    </w:t>
      </w:r>
      <w:r>
        <w:rPr>
          <w:b/>
        </w:rPr>
        <w:t xml:space="preserve">DOI: </w:t>
      </w:r>
      <w:hyperlink r:id="rId826">
        <w:r>
          <w:rPr>
            <w:color w:val="1155CC"/>
            <w:u w:val="single"/>
          </w:rPr>
          <w:t>10.1073/pnas.2518366123</w:t>
        </w:r>
      </w:hyperlink>
    </w:p>
    <w:p>
      <w:pPr>
        <w:spacing w:before="0" w:after="120"/>
      </w:pPr>
      <w:r>
        <w:rPr>
          <w:b/>
        </w:rPr>
        <w:t xml:space="preserve">Notes: </w:t>
      </w:r>
      <w:r>
        <w:t>abstract_source=crossref</w:t>
      </w:r>
    </w:p>
    <w:p>
      <w:pPr>
        <w:spacing w:before="0" w:after="80" w:lineRule="auto" w:line="276"/>
      </w:pPr>
      <w:r>
        <w:rPr>
          <w:b/>
        </w:rPr>
        <w:t xml:space="preserve">摘要（ZH）: </w:t>
      </w:r>
      <w:r>
        <w:t>抗原特异性免疫球蛋白G（IgG）抗体导致或促成了广泛的人类疾病和病症的发病机制。多种治疗方法已被开发，但它们受到安全性和有效性可变性、患者不便和成本的限制。IdeS是一种源自S. pyogenes的半胱氨酸蛋白酶，专门切割IgG抗体，代表了治疗IgG介导疾病的独特机会。然而，IdeS的临床应用受到细菌蛋白酶的免疫原性和短半衰期的限制。利用Seismic的IMPACT平台，我们设计了S-1117，这是一种与人类无效应IgG1 Fc结构域融合的IgG切割酶，以延长半衰期</w:t>
      </w:r>
    </w:p>
    <w:p>
      <w:pPr>
        <w:spacing w:before="0" w:after="200" w:lineRule="auto" w:line="276"/>
      </w:pPr>
      <w:r>
        <w:rPr>
          <w:b/>
        </w:rPr>
        <w:t xml:space="preserve">Abstract (EN): </w:t>
      </w:r>
      <w:r>
        <w:t>Antigen-specific immunoglobulin-G (IgG) antibodies cause or contribute to the pathogenesis of a wide spectrum of human diseases and conditions. Multiple therapeutic approaches have been developed, yet they are limited by variable safety and efficacy, patient inconvenience, and cost. IdeS, a cysteine protease derived from</w:t>
      </w:r>
      <w:r>
        <w:t xml:space="preserve"> </w:t>
      </w:r>
      <w:r>
        <w:t>S. pyogenes</w:t>
      </w:r>
      <w:r>
        <w:t xml:space="preserve"> </w:t>
      </w:r>
      <w:r>
        <w:t>, specifically cleaves IgG antibodies, representing a unique opportunity for the treatment of IgG-mediated diseases. However, clinical utilization of IdeS is limited by the immunogenic nature of bacterial proteases and short half-life. Using Seismic’s IMPACT platform, we engineered S-1117, an IgG cleaving enzyme fused to a human effectorless IgG1 Fc domain for an extended half-life. S-1117 is being developed to address the limitations of existing therapies in IgG-mediated diseases. In vitro and in vivo pharmacology studies demonstrate that S-1117 exhibits reduced B and T cell immunogenicity, a superior pharmacokinetic profile, and manufacturability and developability properties resembling those of monoclonal antibodies. S-1117 cleavage of IgG reduces circulating levels of IgG, including pathogenic IgG autoantibodies and IgG immune-complexes, and reduces IgG antibody effector functions, such as complement fixation, antibody-dependent cellular cytotoxicity, and antibody-dependent cell phagocytosis. The polypharmacology of S-1117 further extends to cleaving the antigen receptor on IgG-positive memory B cells, thereby modulating activation of memory B cells.</w:t>
      </w:r>
    </w:p>
    <w:p>
      <w:pPr>
        <w:spacing w:before="120" w:after="120"/>
      </w:pPr>
      <w:r>
        <w:rPr>
          <w:sz w:val="18"/>
        </w:rPr>
        <w:t>——————————————————————————————————————————————————————————————————————</w:t>
      </w:r>
    </w:p>
    <w:p>
      <w:pPr>
        <w:spacing w:before="160" w:after="40" w:line="240" w:lineRule="auto"/>
      </w:pPr>
      <w:r>
        <w:rPr>
          <w:b/>
        </w:rPr>
        <w:t xml:space="preserve">[333] </w:t>
      </w:r>
      <w:hyperlink r:id="rId827">
        <w:r>
          <w:rPr>
            <w:color w:val="1155CC"/>
            <w:u w:val="single"/>
          </w:rPr>
          <w:t>DIRAS2调节MAPK通路介导的铁死亡以调节兴奋/抑制平衡和癫痫易感性</w:t>
        </w:r>
      </w:hyperlink>
    </w:p>
    <w:p>
      <w:pPr>
        <w:spacing w:before="0" w:after="80"/>
      </w:pPr>
      <w:r>
        <w:rPr>
          <w:i/>
          <w:sz w:val="20"/>
        </w:rPr>
        <w:t>EN: DIRAS2 modulates MAPK pathway–mediated ferroptosis to regulate excitation/inhibition balance and seizure susceptibility</w:t>
      </w:r>
    </w:p>
    <w:p>
      <w:pPr>
        <w:spacing w:before="0" w:after="120"/>
      </w:pPr>
      <w:r>
        <w:rPr>
          <w:b/>
        </w:rPr>
        <w:t xml:space="preserve">Source: </w:t>
      </w:r>
      <w:r>
        <w:t>Proceedings of the National Academy of Sciences: Keyword search for query</w:t>
      </w:r>
      <w:r>
        <w:t xml:space="preserve">    </w:t>
      </w:r>
      <w:r>
        <w:rPr>
          <w:b/>
        </w:rPr>
        <w:t xml:space="preserve">Pub date: </w:t>
      </w:r>
      <w:r>
        <w:t>2026-03-25 07:00:00+00:00</w:t>
      </w:r>
      <w:r>
        <w:t xml:space="preserve">    </w:t>
      </w:r>
      <w:r>
        <w:rPr>
          <w:b/>
        </w:rPr>
        <w:t xml:space="preserve">DOI: </w:t>
      </w:r>
      <w:hyperlink r:id="rId828">
        <w:r>
          <w:rPr>
            <w:color w:val="1155CC"/>
            <w:u w:val="single"/>
          </w:rPr>
          <w:t>10.1073/pnas.2516011123</w:t>
        </w:r>
      </w:hyperlink>
    </w:p>
    <w:p>
      <w:pPr>
        <w:spacing w:before="0" w:after="120"/>
      </w:pPr>
      <w:r>
        <w:rPr>
          <w:b/>
        </w:rPr>
        <w:t xml:space="preserve">Notes: </w:t>
      </w:r>
      <w:r>
        <w:t>abstract_source=crossref</w:t>
      </w:r>
    </w:p>
    <w:p>
      <w:pPr>
        <w:spacing w:before="0" w:after="80" w:lineRule="auto" w:line="276"/>
      </w:pPr>
      <w:r>
        <w:rPr>
          <w:b/>
        </w:rPr>
        <w:t xml:space="preserve">摘要（ZH）: </w:t>
      </w:r>
      <w:r>
        <w:t>癫痫是一种常见的神经系统疾病，普遍认为与神经元兴奋和抑制（E/I）之间的不平衡有关。DIRAS2是一种与Ras相关的GTP酶，其在神经系统中的作用和功能尚未被充分理解。在这项研究中，我们发现DIRAS2在海马体癫痫发生阶段的表达下调，而在慢性阶段的癫痫模型和颞叶癫痫患者中表达上调。DIRAS2的过表达可以减轻癫痫发作的易感性和活动性，而DIRAS2的敲低则产生相反的效果。全细胞膜片钳记录显示，DIRAS2降低了神经元的E/I比率，并缓解了神经元的过度兴奋。</w:t>
      </w:r>
    </w:p>
    <w:p>
      <w:pPr>
        <w:spacing w:before="0" w:after="200" w:lineRule="auto" w:line="276"/>
      </w:pPr>
      <w:r>
        <w:rPr>
          <w:b/>
        </w:rPr>
        <w:t xml:space="preserve">Abstract (EN): </w:t>
      </w:r>
      <w:r>
        <w:t>Epilepsy is a common neurological disorder that is widely believed to be associated with an imbalance between neuronal excitation and inhibition (E/I). DIRAS2, a Ras-related GTPase, has not been well understood regarding its role and function within the nervous system. In this study, we found that DIRAS2 is downregulated in the hippocampus during the epileptogenesis phase in a kainic acid-induced epilepsy model, while it is upregulated during the chronic phase in this epilepsy model and in patients with temporal lobe epilepsy. Overexpression of DIRAS2 alleviates epileptic seizure susceptibility and activity, whereas knockdown of DIRAS2 has an opposite effect. Whole-cell patch-clamp recordings reveal that DIRAS2 reduces the neuronal E/I ratio and alleviates neuronal hyperexcitability. Mechanistically, quantitative proteomic analysis reveals that ferroptosis is involved in mediating the effects of DIRAS2. Knockdown of DIRAS2 can exacerbate ferroptosis, while overexpression protects against ferroptosis in both in vivo and in vitro studies. Ferrostatin-1, a ferroptosis inhibitor, can rescue the E/I imbalance and epileptic behavioral changes induced by DIRAS2 knockdown. Finally, we found that DIRAS2 regulates ferroptosis by inhibiting the extracellular signal-regulated kinase/p38 mitogen-activated protein kinase pathway in epileptic mice. In summary, our study demonstrates the role of DIRAS2 in epilepsy and provides a potential target for epilepsy treatment.</w:t>
      </w:r>
    </w:p>
    <w:p>
      <w:pPr>
        <w:spacing w:before="120" w:after="120"/>
      </w:pPr>
      <w:r>
        <w:rPr>
          <w:sz w:val="18"/>
        </w:rPr>
        <w:t>——————————————————————————————————————————————————————————————————————</w:t>
      </w:r>
    </w:p>
    <w:p>
      <w:pPr>
        <w:spacing w:before="160" w:after="40" w:line="240" w:lineRule="auto"/>
      </w:pPr>
      <w:r>
        <w:rPr>
          <w:b/>
        </w:rPr>
        <w:t xml:space="preserve">[334] </w:t>
      </w:r>
      <w:hyperlink r:id="rId829">
        <w:r>
          <w:rPr>
            <w:color w:val="1155CC"/>
            <w:u w:val="single"/>
          </w:rPr>
          <w:t>HairTime：一种通过单根头发样本估算昼夜节律相位的无创检测</w:t>
        </w:r>
      </w:hyperlink>
    </w:p>
    <w:p>
      <w:pPr>
        <w:spacing w:before="0" w:after="80"/>
      </w:pPr>
      <w:r>
        <w:rPr>
          <w:i/>
          <w:sz w:val="20"/>
        </w:rPr>
        <w:t>EN: HairTime: A noninvasive assay for estimating circadian phase from a single hair sample</w:t>
      </w:r>
    </w:p>
    <w:p>
      <w:pPr>
        <w:spacing w:before="0" w:after="120"/>
      </w:pPr>
      <w:r>
        <w:rPr>
          <w:b/>
        </w:rPr>
        <w:t xml:space="preserve">Source: </w:t>
      </w:r>
      <w:r>
        <w:t>Proceedings of the National Academy of Sciences: Keyword search for query</w:t>
      </w:r>
      <w:r>
        <w:t xml:space="preserve">    </w:t>
      </w:r>
      <w:r>
        <w:rPr>
          <w:b/>
        </w:rPr>
        <w:t xml:space="preserve">Pub date: </w:t>
      </w:r>
      <w:r>
        <w:t>2026-03-25 07:00:00+00:00</w:t>
      </w:r>
      <w:r>
        <w:t xml:space="preserve">    </w:t>
      </w:r>
      <w:r>
        <w:rPr>
          <w:b/>
        </w:rPr>
        <w:t xml:space="preserve">DOI: </w:t>
      </w:r>
      <w:hyperlink r:id="rId830">
        <w:r>
          <w:rPr>
            <w:color w:val="1155CC"/>
            <w:u w:val="single"/>
          </w:rPr>
          <w:t>10.1073/pnas.2514928123</w:t>
        </w:r>
      </w:hyperlink>
    </w:p>
    <w:p>
      <w:pPr>
        <w:spacing w:before="0" w:after="120"/>
      </w:pPr>
      <w:r>
        <w:rPr>
          <w:b/>
        </w:rPr>
        <w:t xml:space="preserve">Notes: </w:t>
      </w:r>
      <w:r>
        <w:t>abstract_source=crossref</w:t>
      </w:r>
    </w:p>
    <w:p>
      <w:pPr>
        <w:spacing w:before="0" w:after="80" w:lineRule="auto" w:line="276"/>
      </w:pPr>
      <w:r>
        <w:rPr>
          <w:b/>
        </w:rPr>
        <w:t xml:space="preserve">摘要（ZH）: </w:t>
      </w:r>
      <w:r>
        <w:t>昼夜节律控制着日常的生理和行为过程，对健康至关重要；其紊乱可能导致各种疾病。昼夜节律的同步相位——即内在昼夜节律钟与外部环境周期的关系相位——受遗传和环境因素的影响，在个体之间有所不同，并反映在日常行为中，如睡眠-觉醒模式、认知表现和身体活动。虽然个体的昼夜节律相位也可能波动，但这种变化在日常生活中的动态和程度仍然很大程度上未被探索。评估昼夜节律相位的金标准是微光褪黑激素开始（DLMO），但对于大规模研究来说不切实际，而基于血液的分子生物标志物虽然有前景，但在可行性方面有限。</w:t>
      </w:r>
    </w:p>
    <w:p>
      <w:pPr>
        <w:spacing w:before="0" w:after="200" w:lineRule="auto" w:line="276"/>
      </w:pPr>
      <w:r>
        <w:rPr>
          <w:b/>
        </w:rPr>
        <w:t xml:space="preserve">Abstract (EN): </w:t>
      </w:r>
      <w:r>
        <w:t>Circadian clocks govern daily physiological and behavioral processes and are crucial for health; disruptions can lead to various diseases. The circadian phase of entrainment—the phase of the internal circadian clock in relation to external environmental cycles—is influenced by both genetic and environmental factors, varies between individuals, and is reflected in daily behaviors such as sleep–wake patterns, cognitive performance, and physical activity. While circadian phase may also fluctuate within individuals, the dynamics and extent of such variation in daily life remain largely unexplored. The gold standard for circadian phase assessment, dim-light melatonin onset (DLMO), is impractical for large-scale studies, and blood-based molecular biomarkers, while promising, are limited in feasibility. To address these challenges, we developed HairTime, a noninvasive assay that estimates circadian phase from a single daytime hair sample. Developed and evaluated in two steps—a training and a validation study—HairTime demonstrated strong predictive power compared to DLMO. Suitable for large-scale studies, it was assessed using over 4,000 samples. Circadian phase estimations showed a normal distribution and were associated with age, sex, and notably, work schedules, with earlier timing on workdays, suggesting that societal factors can modulate internal rhythms. Together, these findings establish HairTime as a promising tool for assessing circadian phase in research and lay the foundation for future applications in personalized chronotherapy.</w:t>
      </w:r>
    </w:p>
    <w:p>
      <w:pPr>
        <w:spacing w:before="120" w:after="120"/>
      </w:pPr>
      <w:r>
        <w:rPr>
          <w:sz w:val="18"/>
        </w:rPr>
        <w:t>——————————————————————————————————————————————————————————————————————</w:t>
      </w:r>
    </w:p>
    <w:p>
      <w:pPr>
        <w:spacing w:before="160" w:after="40" w:line="240" w:lineRule="auto"/>
      </w:pPr>
      <w:r>
        <w:rPr>
          <w:b/>
        </w:rPr>
        <w:t xml:space="preserve">[335] </w:t>
      </w:r>
      <w:hyperlink r:id="rId831">
        <w:r>
          <w:rPr>
            <w:color w:val="1155CC"/>
            <w:u w:val="single"/>
          </w:rPr>
          <w:t>免疫细胞分析揭示在抗GAD65相关神经综合征中扩展的干细胞样记忆T细胞</w:t>
        </w:r>
      </w:hyperlink>
    </w:p>
    <w:p>
      <w:pPr>
        <w:spacing w:before="0" w:after="80"/>
      </w:pPr>
      <w:r>
        <w:rPr>
          <w:i/>
          <w:sz w:val="20"/>
        </w:rPr>
        <w:t>EN: Immune cell profiling reveals expanded stem cell–like memory T cells in anti-GAD65-associated neurological syndromes</w:t>
      </w:r>
    </w:p>
    <w:p>
      <w:pPr>
        <w:spacing w:before="0" w:after="120"/>
      </w:pPr>
      <w:r>
        <w:rPr>
          <w:b/>
        </w:rPr>
        <w:t xml:space="preserve">Source: </w:t>
      </w:r>
      <w:r>
        <w:t>Proceedings of the National Academy of Sciences: Keyword search for query</w:t>
      </w:r>
      <w:r>
        <w:t xml:space="preserve">    </w:t>
      </w:r>
      <w:r>
        <w:rPr>
          <w:b/>
        </w:rPr>
        <w:t xml:space="preserve">Pub date: </w:t>
      </w:r>
      <w:r>
        <w:t>2026-03-25 07:00:00+00:00</w:t>
      </w:r>
      <w:r>
        <w:t xml:space="preserve">    </w:t>
      </w:r>
      <w:r>
        <w:rPr>
          <w:b/>
        </w:rPr>
        <w:t xml:space="preserve">DOI: </w:t>
      </w:r>
      <w:hyperlink r:id="rId832">
        <w:r>
          <w:rPr>
            <w:color w:val="1155CC"/>
            <w:u w:val="single"/>
          </w:rPr>
          <w:t>10.1073/pnas.2514753123</w:t>
        </w:r>
      </w:hyperlink>
    </w:p>
    <w:p>
      <w:pPr>
        <w:spacing w:before="0" w:after="120"/>
      </w:pPr>
      <w:r>
        <w:rPr>
          <w:b/>
        </w:rPr>
        <w:t xml:space="preserve">Notes: </w:t>
      </w:r>
      <w:r>
        <w:t>abstract_source=crossref</w:t>
      </w:r>
    </w:p>
    <w:p>
      <w:pPr>
        <w:spacing w:before="0" w:after="80" w:lineRule="auto" w:line="276"/>
      </w:pPr>
      <w:r>
        <w:rPr>
          <w:b/>
        </w:rPr>
        <w:t xml:space="preserve">摘要（ZH）: </w:t>
      </w:r>
      <w:r>
        <w:t>针对谷氨酸脱羧酶65 kDa同工型（anti-GAD65 AINS）的抗体的自身免疫性神经综合征（AINS）的免疫病理机制仍然知之甚少。为了阐明潜在的疾病机制并识别相关的细胞群，我们对八名anti-GAD65 AINS个体的脑脊液（CSF）和外周血单个核细胞（PBMCs）进行了单细胞RNA和免疫谱系测序，并与八名非炎症对照进行了比较。此外，还通过多维流式细胞术分析了19名anti-GAD65 AINS个体和20名健康对照的PBMCs，并对四名anti-GAD65 AINS个体的脑组织标本进行了组织学检查。我们在PBMCs中检测到更高频率的干细胞样记忆T细胞（TSCM）。</w:t>
      </w:r>
    </w:p>
    <w:p>
      <w:pPr>
        <w:spacing w:before="0" w:after="200" w:lineRule="auto" w:line="276"/>
      </w:pPr>
      <w:r>
        <w:rPr>
          <w:b/>
        </w:rPr>
        <w:t xml:space="preserve">Abstract (EN): </w:t>
      </w:r>
      <w:r>
        <w:t>The immunopathogenesis of autoimmune neurological syndromes (AINS) with antibodies against the 65 kDa isoform of glutamic acid decarboxylase (anti-GAD65 AINS) remains poorly understood. To elucidate underlying disease mechanisms and identify relevant cell populations, we performed single-cell RNA and immune repertoire sequencing of cerebrospinal fluid (CSF) and peripheral blood mononuclear cells (PBMCs) of eight anti-GAD65 AINS individuals compared to eight noninflammatory controls. In addition, PBMCs from 19 anti-GAD65 AINS individuals and 20 healthy controls were analyzed by multidimensional flow cytometry, and brain tissue specimens from four anti-GAD65 AINS individuals were examined histologically. We detected higher frequencies of stem cell–like memory T cells (TSCM) within the PBMCs and a marked enrichment and clonal expansion of activated CD4</w:t>
      </w:r>
      <w:r>
        <w:t xml:space="preserve"> </w:t>
      </w:r>
      <w:r>
        <w:t>+</w:t>
      </w:r>
      <w:r>
        <w:t xml:space="preserve"> </w:t>
      </w:r>
      <w:r>
        <w:t>TSCM in the CSF of anti-GAD65 AINS individuals. Expanded T cells exhibited increased expression of proinflammatory genes. Histological analyses confirmed intraparenchymal CD8</w:t>
      </w:r>
      <w:r>
        <w:t xml:space="preserve"> </w:t>
      </w:r>
      <w:r>
        <w:t>+</w:t>
      </w:r>
      <w:r>
        <w:t xml:space="preserve"> </w:t>
      </w:r>
      <w:r>
        <w:t>TSCM in three of four anti-GAD65 AINS individuals and rare meningeal/intraparenchymal CD4</w:t>
      </w:r>
      <w:r>
        <w:t xml:space="preserve"> </w:t>
      </w:r>
      <w:r>
        <w:t>+</w:t>
      </w:r>
      <w:r>
        <w:t xml:space="preserve"> </w:t>
      </w:r>
      <w:r>
        <w:t>TSCM in one person. Although CSF B cell receptors (BCRs) displayed little to no clonal expansion, recombinant expression of 40 CSF BCRs revealed that 25% were GAD65-reactive with increased somatic hypermutations compared to non-GAD65-reactive BCRs. These findings further support the concept of an antigen-specific intrathecal immune response. In summary, we characterize the immune landscape of anti-GAD65 AINS at single-cell resolution and identify clonally expanded TSCM with cytotoxic properties as a hallmark of this disease.</w:t>
      </w:r>
    </w:p>
    <w:p>
      <w:pPr>
        <w:spacing w:before="120" w:after="120"/>
      </w:pPr>
      <w:r>
        <w:rPr>
          <w:sz w:val="18"/>
        </w:rPr>
        <w:t>——————————————————————————————————————————————————————————————————————</w:t>
      </w:r>
    </w:p>
    <w:p>
      <w:pPr>
        <w:spacing w:before="160" w:after="40" w:line="240" w:lineRule="auto"/>
      </w:pPr>
      <w:r>
        <w:rPr>
          <w:b/>
        </w:rPr>
        <w:t xml:space="preserve">[336] </w:t>
      </w:r>
      <w:hyperlink r:id="rId833">
        <w:r>
          <w:rPr>
            <w:color w:val="1155CC"/>
            <w:u w:val="single"/>
          </w:rPr>
          <w:t>一种用于空间屏蔽活化细胞因子（SMACks）的模块化平台</w:t>
        </w:r>
      </w:hyperlink>
    </w:p>
    <w:p>
      <w:pPr>
        <w:spacing w:before="0" w:after="80"/>
      </w:pPr>
      <w:r>
        <w:rPr>
          <w:i/>
          <w:sz w:val="20"/>
        </w:rPr>
        <w:t>EN: A modular platform for Sterically Masked Activated Cytokines (SMACks)</w:t>
      </w:r>
    </w:p>
    <w:p>
      <w:pPr>
        <w:spacing w:before="0" w:after="120"/>
      </w:pPr>
      <w:r>
        <w:rPr>
          <w:b/>
        </w:rPr>
        <w:t xml:space="preserve">Source: </w:t>
      </w:r>
      <w:r>
        <w:t>Proceedings of the National Academy of Sciences: Keyword search for query</w:t>
      </w:r>
      <w:r>
        <w:t xml:space="preserve">    </w:t>
      </w:r>
      <w:r>
        <w:rPr>
          <w:b/>
        </w:rPr>
        <w:t xml:space="preserve">Pub date: </w:t>
      </w:r>
      <w:r>
        <w:t>2026-03-25 07:00:00+00:00</w:t>
      </w:r>
      <w:r>
        <w:t xml:space="preserve">    </w:t>
      </w:r>
      <w:r>
        <w:rPr>
          <w:b/>
        </w:rPr>
        <w:t xml:space="preserve">DOI: </w:t>
      </w:r>
      <w:hyperlink r:id="rId834">
        <w:r>
          <w:rPr>
            <w:color w:val="1155CC"/>
            <w:u w:val="single"/>
          </w:rPr>
          <w:t>10.1073/pnas.2513720123</w:t>
        </w:r>
      </w:hyperlink>
    </w:p>
    <w:p>
      <w:pPr>
        <w:spacing w:before="0" w:after="120"/>
      </w:pPr>
      <w:r>
        <w:rPr>
          <w:b/>
        </w:rPr>
        <w:t xml:space="preserve">Notes: </w:t>
      </w:r>
      <w:r>
        <w:t>abstract_source=crossref</w:t>
      </w:r>
    </w:p>
    <w:p>
      <w:pPr>
        <w:spacing w:before="0" w:after="80" w:lineRule="auto" w:line="276"/>
      </w:pPr>
      <w:r>
        <w:rPr>
          <w:b/>
        </w:rPr>
        <w:t xml:space="preserve">摘要（ZH）: </w:t>
      </w:r>
      <w:r>
        <w:t>细胞因子是关键的信号分子，但由于在不同细胞类型中具有多效性，其治疗潜力尚未实现。目前开发条件性活性细胞因子的策略涉及复杂的工程和生产，限制了其应用于少数选择的细胞因子和受体。在此，我们描述了一种简单且高度模块化的格式，称为空间屏蔽激活细胞因子（SMACk），通过靶向Fab/VHH、细胞因子和Fc的简便组装实现。我们首先开发了一种选择性针对肠上皮细胞的白介素-22（IL-22）SMACk，其中Fab/VHH起到双重屏蔽和靶向作用。详细分析揭示了一种通过降低结合速率的</w:t>
      </w:r>
      <w:r>
        <w:t xml:space="preserve"> </w:t>
      </w:r>
      <w:r>
        <w:t>cis</w:t>
      </w:r>
      <w:r>
        <w:t xml:space="preserve"> </w:t>
      </w:r>
      <w:r>
        <w:t>信号机制，并识别出可调节的格式参数。在小鼠中，th</w:t>
      </w:r>
    </w:p>
    <w:p>
      <w:pPr>
        <w:spacing w:before="0" w:after="200" w:lineRule="auto" w:line="276"/>
      </w:pPr>
      <w:r>
        <w:rPr>
          <w:b/>
        </w:rPr>
        <w:t xml:space="preserve">Abstract (EN): </w:t>
      </w:r>
      <w:r>
        <w:t>Cytokines are critical signaling molecules, but their therapeutic potential remains unrealized due to pleiotropic effects across cell types. Current strategies to develop conditionally active cytokines involve complex engineering and production, limiting their application to a select few cytokines and receptors. Here, we describe a simple, highly modular format called Sterically Masked Activated Cytokine (SMACk) via facile assembly of a targeting Fab/VHH, cytokine, and Fc. We first develop an interleukin-22 (IL-22) SMACk selective for intestinal epithelial cells, wherein the Fab/VHH serves a dual masking and targeting role. Detailed analysis revealed a</w:t>
      </w:r>
      <w:r>
        <w:t xml:space="preserve"> </w:t>
      </w:r>
      <w:r>
        <w:t>cis</w:t>
      </w:r>
      <w:r>
        <w:t xml:space="preserve"> </w:t>
      </w:r>
      <w:r>
        <w:t>signaling mechanism via a reduced on-rate and identified tunable format parameters. In mice, the IL-22-SMACk showed selective activity in the colon and efficacy in a colitis model. Finally, we highlight the versatility of SMACks by selectively directing interferon-α, IL-2, IL-4, or IL-7 to CD8</w:t>
      </w:r>
      <w:r>
        <w:t xml:space="preserve"> </w:t>
      </w:r>
      <w:r>
        <w:t>+</w:t>
      </w:r>
      <w:r>
        <w:t xml:space="preserve"> </w:t>
      </w:r>
      <w:r>
        <w:t>T cells, underscoring the potential of this platform to advance cytokine research and therapies.</w:t>
      </w:r>
    </w:p>
    <w:p>
      <w:pPr>
        <w:spacing w:before="120" w:after="120"/>
      </w:pPr>
      <w:r>
        <w:rPr>
          <w:sz w:val="18"/>
        </w:rPr>
        <w:t>——————————————————————————————————————————————————————————————————————</w:t>
      </w:r>
    </w:p>
    <w:p>
      <w:pPr>
        <w:spacing w:before="160" w:after="40" w:line="240" w:lineRule="auto"/>
      </w:pPr>
      <w:r>
        <w:rPr>
          <w:b/>
        </w:rPr>
        <w:t xml:space="preserve">[337] </w:t>
      </w:r>
      <w:hyperlink r:id="rId835">
        <w:r>
          <w:rPr>
            <w:color w:val="1155CC"/>
            <w:u w:val="single"/>
          </w:rPr>
          <w:t>Cnpy1是犁鼻器型2 GPCRs的候选内质网伴侣蛋白</w:t>
        </w:r>
      </w:hyperlink>
    </w:p>
    <w:p>
      <w:pPr>
        <w:spacing w:before="0" w:after="80"/>
      </w:pPr>
      <w:r>
        <w:rPr>
          <w:i/>
          <w:sz w:val="20"/>
        </w:rPr>
        <w:t>EN: Cnpy1 is a candidate endoplasmic reticulum chaperone of vomeronasal type 2 GPCRs</w:t>
      </w:r>
    </w:p>
    <w:p>
      <w:pPr>
        <w:spacing w:before="0" w:after="120"/>
      </w:pPr>
      <w:r>
        <w:rPr>
          <w:b/>
        </w:rPr>
        <w:t xml:space="preserve">Source: </w:t>
      </w:r>
      <w:r>
        <w:t>Proceedings of the National Academy of Sciences: Keyword search for query</w:t>
      </w:r>
      <w:r>
        <w:t xml:space="preserve">    </w:t>
      </w:r>
      <w:r>
        <w:rPr>
          <w:b/>
        </w:rPr>
        <w:t xml:space="preserve">Pub date: </w:t>
      </w:r>
      <w:r>
        <w:t>2026-03-25 07:00:00+00:00</w:t>
      </w:r>
      <w:r>
        <w:t xml:space="preserve">    </w:t>
      </w:r>
      <w:r>
        <w:rPr>
          <w:b/>
        </w:rPr>
        <w:t xml:space="preserve">DOI: </w:t>
      </w:r>
      <w:hyperlink r:id="rId836">
        <w:r>
          <w:rPr>
            <w:color w:val="1155CC"/>
            <w:u w:val="single"/>
          </w:rPr>
          <w:t>10.1073/pnas.2528466123</w:t>
        </w:r>
      </w:hyperlink>
    </w:p>
    <w:p>
      <w:pPr>
        <w:spacing w:before="0" w:after="120"/>
      </w:pPr>
      <w:r>
        <w:rPr>
          <w:b/>
        </w:rPr>
        <w:t xml:space="preserve">Notes: </w:t>
      </w:r>
      <w:r>
        <w:t>abstract_source=crossref</w:t>
      </w:r>
    </w:p>
    <w:p>
      <w:pPr>
        <w:spacing w:before="0" w:after="80" w:lineRule="auto" w:line="276"/>
      </w:pPr>
      <w:r>
        <w:rPr>
          <w:b/>
        </w:rPr>
        <w:t xml:space="preserve">摘要（ZH）: </w:t>
      </w:r>
      <w:r>
        <w:t>小鼠犁鼻器感觉神经元不断从干细胞生成，并分化为表达V1R或V2R G蛋白偶联受体（GPCRs），以及各自的Gαi2或Gαo G蛋白亚基。我们之前报道过，Gαo型神经元表现出内质网（ER）伴侣蛋白的高表达和独特的肥大、螺旋状ER结构，表明其具有特殊的蛋白质稳态需求。在此，我们识别出小鼠Canopy1（</w:t>
      </w:r>
      <w:r>
        <w:t xml:space="preserve"> </w:t>
      </w:r>
      <w:r>
        <w:t>Cnpy1）</w:t>
      </w:r>
      <w:r>
        <w:t xml:space="preserve"> </w:t>
      </w:r>
      <w:r>
        <w:t>基因的转录本，该转录本产生的全长Cnpy1蛋白选择性表达并定位于Gαo神经元的ER中。免疫沉淀结合质谱分析显示，Cnpy1特异性与V2R GPCRs和多种ER伴侣蛋白结合。</w:t>
      </w:r>
    </w:p>
    <w:p>
      <w:pPr>
        <w:spacing w:before="0" w:after="200" w:lineRule="auto" w:line="276"/>
      </w:pPr>
      <w:r>
        <w:rPr>
          <w:b/>
        </w:rPr>
        <w:t xml:space="preserve">Abstract (EN): </w:t>
      </w:r>
      <w:r>
        <w:t>Mouse vomeronasal sensory neurons are continuously generated from stem cells and differentiate to express either V1R or V2R G protein–coupled receptors (GPCRs), along with their respective Gαi2 or Gαo G-protein subunits. We previously reported that Gαo-type neurons exhibit elevated expression of endoplasmic reticulum (ER) chaperones and a distinctive hypertrophic, gyroid ER architecture, suggesting specialized proteostatic demands. Here, we identify a transcript for the mouse Canopy1 (</w:t>
      </w:r>
      <w:r>
        <w:t xml:space="preserve"> </w:t>
      </w:r>
      <w:r>
        <w:t>Cnpy1)</w:t>
      </w:r>
      <w:r>
        <w:t xml:space="preserve"> </w:t>
      </w:r>
      <w:r>
        <w:t>gene that yields full-length Cnpy1 protein selectively expressed in and localized to the ER of Gαo neurons. Immunoprecipitation coupled with mass spectrometry revealed that Cnpy1 associates specifically with V2R GPCRs and multiple ER chaperones.</w:t>
      </w:r>
      <w:r>
        <w:t xml:space="preserve"> </w:t>
      </w:r>
      <w:r>
        <w:t>Cnpy1</w:t>
      </w:r>
      <w:r>
        <w:t xml:space="preserve"> </w:t>
      </w:r>
      <w:r>
        <w:t>deletion resulted in mice that were deficient in Gαo neuronal activation upon exposure to vomeronasal stimuli and a marked reduction in male–male aggressive behavior. In the absence of Cnpy1, Gαo neurons develop normally till birth but undergo selective, progressive apoptosis during postnatal development. Unexpectedly, Cnpy1-null vomeronasal neurons displayed neither an obvious unfolded protein response nor defects in V2R GPCR traffic to dendritic tips, indicating that Cnpy1 is required for V2R assembly or functional maturation but dispensable for their ER export. Together, these findings identify Cnpy1 as a component of an ER chaperone complex that is essential for Gαo neuron signaling and survival.</w:t>
      </w:r>
    </w:p>
    <w:p>
      <w:pPr>
        <w:spacing w:before="120" w:after="120"/>
      </w:pPr>
      <w:r>
        <w:rPr>
          <w:sz w:val="18"/>
        </w:rPr>
        <w:t>——————————————————————————————————————————————————————————————————————</w:t>
      </w:r>
    </w:p>
    <w:p>
      <w:pPr>
        <w:spacing w:before="160" w:after="40" w:line="240" w:lineRule="auto"/>
      </w:pPr>
      <w:r>
        <w:rPr>
          <w:b/>
        </w:rPr>
        <w:t xml:space="preserve">[338] </w:t>
      </w:r>
      <w:hyperlink r:id="rId837">
        <w:r>
          <w:rPr>
            <w:color w:val="1155CC"/>
            <w:u w:val="single"/>
          </w:rPr>
          <w:t>CLOCK催化的组蛋白H3K37谷氨酰化抑制胶质母细胞瘤中的H3K36三甲基化通路</w:t>
        </w:r>
      </w:hyperlink>
    </w:p>
    <w:p>
      <w:pPr>
        <w:spacing w:before="0" w:after="80"/>
      </w:pPr>
      <w:r>
        <w:rPr>
          <w:i/>
          <w:sz w:val="20"/>
        </w:rPr>
        <w:t>EN: CLOCK-catalyzed histone H3K37 glutarylation suppresses H3K36 trimethylation pathways in glioblastoma</w:t>
      </w:r>
    </w:p>
    <w:p>
      <w:pPr>
        <w:spacing w:before="0" w:after="120"/>
      </w:pPr>
      <w:r>
        <w:rPr>
          <w:b/>
        </w:rPr>
        <w:t xml:space="preserve">Source: </w:t>
      </w:r>
      <w:r>
        <w:t>AAAS: Science Advances: Table of Contents</w:t>
      </w:r>
      <w:r>
        <w:t xml:space="preserve">    </w:t>
      </w:r>
      <w:r>
        <w:rPr>
          <w:b/>
        </w:rPr>
        <w:t xml:space="preserve">Pub date: </w:t>
      </w:r>
      <w:r>
        <w:t>2026-03-25 07:00:00+00:00</w:t>
      </w:r>
      <w:r>
        <w:t xml:space="preserve">    </w:t>
      </w:r>
      <w:r>
        <w:rPr>
          <w:b/>
        </w:rPr>
        <w:t xml:space="preserve">DOI: </w:t>
      </w:r>
      <w:hyperlink r:id="rId838">
        <w:r>
          <w:rPr>
            <w:color w:val="1155CC"/>
            <w:u w:val="single"/>
          </w:rPr>
          <w:t>10.1126/sciadv.aea1127</w:t>
        </w:r>
      </w:hyperlink>
    </w:p>
    <w:p>
      <w:pPr>
        <w:spacing w:before="0" w:after="120"/>
      </w:pPr>
      <w:r>
        <w:rPr>
          <w:b/>
        </w:rPr>
        <w:t xml:space="preserve">Notes: </w:t>
      </w:r>
      <w:r>
        <w:t>abstract_source=crossref</w:t>
      </w:r>
    </w:p>
    <w:p>
      <w:pPr>
        <w:spacing w:before="0" w:after="80" w:lineRule="auto" w:line="276"/>
      </w:pPr>
      <w:r>
        <w:rPr>
          <w:b/>
        </w:rPr>
        <w:t xml:space="preserve">摘要（ZH）: </w:t>
      </w:r>
      <w:r>
        <w:t>昼夜节律CLOCK（昼夜运动输出周期kaput）可以介导涉及基因转录的染色质重塑事件。CLOCK的乙酰转移酶作用已被广泛研究，但CLOCK介导的染色质重塑事件尚不清楚。我们报告CLOCK可以使用戊二酰辅酶A催化组蛋白H3赖氨酸</w:t>
      </w:r>
      <w:r>
        <w:rPr>
          <w:vertAlign w:val="subscript"/>
        </w:rPr>
        <w:t>37</w:t>
      </w:r>
      <w:r>
        <w:t>（H3K37glut）的戊二酰化。H3K37glut尚未被记录。H3K37glut的戊二酰基可以通过其邻近的H3H39和H3R40残基通过静电相互作用拉动，并弯曲在邻近的H3P38残基的吡咯烷环上，形成一种构象以阻止SETD2与组蛋白H3的N端尾结合。它减少了SETD2催化的H3K36三甲基化（H3K36me3）以及H3K36me3调控的下</w:t>
      </w:r>
    </w:p>
    <w:p>
      <w:pPr>
        <w:spacing w:before="0" w:after="200" w:lineRule="auto" w:line="276"/>
      </w:pPr>
      <w:r>
        <w:rPr>
          <w:b/>
        </w:rPr>
        <w:t xml:space="preserve">Abstract (EN): </w:t>
      </w:r>
      <w:r>
        <w:t>Circadian CLOCK (circadian locomotor output cycles kaput) can mediate chromatin remodeling events implicated in gene transcription. The acetyltransferase roles of CLOCK are well studied, but CLOCK-mediated chromatin remodeling events are not well understood. We report that CLOCK can use glutaryl–coenzyme A to catalyze glutarylation at histone H3 Lys</w:t>
      </w:r>
      <w:r>
        <w:rPr>
          <w:vertAlign w:val="subscript"/>
        </w:rPr>
        <w:t>37</w:t>
      </w:r>
      <w:r>
        <w:t>(H3K37glut). H3K37glut is undocumented. The glutaryl moiety of H3K37glut can be pulled by its neighboring H3H39 and H3R40 residues via electrostatic interactions and bent over the pyrrolidine ring of the neighboring H3P38 residue, forming a conformation to block SETD2 binding to the N-terminal tail of histone H3. It reduces SETD2-catalyzed H3K36 trimethylation (H3K36me3) and the H3K36me3-regulated downstream pathways in cells. In glioblastoma, both CLOCK protein and CLOCK-mediated H3K37glut are abnormally up-regulated. H3K37glut significantly correlates with suppressed H3K36me3 level in human glioblastoma tissues, tumor progression, and survival of patients with glioblastoma. This study expands the repertoire of histone modification and diversifies the mechanisms underlying CLOCK-implicated chromatin dynamics. It also unearths an undocumented mechanistic link between dysregulated circadian CLOCK and decreased H3K36me3 pathways in glioblastoma.</w:t>
      </w:r>
    </w:p>
    <w:p>
      <w:pPr>
        <w:spacing w:before="120" w:after="120"/>
      </w:pPr>
      <w:r>
        <w:rPr>
          <w:sz w:val="18"/>
        </w:rPr>
        <w:t>——————————————————————————————————————————————————————————————————————</w:t>
      </w:r>
    </w:p>
    <w:p>
      <w:pPr>
        <w:spacing w:before="160" w:after="40" w:line="240" w:lineRule="auto"/>
      </w:pPr>
      <w:r>
        <w:rPr>
          <w:b/>
        </w:rPr>
        <w:t xml:space="preserve">[339] </w:t>
      </w:r>
      <w:hyperlink r:id="rId839">
        <w:r>
          <w:rPr>
            <w:color w:val="1155CC"/>
            <w:u w:val="single"/>
          </w:rPr>
          <w:t>来自COVID-19康复患者的单克隆抗体靶向隐匿表位以实现广泛的SARS-CoV-2中和</w:t>
        </w:r>
      </w:hyperlink>
    </w:p>
    <w:p>
      <w:pPr>
        <w:spacing w:before="0" w:after="80"/>
      </w:pPr>
      <w:r>
        <w:rPr>
          <w:i/>
          <w:sz w:val="20"/>
        </w:rPr>
        <w:t>EN: Monoclonal antibodies from COVID-19 convalescent patients target cryptic epitopes for broad SARS-CoV-2 neutralization</w:t>
      </w:r>
    </w:p>
    <w:p>
      <w:pPr>
        <w:spacing w:before="0" w:after="120"/>
      </w:pPr>
      <w:r>
        <w:rPr>
          <w:b/>
        </w:rPr>
        <w:t xml:space="preserve">Source: </w:t>
      </w:r>
      <w:r>
        <w:t>Proceedings of the National Academy of Sciences: Keyword search for query</w:t>
      </w:r>
      <w:r>
        <w:t xml:space="preserve">    </w:t>
      </w:r>
      <w:r>
        <w:rPr>
          <w:b/>
        </w:rPr>
        <w:t xml:space="preserve">Pub date: </w:t>
      </w:r>
      <w:r>
        <w:t>2026-03-25 07:00:00+00:00</w:t>
      </w:r>
      <w:r>
        <w:t xml:space="preserve">    </w:t>
      </w:r>
      <w:r>
        <w:rPr>
          <w:b/>
        </w:rPr>
        <w:t xml:space="preserve">DOI: </w:t>
      </w:r>
      <w:hyperlink r:id="rId840">
        <w:r>
          <w:rPr>
            <w:color w:val="1155CC"/>
            <w:u w:val="single"/>
          </w:rPr>
          <w:t>10.1073/pnas.2523864123</w:t>
        </w:r>
      </w:hyperlink>
    </w:p>
    <w:p>
      <w:pPr>
        <w:spacing w:before="0" w:after="120"/>
      </w:pPr>
      <w:r>
        <w:rPr>
          <w:b/>
        </w:rPr>
        <w:t xml:space="preserve">Notes: </w:t>
      </w:r>
      <w:r>
        <w:t>abstract_source=crossref</w:t>
      </w:r>
    </w:p>
    <w:p>
      <w:pPr>
        <w:spacing w:before="0" w:after="80" w:lineRule="auto" w:line="276"/>
      </w:pPr>
      <w:r>
        <w:rPr>
          <w:b/>
        </w:rPr>
        <w:t xml:space="preserve">摘要（ZH）: </w:t>
      </w:r>
      <w:r>
        <w:t>COVID-19大流行已导致全球超过七百万例死亡，对公共健康构成重大威胁，并引发全球经济危机。具有增强传播性和改进免疫逃逸能力的新出现的关注变体（VOCs）可能会削弱当前抗病毒和免疫疗法的效力，因此需要对SARS-CoV-2的免疫反应进行全面研究。SARS-CoV-2刺突蛋白中受体结合域的构象动态以及中和抗体表位的呈现影响病毒传播和感染率。在这项研究中，我们鉴定了两个强效单克隆抗体（mAbs），TAU-1109和TAU-2310，从康复患者中分离出的高度保守的非受体结合基序表位。</w:t>
      </w:r>
    </w:p>
    <w:p>
      <w:pPr>
        <w:spacing w:before="0" w:after="200" w:lineRule="auto" w:line="276"/>
      </w:pPr>
      <w:r>
        <w:rPr>
          <w:b/>
        </w:rPr>
        <w:t xml:space="preserve">Abstract (EN): </w:t>
      </w:r>
      <w:r>
        <w:t>The COVID-19 pandemic, which has resulted in over seven million global fatalities, poses a substantial threat to public health and precipitated a global economic crisis. Emerging variants of concern (VOCs) with enhanced transmissibility and improved immune evasion may compromise the efficacy of current antiviral and immunotherapies, necessitating comprehensive investigations into the immune response to SARS-CoV-2. The conformational dynamics of the receptor binding domain in SARS-CoV-2 spike and the presentation of neutralizing antibody epitopes influence viral transmission and infection rates. In this study, we have identified highly conserved non-receptor-binding motif epitopes for two potent monoclonal antibodies (mAbs), TAU-1109 and TAU-2310, isolated from convalescent human patients, which contribute to the broad neutralizing activity of these mAbs against all the circulating VOCs, including the recently emerged Omicron subvariants. We employed high-resolution structural data in conjunction with systematic biochemical investigation to elucidate the neutralization mechanism of TAU-1109 and TAU-2310. The mechanism involves antibody-mediated destabilization of the spike trimer, resulting in the premature shedding of the S1 subunit and rendering the spike incapable of mediating host cell entry. The identification of conserved cryptic epitopes in our study advances the mechanistic understanding of immune response against SARS-CoV-2, providing alternative avenues for the development of universal therapeutic antibodies and vaccines to combat COVID-19.</w:t>
      </w:r>
    </w:p>
    <w:p>
      <w:pPr>
        <w:spacing w:before="120" w:after="120"/>
      </w:pPr>
      <w:r>
        <w:rPr>
          <w:sz w:val="18"/>
        </w:rPr>
        <w:t>——————————————————————————————————————————————————————————————————————</w:t>
      </w:r>
    </w:p>
    <w:p>
      <w:pPr>
        <w:spacing w:before="160" w:after="40" w:line="240" w:lineRule="auto"/>
      </w:pPr>
      <w:r>
        <w:rPr>
          <w:b/>
        </w:rPr>
        <w:t xml:space="preserve">[340] </w:t>
      </w:r>
      <w:hyperlink r:id="rId841">
        <w:r>
          <w:rPr>
            <w:color w:val="1155CC"/>
            <w:u w:val="single"/>
          </w:rPr>
          <w:t>机器学习指导的大规模并行可编程核酸扩增</w:t>
        </w:r>
      </w:hyperlink>
    </w:p>
    <w:p>
      <w:pPr>
        <w:spacing w:before="0" w:after="80"/>
      </w:pPr>
      <w:r>
        <w:rPr>
          <w:i/>
          <w:sz w:val="20"/>
        </w:rPr>
        <w:t>EN: Machine learning–directed massively parallel programmable nucleic acid amplification</w:t>
      </w:r>
    </w:p>
    <w:p>
      <w:pPr>
        <w:spacing w:before="0" w:after="120"/>
      </w:pPr>
      <w:r>
        <w:rPr>
          <w:b/>
        </w:rPr>
        <w:t xml:space="preserve">Source: </w:t>
      </w:r>
      <w:r>
        <w:t>AAAS: Science Advances: Table of Contents</w:t>
      </w:r>
      <w:r>
        <w:t xml:space="preserve">    </w:t>
      </w:r>
      <w:r>
        <w:rPr>
          <w:b/>
        </w:rPr>
        <w:t xml:space="preserve">Pub date: </w:t>
      </w:r>
      <w:r>
        <w:t>2026-03-25 07:00:00+00:00</w:t>
      </w:r>
      <w:r>
        <w:t xml:space="preserve">    </w:t>
      </w:r>
      <w:r>
        <w:rPr>
          <w:b/>
        </w:rPr>
        <w:t xml:space="preserve">DOI: </w:t>
      </w:r>
      <w:hyperlink r:id="rId842">
        <w:r>
          <w:rPr>
            <w:color w:val="1155CC"/>
            <w:u w:val="single"/>
          </w:rPr>
          <w:t>10.1126/sciadv.aec9175</w:t>
        </w:r>
      </w:hyperlink>
    </w:p>
    <w:p>
      <w:pPr>
        <w:spacing w:before="0" w:after="120"/>
      </w:pPr>
      <w:r>
        <w:rPr>
          <w:b/>
        </w:rPr>
        <w:t xml:space="preserve">Notes: </w:t>
      </w:r>
      <w:r>
        <w:t>abstract_source=crossref</w:t>
      </w:r>
    </w:p>
    <w:p>
      <w:pPr>
        <w:spacing w:before="0" w:after="80" w:lineRule="auto" w:line="276"/>
      </w:pPr>
      <w:r>
        <w:rPr>
          <w:b/>
        </w:rPr>
        <w:t xml:space="preserve">摘要（ZH）: </w:t>
      </w:r>
      <w:r>
        <w:t>在分子诊断和DNA数据存储中，动态调节扩增效率至关重要但具有挑战性。在此，我们开发了一种基于热力学的方法，以实现核酸扩增效率的连续和精确调节。通过引物标签补偿策略将序列特异性与杂交能量调节分离，我们展示了高分辨率（33%对81%）的程序化扩增。利用2483个实验数据，我们构建了一个机器学习模型，将预测准确性从R2=0.62提高到=0.86。在DNA数据存储中，这种扩增策略将信息预览的密度提高了近一个数量级，并实现了稳健的文件隐写。</w:t>
      </w:r>
    </w:p>
    <w:p>
      <w:pPr>
        <w:spacing w:before="0" w:after="200" w:lineRule="auto" w:line="276"/>
      </w:pPr>
      <w:r>
        <w:rPr>
          <w:b/>
        </w:rPr>
        <w:t xml:space="preserve">Abstract (EN): </w:t>
      </w:r>
      <w:r>
        <w:t>Dynamic regulation of amplification efficiency is pivotal yet challenging in molecular diagnostics and DNA data storage. Here, we develop a thermodynamics-based approach to achieve continuous and precise modulation of nucleic acid amplification efficiency. By decoupling sequence specificity from hybridization energy regulation via a primer-tag compensation strategy, we demonstrate programmed amplification with high resolution (33 versus 81%). Leveraging 2483 experimental data, we constructed a machine learning model that improved prediction accuracy from</w:t>
      </w:r>
      <w:r>
        <w:t xml:space="preserve"> </w:t>
      </w:r>
      <w:r>
        <w:t>R</w:t>
      </w:r>
      <w:r>
        <w:rPr>
          <w:vertAlign w:val="subscript"/>
        </w:rPr>
        <w:t>2</w:t>
      </w:r>
      <w:r>
        <w:t>= 0.62 to = 0.86. In DNA data storage, this amplification strategy increases the density for information preview by nearly one order of magnitude and robust file steganography via differential amplification. In clinical validation, our method outperformed uniform amplification in cervical cancer RNA variant analysis, detecting rare RNA fusions and improving detection sensitivity by 100-fold under 10</w:t>
      </w:r>
      <w:r>
        <w:rPr>
          <w:vertAlign w:val="subscript"/>
        </w:rPr>
        <w:t>4</w:t>
      </w:r>
      <w:r>
        <w:t>simulated sequencing depth. This programmable technique is anticipated to extend to single-cell sequencing and spatial transcriptomics, offering a powerful tool for molecular diagnostics and synthetic biology.</w:t>
      </w:r>
    </w:p>
    <w:p>
      <w:pPr>
        <w:spacing w:before="120" w:after="120"/>
      </w:pPr>
      <w:r>
        <w:rPr>
          <w:sz w:val="18"/>
        </w:rPr>
        <w:t>——————————————————————————————————————————————————————————————————————</w:t>
      </w:r>
    </w:p>
    <w:p>
      <w:pPr>
        <w:spacing w:before="160" w:after="40" w:line="240" w:lineRule="auto"/>
      </w:pPr>
      <w:r>
        <w:rPr>
          <w:b/>
        </w:rPr>
        <w:t xml:space="preserve">[341] </w:t>
      </w:r>
      <w:hyperlink r:id="rId843">
        <w:r>
          <w:rPr>
            <w:color w:val="1155CC"/>
            <w:u w:val="single"/>
          </w:rPr>
          <w:t>通过极性-偶极相互作用在聚（离子液体）中门控的离子锁存储与多逻辑电路</w:t>
        </w:r>
      </w:hyperlink>
    </w:p>
    <w:p>
      <w:pPr>
        <w:spacing w:before="0" w:after="80"/>
      </w:pPr>
      <w:r>
        <w:rPr>
          <w:i/>
          <w:sz w:val="20"/>
        </w:rPr>
        <w:t>EN: Ion‐Lock Storage With Multi‐Logic Circuitry Gated by Polar–Dipolar Interactions in Poly(Ionic Liquids)</w:t>
      </w:r>
    </w:p>
    <w:p>
      <w:pPr>
        <w:spacing w:before="0" w:after="120"/>
      </w:pPr>
      <w:r>
        <w:rPr>
          <w:b/>
        </w:rPr>
        <w:t xml:space="preserve">Source: </w:t>
      </w:r>
      <w:r>
        <w:t>Wiley: Angewandte Chemie International Edition: Table of Contents</w:t>
      </w:r>
      <w:r>
        <w:t xml:space="preserve">    </w:t>
      </w:r>
      <w:r>
        <w:rPr>
          <w:b/>
        </w:rPr>
        <w:t xml:space="preserve">Pub date: </w:t>
      </w:r>
      <w:r>
        <w:t>2026-03-25 07:10:57+00:00</w:t>
      </w:r>
      <w:r>
        <w:t xml:space="preserve">    </w:t>
      </w:r>
      <w:r>
        <w:rPr>
          <w:b/>
        </w:rPr>
        <w:t xml:space="preserve">DOI: </w:t>
      </w:r>
      <w:hyperlink r:id="rId844">
        <w:r>
          <w:rPr>
            <w:color w:val="1155CC"/>
            <w:u w:val="single"/>
          </w:rPr>
          <w:t>10.1002/anie.7512063</w:t>
        </w:r>
      </w:hyperlink>
    </w:p>
    <w:p>
      <w:pPr>
        <w:spacing w:before="0" w:after="120"/>
      </w:pPr>
      <w:r>
        <w:rPr>
          <w:b/>
        </w:rPr>
        <w:t xml:space="preserve">Notes: </w:t>
      </w:r>
      <w:r>
        <w:t>abstract_source=crossref</w:t>
      </w:r>
    </w:p>
    <w:p>
      <w:pPr>
        <w:spacing w:before="0" w:after="80" w:lineRule="auto" w:line="276"/>
      </w:pPr>
      <w:r>
        <w:rPr>
          <w:b/>
        </w:rPr>
        <w:t xml:space="preserve">摘要（ZH）: </w:t>
      </w:r>
      <w:r>
        <w:t>在这些研究中，我们开发了一代新型聚合物材料，能够储存电能并形成高于二进制的逻辑电路。在非平衡条件下，极性-偶极相互作用通过在脂肪族侧基上放置阳离子-阴离子对来促进离子锁能量存储。保持其位置较长时间有助于能量存储。这些特性是通过聚合由共价连接的偶极脂肪族可变长度间隔物（S）和尾部（T）组成的离子液体单体获得的，能够实现阳离子-阴离子极化和精确固定。当施加电场（EF）时，极化</w:t>
      </w:r>
    </w:p>
    <w:p>
      <w:pPr>
        <w:spacing w:before="0" w:after="200" w:lineRule="auto" w:line="276"/>
      </w:pPr>
      <w:r>
        <w:rPr>
          <w:b/>
        </w:rPr>
        <w:t xml:space="preserve">Abstract (EN): </w:t>
      </w:r>
      <w:r>
        <w:t>In these studies, we developed a new generation of polymeric materials capable of electrical energy storage and forming higher‐than‐binary logic circuits. Under non‐equilibrium conditions, polar–dipolar interactions facilitate t</w:t>
      </w:r>
      <w:r>
        <w:t xml:space="preserve"> </w:t>
      </w:r>
      <w:r>
        <w:t>ion‐lock</w:t>
      </w:r>
      <w:r>
        <w:t xml:space="preserve"> </w:t>
      </w:r>
      <w:r>
        <w:t>energy storage by emplacement of cation–anion pairs along the aliphatic side groups. Maintaining their locations for extended times facilitates energy storage. These properties were obtained by polymerizing ionic liquid monomers composed of covalently attached dipolar aliphatic variable‐length spacers (S) and tails (T) on both sides of a cation‐ anion pairs, enabling cation–anion polarization and precise fixation. When an electric field (EF) is applied, polarization of ion pairs occurs, and the ratio of aliphatic S‐to‐T controls</w:t>
      </w:r>
      <w:r>
        <w:t xml:space="preserve"> </w:t>
      </w:r>
      <w:r>
        <w:t>ion locking</w:t>
      </w:r>
      <w:r>
        <w:t xml:space="preserve"> </w:t>
      </w:r>
      <w:r>
        <w:t>. The degree of polarization governs the energy storage beyond classical approximations, whereas ion–dipole, dipole‐induced dipole, and dipole–dipole coupling facilitate multi‐logic circuitry. Integrating these materials into multiple series, in parallel, or a combination thereof provides the opportunity for development of higher‐than‐binary logic systems with enhancedr information density and multi‐valued logic gates. Among others, these materials may find numerous applications in quantum computing, fuzzy logic, or modeling uncertainty, just to name a few.</w:t>
      </w:r>
    </w:p>
    <w:p>
      <w:pPr>
        <w:spacing w:before="120" w:after="120"/>
      </w:pPr>
      <w:r>
        <w:rPr>
          <w:sz w:val="18"/>
        </w:rPr>
        <w:t>——————————————————————————————————————————————————————————————————————</w:t>
      </w:r>
    </w:p>
    <w:p>
      <w:pPr>
        <w:spacing w:before="160" w:after="40" w:line="240" w:lineRule="auto"/>
      </w:pPr>
      <w:r>
        <w:rPr>
          <w:b/>
        </w:rPr>
        <w:t xml:space="preserve">[342] </w:t>
      </w:r>
      <w:hyperlink r:id="rId845">
        <w:r>
          <w:rPr>
            <w:color w:val="1155CC"/>
            <w:u w:val="single"/>
          </w:rPr>
          <w:t>在无定形金属有机框架中捕获亚稳态节点</w:t>
        </w:r>
      </w:hyperlink>
    </w:p>
    <w:p>
      <w:pPr>
        <w:spacing w:before="0" w:after="80"/>
      </w:pPr>
      <w:r>
        <w:rPr>
          <w:i/>
          <w:sz w:val="20"/>
        </w:rPr>
        <w:t>EN: Trapping a Metastable Node in an Amorphous Metal–Organic Framework</w:t>
      </w:r>
    </w:p>
    <w:p>
      <w:pPr>
        <w:spacing w:before="0" w:after="120"/>
      </w:pPr>
      <w:r>
        <w:rPr>
          <w:b/>
        </w:rPr>
        <w:t xml:space="preserve">Source: </w:t>
      </w:r>
      <w:r>
        <w:t>Wiley: Angewandte Chemie International Edition: Table of Contents</w:t>
      </w:r>
      <w:r>
        <w:t xml:space="preserve">    </w:t>
      </w:r>
      <w:r>
        <w:rPr>
          <w:b/>
        </w:rPr>
        <w:t xml:space="preserve">Pub date: </w:t>
      </w:r>
      <w:r>
        <w:t>2026-03-25 07:15:29+00:00</w:t>
      </w:r>
      <w:r>
        <w:t xml:space="preserve">    </w:t>
      </w:r>
      <w:r>
        <w:rPr>
          <w:b/>
        </w:rPr>
        <w:t xml:space="preserve">DOI: </w:t>
      </w:r>
      <w:hyperlink r:id="rId846">
        <w:r>
          <w:rPr>
            <w:color w:val="1155CC"/>
            <w:u w:val="single"/>
          </w:rPr>
          <w:t>10.1002/anie.8844432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报告了一种通过挫败组装无定形金属有机框架来捕获网络中亚稳态节点的方法。使用X射线对分布函数（PDF）分析和密度泛函理论（DFT），我们展示了一个扭曲的节点形成，而不是更常见的观察到的能量上更有利的对称节点。我们通过一个动力学控制的序列来解释这一点，其中网络渗透先于节点松弛，这与晶体MOFs形成对比，在晶体MOFs中，扭曲的节点通过有利的拓扑稳定化被允许。我们的结果表明，挫败组装是一种有效的机制，可以安装非平衡局部结构，确立路径控制作为aMOFs中节点工程的杠杆。</w:t>
      </w:r>
    </w:p>
    <w:p>
      <w:pPr>
        <w:spacing w:before="0" w:after="200" w:lineRule="auto" w:line="276"/>
      </w:pPr>
      <w:r>
        <w:rPr>
          <w:b/>
        </w:rPr>
        <w:t xml:space="preserve">Abstract (EN): </w:t>
      </w:r>
      <w:r>
        <w:t>We report the frustrated assembly of an amorphous metal–organic framework as a route to trap a metastable node within the network. Using x‐ray pair distribution function (PDF) analysis and density functional theory (DFT), we show that a distorted node forms instead of the more commonly observed and energetically favorable symmetric node. We rationalise this via a kinetically controlled sequence in which network percolation precedes node relaxation, in contrast to crystalline MOFs, where distorted nodes are permitted by favourable topological stabilisation. Our results show that frustrated assembly is an effective mechanism to install non‐equilibrium local motifs, establishing pathway control as a lever for node engineering in aMOFs.</w:t>
      </w:r>
    </w:p>
    <w:p>
      <w:pPr>
        <w:spacing w:before="120" w:after="120"/>
      </w:pPr>
      <w:r>
        <w:rPr>
          <w:sz w:val="18"/>
        </w:rPr>
        <w:t>——————————————————————————————————————————————————————————————————————</w:t>
      </w:r>
    </w:p>
    <w:p>
      <w:pPr>
        <w:spacing w:before="160" w:after="40" w:line="240" w:lineRule="auto"/>
      </w:pPr>
      <w:r>
        <w:rPr>
          <w:b/>
        </w:rPr>
        <w:t xml:space="preserve">[343] </w:t>
      </w:r>
      <w:hyperlink r:id="rId847">
        <w:r>
          <w:rPr>
            <w:color w:val="1155CC"/>
            <w:u w:val="single"/>
          </w:rPr>
          <w:t>制动-驱动骨系统：骨质疏松性骨缺损再生的炎症微环境和成骨的顺序调节</w:t>
        </w:r>
      </w:hyperlink>
    </w:p>
    <w:p>
      <w:pPr>
        <w:spacing w:before="0" w:after="80"/>
      </w:pPr>
      <w:r>
        <w:rPr>
          <w:i/>
          <w:sz w:val="20"/>
        </w:rPr>
        <w:t>EN: Brake–Drive Osteo System: Sequential Modulation of the Inflammatory Microenvironment and Osteogenesis for Osteoporotic Bone Defect Regeneration</w:t>
      </w:r>
    </w:p>
    <w:p>
      <w:pPr>
        <w:spacing w:before="0" w:after="120"/>
      </w:pPr>
      <w:r>
        <w:rPr>
          <w:b/>
        </w:rPr>
        <w:t xml:space="preserve">Source: </w:t>
      </w:r>
      <w:r>
        <w:t>Wiley: Advanced Materials: Table of Contents</w:t>
      </w:r>
      <w:r>
        <w:t xml:space="preserve">    </w:t>
      </w:r>
      <w:r>
        <w:rPr>
          <w:b/>
        </w:rPr>
        <w:t xml:space="preserve">Pub date: </w:t>
      </w:r>
      <w:r>
        <w:t>2026-03-25 07:18:28+00:00</w:t>
      </w:r>
      <w:r>
        <w:t xml:space="preserve">    </w:t>
      </w:r>
      <w:r>
        <w:rPr>
          <w:b/>
        </w:rPr>
        <w:t xml:space="preserve">DOI: </w:t>
      </w:r>
      <w:hyperlink r:id="rId848">
        <w:r>
          <w:rPr>
            <w:color w:val="1155CC"/>
            <w:u w:val="single"/>
          </w:rPr>
          <w:t>10.1002/adma.72909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骨质疏松性骨缺损，其特征是慢性炎症和骨生成受损，对功能性骨再生构成了巨大的挑战。传统支架缺乏对炎症微环境的有效调节，无法协调抗炎和成骨信号，从而限制了它们将炎症解决与新骨形成结合的能力。在此，我们开发了一种“制动-驱动骨系统”，这是一种时空编程的生物材料，将槲皮素负载的纳米囊泡和特立帕肽负载的核酸框架整合在磷酸钙支架（BCP-T/N@Q/V）中。该设计实现了一个顺序的治疗级联——槲皮素首先“解除炎症制动”，缓解微环境阻力</w:t>
      </w:r>
    </w:p>
    <w:p>
      <w:pPr>
        <w:spacing w:before="0" w:after="200" w:lineRule="auto" w:line="276"/>
      </w:pPr>
      <w:r>
        <w:rPr>
          <w:b/>
        </w:rPr>
        <w:t xml:space="preserve">Abstract (EN): </w:t>
      </w:r>
      <w:r>
        <w:t>Osteoporotic bone defects, characterized by chronic inflammation and impaired osteogenesis, pose a formidable challenge for functional bone regeneration. Conventional scaffolds lack effective regulation of the inflammatory microenvironment and fail to coordinate anti‐inflammatory and osteogenic signals, thereby limiting their ability to couple inflammation resolution with new bone formation. Here, we developed a “Brake–Drive Osteo System”, a spatiotemporally programmed biomaterial integrating quercetin‐loaded nanovesicles and teriparatide‐loaded nucleic acid frameworks within a calcium phosphate scaffold (BCP‐T/N@Q/V). This design enables a sequential therapeutic cascade—quercetin first “disengages the inflammatory brake”, alleviating microenvironmental resistance to osteogenesis, while teriparatide subsequently “activates the osteogenic drive”, promoting bone regeneration. It effectively reprogrammed macrophages toward a pro‐regenerative phenotype and mitigated inflammatory stress, establishing an immunologically permissive microenvironment. This osteoimmune modulation significantly enhanced the osteogenic commitment and maturation of osteoporotic bone marrow mesenchymal stem cells. In a rat osteoporotic femoral condyle defect model, the scaffold achieved accelerated, structurally integrated bone regeneration, underscoring its translational potential. Collectively, this “Brake–Drive Osteo System” provides a sequential strategy that couples inflammation resolution with osteogenesis for effective osteoporotic bone regeneration.</w:t>
      </w:r>
    </w:p>
    <w:p>
      <w:pPr>
        <w:spacing w:before="120" w:after="120"/>
      </w:pPr>
      <w:r>
        <w:rPr>
          <w:sz w:val="18"/>
        </w:rPr>
        <w:t>——————————————————————————————————————————————————————————————————————</w:t>
      </w:r>
    </w:p>
    <w:p>
      <w:pPr>
        <w:spacing w:before="160" w:after="40" w:line="240" w:lineRule="auto"/>
      </w:pPr>
      <w:r>
        <w:rPr>
          <w:b/>
        </w:rPr>
        <w:t xml:space="preserve">[344] </w:t>
      </w:r>
      <w:hyperlink r:id="rId849">
        <w:r>
          <w:rPr>
            <w:color w:val="1155CC"/>
            <w:u w:val="single"/>
          </w:rPr>
          <w:t>以bis(Borondifluoride)-8-咪唑二吡咯甲烷为核心的电子受体用于短波长红外光响应</w:t>
        </w:r>
      </w:hyperlink>
    </w:p>
    <w:p>
      <w:pPr>
        <w:spacing w:before="0" w:after="80"/>
      </w:pPr>
      <w:r>
        <w:rPr>
          <w:i/>
          <w:sz w:val="20"/>
        </w:rPr>
        <w:t>EN: An Electron Acceptor With bis(Borondifluoride)‐8‐imidazodipyrromethene as the Core for Short‐Wavelength Infrared Photoresponse</w:t>
      </w:r>
    </w:p>
    <w:p>
      <w:pPr>
        <w:spacing w:before="0" w:after="120"/>
      </w:pPr>
      <w:r>
        <w:rPr>
          <w:b/>
        </w:rPr>
        <w:t xml:space="preserve">Source: </w:t>
      </w:r>
      <w:r>
        <w:t>Wiley: Angewandte Chemie International Edition: Table of Contents</w:t>
      </w:r>
      <w:r>
        <w:t xml:space="preserve">    </w:t>
      </w:r>
      <w:r>
        <w:rPr>
          <w:b/>
        </w:rPr>
        <w:t xml:space="preserve">Pub date: </w:t>
      </w:r>
      <w:r>
        <w:t>2026-03-25 07:21:35+00:00</w:t>
      </w:r>
      <w:r>
        <w:t xml:space="preserve">    </w:t>
      </w:r>
      <w:r>
        <w:rPr>
          <w:b/>
        </w:rPr>
        <w:t xml:space="preserve">DOI: </w:t>
      </w:r>
      <w:hyperlink r:id="rId850">
        <w:r>
          <w:rPr>
            <w:color w:val="1155CC"/>
            <w:u w:val="single"/>
          </w:rPr>
          <w:t>10.1002/anie.3239137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小分子电子受体具有供体-受体（D-A）结构，已成为有机光电子学的吸引材料，但在短波红外（SWIR，1000-3000 nm）区域实现强吸收仍然是一个基本挑战。在此，引入了一个共振N—B←N单元，双（硼二氟化物）-8-咪唑二吡咯甲烷（BIP），作为构建D-A型SWIR受体的新电子缺乏核心。BIP单元的引入导致了255 nm的显著红移，并提供了0.86 eV的超窄光学带隙，薄膜吸收延伸至1450 nm。所得受体BIP-M1表现出高摩尔消光系数3.8 × 10^5 M</w:t>
      </w:r>
    </w:p>
    <w:p>
      <w:pPr>
        <w:spacing w:before="0" w:after="200" w:lineRule="auto" w:line="276"/>
      </w:pPr>
      <w:r>
        <w:rPr>
          <w:b/>
        </w:rPr>
        <w:t xml:space="preserve">Abstract (EN): </w:t>
      </w:r>
      <w:r>
        <w:t>Small‐molecule electron acceptors with donor–acceptor (D–A) structures have emerged as attractive materials for organic optoelectronics, yet achieving strong absorption in the short‐wavelength infrared (SWIR, 1000–3000 nm) region remains a fundamental challenge. Here, a resonant N—B←N unit, bis(borondifluoride)‐8‐imidazodipyrromethene (BIP), is introduced as a new electron‐deficient core for constructing D–A type SWIR acceptors. Incorporation of the BIP unit induces a pronounced bathochromic shift of 255 nm and affords an ultranarrow optical bandgap of 0.86 eV, with thin‐film absorption extending to 1450 nm. The resulting acceptor, BIP‐M1, exhibits a high molar extinction coefficient of 3.8 × 10</w:t>
      </w:r>
      <w:r>
        <w:rPr>
          <w:vertAlign w:val="subscript"/>
        </w:rPr>
        <w:t>5</w:t>
      </w:r>
      <w:r>
        <w:t>M</w:t>
      </w:r>
      <w:r>
        <w:t xml:space="preserve"> </w:t>
      </w:r>
      <w:r>
        <w:t>−</w:t>
      </w:r>
      <w:r>
        <w:rPr>
          <w:vertAlign w:val="subscript"/>
        </w:rPr>
        <w:t>1</w:t>
      </w:r>
      <w:r>
        <w:t>cm</w:t>
      </w:r>
      <w:r>
        <w:t xml:space="preserve"> </w:t>
      </w:r>
      <w:r>
        <w:t>−</w:t>
      </w:r>
      <w:r>
        <w:rPr>
          <w:vertAlign w:val="subscript"/>
        </w:rPr>
        <w:t>1</w:t>
      </w:r>
      <w:r>
        <w:t>and an exceptionally small Stokes shift of 0.054 eV, indicative of its strong SWIR absorption capability and suppressed nonradiative losses. Photodiode‐type organic photodetectors based on BIP‐M1 enable sensitive photoresponse over a broad spectral range from 300 to 1400 nm, delivering a responsivity of 0.18 A W</w:t>
      </w:r>
      <w:r>
        <w:t xml:space="preserve"> </w:t>
      </w:r>
      <w:r>
        <w:t>−</w:t>
      </w:r>
      <w:r>
        <w:rPr>
          <w:vertAlign w:val="subscript"/>
        </w:rPr>
        <w:t>1</w:t>
      </w:r>
      <w:r>
        <w:t>and a specific detectivity of 3.93 × 10</w:t>
      </w:r>
      <w:r>
        <w:rPr>
          <w:vertAlign w:val="subscript"/>
        </w:rPr>
        <w:t>11</w:t>
      </w:r>
      <w:r>
        <w:t>Jones at 1200 nm, together with an ultralow Urbach energy of 19.19 meV. This study identifies resonant N—B←N units as powerful structural motifs for small bandgap molecular design and establishes BIP‐based small molecular acceptors as a promising platform for next‐generation SWIR optoelectronics.</w:t>
      </w:r>
    </w:p>
    <w:p>
      <w:pPr>
        <w:spacing w:before="120" w:after="120"/>
      </w:pPr>
      <w:r>
        <w:rPr>
          <w:sz w:val="18"/>
        </w:rPr>
        <w:t>——————————————————————————————————————————————————————————————————————</w:t>
      </w:r>
    </w:p>
    <w:p>
      <w:pPr>
        <w:spacing w:before="160" w:after="40" w:line="240" w:lineRule="auto"/>
      </w:pPr>
      <w:r>
        <w:rPr>
          <w:b/>
        </w:rPr>
        <w:t xml:space="preserve">[345] </w:t>
      </w:r>
      <w:hyperlink r:id="rId851">
        <w:r>
          <w:rPr>
            <w:color w:val="1155CC"/>
            <w:u w:val="single"/>
          </w:rPr>
          <w:t>[ASAP] 生物分子凝聚体内在氧化还原活性的起源</w:t>
        </w:r>
      </w:hyperlink>
    </w:p>
    <w:p>
      <w:pPr>
        <w:spacing w:before="0" w:after="80"/>
      </w:pPr>
      <w:r>
        <w:rPr>
          <w:i/>
          <w:sz w:val="20"/>
        </w:rPr>
        <w:t>EN: [ASAP] Origins of the Intrinsic Redox Activity of Biomolecular Condensates</w:t>
      </w:r>
    </w:p>
    <w:p>
      <w:pPr>
        <w:spacing w:before="0" w:after="120"/>
      </w:pPr>
      <w:r>
        <w:rPr>
          <w:b/>
        </w:rPr>
        <w:t xml:space="preserve">Source: </w:t>
      </w:r>
      <w:r>
        <w:t>Journal of the American Chemical Society: Latest Articles (ACS Publications)</w:t>
      </w:r>
      <w:r>
        <w:t xml:space="preserve">    </w:t>
      </w:r>
      <w:r>
        <w:rPr>
          <w:b/>
        </w:rPr>
        <w:t xml:space="preserve">Pub date: </w:t>
      </w:r>
      <w:r>
        <w:t>2026-03-25 08:16:03+00:00</w:t>
      </w:r>
      <w:r>
        <w:t xml:space="preserve">    </w:t>
      </w:r>
      <w:r>
        <w:rPr>
          <w:b/>
        </w:rPr>
        <w:t xml:space="preserve">DOI: </w:t>
      </w:r>
      <w:hyperlink r:id="rId852">
        <w:r>
          <w:rPr>
            <w:color w:val="1155CC"/>
            <w:u w:val="single"/>
          </w:rPr>
          <w:t>10.1021/jacs.6c01750</w:t>
        </w:r>
      </w:hyperlink>
    </w:p>
    <w:p>
      <w:pPr>
        <w:spacing w:before="0" w:after="120"/>
      </w:pPr>
      <w:r>
        <w:rPr>
          <w:b/>
        </w:rPr>
        <w:t xml:space="preserve">Notes: </w:t>
      </w:r>
      <w:r>
        <w:t>abstract_source=pubmed</w:t>
      </w:r>
    </w:p>
    <w:p>
      <w:pPr>
        <w:spacing w:before="0" w:after="80" w:lineRule="auto" w:line="276"/>
      </w:pPr>
      <w:r>
        <w:rPr>
          <w:b/>
        </w:rPr>
        <w:t xml:space="preserve">摘要（ZH）: </w:t>
      </w:r>
      <w:r>
        <w:t>生物分子凝聚体中固有的氧化还原活性如何产生仍不清楚。与界面系统不同，如水微滴，其中水的氧化支撑氧化还原化学，凝聚体由生物分子组成，这些生物分子可能提供替代的电子转移途径。在此，使用电子顺磁共振、电化学电位测量、质谱和共聚焦显微镜检测，我们发现与水氧化正交的微环境依赖性自发酪氨酸氧化编码了一种替代的氧化还原途径。通过质子耦合电子转移，凝聚体中的自诱导酪氨酸自氧化驱动活性碳和氧物种的形成，为过氧化氢形成提供了一条与氢氧化物氧化平行的途径。</w:t>
      </w:r>
    </w:p>
    <w:p>
      <w:pPr>
        <w:spacing w:before="0" w:after="200" w:lineRule="auto" w:line="276"/>
      </w:pPr>
      <w:r>
        <w:rPr>
          <w:b/>
        </w:rPr>
        <w:t xml:space="preserve">Abstract (EN): </w:t>
      </w:r>
      <w:r>
        <w:t>How inherent redox activity arises in biomolecular condensates remains unclear. Unlike interfacial systems, such as water microdroplets, where water oxidation underpins redox chemistry, condensates comprise biomolecules that can potentially furnish alternative electron-transfer routes. Here, using electron paramagnetic resonance, electrochemical potentiometry, mass spectrometry, and confocal microscopy assays, we discovered that orthogonal to water oxidation, microenvironment-dependent spontaneous tyrosine oxidation encodes an alternative redox pathway. Through proton-coupled electron transfer, self-induced tyrosine autoxidation in condensates drives the formation of reactive carbon and oxygen species, providing a pathway in parallel to hydroxide oxidation for hydrogen peroxide formation in condensates. This self-induced redox pathway modulates nonequilibrium condensate behaviors, including responses to external chemical perturbations and evolution of the condensate interior microenvironment. By correlating condensate biomolecular composition with inherent redox activities, our work establishes a conceptual framework suggesting that condensate-dependent electron transfer can be critical to define the functions of condensates and deliver a new redox mechanism for cell biology.</w:t>
      </w:r>
    </w:p>
    <w:p>
      <w:pPr>
        <w:spacing w:before="120" w:after="120"/>
      </w:pPr>
      <w:r>
        <w:rPr>
          <w:sz w:val="18"/>
        </w:rPr>
        <w:t>——————————————————————————————————————————————————————————————————————</w:t>
      </w:r>
    </w:p>
    <w:p>
      <w:pPr>
        <w:spacing w:before="160" w:after="40" w:line="240" w:lineRule="auto"/>
      </w:pPr>
      <w:r>
        <w:rPr>
          <w:b/>
        </w:rPr>
        <w:t xml:space="preserve">[346] </w:t>
      </w:r>
      <w:hyperlink r:id="rId853">
        <w:r>
          <w:rPr>
            <w:color w:val="1155CC"/>
            <w:u w:val="single"/>
          </w:rPr>
          <w:t>[ASAP] 串联助色团设计实现深短波红外染料的便捷获取</w:t>
        </w:r>
      </w:hyperlink>
    </w:p>
    <w:p>
      <w:pPr>
        <w:spacing w:before="0" w:after="80"/>
      </w:pPr>
      <w:r>
        <w:rPr>
          <w:i/>
          <w:sz w:val="20"/>
        </w:rPr>
        <w:t>EN: [ASAP] Tandem Auxochrome Design Enables Ready Access to Deep Shortwave Infrared Dyes</w:t>
      </w:r>
    </w:p>
    <w:p>
      <w:pPr>
        <w:spacing w:before="0" w:after="120"/>
      </w:pPr>
      <w:r>
        <w:rPr>
          <w:b/>
        </w:rPr>
        <w:t xml:space="preserve">Source: </w:t>
      </w:r>
      <w:r>
        <w:t>Journal of the American Chemical Society: Latest Articles (ACS Publications)</w:t>
      </w:r>
      <w:r>
        <w:t xml:space="preserve">    </w:t>
      </w:r>
      <w:r>
        <w:rPr>
          <w:b/>
        </w:rPr>
        <w:t xml:space="preserve">Pub date: </w:t>
      </w:r>
      <w:r>
        <w:t>2026-03-25 08:24:03+00:00</w:t>
      </w:r>
      <w:r>
        <w:t xml:space="preserve">    </w:t>
      </w:r>
      <w:r>
        <w:rPr>
          <w:b/>
        </w:rPr>
        <w:t xml:space="preserve">DOI: </w:t>
      </w:r>
      <w:hyperlink r:id="rId854">
        <w:r>
          <w:rPr>
            <w:color w:val="1155CC"/>
            <w:u w:val="single"/>
          </w:rPr>
          <w:t>10.1021/jacs.6c02935</w:t>
        </w:r>
      </w:hyperlink>
    </w:p>
    <w:p>
      <w:pPr>
        <w:spacing w:before="0" w:after="120"/>
      </w:pPr>
      <w:r>
        <w:rPr>
          <w:b/>
        </w:rPr>
        <w:t xml:space="preserve">Notes: </w:t>
      </w:r>
      <w:r>
        <w:t>abstract_source=pubmed</w:t>
      </w:r>
    </w:p>
    <w:p>
      <w:pPr>
        <w:spacing w:before="0" w:after="80" w:lineRule="auto" w:line="276"/>
      </w:pPr>
      <w:r>
        <w:rPr>
          <w:b/>
        </w:rPr>
        <w:t xml:space="preserve">摘要（ZH）: </w:t>
      </w:r>
      <w:r>
        <w:t>短波红外（SWIR, 1.0-2.0 μm）窗口由于其在复杂介质中的最小衰减，对于先进的光子应用越来越重要。然而，使用紧凑的有机分子实现全光谱覆盖仍然是一个艰巨的挑战，因为传统的红移策略通常需要广泛的π扩展或复杂的融合环结构。在此，我们引入了一种串联助色团设计，其中两个简化的氨基助色团通过π共轭间隔物电子耦合。这种配置协同降低了有效电离能，并放大了与发色团骨架的共轭耦合，比传统的扩展方法更有效地缩小了带隙。当集成到一个紧凑的、带电共振的</w:t>
      </w:r>
    </w:p>
    <w:p>
      <w:pPr>
        <w:spacing w:before="0" w:after="200" w:lineRule="auto" w:line="276"/>
      </w:pPr>
      <w:r>
        <w:rPr>
          <w:b/>
        </w:rPr>
        <w:t xml:space="preserve">Abstract (EN): </w:t>
      </w:r>
      <w:r>
        <w:t>The shortwave infrared (SWIR, 1.0-2.0 μm) window is of growing importance for advanced photonic applications owing to its minimal attenuation in complex media. However, achieving full spectral coverage with compact organic molecules remains a formidable challenge, as conventional bathochromic strategies typically necessitate extensive π-extension or intricate fused-ring architectures. Here, we introduce a tandem auxochromic design wherein two simplified amino auxochromes are electronically coupled through a π-conjugated spacer. This configuration cooperatively lowers the effective ionization energy and amplifies conjugative coupling with the chromophore backbone, facilitating more efficient bandgap narrowing than traditional extension methods. When integrated onto a compact, charge-resonance-delocalized fluorenium scaffold, this approach enables continuous SWIR spectral tunability via a concise three-step synthesis, notably extending into the deep-SWIR region (&gt;1.5 μm) at an exceptionally low molecular weight of 590 Da. The resulting dyes exhibit high spectral stability in polar solvents and strong resistance to high laser power and oxidative environments. We demonstrate the clear advantages of our approach through high-resolution in vivo and multiplexed SWIR imaging, while this work simultaneously provides a convenient entry for exploring SWIR photonic phenomena using organic materials.</w:t>
      </w:r>
    </w:p>
    <w:p>
      <w:pPr>
        <w:spacing w:before="120" w:after="120"/>
      </w:pPr>
      <w:r>
        <w:rPr>
          <w:sz w:val="18"/>
        </w:rPr>
        <w:t>——————————————————————————————————————————————————————————————————————</w:t>
      </w:r>
    </w:p>
    <w:p>
      <w:pPr>
        <w:spacing w:before="160" w:after="40" w:line="240" w:lineRule="auto"/>
      </w:pPr>
      <w:r>
        <w:rPr>
          <w:b/>
        </w:rPr>
        <w:t xml:space="preserve">[347] </w:t>
      </w:r>
      <w:hyperlink r:id="rId855">
        <w:r>
          <w:rPr>
            <w:color w:val="1155CC"/>
            <w:u w:val="single"/>
          </w:rPr>
          <w:t>酶介导的耗散性杂交链式反应 (HCR)</w:t>
        </w:r>
      </w:hyperlink>
    </w:p>
    <w:p>
      <w:pPr>
        <w:spacing w:before="0" w:after="80"/>
      </w:pPr>
      <w:r>
        <w:rPr>
          <w:i/>
          <w:sz w:val="20"/>
        </w:rPr>
        <w:t>EN: Enzyme‐Mediated Dissipative Hybridization Chain Reaction (HCR)</w:t>
      </w:r>
    </w:p>
    <w:p>
      <w:pPr>
        <w:spacing w:before="0" w:after="120"/>
      </w:pPr>
      <w:r>
        <w:rPr>
          <w:b/>
        </w:rPr>
        <w:t xml:space="preserve">Source: </w:t>
      </w:r>
      <w:r>
        <w:t>Wiley: Angewandte Chemie International Edition: Table of Contents</w:t>
      </w:r>
      <w:r>
        <w:t xml:space="preserve">    </w:t>
      </w:r>
      <w:r>
        <w:rPr>
          <w:b/>
        </w:rPr>
        <w:t xml:space="preserve">Pub date: </w:t>
      </w:r>
      <w:r>
        <w:t>2026-03-25 10:35:36+00:00</w:t>
      </w:r>
      <w:r>
        <w:t xml:space="preserve">    </w:t>
      </w:r>
      <w:r>
        <w:rPr>
          <w:b/>
        </w:rPr>
        <w:t xml:space="preserve">DOI: </w:t>
      </w:r>
      <w:hyperlink r:id="rId856">
        <w:r>
          <w:rPr>
            <w:color w:val="1155CC"/>
            <w:u w:val="single"/>
          </w:rPr>
          <w:t>10.1002/anie.202524421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在此报告了一种新策略，以实现酶介导的对杂交链式反应（HCR）的耗散控制。为此，我们合理地重新设计了一种可逆的HCR方法，使得DNA聚合物的组装和解体可以通过RNA/DNA燃料链与特定的酶燃料消耗单元相结合来暂时调节。这一策略能够在多个周期内进行精确可编程的寿命调节。最后，我们展示了两个应用：一个由两种不同酶同时控制的多输入耗散HCR，以及一个功能化有光亮化适配体的DNA基聚合物支架的暂时控制。</w:t>
      </w:r>
    </w:p>
    <w:p>
      <w:pPr>
        <w:spacing w:before="0" w:after="200" w:lineRule="auto" w:line="276"/>
      </w:pPr>
      <w:r>
        <w:rPr>
          <w:b/>
        </w:rPr>
        <w:t xml:space="preserve">Abstract (EN): </w:t>
      </w:r>
      <w:r>
        <w:t>We report here a novel strategy to achieve enzyme‐mediated dissipative control over hybridization chain reaction (HCR). To achieve this, we have rationally re‐engineered a reversible HCR approach so that the assembly and disassembly of DNA polymers can be transiently regulated by RNA/DNA fuel strands in combination with specific enzymatic fuel‐consuming units. This strategy enables regulation over multiple cycles with precisely programmable lifetimes. Finally, we demonstrate two applications: a multi‐input dissipative HCR simultaneously controlled by two different enzymes, and the transient control of a DNA‐based polymeric scaffold functionalized with a light‐up aptamer.</w:t>
      </w:r>
    </w:p>
    <w:p>
      <w:pPr>
        <w:spacing w:before="120" w:after="120"/>
      </w:pPr>
      <w:r>
        <w:rPr>
          <w:sz w:val="18"/>
        </w:rPr>
        <w:t>——————————————————————————————————————————————————————————————————————</w:t>
      </w:r>
    </w:p>
    <w:p>
      <w:pPr>
        <w:spacing w:before="160" w:after="40" w:line="240" w:lineRule="auto"/>
      </w:pPr>
      <w:r>
        <w:rPr>
          <w:b/>
        </w:rPr>
        <w:t xml:space="preserve">[348] </w:t>
      </w:r>
      <w:hyperlink r:id="rId857">
        <w:r>
          <w:rPr>
            <w:color w:val="1155CC"/>
            <w:u w:val="single"/>
          </w:rPr>
          <w:t>启动：支持在θ-Al2O3上的镍基甲烷干重整催化剂高活性和稳定性的关键步骤</w:t>
        </w:r>
      </w:hyperlink>
    </w:p>
    <w:p>
      <w:pPr>
        <w:spacing w:before="0" w:after="80"/>
      </w:pPr>
      <w:r>
        <w:rPr>
          <w:i/>
          <w:sz w:val="20"/>
        </w:rPr>
        <w:t>EN: Initiation: A Critical Step for High Activity and Stability in Ni‐Based Methane Dry Reforming Catalysts Supported on θ‐Al2O3</w:t>
      </w:r>
    </w:p>
    <w:p>
      <w:pPr>
        <w:spacing w:before="0" w:after="120"/>
      </w:pPr>
      <w:r>
        <w:rPr>
          <w:b/>
        </w:rPr>
        <w:t xml:space="preserve">Source: </w:t>
      </w:r>
      <w:r>
        <w:t>Wiley: Angewandte Chemie International Edition: Table of Contents</w:t>
      </w:r>
      <w:r>
        <w:t xml:space="preserve">    </w:t>
      </w:r>
      <w:r>
        <w:rPr>
          <w:b/>
        </w:rPr>
        <w:t xml:space="preserve">Pub date: </w:t>
      </w:r>
      <w:r>
        <w:t>2026-03-25 10:45:56+00:00</w:t>
      </w:r>
      <w:r>
        <w:t xml:space="preserve">    </w:t>
      </w:r>
      <w:r>
        <w:rPr>
          <w:b/>
        </w:rPr>
        <w:t xml:space="preserve">DOI: </w:t>
      </w:r>
      <w:hyperlink r:id="rId858">
        <w:r>
          <w:rPr>
            <w:color w:val="1155CC"/>
            <w:u w:val="single"/>
          </w:rPr>
          <w:t>10.1002/anie.1716058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镍基催化剂在甲烷干重整（DRM）中被广泛研究，该过程将CO</w:t>
      </w:r>
      <w:r>
        <w:rPr>
          <w:vertAlign w:val="subscript"/>
        </w:rPr>
        <w:t>2</w:t>
      </w:r>
      <w:r>
        <w:t>和CH</w:t>
      </w:r>
      <w:r>
        <w:rPr>
          <w:vertAlign w:val="subscript"/>
        </w:rPr>
        <w:t>4</w:t>
      </w:r>
      <w:r>
        <w:t>——两种最丰富的温室气体——转化为用于下游化学合成的合成气。DRM所需的苛刻反应条件导致积碳和金属聚集。尽管提出了多种机制，但对反应的分子水平理解仍存在争议。在此，我们报告了通过表面有机金属化学（SOMC）合成的</w:t>
      </w:r>
      <w:r>
        <w:t xml:space="preserve"> </w:t>
      </w:r>
      <w:r>
        <w:t>θ</w:t>
      </w:r>
      <w:r>
        <w:t xml:space="preserve"> </w:t>
      </w:r>
      <w:r>
        <w:t>‐Al</w:t>
      </w:r>
      <w:r>
        <w:rPr>
          <w:vertAlign w:val="subscript"/>
        </w:rPr>
        <w:t>2</w:t>
      </w:r>
      <w:r>
        <w:t>O</w:t>
      </w:r>
      <w:r>
        <w:rPr>
          <w:vertAlign w:val="subscript"/>
        </w:rPr>
        <w:t>3</w:t>
      </w:r>
      <w:r>
        <w:t>‐支持的镍DRM催化剂，并报告了其卓越的活性和</w:t>
      </w:r>
    </w:p>
    <w:p>
      <w:pPr>
        <w:spacing w:before="0" w:after="200" w:lineRule="auto" w:line="276"/>
      </w:pPr>
      <w:r>
        <w:rPr>
          <w:b/>
        </w:rPr>
        <w:t xml:space="preserve">Abstract (EN): </w:t>
      </w:r>
      <w:r>
        <w:t>Ni‐based catalysts are extensively studied for the dry reforming of methane (DRM), which converts CO</w:t>
      </w:r>
      <w:r>
        <w:rPr>
          <w:vertAlign w:val="subscript"/>
        </w:rPr>
        <w:t>2</w:t>
      </w:r>
      <w:r>
        <w:t>and CH</w:t>
      </w:r>
      <w:r>
        <w:rPr>
          <w:vertAlign w:val="subscript"/>
        </w:rPr>
        <w:t>4</w:t>
      </w:r>
      <w:r>
        <w:t>—the two most abundant greenhouse gases—into syngas for downstream chemical synthesis. The harsh reaction conditions required for DRM lead to coking, metal aggregation. Although multiple mechanisms have been proposed, the molecular‐level understanding of the reaction remains debated. Here, we report the synthesis of</w:t>
      </w:r>
      <w:r>
        <w:t xml:space="preserve"> </w:t>
      </w:r>
      <w:r>
        <w:t>θ</w:t>
      </w:r>
      <w:r>
        <w:t xml:space="preserve"> </w:t>
      </w:r>
      <w:r>
        <w:t>‐Al</w:t>
      </w:r>
      <w:r>
        <w:rPr>
          <w:vertAlign w:val="subscript"/>
        </w:rPr>
        <w:t>2</w:t>
      </w:r>
      <w:r>
        <w:t>O</w:t>
      </w:r>
      <w:r>
        <w:rPr>
          <w:vertAlign w:val="subscript"/>
        </w:rPr>
        <w:t>3</w:t>
      </w:r>
      <w:r>
        <w:t>‐supported Ni DRM catalysts via surface organometallic chemistry (SOMC) and report its outstanding activity and stability. The resulting Ni nanoparticles remain highly dispersed, with an average size of 5.3 ± 1.3 nm even after reduction at 900°C. This model catalyst exhibits distinct temperature‐dependent behavior during DRM, with marked structural and mechanistic differences observed within a narrow 50°C range. In situ x‐ray absorption spectroscopy (XAS) and ex situ synchrotron x‐ray diffraction (XRD) reveal a dynamic induction process involving rapid Ni oxidation, followed by reduction and carbon insertion into the Ni lattice at 850°C, forming a carbide‐like NiC</w:t>
      </w:r>
      <w:r>
        <w:t xml:space="preserve"> </w:t>
      </w:r>
      <w:r>
        <w:t>x</w:t>
      </w:r>
      <w:r>
        <w:t xml:space="preserve"> </w:t>
      </w:r>
      <w:r>
        <w:t>phase. At 800°C, incorporation of carbon is limited, thus leading to surface coking and catalyst deactivation. Furthermore, gas‐switching experiments confirm the importance of a carbide cycle at 850°C, enabling continuous carbon removal and sustained catalytic stability.</w:t>
      </w:r>
    </w:p>
    <w:p>
      <w:pPr>
        <w:spacing w:before="120" w:after="120"/>
      </w:pPr>
      <w:r>
        <w:rPr>
          <w:sz w:val="18"/>
        </w:rPr>
        <w:t>——————————————————————————————————————————————————————————————————————</w:t>
      </w:r>
    </w:p>
    <w:p>
      <w:pPr>
        <w:spacing w:before="160" w:after="40" w:line="240" w:lineRule="auto"/>
      </w:pPr>
      <w:r>
        <w:rPr>
          <w:b/>
        </w:rPr>
        <w:t xml:space="preserve">[349] </w:t>
      </w:r>
      <w:hyperlink r:id="rId859">
        <w:r>
          <w:rPr>
            <w:color w:val="1155CC"/>
            <w:u w:val="single"/>
          </w:rPr>
          <w:t>酸敏感离子通道的孤立拇指结构域形成一个最小折叠单元，能够进行配体结合研究</w:t>
        </w:r>
      </w:hyperlink>
    </w:p>
    <w:p>
      <w:pPr>
        <w:spacing w:before="0" w:after="80"/>
      </w:pPr>
      <w:r>
        <w:rPr>
          <w:i/>
          <w:sz w:val="20"/>
        </w:rPr>
        <w:t>EN: The Isolated Thumb Domain of Acid‐Sensing Ion Channels Forms a Minimal Folding Unit Enabling Ligand Binding Studies</w:t>
      </w:r>
    </w:p>
    <w:p>
      <w:pPr>
        <w:spacing w:before="0" w:after="120"/>
      </w:pPr>
      <w:r>
        <w:rPr>
          <w:b/>
        </w:rPr>
        <w:t xml:space="preserve">Source: </w:t>
      </w:r>
      <w:r>
        <w:t>Wiley: Angewandte Chemie International Edition: Table of Contents</w:t>
      </w:r>
      <w:r>
        <w:t xml:space="preserve">    </w:t>
      </w:r>
      <w:r>
        <w:rPr>
          <w:b/>
        </w:rPr>
        <w:t xml:space="preserve">Pub date: </w:t>
      </w:r>
      <w:r>
        <w:t>2026-03-25 10:46:45+00:00</w:t>
      </w:r>
      <w:r>
        <w:t xml:space="preserve">    </w:t>
      </w:r>
      <w:r>
        <w:rPr>
          <w:b/>
        </w:rPr>
        <w:t xml:space="preserve">DOI: </w:t>
      </w:r>
      <w:hyperlink r:id="rId860">
        <w:r>
          <w:rPr>
            <w:color w:val="1155CC"/>
            <w:u w:val="single"/>
          </w:rPr>
          <w:t>10.1002/anie.202523977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质子门控酸敏感离子通道（ASICs）是缺血相关疾病如中风和心肌梗死的新兴治疗靶点。尽管存在ASIC1a的结构数据，但配体识别和调节的关键方面仍未解决。使用多维溶液态NMR光谱，我们显示了ASICs的主要配体结合区域，拇指域，形成一个独立折叠的单元，在中性pH下采用类似于通道静息状态的天然构象。通过将配体结合的高分辨率生物物理分析与全长ASIC1a的电生理测量相结合，我们区分了决定结合的分子相互作用。</w:t>
      </w:r>
    </w:p>
    <w:p>
      <w:pPr>
        <w:spacing w:before="0" w:after="200" w:lineRule="auto" w:line="276"/>
      </w:pPr>
      <w:r>
        <w:rPr>
          <w:b/>
        </w:rPr>
        <w:t xml:space="preserve">Abstract (EN): </w:t>
      </w:r>
      <w:r>
        <w:t>Proton‐gated acid‐sensing ion channels (ASICs) are emerging therapeutic targets for ischemia‐related conditions such as stroke and myocardial infarction. Although structural data exist for ASIC1a, key aspects of ligand recognition and modulation remain unresolved. Using multidimensional solution‐state NMR spectroscopy, we show that the principal ligand‐binding region of ASICs, the thumb domain, forms an independently folded unit that at neutral pH adopts a native‐like conformation resembling the resting state of the channel. By integrating high‐resolution biophysical analyses of ligand binding to the isolated thumb domain with electrophysiological measurements on full‐length ASIC1a, we distinguished molecular interactions that determine binding affinity from those governing functional efficacy. This approach revealed that dynorphin A acts as a competitive antagonist of ASIC1a. Furthermore, NMR‐based p</w:t>
      </w:r>
      <w:r>
        <w:t xml:space="preserve"> </w:t>
      </w:r>
      <w:r>
        <w:t>K</w:t>
      </w:r>
      <w:r>
        <w:t xml:space="preserve"> </w:t>
      </w:r>
      <w:r>
        <w:t>a</w:t>
      </w:r>
      <w:r>
        <w:t xml:space="preserve"> </w:t>
      </w:r>
      <w:r>
        <w:t>determination of individual acidic residues demonstrated generally elevated values across the isolated thumb domain, supporting the presence of an extended acid‐sensing network rather than a single dominant pH sensor. These findings establish the isolated thumb domain as a powerful model for dissecting ASIC ligand interactions and pH sensitivity in solution, providing mechanistic insights and enabling structure‐based drug discovery of therapeutic modulators for ASICs and related ion channels.</w:t>
      </w:r>
    </w:p>
    <w:p>
      <w:pPr>
        <w:spacing w:before="120" w:after="120"/>
      </w:pPr>
      <w:r>
        <w:rPr>
          <w:sz w:val="18"/>
        </w:rPr>
        <w:t>——————————————————————————————————————————————————————————————————————</w:t>
      </w:r>
    </w:p>
    <w:p>
      <w:pPr>
        <w:spacing w:before="160" w:after="40" w:line="240" w:lineRule="auto"/>
      </w:pPr>
      <w:r>
        <w:rPr>
          <w:b/>
        </w:rPr>
        <w:t xml:space="preserve">[350] </w:t>
      </w:r>
      <w:hyperlink r:id="rId861">
        <w:r>
          <w:rPr>
            <w:color w:val="1155CC"/>
            <w:u w:val="single"/>
          </w:rPr>
          <w:t>用于深蓝色圆偏振电致发光的C2对称手性发射体，具有高解旋因子</w:t>
        </w:r>
      </w:hyperlink>
    </w:p>
    <w:p>
      <w:pPr>
        <w:spacing w:before="0" w:after="80"/>
      </w:pPr>
      <w:r>
        <w:rPr>
          <w:i/>
          <w:sz w:val="20"/>
        </w:rPr>
        <w:t>EN: A C2‐Symmetric Chiral Emitter for Deep‐Blue Circularly Polarized Electroluminescence With High Dissymmetry Factors</w:t>
      </w:r>
    </w:p>
    <w:p>
      <w:pPr>
        <w:spacing w:before="0" w:after="120"/>
      </w:pPr>
      <w:r>
        <w:rPr>
          <w:b/>
        </w:rPr>
        <w:t xml:space="preserve">Source: </w:t>
      </w:r>
      <w:r>
        <w:t>Wiley: Angewandte Chemie International Edition: Table of Contents</w:t>
      </w:r>
      <w:r>
        <w:t xml:space="preserve">    </w:t>
      </w:r>
      <w:r>
        <w:rPr>
          <w:b/>
        </w:rPr>
        <w:t xml:space="preserve">Pub date: </w:t>
      </w:r>
      <w:r>
        <w:t>2026-03-25 10:48:45+00:00</w:t>
      </w:r>
      <w:r>
        <w:t xml:space="preserve">    </w:t>
      </w:r>
      <w:r>
        <w:rPr>
          <w:b/>
        </w:rPr>
        <w:t xml:space="preserve">DOI: </w:t>
      </w:r>
      <w:hyperlink r:id="rId862">
        <w:r>
          <w:rPr>
            <w:color w:val="1155CC"/>
            <w:u w:val="single"/>
          </w:rPr>
          <w:t>10.1002/anie.5815007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深蓝色圆偏振有机发光二极管（CP-OLEDs）由于同时实现宽带隙和强旋光活性的严格要求而仍然稀缺。在此，我们报告了DC-TRZ，这是一种C2对称的手性发光体，由二聚卡唑供体和三苯基三嗪受体组成，表现出433 nm的深蓝色发射，发射效率高达79%。其光学纯的(R)-和(S)-异构体显示出显著的Cotton效应和明显的圆偏振发光（CPL）。值得注意的是，基于</w:t>
      </w:r>
    </w:p>
    <w:p>
      <w:pPr>
        <w:spacing w:before="0" w:after="200" w:lineRule="auto" w:line="276"/>
      </w:pPr>
      <w:r>
        <w:rPr>
          <w:b/>
        </w:rPr>
        <w:t xml:space="preserve">Abstract (EN): </w:t>
      </w:r>
      <w:r>
        <w:t>Deep blue circularly polarized organic light‐emitting diodes (CP‐OLEDs) remain scarce due to the stringent requirement of simultaneously achieving a wide bandgap and strong chiroptical activity. Herein, we report</w:t>
      </w:r>
      <w:r>
        <w:t xml:space="preserve"> </w:t>
      </w:r>
      <w:r>
        <w:t>DC‐TRZ</w:t>
      </w:r>
      <w:r>
        <w:t xml:space="preserve"> </w:t>
      </w:r>
      <w:r>
        <w:t>, a</w:t>
      </w:r>
      <w:r>
        <w:t xml:space="preserve"> </w:t>
      </w:r>
      <w:r>
        <w:t>C</w:t>
      </w:r>
      <w:r>
        <w:rPr>
          <w:vertAlign w:val="subscript"/>
        </w:rPr>
        <w:t>2</w:t>
      </w:r>
      <w:r>
        <w:t>‐symmetric chiral emitter comprising a dimeric carbazole donor and a triphenyltriazine acceptor, which exhibits deep‐blue emission at 433 nm with the high emission efficiency of up to 79%. Its enantiopure (</w:t>
      </w:r>
      <w:r>
        <w:t xml:space="preserve"> </w:t>
      </w:r>
      <w:r>
        <w:t>R</w:t>
      </w:r>
      <w:r>
        <w:t xml:space="preserve"> </w:t>
      </w:r>
      <w:r>
        <w:t>)‐ and (</w:t>
      </w:r>
      <w:r>
        <w:t xml:space="preserve"> </w:t>
      </w:r>
      <w:r>
        <w:t>S</w:t>
      </w:r>
      <w:r>
        <w:t xml:space="preserve"> </w:t>
      </w:r>
      <w:r>
        <w:t>)‐isomers display pronounced Cotton effects and distinct circularly polarized luminescence (CPL). Notably, CP‐OLEDs based on (</w:t>
      </w:r>
      <w:r>
        <w:t xml:space="preserve"> </w:t>
      </w:r>
      <w:r>
        <w:t>R</w:t>
      </w:r>
      <w:r>
        <w:t xml:space="preserve"> </w:t>
      </w:r>
      <w:r>
        <w:t>)‐ and (</w:t>
      </w:r>
      <w:r>
        <w:t xml:space="preserve"> </w:t>
      </w:r>
      <w:r>
        <w:t>S</w:t>
      </w:r>
      <w:r>
        <w:t xml:space="preserve"> </w:t>
      </w:r>
      <w:r>
        <w:t>)‐</w:t>
      </w:r>
      <w:r>
        <w:t xml:space="preserve"> </w:t>
      </w:r>
      <w:r>
        <w:t>DC‐TRZ</w:t>
      </w:r>
      <w:r>
        <w:t xml:space="preserve"> </w:t>
      </w:r>
      <w:r>
        <w:t>deliver deep‐blue electroluminescence with Commission Internationale de L'Eclairage (CIE) coordinates of (0.14, 0.07), achieving a maximum external quantum efficiency of 4.58% and record‐high luminescence dissymmetry factors of +2.7 × 10</w:t>
      </w:r>
      <w:r>
        <w:t xml:space="preserve"> </w:t>
      </w:r>
      <w:r>
        <w:t>−2</w:t>
      </w:r>
      <w:r>
        <w:t xml:space="preserve"> </w:t>
      </w:r>
      <w:r>
        <w:t>and −2.2 × 10</w:t>
      </w:r>
      <w:r>
        <w:t xml:space="preserve"> </w:t>
      </w:r>
      <w:r>
        <w:t>−2</w:t>
      </w:r>
      <w:r>
        <w:t xml:space="preserve"> </w:t>
      </w:r>
      <w:r>
        <w:t>, respectively, representing the highest values reported to date for blue CP‐OLEDs employing small organic molecules. These results demonstrate that</w:t>
      </w:r>
      <w:r>
        <w:t xml:space="preserve"> </w:t>
      </w:r>
      <w:r>
        <w:t>DC‐TRZ</w:t>
      </w:r>
      <w:r>
        <w:t xml:space="preserve"> </w:t>
      </w:r>
      <w:r>
        <w:t>functions as an efficient deep‐blue chiral emitter and highlights</w:t>
      </w:r>
      <w:r>
        <w:t xml:space="preserve"> </w:t>
      </w:r>
      <w:r>
        <w:t>C</w:t>
      </w:r>
      <w:r>
        <w:rPr>
          <w:vertAlign w:val="subscript"/>
        </w:rPr>
        <w:t>2</w:t>
      </w:r>
      <w:r>
        <w:t>‐symmetric axial chirality as a promising molecular design strategy for high‐performance CP‐OLED materials.</w:t>
      </w:r>
    </w:p>
    <w:p>
      <w:pPr>
        <w:spacing w:before="120" w:after="120"/>
      </w:pPr>
      <w:r>
        <w:rPr>
          <w:sz w:val="18"/>
        </w:rPr>
        <w:t>——————————————————————————————————————————————————————————————————————</w:t>
      </w:r>
    </w:p>
    <w:p>
      <w:pPr>
        <w:spacing w:before="160" w:after="40" w:line="240" w:lineRule="auto"/>
      </w:pPr>
      <w:r>
        <w:rPr>
          <w:b/>
        </w:rPr>
        <w:t xml:space="preserve">[351] </w:t>
      </w:r>
      <w:hyperlink r:id="rId863">
        <w:r>
          <w:rPr>
            <w:color w:val="1155CC"/>
            <w:u w:val="single"/>
          </w:rPr>
          <w:t>[ASAP] 由二级结构引导的DNA精确机械化学切割</w:t>
        </w:r>
      </w:hyperlink>
    </w:p>
    <w:p>
      <w:pPr>
        <w:spacing w:before="0" w:after="80"/>
      </w:pPr>
      <w:r>
        <w:rPr>
          <w:i/>
          <w:sz w:val="20"/>
        </w:rPr>
        <w:t>EN: [ASAP] Precise Mechanochemical Scission of DNA Guided by Secondary Structures</w:t>
      </w:r>
    </w:p>
    <w:p>
      <w:pPr>
        <w:spacing w:before="0" w:after="120"/>
      </w:pPr>
      <w:r>
        <w:rPr>
          <w:b/>
        </w:rPr>
        <w:t xml:space="preserve">Source: </w:t>
      </w:r>
      <w:r>
        <w:t>Journal of the American Chemical Society: Latest Articles (ACS Publications)</w:t>
      </w:r>
      <w:r>
        <w:t xml:space="preserve">    </w:t>
      </w:r>
      <w:r>
        <w:rPr>
          <w:b/>
        </w:rPr>
        <w:t xml:space="preserve">Pub date: </w:t>
      </w:r>
      <w:r>
        <w:t>2026-03-25 11:33:08+00:00</w:t>
      </w:r>
      <w:r>
        <w:t xml:space="preserve">    </w:t>
      </w:r>
      <w:r>
        <w:rPr>
          <w:b/>
        </w:rPr>
        <w:t xml:space="preserve">DOI: </w:t>
      </w:r>
      <w:hyperlink r:id="rId864">
        <w:r>
          <w:rPr>
            <w:color w:val="1155CC"/>
            <w:u w:val="single"/>
          </w:rPr>
          <w:t>10.1021/jacs.5c20882</w:t>
        </w:r>
      </w:hyperlink>
    </w:p>
    <w:p>
      <w:pPr>
        <w:spacing w:before="0" w:after="120"/>
      </w:pPr>
      <w:r>
        <w:rPr>
          <w:b/>
        </w:rPr>
        <w:t xml:space="preserve">Notes: </w:t>
      </w:r>
      <w:r>
        <w:t>abstract_source=pubmed</w:t>
      </w:r>
    </w:p>
    <w:p>
      <w:pPr>
        <w:spacing w:before="0" w:after="80" w:lineRule="auto" w:line="276"/>
      </w:pPr>
      <w:r>
        <w:rPr>
          <w:b/>
        </w:rPr>
        <w:t xml:space="preserve">摘要（ZH）: </w:t>
      </w:r>
      <w:r>
        <w:t>DNA最近被开发为一种生物聚合物，实现了序列特异性、无机械活性基团的机械化学，具有几核苷酸精度的断裂和单体级别的断裂分析。双链DNA（dsDNA）中战略性定位的缺口已被证明可以作为机械活性基团，集中力量在每个缺口对面的非缺口链上以诱导局部断裂；然而，碱基解链固有地限制了这种精度。为了解决这个问题，我们首次识别出DNA发夹作为“生物机械活性基团”的潜力，并指导DNA的精确机械化学断裂。使用包含中心嵌入发夹结构的dsDNA构建体，我们表明超声波诱导在发夹环对面选择性地断裂。力的定位</w:t>
      </w:r>
    </w:p>
    <w:p>
      <w:pPr>
        <w:spacing w:before="0" w:after="200" w:lineRule="auto" w:line="276"/>
      </w:pPr>
      <w:r>
        <w:rPr>
          <w:b/>
        </w:rPr>
        <w:t xml:space="preserve">Abstract (EN): </w:t>
      </w:r>
      <w:r>
        <w:t>DNA has recently been exploited as a biopolymer, enabling sequence-specific, mechanophore-free mechanochemistry with few-nucleotide-precision scission and monomer-level analysis of breakage. Strategically positioned nicks in double-stranded DNA (dsDNA) have previously been shown to act as mechanophores, concentrating force on the non-nicked strand opposite each nick to induce localized scission; however, base fraying inherently limits this precision. To address this, we identify, for the first time, the potential of DNA hairpins to serve as 'biomechanophores' and direct precise mechanochemical scission of DNA. Using a dsDNA construct containing a centrally embedded hairpin motif, we show that ultrasonication induces cleavage regioselectively opposite the hairpin loop. Force localization around nucleotides on the nonhairpin strand was rationalized by all-atom, constant-force molecular dynamics (MD) simulations. Next-generation sequencing (NGS) of sonicated fragments revealed a narrow, well-defined scission distribution on the nonhairpin strand, in contrast to a much broader, bimodal-like distribution on the hairpin strand. Together with the simulations, these results support a two-step cleavage mechanism. Our findings establish DNA hairpins as the first functional biomechanophores capable of directing mechanically induced strand scission with high spatial precision, expanding the mechanochemical toolbox for nucleic acid manipulation.</w:t>
      </w:r>
    </w:p>
    <w:p>
      <w:pPr>
        <w:spacing w:before="120" w:after="120"/>
      </w:pPr>
      <w:r>
        <w:rPr>
          <w:sz w:val="18"/>
        </w:rPr>
        <w:t>——————————————————————————————————————————————————————————————————————</w:t>
      </w:r>
    </w:p>
    <w:p>
      <w:pPr>
        <w:spacing w:before="160" w:after="40" w:line="240" w:lineRule="auto"/>
      </w:pPr>
      <w:r>
        <w:rPr>
          <w:b/>
        </w:rPr>
        <w:t xml:space="preserve">[352] </w:t>
      </w:r>
      <w:hyperlink r:id="rId865">
        <w:r>
          <w:rPr>
            <w:color w:val="1155CC"/>
            <w:u w:val="single"/>
          </w:rPr>
          <w:t>机器学习辅助的生物界面工程解决纳米复合材料中的结构-功能冲突</w:t>
        </w:r>
      </w:hyperlink>
    </w:p>
    <w:p>
      <w:pPr>
        <w:spacing w:before="0" w:after="80"/>
      </w:pPr>
      <w:r>
        <w:rPr>
          <w:i/>
          <w:sz w:val="20"/>
        </w:rPr>
        <w:t>EN: Machine Learning–Assisted Bio‐Interfacial Engineering Resolves Structural–Functional Conflicts in Nanocomposites</w:t>
      </w:r>
    </w:p>
    <w:p>
      <w:pPr>
        <w:spacing w:before="0" w:after="120"/>
      </w:pPr>
      <w:r>
        <w:rPr>
          <w:b/>
        </w:rPr>
        <w:t xml:space="preserve">Source: </w:t>
      </w:r>
      <w:r>
        <w:t>Wiley: Advanced Materials: Table of Contents</w:t>
      </w:r>
      <w:r>
        <w:t xml:space="preserve">    </w:t>
      </w:r>
      <w:r>
        <w:rPr>
          <w:b/>
        </w:rPr>
        <w:t xml:space="preserve">Pub date: </w:t>
      </w:r>
      <w:r>
        <w:t>2026-03-25 12:50:44+00:00</w:t>
      </w:r>
      <w:r>
        <w:t xml:space="preserve">    </w:t>
      </w:r>
      <w:r>
        <w:rPr>
          <w:b/>
        </w:rPr>
        <w:t xml:space="preserve">DOI: </w:t>
      </w:r>
      <w:hyperlink r:id="rId866">
        <w:r>
          <w:rPr>
            <w:color w:val="1155CC"/>
            <w:u w:val="single"/>
          </w:rPr>
          <w:t>10.1002/adma.202518806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交付结合高强度、韧性和多功能性的纳米复合材料仍然是一个主要挑战，因为传统的试错法和实验设计方法无法有效解决高维设计空间中的权衡。我们引入了一种机器学习辅助的生物界面设计框架，集成了高斯过程代理、帕累托集学习和主动学习，以在校准的不确定性下探索成分-加工空间。该工作流程在近60次实验后收敛，相对于传统方法减少了74%–85%的实验次数、项目周期和成本，从而加速了设计周期并扩大了帕累托覆盖范围。在这种方法的指导下，我们实现了菌丝体-石墨</w:t>
      </w:r>
    </w:p>
    <w:p>
      <w:pPr>
        <w:spacing w:before="0" w:after="200" w:lineRule="auto" w:line="276"/>
      </w:pPr>
      <w:r>
        <w:rPr>
          <w:b/>
        </w:rPr>
        <w:t xml:space="preserve">Abstract (EN): </w:t>
      </w:r>
      <w:r>
        <w:t>Delivering nanocomposites that combine high strength, toughness, and multifunctionality remains a major challenge, as conventional trial‐and‐error and design‐of‐experiments approaches cannot efficiently resolve trade‐offs in high‐dimensional design spaces. We introduce a machine‐learning–assisted bio‐interfacial design framework integrating Gaussian‐process surrogates, Pareto set learning, and active learning to explore composition–processing spaces under calibrated uncertainty. The workflow converges after nearly 60 experiments, reducing experimental count, project duration, and cost by 74%–85% relative to conventional methods, thereby accelerating design cycles and expanding Pareto coverage. Guided by this approach, we realize mycelium–graphene composites with strength &amp;gt;58 MPa, toughness &amp;gt;6 MJ/m</w:t>
      </w:r>
      <w:r>
        <w:rPr>
          <w:vertAlign w:val="subscript"/>
        </w:rPr>
        <w:t>3</w:t>
      </w:r>
      <w:r>
        <w:t>, and levitation &amp;gt;0.14 mm, showing that strength can be maintained while toughness is significantly enhanced and multifunctionality unlocked. Mechanistic analyses reveal nanosheet‐pinned, hierarchically entangled interfaces where hydrogen‐bonded junctions enable reversible nanosheet sliding, crack deflection, and adaptive stress transfer. These architectures impart levitation control, laser‐driven actuation, and self‐healing. Extension to MXene systems yields composites with enhanced resilience and electromagnetic interference shielding above 40 dB, confirming the generality of the strategy. Together, these advances define a scalable and sustainable paradigm for the accelerated discovery of robust, multifunctional nanocomposites.</w:t>
      </w:r>
    </w:p>
    <w:p>
      <w:pPr>
        <w:spacing w:before="120" w:after="120"/>
      </w:pPr>
      <w:r>
        <w:rPr>
          <w:sz w:val="18"/>
        </w:rPr>
        <w:t>——————————————————————————————————————————————————————————————————————</w:t>
      </w:r>
    </w:p>
    <w:p>
      <w:pPr>
        <w:spacing w:before="160" w:after="40" w:line="240" w:lineRule="auto"/>
      </w:pPr>
      <w:r>
        <w:rPr>
          <w:b/>
        </w:rPr>
        <w:t xml:space="preserve">[353] </w:t>
      </w:r>
      <w:hyperlink r:id="rId867">
        <w:r>
          <w:rPr>
            <w:color w:val="1155CC"/>
            <w:u w:val="single"/>
          </w:rPr>
          <w:t>胸苷营养缺陷型沙门氏菌促进选择性肿瘤定植和腺苷消耗用于癌症免疫治疗</w:t>
        </w:r>
      </w:hyperlink>
    </w:p>
    <w:p>
      <w:pPr>
        <w:spacing w:before="0" w:after="80"/>
      </w:pPr>
      <w:r>
        <w:rPr>
          <w:i/>
          <w:sz w:val="20"/>
        </w:rPr>
        <w:t>EN: Thymidine‐Auxotrophic Salmonella Enables Selective Tumor Colonization and Adenosine Depletion for Cancer Immunotherapy</w:t>
      </w:r>
    </w:p>
    <w:p>
      <w:pPr>
        <w:spacing w:before="0" w:after="120"/>
      </w:pPr>
      <w:r>
        <w:rPr>
          <w:b/>
        </w:rPr>
        <w:t xml:space="preserve">Source: </w:t>
      </w:r>
      <w:r>
        <w:t>Wiley: Advanced Materials: Table of Contents</w:t>
      </w:r>
      <w:r>
        <w:t xml:space="preserve">    </w:t>
      </w:r>
      <w:r>
        <w:rPr>
          <w:b/>
        </w:rPr>
        <w:t xml:space="preserve">Pub date: </w:t>
      </w:r>
      <w:r>
        <w:t>2026-03-25 13:12:46+00:00</w:t>
      </w:r>
      <w:r>
        <w:t xml:space="preserve">    </w:t>
      </w:r>
      <w:r>
        <w:rPr>
          <w:b/>
        </w:rPr>
        <w:t xml:space="preserve">DOI: </w:t>
      </w:r>
      <w:hyperlink r:id="rId868">
        <w:r>
          <w:rPr>
            <w:color w:val="1155CC"/>
            <w:u w:val="single"/>
          </w:rPr>
          <w:t>10.1002/adma.202519052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细菌疗法在肿瘤靶向和肿瘤内载荷递送方面提供了独特的优势，但其临床转化仍受限于选择性有限和系统毒性。在此，我们构建了一株胸苷营养缺陷型</w:t>
      </w:r>
      <w:r>
        <w:t xml:space="preserve"> </w:t>
      </w:r>
      <w:r>
        <w:t>Salmonella typhimurium</w:t>
      </w:r>
      <w:r>
        <w:t xml:space="preserve"> </w:t>
      </w:r>
      <w:r>
        <w:t>（TK VNP），其细菌生长严格依赖于外源脱氧胸苷单磷酸（dTMP）。我们显示，由于高核苷酸周转和细胞裂解，dTMP在肿瘤微环境（TME）中持续富集，使TK VNP能够选择性地在肿瘤中增殖，同时最小化在正常器官中的定殖。这种代谢依赖性增强了系统安全性，并将肿瘤靶向指数提高了近十倍</w:t>
      </w:r>
    </w:p>
    <w:p>
      <w:pPr>
        <w:spacing w:before="0" w:after="200" w:lineRule="auto" w:line="276"/>
      </w:pPr>
      <w:r>
        <w:rPr>
          <w:b/>
        </w:rPr>
        <w:t xml:space="preserve">Abstract (EN): </w:t>
      </w:r>
      <w:r>
        <w:t>Bacterial therapy offers unique advantages in tumor targeting and intratumoral payload delivery, yet its clinical translation remains hampered by limited selectivity and systemic toxicity. Here, we constructed a thymidine‐auxotrophic strain of</w:t>
      </w:r>
      <w:r>
        <w:t xml:space="preserve"> </w:t>
      </w:r>
      <w:r>
        <w:t>Salmonella typhimurium</w:t>
      </w:r>
      <w:r>
        <w:t xml:space="preserve"> </w:t>
      </w:r>
      <w:r>
        <w:t>(TK VNP), in which bacterial growth is strictly dependent on exogenous deoxythymidine monophosphate (dTMP). We show that dTMP is consistently enriched in the tumor microenvironment (TME) due to high nucleotide turnover and cell lysis, enabling TK VNP to selectively proliferate in the tumor while minimizing colonization in normal organs. This metabolic dependency enhanced systemic safety and improved the tumor‐targeting index by nearly tenfold compared with the parental strain. On this safety‐enhanced chassis, we introduced an adenosine degradation module to express adenosine deaminase (ADD) in different localizations‐cytoplasmic (cTKA VNP), secreted (sTKA VNP), and surface‐anchored (wTKA VNP) to metabolize immunosuppressive adenosine (ADO) into inosine (INO). These strains efficiently promoted CD8</w:t>
      </w:r>
      <w:r>
        <w:t xml:space="preserve"> </w:t>
      </w:r>
      <w:r>
        <w:t>+</w:t>
      </w:r>
      <w:r>
        <w:t xml:space="preserve"> </w:t>
      </w:r>
      <w:r>
        <w:t>T cell infiltration and activation, and reduced exhaustion markers such as PD‐1 and TIM‐3. Moreover, TKA VNP synergized with immune checkpoint blockade and radiotherapy to induce durable tumor regression. This work establishes a metabolically gated bacterial therapeutic platform that integrates tumor‐restricted replication with localized immunometabolic modulation, addressing key challenges in the safe and effective clinical application of bacterial cancer therapies.</w:t>
      </w:r>
    </w:p>
    <w:p>
      <w:pPr>
        <w:spacing w:before="120" w:after="120"/>
      </w:pPr>
      <w:r>
        <w:rPr>
          <w:sz w:val="18"/>
        </w:rPr>
        <w:t>——————————————————————————————————————————————————————————————————————</w:t>
      </w:r>
    </w:p>
    <w:p>
      <w:pPr>
        <w:spacing w:before="160" w:after="40" w:line="240" w:lineRule="auto"/>
      </w:pPr>
      <w:r>
        <w:rPr>
          <w:b/>
        </w:rPr>
        <w:t xml:space="preserve">[354] </w:t>
      </w:r>
      <w:hyperlink r:id="rId869">
        <w:r>
          <w:rPr>
            <w:color w:val="1155CC"/>
            <w:u w:val="single"/>
          </w:rPr>
          <w:t>[ASAP] 解锁CsPbBr3量子点中亚单元精确过生长</w:t>
        </w:r>
      </w:hyperlink>
    </w:p>
    <w:p>
      <w:pPr>
        <w:spacing w:before="0" w:after="80"/>
      </w:pPr>
      <w:r>
        <w:rPr>
          <w:i/>
          <w:sz w:val="20"/>
        </w:rPr>
        <w:t>EN: [ASAP] Unlocking Subunit Cell Precision Overgrowth in CsPbBr3 Quantum Dots</w:t>
      </w:r>
    </w:p>
    <w:p>
      <w:pPr>
        <w:spacing w:before="0" w:after="120"/>
      </w:pPr>
      <w:r>
        <w:rPr>
          <w:b/>
        </w:rPr>
        <w:t xml:space="preserve">Source: </w:t>
      </w:r>
      <w:r>
        <w:t>Journal of the American Chemical Society: Latest Articles (ACS Publications)</w:t>
      </w:r>
      <w:r>
        <w:t xml:space="preserve">    </w:t>
      </w:r>
      <w:r>
        <w:rPr>
          <w:b/>
        </w:rPr>
        <w:t xml:space="preserve">Pub date: </w:t>
      </w:r>
      <w:r>
        <w:t>2026-03-25 13:13:26+00:00</w:t>
      </w:r>
      <w:r>
        <w:t xml:space="preserve">    </w:t>
      </w:r>
      <w:r>
        <w:rPr>
          <w:b/>
        </w:rPr>
        <w:t xml:space="preserve">DOI: </w:t>
      </w:r>
      <w:hyperlink r:id="rId870">
        <w:r>
          <w:rPr>
            <w:color w:val="1155CC"/>
            <w:u w:val="single"/>
          </w:rPr>
          <w:t>10.1021/jacs.5c23332</w:t>
        </w:r>
      </w:hyperlink>
    </w:p>
    <w:p>
      <w:pPr>
        <w:spacing w:before="0" w:after="120"/>
      </w:pPr>
      <w:r>
        <w:rPr>
          <w:b/>
        </w:rPr>
        <w:t xml:space="preserve">Notes: </w:t>
      </w:r>
      <w:r>
        <w:t>abstract_source=pubmed</w:t>
      </w:r>
    </w:p>
    <w:p>
      <w:pPr>
        <w:spacing w:before="0" w:after="80" w:lineRule="auto" w:line="276"/>
      </w:pPr>
      <w:r>
        <w:rPr>
          <w:b/>
        </w:rPr>
        <w:t xml:space="preserve">摘要（ZH）: </w:t>
      </w:r>
      <w:r>
        <w:t>钙钛矿量子点（pQDs）结合了高度可调的光学特性和简便的溶液相合成，改变了经典和量子光驱动应用。然而，pQDs中的异质过生长仍然具有挑战性，特别是对于小于10 nm的小QDs。在此，我们展示了使用逐步注射和准连续前体注射对CsPbBr3 QD种子的精确过生长。我们发现更高的配体配位抑制了爆发性成核，并引导反应朝向异质成核，从而实现亚单层厚度控制。这些见解共同勾勒出配体强度、单体可用性和热能如何共同影响过生长行为，为胶体钙钛矿的受控合成提供了清晰的设计框架</w:t>
      </w:r>
    </w:p>
    <w:p>
      <w:pPr>
        <w:spacing w:before="0" w:after="200" w:lineRule="auto" w:line="276"/>
      </w:pPr>
      <w:r>
        <w:rPr>
          <w:b/>
        </w:rPr>
        <w:t xml:space="preserve">Abstract (EN): </w:t>
      </w:r>
      <w:r>
        <w:t>Perovskite quantum dots (pQDs) combine highly tunable optical properties with facile solution-phase synthesis, transforming both classical and quantum light-driven applications. However, heterogeneous overgrowth in pQDs remains challenging, especially for small QDs (&lt;10 nm). Here, we demonstrate the precision overgrowth of CsPbBr3 QD seeds using stepwise injection and quasi-continuous precursor injections. We found that higher ligand coordination suppresses burst nucleation and directs the reaction toward heterogeneous nucleation, allowing for submonolayer thickness control. Together, these insights outline how ligand strength, monomer availability, and thermal energy collectively govern overgrowth behavior, providing a clear design framework for the controlled synthesis of colloidal perovskites.</w:t>
      </w:r>
    </w:p>
    <w:p>
      <w:pPr>
        <w:spacing w:before="120" w:after="120"/>
      </w:pPr>
      <w:r>
        <w:rPr>
          <w:sz w:val="18"/>
        </w:rPr>
        <w:t>——————————————————————————————————————————————————————————————————————</w:t>
      </w:r>
    </w:p>
    <w:p>
      <w:pPr>
        <w:spacing w:before="160" w:after="40" w:line="240" w:lineRule="auto"/>
      </w:pPr>
      <w:r>
        <w:rPr>
          <w:b/>
        </w:rPr>
        <w:t xml:space="preserve">[355] </w:t>
      </w:r>
      <w:hyperlink r:id="rId871">
        <w:r>
          <w:rPr>
            <w:color w:val="1155CC"/>
            <w:u w:val="single"/>
          </w:rPr>
          <w:t>铁磁性SmFe5As3中的巨大磁致伸缩</w:t>
        </w:r>
      </w:hyperlink>
    </w:p>
    <w:p>
      <w:pPr>
        <w:spacing w:before="0" w:after="80"/>
      </w:pPr>
      <w:r>
        <w:rPr>
          <w:i/>
          <w:sz w:val="20"/>
        </w:rPr>
        <w:t>EN: Giant Magnetostriction in Ferrimagnetic SmFe5As3</w:t>
      </w:r>
    </w:p>
    <w:p>
      <w:pPr>
        <w:spacing w:before="0" w:after="120"/>
      </w:pPr>
      <w:r>
        <w:rPr>
          <w:b/>
        </w:rPr>
        <w:t xml:space="preserve">Source: </w:t>
      </w:r>
      <w:r>
        <w:t>Wiley: Angewandte Chemie International Edition: Table of Contents</w:t>
      </w:r>
      <w:r>
        <w:t xml:space="preserve">    </w:t>
      </w:r>
      <w:r>
        <w:rPr>
          <w:b/>
        </w:rPr>
        <w:t xml:space="preserve">Pub date: </w:t>
      </w:r>
      <w:r>
        <w:t>2026-03-25 13:14:44+00:00</w:t>
      </w:r>
      <w:r>
        <w:t xml:space="preserve">    </w:t>
      </w:r>
      <w:r>
        <w:rPr>
          <w:b/>
        </w:rPr>
        <w:t xml:space="preserve">DOI: </w:t>
      </w:r>
      <w:hyperlink r:id="rId872">
        <w:r>
          <w:rPr>
            <w:color w:val="1155CC"/>
            <w:u w:val="single"/>
          </w:rPr>
          <w:t>10.1002/anie.202522578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磁致伸缩材料不仅在基础研究方面引起了兴趣，而且在自旋电子学到能量收集的潜在应用方面也备受关注。一种新的磁致伸缩材料——SmFe</w:t>
      </w:r>
      <w:r>
        <w:rPr>
          <w:vertAlign w:val="subscript"/>
        </w:rPr>
        <w:t>5</w:t>
      </w:r>
      <w:r>
        <w:t>As</w:t>
      </w:r>
      <w:r>
        <w:rPr>
          <w:vertAlign w:val="subscript"/>
        </w:rPr>
        <w:t>3</w:t>
      </w:r>
      <w:r>
        <w:t>——揭示了磁致伸缩、磁性和晶体结构行为之间的复杂相互作用。SmFe</w:t>
      </w:r>
      <w:r>
        <w:rPr>
          <w:vertAlign w:val="subscript"/>
        </w:rPr>
        <w:t>5</w:t>
      </w:r>
      <w:r>
        <w:t>As</w:t>
      </w:r>
      <w:r>
        <w:rPr>
          <w:vertAlign w:val="subscript"/>
        </w:rPr>
        <w:t>3</w:t>
      </w:r>
      <w:r>
        <w:t>的基态是亚铁磁性的，这由磁化率数据、能带结构计算和XANES测量证明。在K温度下，部分铁亚晶格重新定向，转变为铁磁态。随后进入</w:t>
      </w:r>
    </w:p>
    <w:p>
      <w:pPr>
        <w:spacing w:before="0" w:after="200" w:lineRule="auto" w:line="276"/>
      </w:pPr>
      <w:r>
        <w:rPr>
          <w:b/>
        </w:rPr>
        <w:t xml:space="preserve">Abstract (EN): </w:t>
      </w:r>
      <w:r>
        <w:t>Magnetostrictive materials are of interest not only from a fundamental perspective but also for their potential applications, spanning spintronics to energy harvesting. A new magnetostrictive material—SmFe</w:t>
      </w:r>
      <w:r>
        <w:rPr>
          <w:vertAlign w:val="subscript"/>
        </w:rPr>
        <w:t>5</w:t>
      </w:r>
      <w:r>
        <w:t>As</w:t>
      </w:r>
      <w:r>
        <w:rPr>
          <w:vertAlign w:val="subscript"/>
        </w:rPr>
        <w:t>3</w:t>
      </w:r>
      <w:r>
        <w:t>—reveals a complex interplay between magnetostriction, magnetic properties, and the crystal structure behavior. The ground state of SmFe</w:t>
      </w:r>
      <w:r>
        <w:rPr>
          <w:vertAlign w:val="subscript"/>
        </w:rPr>
        <w:t>5</w:t>
      </w:r>
      <w:r>
        <w:t>As</w:t>
      </w:r>
      <w:r>
        <w:rPr>
          <w:vertAlign w:val="subscript"/>
        </w:rPr>
        <w:t>3</w:t>
      </w:r>
      <w:r>
        <w:t>is ferrimagnetic, as evidenced by magnetic susceptibility data, band‐structure calculations, and XANES measurements. At  K, part of the Fe sublattice reorients, transitioning into a ferromagnetic state. This is followed by an entrance into the paramagnetic state at  K. The effects observed in the magnetic measurements are accompanied by structural phase transitions. All three phases—below , between  and , and above —are described by the same structural motif of the UCr</w:t>
      </w:r>
      <w:r>
        <w:rPr>
          <w:vertAlign w:val="subscript"/>
        </w:rPr>
        <w:t>5</w:t>
      </w:r>
      <w:r>
        <w:t>P</w:t>
      </w:r>
      <w:r>
        <w:rPr>
          <w:vertAlign w:val="subscript"/>
        </w:rPr>
        <w:t>3</w:t>
      </w:r>
      <w:r>
        <w:t>type (monoclinic space group ), differing only in the degree of deformation of the Fe–As framework. The new material exhibits giant magnetostriction of . Dilatometry measurements on a SmFe</w:t>
      </w:r>
      <w:r>
        <w:rPr>
          <w:vertAlign w:val="subscript"/>
        </w:rPr>
        <w:t>5</w:t>
      </w:r>
      <w:r>
        <w:t>As</w:t>
      </w:r>
      <w:r>
        <w:rPr>
          <w:vertAlign w:val="subscript"/>
        </w:rPr>
        <w:t>3</w:t>
      </w:r>
      <w:r>
        <w:t>single crystal indicate strongly diverse behavior, exhibiting not only negative, but also zero, as well as positive thermo‐elastic effects.</w:t>
      </w:r>
    </w:p>
    <w:p>
      <w:pPr>
        <w:spacing w:before="120" w:after="120"/>
      </w:pPr>
      <w:r>
        <w:rPr>
          <w:sz w:val="18"/>
        </w:rPr>
        <w:t>——————————————————————————————————————————————————————————————————————</w:t>
      </w:r>
    </w:p>
    <w:p>
      <w:pPr>
        <w:spacing w:before="160" w:after="40" w:line="240" w:lineRule="auto"/>
      </w:pPr>
      <w:r>
        <w:rPr>
          <w:b/>
        </w:rPr>
        <w:t xml:space="preserve">[356] </w:t>
      </w:r>
      <w:hyperlink r:id="rId873">
        <w:r>
          <w:rPr>
            <w:color w:val="1155CC"/>
            <w:u w:val="single"/>
          </w:rPr>
          <w:t>G-四链体模块化CpG纳米平台驱动多途径免疫用于远隔化学免疫治疗</w:t>
        </w:r>
      </w:hyperlink>
    </w:p>
    <w:p>
      <w:pPr>
        <w:spacing w:before="0" w:after="80"/>
      </w:pPr>
      <w:r>
        <w:rPr>
          <w:i/>
          <w:sz w:val="20"/>
        </w:rPr>
        <w:t>EN: G‐Quadruplex‐Modular CpG Nanoplatform Drives Multi‐Pathway Immunity for Abscopal Chemoimmunotherapy</w:t>
      </w:r>
    </w:p>
    <w:p>
      <w:pPr>
        <w:spacing w:before="0" w:after="120"/>
      </w:pPr>
      <w:r>
        <w:rPr>
          <w:b/>
        </w:rPr>
        <w:t xml:space="preserve">Source: </w:t>
      </w:r>
      <w:r>
        <w:t>Wiley: Advanced Materials: Table of Contents</w:t>
      </w:r>
      <w:r>
        <w:t xml:space="preserve">    </w:t>
      </w:r>
      <w:r>
        <w:rPr>
          <w:b/>
        </w:rPr>
        <w:t xml:space="preserve">Pub date: </w:t>
      </w:r>
      <w:r>
        <w:t>2026-03-25 13:16:09+00:00</w:t>
      </w:r>
      <w:r>
        <w:t xml:space="preserve">    </w:t>
      </w:r>
      <w:r>
        <w:rPr>
          <w:b/>
        </w:rPr>
        <w:t xml:space="preserve">DOI: </w:t>
      </w:r>
      <w:hyperlink r:id="rId874">
        <w:r>
          <w:rPr>
            <w:color w:val="1155CC"/>
            <w:u w:val="single"/>
          </w:rPr>
          <w:t>10.1002/adma.72908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的癌症免疫疗法面临免疫激活不足、免疫抑制性肿瘤微环境（TME）和CpG佐剂快速降解的问题。为了解决这些挑战，我们开发了一种名为IONP‐G4‐DOX/IMT的G‐四链体（G4）模块化CpG纳米平台，该平台使用氧化铁纳米颗粒（IONPs）作为稳定的结构和生物相容性核心，并将G4作为多功能枢纽。合理设计的G4模块实现了三种协同功能，包括增强CpG核酸酶抗性以持续激活TLR9通路、特定部位负载多柔比星（DOX）以触发强效免疫原性细胞死亡（ICD）并释放肿瘤抗原，以及IMT锚定以激活cGAS‐STING通路。这三个过程是</w:t>
      </w:r>
    </w:p>
    <w:p>
      <w:pPr>
        <w:spacing w:before="0" w:after="200" w:lineRule="auto" w:line="276"/>
      </w:pPr>
      <w:r>
        <w:rPr>
          <w:b/>
        </w:rPr>
        <w:t xml:space="preserve">Abstract (EN): </w:t>
      </w:r>
      <w:r>
        <w:t>Conventional cancer immunotherapy suffers from insufficient immune activation, immunosuppressive tumor microenvironment (TME), and rapid CpG adjuvant degradation. To address these challenges, we developed a G‐quadruplex (G4)‐modular CpG nanoplatform named IONP‐G4‐DOX/IMT, which uses iron oxide nanoparticles (IONPs) as a stable structural and biocompatible core and G4 as a multifunctional hub. The rationally designed G4 module enables three synergistic functions encompassing enhanced CpG nuclease resistance for sustained TLR9 pathway activation, site‐specific loading of doxorubicin (DOX) to trigger potent immunogenic cell death (ICD) and release tumor antigens, and IMT anchoring to activate the cGAS‐STING pathway. These three processes are structurally coordinated and functionally synergistic, collectively driving robust dendritic cell maturation, boosting CD4</w:t>
      </w:r>
      <w:r>
        <w:t xml:space="preserve"> </w:t>
      </w:r>
      <w:r>
        <w:t>+</w:t>
      </w:r>
      <w:r>
        <w:t xml:space="preserve"> </w:t>
      </w:r>
      <w:r>
        <w:t>/CD8</w:t>
      </w:r>
      <w:r>
        <w:t xml:space="preserve"> </w:t>
      </w:r>
      <w:r>
        <w:t>+</w:t>
      </w:r>
      <w:r>
        <w:t xml:space="preserve"> </w:t>
      </w:r>
      <w:r>
        <w:t>T cell infiltration, and reducing regulatory T cell accumulation. This cascade of immune modulation effectively reprograms the TME into an immune‐permissive state. In murine 4T1 breast cancer models, IONP‐G4‐DOX/IMT achieves a primary tumor suppression rate of approximately 79.4%, with no significant systemic toxicity. More importantly, it elicits potent long‐term antitumor immunity that inhibits contralateral tumor growth, offering a versatile and promising strategy for advanced abscopal chemoimmunotherapy.</w:t>
      </w:r>
    </w:p>
    <w:p>
      <w:pPr>
        <w:spacing w:before="120" w:after="120"/>
      </w:pPr>
      <w:r>
        <w:rPr>
          <w:sz w:val="18"/>
        </w:rPr>
        <w:t>——————————————————————————————————————————————————————————————————————</w:t>
      </w:r>
    </w:p>
    <w:p>
      <w:pPr>
        <w:spacing w:before="160" w:after="40" w:line="240" w:lineRule="auto"/>
      </w:pPr>
      <w:r>
        <w:rPr>
          <w:b/>
        </w:rPr>
        <w:t xml:space="preserve">[357] </w:t>
      </w:r>
      <w:hyperlink r:id="rId875">
        <w:r>
          <w:rPr>
            <w:color w:val="1155CC"/>
            <w:u w:val="single"/>
          </w:rPr>
          <w:t>[ASAP] FeSiB2：一种硬半导体开放框架铁硅硼化物</w:t>
        </w:r>
      </w:hyperlink>
    </w:p>
    <w:p>
      <w:pPr>
        <w:spacing w:before="0" w:after="80"/>
      </w:pPr>
      <w:r>
        <w:rPr>
          <w:i/>
          <w:sz w:val="20"/>
        </w:rPr>
        <w:t>EN: [ASAP] FeSiB2: A Hard Semiconducting Open-Framework Iron Silico-boride</w:t>
      </w:r>
    </w:p>
    <w:p>
      <w:pPr>
        <w:spacing w:before="0" w:after="120"/>
      </w:pPr>
      <w:r>
        <w:rPr>
          <w:b/>
        </w:rPr>
        <w:t xml:space="preserve">Source: </w:t>
      </w:r>
      <w:r>
        <w:t>Journal of the American Chemical Society: Latest Articles (ACS Publications)</w:t>
      </w:r>
      <w:r>
        <w:t xml:space="preserve">    </w:t>
      </w:r>
      <w:r>
        <w:rPr>
          <w:b/>
        </w:rPr>
        <w:t xml:space="preserve">Pub date: </w:t>
      </w:r>
      <w:r>
        <w:t>2026-03-25 13:53:20+00:00</w:t>
      </w:r>
      <w:r>
        <w:t xml:space="preserve">    </w:t>
      </w:r>
      <w:r>
        <w:rPr>
          <w:b/>
        </w:rPr>
        <w:t xml:space="preserve">DOI: </w:t>
      </w:r>
      <w:hyperlink r:id="rId876">
        <w:r>
          <w:rPr>
            <w:color w:val="1155CC"/>
            <w:u w:val="single"/>
          </w:rPr>
          <w:t>10.1021/jacs.6c00948</w:t>
        </w:r>
      </w:hyperlink>
    </w:p>
    <w:p>
      <w:pPr>
        <w:spacing w:before="0" w:after="120"/>
      </w:pPr>
      <w:r>
        <w:rPr>
          <w:b/>
        </w:rPr>
        <w:t xml:space="preserve">Notes: </w:t>
      </w:r>
      <w:r>
        <w:t>abstract_source=openalex</w:t>
      </w:r>
    </w:p>
    <w:p>
      <w:pPr>
        <w:spacing w:before="0" w:after="80" w:lineRule="auto" w:line="276"/>
      </w:pPr>
      <w:r>
        <w:rPr>
          <w:b/>
        </w:rPr>
        <w:t xml:space="preserve">摘要（ZH）: </w:t>
      </w:r>
      <w:r>
        <w:t>稳定开放框架的过渡金属硅硼化合物具有挑战性，因为热力学上更倾向于致密多晶型。在此，我们展示了一种熔融介导的高压策略，用于合成FeSiB2，这是一种具有三维Si–B框架和Fe原子位于间隙位置的三元铁硅硼化物，代表了第一个实验确认的开放框架铁基硼化物。单晶X射线衍射识别出一种单斜结构，其开放的Si–B框架通过Fe介导的电荷转移得到稳定，并在从低温下的常压到室温下的52.9 GPa的宽压力-温度范围内保持稳定。电输运测量显示出n型半导体行为，贯穿整个压力范围</w:t>
      </w:r>
    </w:p>
    <w:p>
      <w:pPr>
        <w:spacing w:before="0" w:after="200" w:lineRule="auto" w:line="276"/>
      </w:pPr>
      <w:r>
        <w:rPr>
          <w:b/>
        </w:rPr>
        <w:t xml:space="preserve">Abstract (EN): </w:t>
      </w:r>
      <w:r>
        <w:t>Stabilizing open-framework transition-metal silicon–boron compounds is challenging due to the thermodynamic preference for dense polymorphs. Here, we demonstrate a melt-mediated high-pressure strategy for synthesizing FeSiB2, a ternary iron silico-boride with a three-dimensional Si–B framework and Fe atoms in interstitial sites, representing the first experimentally confirmed open-framework iron-based boride. Single-crystal X-ray diffraction identifies a monoclinic structure with open Si–B framework stabilized by Fe-mediated charge transfer, which remains stable over a wide pressure–temperature range, from ambient pressure at low temperature to 52.9 GPa at room temperature. Electrical transport measurements reveal n-type semiconducting behavior that persists across the entire pressure range. Transmission electron microscopy uncovers a modulated microstructure with a four-layer periodicity along [100] direction. Unlike typical borides, FeSiB2 displays a near-isotropic elastic response with Vickers’ hardness (22.6 GPa) comparable to conventional hard borides. These findings expand the chemistry of silico-borides toward chemically complex framework architectures that enable emergent functional properties.</w:t>
      </w:r>
    </w:p>
    <w:p>
      <w:pPr>
        <w:spacing w:before="120" w:after="120"/>
      </w:pPr>
      <w:r>
        <w:rPr>
          <w:sz w:val="18"/>
        </w:rPr>
        <w:t>——————————————————————————————————————————————————————————————————————</w:t>
      </w:r>
    </w:p>
    <w:p>
      <w:pPr>
        <w:spacing w:before="160" w:after="40" w:line="240" w:lineRule="auto"/>
      </w:pPr>
      <w:r>
        <w:rPr>
          <w:b/>
        </w:rPr>
        <w:t xml:space="preserve">[358] </w:t>
      </w:r>
      <w:hyperlink r:id="rId877">
        <w:r>
          <w:rPr>
            <w:color w:val="1155CC"/>
            <w:u w:val="single"/>
          </w:rPr>
          <w:t>[ASAP] 探索从单线态裂变二聚体到近红外发射自旋翻转发射体的自旋态选择性收集路径</w:t>
        </w:r>
      </w:hyperlink>
    </w:p>
    <w:p>
      <w:pPr>
        <w:spacing w:before="0" w:after="80"/>
      </w:pPr>
      <w:r>
        <w:rPr>
          <w:i/>
          <w:sz w:val="20"/>
        </w:rPr>
        <w:t>EN: [ASAP] Exploring Spin-State Selective Harvesting Pathways from Singlet Fission Dimers to a Near-Infrared-Emissive Spin-Flip Emitter</w:t>
      </w:r>
    </w:p>
    <w:p>
      <w:pPr>
        <w:spacing w:before="0" w:after="120"/>
      </w:pPr>
      <w:r>
        <w:rPr>
          <w:b/>
        </w:rPr>
        <w:t xml:space="preserve">Source: </w:t>
      </w:r>
      <w:r>
        <w:t>Journal of the American Chemical Society: Latest Articles (ACS Publications)</w:t>
      </w:r>
      <w:r>
        <w:t xml:space="preserve">    </w:t>
      </w:r>
      <w:r>
        <w:rPr>
          <w:b/>
        </w:rPr>
        <w:t xml:space="preserve">Pub date: </w:t>
      </w:r>
      <w:r>
        <w:t>2026-03-25 14:00:07+00:00</w:t>
      </w:r>
      <w:r>
        <w:t xml:space="preserve">    </w:t>
      </w:r>
      <w:r>
        <w:rPr>
          <w:b/>
        </w:rPr>
        <w:t xml:space="preserve">DOI: </w:t>
      </w:r>
      <w:hyperlink r:id="rId878">
        <w:r>
          <w:rPr>
            <w:color w:val="1155CC"/>
            <w:u w:val="single"/>
          </w:rPr>
          <w:t>10.1021/jacs.5c20500</w:t>
        </w:r>
      </w:hyperlink>
    </w:p>
    <w:p>
      <w:pPr>
        <w:spacing w:before="0" w:after="120"/>
      </w:pPr>
      <w:r>
        <w:rPr>
          <w:b/>
        </w:rPr>
        <w:t xml:space="preserve">Notes: </w:t>
      </w:r>
      <w:r>
        <w:t>abstract_source=pubmed</w:t>
      </w:r>
    </w:p>
    <w:p>
      <w:pPr>
        <w:spacing w:before="0" w:after="80" w:lineRule="auto" w:line="276"/>
      </w:pPr>
      <w:r>
        <w:rPr>
          <w:b/>
        </w:rPr>
        <w:t xml:space="preserve">摘要（ZH）: </w:t>
      </w:r>
      <w:r>
        <w:t>单重态裂分（SF）是一种光物理过程，可以从一个单重态激子生成两个三重态激子，具有提高光伏和有机发光二极管效率的潜力。之前关于能级控制和分子间相互作用的研究已经确定了最大化初始SF过程效率的关键因素。然而，在等温/吸热SF系统中，如四苯衍生物，随后的敏化过程在存在竞争的Förster共振能量转移（FRET）过程中变得效率较低。在此，我们展示了一种基于钼的近红外发光自旋翻转发射体，作为由SF生成的基于四苯的二聚体的三重态选择性能量受体。存在的大能量差距</w:t>
      </w:r>
    </w:p>
    <w:p>
      <w:pPr>
        <w:spacing w:before="0" w:after="200" w:lineRule="auto" w:line="276"/>
      </w:pPr>
      <w:r>
        <w:rPr>
          <w:b/>
        </w:rPr>
        <w:t xml:space="preserve">Abstract (EN): </w:t>
      </w:r>
      <w:r>
        <w:t>Singlet fission (SF), a photophysical process generating two triplet excitons from one singlet exciton, has the potential to boost efficiency in photovoltaics and organic light-emitting diodes. Previous studies on energy-level control and intermolecular interactions have identified key factors for maximizing the efficiency of the initial SF process. However, in isothermic/endothermic SF systems, such as tetracene derivatives, the subsequent sensitization process becomes less efficient in the presence of a competing Förster resonance energy transfer (FRET) process. Here, we demonstrate that a molybdenum-based near-infrared light-emitting spin-flip emitter serves as a triplet-selective energy acceptor from triplet states of tetracene-based dimers generated by SF. The large energy gap existing between the spin-allowed transitions and the luminescent spin-flip transition of the molybdenum complex allowed efficient exothermic triplet energy transfer (TET) to the spin-flip excited doublet state of the complex while circumventing the FRET from the initially formed tetracene singlet state to the high-energy spin-allowed states of the complex. The quantum yields of the doublet state formation of the molybdenum complex by tetracene-based SF dimers with phenylene, 2,5-methylphenylene, and p-terphenylene bridging units were quantified to be 112 ± 6%, 132 ± 2%, and 128 ± 4%, respectively, in solution. The drop of fluorescence lifetimes of the SF dimers at high concentrations of the molybdenum complex implies energy transfer from exchange-coupled triplet pairs, highlighting the importance of controlling exchange interaction and triplet pair recombination. This work represents a significant step toward developing exciton/photon amplification materials by combining SF materials with transition-metal complexes, advancing the application of SF beyond conventional limitations.</w:t>
      </w:r>
    </w:p>
    <w:p>
      <w:pPr>
        <w:spacing w:before="120" w:after="120"/>
      </w:pPr>
      <w:r>
        <w:rPr>
          <w:sz w:val="18"/>
        </w:rPr>
        <w:t>——————————————————————————————————————————————————————————————————————</w:t>
      </w:r>
    </w:p>
    <w:p>
      <w:pPr>
        <w:spacing w:before="160" w:after="40" w:line="240" w:lineRule="auto"/>
      </w:pPr>
      <w:r>
        <w:rPr>
          <w:b/>
        </w:rPr>
        <w:t xml:space="preserve">[359] </w:t>
      </w:r>
      <w:hyperlink r:id="rId879">
        <w:r>
          <w:rPr>
            <w:color w:val="1155CC"/>
            <w:u w:val="single"/>
          </w:rPr>
          <w:t>Wadsley缺陷和阳离子无序在增强MoNb12O33扩散中的作用（Adv. Energy Mater. 12/2026）</w:t>
        </w:r>
      </w:hyperlink>
    </w:p>
    <w:p>
      <w:pPr>
        <w:spacing w:before="0" w:after="80"/>
      </w:pPr>
      <w:r>
        <w:rPr>
          <w:i/>
          <w:sz w:val="20"/>
        </w:rPr>
        <w:t>EN: Role of Wadsley Defects and Cation Disorder to Enhance MoNb12O33 Diffusion (Adv. Energy Mater. 12/2026)</w:t>
      </w:r>
    </w:p>
    <w:p>
      <w:pPr>
        <w:spacing w:before="0" w:after="120"/>
      </w:pPr>
      <w:r>
        <w:rPr>
          <w:b/>
        </w:rPr>
        <w:t xml:space="preserve">Source: </w:t>
      </w:r>
      <w:r>
        <w:t>Wiley: Advanced Energy Materials: Table of Contents</w:t>
      </w:r>
      <w:r>
        <w:t xml:space="preserve">    </w:t>
      </w:r>
      <w:r>
        <w:rPr>
          <w:b/>
        </w:rPr>
        <w:t xml:space="preserve">Pub date: </w:t>
      </w:r>
      <w:r>
        <w:t>2026-03-25 14:00:22+00:00</w:t>
      </w:r>
      <w:r>
        <w:t xml:space="preserve">    </w:t>
      </w:r>
      <w:r>
        <w:rPr>
          <w:b/>
        </w:rPr>
        <w:t xml:space="preserve">DOI: </w:t>
      </w:r>
      <w:hyperlink r:id="rId880">
        <w:r>
          <w:rPr>
            <w:color w:val="1155CC"/>
            <w:u w:val="single"/>
          </w:rPr>
          <w:t>10.1002/aenm.70770</w:t>
        </w:r>
      </w:hyperlink>
    </w:p>
    <w:p>
      <w:pPr>
        <w:spacing w:before="0" w:after="120"/>
      </w:pPr>
      <w:r>
        <w:rPr>
          <w:b/>
        </w:rPr>
        <w:t xml:space="preserve">Notes: </w:t>
      </w:r>
      <w:r>
        <w:t>abstract_source=openalex</w:t>
      </w:r>
    </w:p>
    <w:p>
      <w:pPr>
        <w:spacing w:before="0" w:after="80" w:lineRule="auto" w:line="276"/>
      </w:pPr>
      <w:r>
        <w:rPr>
          <w:b/>
        </w:rPr>
        <w:t xml:space="preserve">摘要（ZH）: </w:t>
      </w:r>
      <w:r>
        <w:t>Wadsley缺陷 缺陷丰富的剪切结构以各种不同的块大小填充空间。这些Wadsley缺陷可以与额外的阳离子无序和空位相关，其中每个对锂离子传输的影响进行了研究。由此得出的见解解释了在缺陷丰富样品中发现的三倍扩散率增强。更多内容见文章编号e06454，Scott Misture, Christopher Sutton, Morgan Stefik及其合作者。</w:t>
      </w:r>
    </w:p>
    <w:p>
      <w:pPr>
        <w:spacing w:before="0" w:after="200" w:lineRule="auto" w:line="276"/>
      </w:pPr>
      <w:r>
        <w:rPr>
          <w:b/>
        </w:rPr>
        <w:t xml:space="preserve">Abstract (EN): </w:t>
      </w:r>
      <w:r>
        <w:t>Wadsley Defects Defect-rich shear structures fill space with a variety of different block sizes. These Wadsley defects can be associated with additional cation disorder and vacancies where the effect of each upon lithium-ion transport was studied. The resulting insights explained the three-times enhancement found in the diffusivity of a defect-rich sample. More in article number e06454, Scott Misture, Christopher Sutton, Morgan Stefik, and co-workers.</w:t>
      </w:r>
    </w:p>
    <w:p>
      <w:pPr>
        <w:spacing w:before="120" w:after="120"/>
      </w:pPr>
      <w:r>
        <w:rPr>
          <w:sz w:val="18"/>
        </w:rPr>
        <w:t>——————————————————————————————————————————————————————————————————————</w:t>
      </w:r>
    </w:p>
    <w:p>
      <w:pPr>
        <w:spacing w:before="160" w:after="40" w:line="240" w:lineRule="auto"/>
      </w:pPr>
      <w:r>
        <w:rPr>
          <w:b/>
        </w:rPr>
        <w:t xml:space="preserve">[360] </w:t>
      </w:r>
      <w:hyperlink r:id="rId881">
        <w:r>
          <w:rPr>
            <w:color w:val="1155CC"/>
            <w:u w:val="single"/>
          </w:rPr>
          <w:t>[ASAP] 协同过渡金属和氢键相转移催化实现KF的对映收敛烯丙基氟化</w:t>
        </w:r>
      </w:hyperlink>
    </w:p>
    <w:p>
      <w:pPr>
        <w:spacing w:before="0" w:after="80"/>
      </w:pPr>
      <w:r>
        <w:rPr>
          <w:i/>
          <w:sz w:val="20"/>
        </w:rPr>
        <w:t>EN: [ASAP] Synergistic Transition Metal and Hydrogen Bonding Phase-Transfer Catalysis Enables Enantioconvergent Allylic Fluorination with KF</w:t>
      </w:r>
    </w:p>
    <w:p>
      <w:pPr>
        <w:spacing w:before="0" w:after="120"/>
      </w:pPr>
      <w:r>
        <w:rPr>
          <w:b/>
        </w:rPr>
        <w:t xml:space="preserve">Source: </w:t>
      </w:r>
      <w:r>
        <w:t>Journal of the American Chemical Society: Latest Articles (ACS Publications)</w:t>
      </w:r>
      <w:r>
        <w:t xml:space="preserve">    </w:t>
      </w:r>
      <w:r>
        <w:rPr>
          <w:b/>
        </w:rPr>
        <w:t xml:space="preserve">Pub date: </w:t>
      </w:r>
      <w:r>
        <w:t>2026-03-25 15:53:43+00:00</w:t>
      </w:r>
      <w:r>
        <w:t xml:space="preserve">    </w:t>
      </w:r>
      <w:r>
        <w:rPr>
          <w:b/>
        </w:rPr>
        <w:t xml:space="preserve">DOI: </w:t>
      </w:r>
      <w:hyperlink r:id="rId882">
        <w:r>
          <w:rPr>
            <w:color w:val="1155CC"/>
            <w:u w:val="single"/>
          </w:rPr>
          <w:t>10.1021/jacs.6c00549</w:t>
        </w:r>
      </w:hyperlink>
    </w:p>
    <w:p>
      <w:pPr>
        <w:spacing w:before="0" w:after="120"/>
      </w:pPr>
      <w:r>
        <w:rPr>
          <w:b/>
        </w:rPr>
        <w:t xml:space="preserve">Notes: </w:t>
      </w:r>
      <w:r>
        <w:t>abstract_source=pubmed</w:t>
      </w:r>
    </w:p>
    <w:p>
      <w:pPr>
        <w:spacing w:before="0" w:after="80" w:lineRule="auto" w:line="276"/>
      </w:pPr>
      <w:r>
        <w:rPr>
          <w:b/>
        </w:rPr>
        <w:t xml:space="preserve">摘要（ZH）: </w:t>
      </w:r>
      <w:r>
        <w:t>协同催化，其中亲核试剂和亲电试剂可以同时被两种不同的催化剂激活，可以拯救原本无法实现的化学转化，并创造或提高催化对映选择性。在此，我们报告了过渡金属和氢键相转移催化的结合，使烯丙基溴化物能够与KF进行对映选择性氟化。单独来看，这两种催化策略都是无效的。除了解决反应性问题外，这种方法还代表了一种新的对映控制方式，由金属活化的亲电底物和手性氢键结合的亲核试剂组成的手性离子对。这项研究为设计具有高反应性和</w:t>
      </w:r>
    </w:p>
    <w:p>
      <w:pPr>
        <w:spacing w:before="0" w:after="200" w:lineRule="auto" w:line="276"/>
      </w:pPr>
      <w:r>
        <w:rPr>
          <w:b/>
        </w:rPr>
        <w:t xml:space="preserve">Abstract (EN): </w:t>
      </w:r>
      <w:r>
        <w:t>Synergistic catalysis whereby both the nucleophile and the electrophile can be simultaneously activated by two distinct catalysts can rescue otherwise unattainable chemical transformations, as well as create or improve catalytic enantioselectivity. Herein, we report the merging of transition metal and hydrogen bonding phase-transfer catalysis to allow for allyl bromides to undergo enantioselective fluorination with KF. Individually, these two catalytic strategies are ineffective. Beyond solving the issue of reactivity, this approach represents a new manifold for enantiocontrol with a chiral ion pair composed of a metal-activated electrophilic substrate and a chiral hydrogen-bonded nucleophile. This study offers fresh opportunities for designing catalytic fluorination with high reactivity and enantioselectivity across diverse metal complexes and KF.</w:t>
      </w:r>
    </w:p>
    <w:p>
      <w:pPr>
        <w:spacing w:before="120" w:after="120"/>
      </w:pPr>
      <w:r>
        <w:rPr>
          <w:sz w:val="18"/>
        </w:rPr>
        <w:t>——————————————————————————————————————————————————————————————————————</w:t>
      </w:r>
    </w:p>
    <w:p>
      <w:pPr>
        <w:spacing w:before="160" w:after="40" w:line="240" w:lineRule="auto"/>
      </w:pPr>
      <w:r>
        <w:rPr>
          <w:b/>
        </w:rPr>
        <w:t xml:space="preserve">[361] </w:t>
      </w:r>
      <w:hyperlink r:id="rId883">
        <w:r>
          <w:rPr>
            <w:color w:val="1155CC"/>
            <w:u w:val="single"/>
          </w:rPr>
          <w:t>[ASAP] 通过原位SHG光谱研究Pt–H2O电化学界面上磷酸根阴离子的吸附机制</w:t>
        </w:r>
      </w:hyperlink>
    </w:p>
    <w:p>
      <w:pPr>
        <w:spacing w:before="0" w:after="80"/>
      </w:pPr>
      <w:r>
        <w:rPr>
          <w:i/>
          <w:sz w:val="20"/>
        </w:rPr>
        <w:t>EN: [ASAP] Adsorption Mechanism of Phosphate Anions at Pt–H2O Electrochemical Interfaces via In Situ SHG Spectroscopy</w:t>
      </w:r>
    </w:p>
    <w:p>
      <w:pPr>
        <w:spacing w:before="0" w:after="120"/>
      </w:pPr>
      <w:r>
        <w:rPr>
          <w:b/>
        </w:rPr>
        <w:t xml:space="preserve">Source: </w:t>
      </w:r>
      <w:r>
        <w:t>Journal of the American Chemical Society: Latest Articles (ACS Publications)</w:t>
      </w:r>
      <w:r>
        <w:t xml:space="preserve">    </w:t>
      </w:r>
      <w:r>
        <w:rPr>
          <w:b/>
        </w:rPr>
        <w:t xml:space="preserve">Pub date: </w:t>
      </w:r>
      <w:r>
        <w:t>2026-03-25 15:54:37+00:00</w:t>
      </w:r>
      <w:r>
        <w:t xml:space="preserve">    </w:t>
      </w:r>
      <w:r>
        <w:rPr>
          <w:b/>
        </w:rPr>
        <w:t xml:space="preserve">DOI: </w:t>
      </w:r>
      <w:hyperlink r:id="rId884">
        <w:r>
          <w:rPr>
            <w:color w:val="1155CC"/>
            <w:u w:val="single"/>
          </w:rPr>
          <w:t>10.1021/jacs.5c22377</w:t>
        </w:r>
      </w:hyperlink>
    </w:p>
    <w:p>
      <w:pPr>
        <w:spacing w:before="0" w:after="120"/>
      </w:pPr>
      <w:r>
        <w:rPr>
          <w:b/>
        </w:rPr>
        <w:t xml:space="preserve">Notes: </w:t>
      </w:r>
      <w:r>
        <w:t>abstract_source=pubmed</w:t>
      </w:r>
    </w:p>
    <w:p>
      <w:pPr>
        <w:spacing w:before="0" w:after="80" w:lineRule="auto" w:line="276"/>
      </w:pPr>
      <w:r>
        <w:rPr>
          <w:b/>
        </w:rPr>
        <w:t xml:space="preserve">摘要（ZH）: </w:t>
      </w:r>
      <w:r>
        <w:t>深入研究阴离子对电极的中毒效应对于理解电催化反应的复杂路径至关重要。尽管磷酸盐阴离子HnPO4(3-n)-是最常用的电解质，广泛应用于最先进的能量存储系统中，但它们在金属表面的吸附机制仍然知之甚少。在此，通过将原位二次谐波生成（SHG）光谱与电化学结合进行界面分析，我们全面展示了可以定量检测吸附物的存在，包括Hads、OHads/Oads和(HnPO4)ads，在带电的Pt(poly)表面。我们的研究强调了Pt-H偶极子的主要电子贡献，以促进在氢的低电位沉积（HUPD）过程中pH无关的SHG增加。</w:t>
      </w:r>
    </w:p>
    <w:p>
      <w:pPr>
        <w:spacing w:before="0" w:after="200" w:lineRule="auto" w:line="276"/>
      </w:pPr>
      <w:r>
        <w:rPr>
          <w:b/>
        </w:rPr>
        <w:t xml:space="preserve">Abstract (EN): </w:t>
      </w:r>
      <w:r>
        <w:t>Delving into the electrode-poisoning effect of anions is paramount in understanding the intricate pathways of electrocatalytic reactions. Although phosphate anions, HnPO4(3-n)-, are the most prevalent electrolytes employed in state-of-the-art energy storage systems, their adsorption mechanisms at metal surfaces remain poorly understood. Here, by integrating in situ second-harmonic generation (SHG) spectroscopy with electrochemistry in interfacial analysis, we comprehensively illustrate that we can quantitatively detect the presence of adsorbates, including Hads, OHads/Oads, and (HnPO4)ads, on a charged Pt(poly) surface. Our investigation highlights the dominant electronic contribution of Pt-H dipoles to promote the pH-independent SHG increase during hydrogen underpotential deposition (HUPD). In contrast, SHG response during the chemisorption of oxygenated species (OUPD) is largely induced by pH-sensitive surface chemistry. Concomitantly, our results demonstrate a substantial harmony with the reversibility characteristics of Pt's electrochemical processes. Through SHG control experiments with other anions (ClO4- and HSO4-/SO42-), we evidence that H2PO4- is a nonspecifically adsorbed species without precedent. Notably, we reveal that the relative adsorption strength and sluggish kinetics of the phosphate family feature a descending series corresponding to increasing protonation: HPO42- and PO43- &gt; H2PO4-. Furthermore, a competition between OH- and PO43- for adsorption sites in highly basic media (pH &gt; 11) is unambiguously observed. Accordingly, OH- inhibition on Pt significantly alters the interfacial electronic structure at the Pt surface between acidic and strongly alkaline conditions. Our work, therefore, leads to an in-depth comprehension of adsorbate-induced surface restructuring.</w:t>
      </w:r>
    </w:p>
    <w:p>
      <w:pPr>
        <w:spacing w:before="120" w:after="120"/>
      </w:pPr>
      <w:r>
        <w:rPr>
          <w:sz w:val="18"/>
        </w:rPr>
        <w:t>——————————————————————————————————————————————————————————————————————</w:t>
      </w:r>
    </w:p>
    <w:p>
      <w:pPr>
        <w:spacing w:before="160" w:after="40" w:line="240" w:lineRule="auto"/>
      </w:pPr>
      <w:r>
        <w:rPr>
          <w:b/>
        </w:rPr>
        <w:t xml:space="preserve">[362] </w:t>
      </w:r>
      <w:hyperlink r:id="rId885">
        <w:r>
          <w:rPr>
            <w:color w:val="1155CC"/>
            <w:u w:val="single"/>
          </w:rPr>
          <w:t>[ASAP] 通过烯基噻蒽盐从烯烃合成1,3-二烯</w:t>
        </w:r>
      </w:hyperlink>
    </w:p>
    <w:p>
      <w:pPr>
        <w:spacing w:before="0" w:after="80"/>
      </w:pPr>
      <w:r>
        <w:rPr>
          <w:i/>
          <w:sz w:val="20"/>
        </w:rPr>
        <w:t>EN: [ASAP] Synthesis of 1,3-Dienes from Alkenes via Alkenyl Thianthrenium Salts</w:t>
      </w:r>
    </w:p>
    <w:p>
      <w:pPr>
        <w:spacing w:before="0" w:after="120"/>
      </w:pPr>
      <w:r>
        <w:rPr>
          <w:b/>
        </w:rPr>
        <w:t xml:space="preserve">Source: </w:t>
      </w:r>
      <w:r>
        <w:t>Journal of the American Chemical Society: Latest Articles (ACS Publications)</w:t>
      </w:r>
      <w:r>
        <w:t xml:space="preserve">    </w:t>
      </w:r>
      <w:r>
        <w:rPr>
          <w:b/>
        </w:rPr>
        <w:t xml:space="preserve">Pub date: </w:t>
      </w:r>
      <w:r>
        <w:t>2026-03-25 18:46:29+00:00</w:t>
      </w:r>
      <w:r>
        <w:t xml:space="preserve">    </w:t>
      </w:r>
      <w:r>
        <w:rPr>
          <w:b/>
        </w:rPr>
        <w:t xml:space="preserve">DOI: </w:t>
      </w:r>
      <w:hyperlink r:id="rId886">
        <w:r>
          <w:rPr>
            <w:color w:val="1155CC"/>
            <w:u w:val="single"/>
          </w:rPr>
          <w:t>10.1021/jacs.5c22101</w:t>
        </w:r>
      </w:hyperlink>
    </w:p>
    <w:p>
      <w:pPr>
        <w:spacing w:before="0" w:after="120"/>
      </w:pPr>
      <w:r>
        <w:rPr>
          <w:b/>
        </w:rPr>
        <w:t xml:space="preserve">Notes: </w:t>
      </w:r>
      <w:r>
        <w:t>abstract_source=pubmed</w:t>
      </w:r>
    </w:p>
    <w:p>
      <w:pPr>
        <w:spacing w:before="0" w:after="80" w:lineRule="auto" w:line="276"/>
      </w:pPr>
      <w:r>
        <w:rPr>
          <w:b/>
        </w:rPr>
        <w:t xml:space="preserve">摘要（ZH）: </w:t>
      </w:r>
      <w:r>
        <w:t>在此，我们展示了通过两步将烯烃转化为功能化的1,3-二烯的方法。首先，C-H噻吩化用于直接从烯烃中获取大量烯基电亲试剂。其次，烯基噻吩盐与烯烃气体和非有机金属亲核试剂在钯催化下进行三组分偶联反应，生成1,3-二烯。这种方法提供了一个稳健且模块化的平台，用于获取结构复杂的1,3-二烯，这些二烯在其他情况下难以获得。</w:t>
      </w:r>
    </w:p>
    <w:p>
      <w:pPr>
        <w:spacing w:before="0" w:after="200" w:lineRule="auto" w:line="276"/>
      </w:pPr>
      <w:r>
        <w:rPr>
          <w:b/>
        </w:rPr>
        <w:t xml:space="preserve">Abstract (EN): </w:t>
      </w:r>
      <w:r>
        <w:t>Herein, we show the conversion of alkenes into functionalized 1,3-dienes in two steps. First, C-H thianthrenation is used to access a wide pool of alkenyl electrophiles directly from alkenes. Second, the alkenyl thianthrenium salts undergo a Pd-catalyzed three-component coupling reaction with allene gas and nonorganometallic nucleophiles to afford 1,3-dienes. This method provides a robust and modular platform for accessing structurally complex 1,3-dienes that would be challenging to access otherwise.</w:t>
      </w:r>
    </w:p>
    <w:p>
      <w:pPr>
        <w:spacing w:before="120" w:after="120"/>
      </w:pPr>
      <w:r>
        <w:rPr>
          <w:sz w:val="18"/>
        </w:rPr>
        <w:t>——————————————————————————————————————————————————————————————————————</w:t>
      </w:r>
    </w:p>
    <w:p>
      <w:pPr>
        <w:spacing w:before="160" w:after="40" w:line="240" w:lineRule="auto"/>
      </w:pPr>
      <w:r>
        <w:rPr>
          <w:b/>
        </w:rPr>
        <w:t xml:space="preserve">[363] </w:t>
      </w:r>
      <w:hyperlink r:id="rId887">
        <w:r>
          <w:rPr>
            <w:color w:val="1155CC"/>
            <w:u w:val="single"/>
          </w:rPr>
          <w:t>[ASAP] 发光的Cu(I) HETPHENs，具有笨重的烷基取代菲咯啉</w:t>
        </w:r>
      </w:hyperlink>
    </w:p>
    <w:p>
      <w:pPr>
        <w:spacing w:before="0" w:after="80"/>
      </w:pPr>
      <w:r>
        <w:rPr>
          <w:i/>
          <w:sz w:val="20"/>
        </w:rPr>
        <w:t>EN: [ASAP] Photoluminescent Cu(I) HETPHENs Featuring Bulky Alkyl-Substituted Phenanthrolines</w:t>
      </w:r>
    </w:p>
    <w:p>
      <w:pPr>
        <w:spacing w:before="0" w:after="120"/>
      </w:pPr>
      <w:r>
        <w:rPr>
          <w:b/>
        </w:rPr>
        <w:t xml:space="preserve">Source: </w:t>
      </w:r>
      <w:r>
        <w:t>Journal of the American Chemical Society: Latest Articles (ACS Publications)</w:t>
      </w:r>
      <w:r>
        <w:t xml:space="preserve">    </w:t>
      </w:r>
      <w:r>
        <w:rPr>
          <w:b/>
        </w:rPr>
        <w:t xml:space="preserve">Pub date: </w:t>
      </w:r>
      <w:r>
        <w:t>2026-03-25 19:02:35+00:00</w:t>
      </w:r>
      <w:r>
        <w:t xml:space="preserve">    </w:t>
      </w:r>
      <w:r>
        <w:rPr>
          <w:b/>
        </w:rPr>
        <w:t xml:space="preserve">DOI: </w:t>
      </w:r>
      <w:hyperlink r:id="rId888">
        <w:r>
          <w:rPr>
            <w:color w:val="1155CC"/>
            <w:u w:val="single"/>
          </w:rPr>
          <w:t>10.1021/jacs.6c02560</w:t>
        </w:r>
      </w:hyperlink>
    </w:p>
    <w:p>
      <w:pPr>
        <w:spacing w:before="0" w:after="120"/>
      </w:pPr>
      <w:r>
        <w:rPr>
          <w:b/>
        </w:rPr>
        <w:t xml:space="preserve">Notes: </w:t>
      </w:r>
      <w:r>
        <w:t>abstract_source=pubmed</w:t>
      </w:r>
    </w:p>
    <w:p>
      <w:pPr>
        <w:spacing w:before="0" w:after="80" w:lineRule="auto" w:line="276"/>
      </w:pPr>
      <w:r>
        <w:rPr>
          <w:b/>
        </w:rPr>
        <w:t xml:space="preserve">摘要（ZH）: </w:t>
      </w:r>
      <w:r>
        <w:t>在同配Cu(I)金属-配体电荷转移(MLCT)发色团中应用的成功的激发态增强取代基效应策略已被改编到异配菲咯啉(HETPHEN)平台，利用2,9-二甲苯基-1,10-菲咯啉(mesPhen)与一系列七种不同的2,9-和2,3,4,7,8,9-取代菲咯啉结合。新设计的CuHETPHEN配合物具有62至443 ns的MLCT寿命，所有这些配合物在室温下表现出前所未有的光致发光，并展示了对能隙定律的定量遵循。TD-DFT计算成功模拟了电子跃迁强度的系统变化，解释了整个分子系列中实验观察到的紫外-可见吸收带。</w:t>
      </w:r>
    </w:p>
    <w:p>
      <w:pPr>
        <w:spacing w:before="0" w:after="200" w:lineRule="auto" w:line="276"/>
      </w:pPr>
      <w:r>
        <w:rPr>
          <w:b/>
        </w:rPr>
        <w:t xml:space="preserve">Abstract (EN): </w:t>
      </w:r>
      <w:r>
        <w:t>Successful excited-state-enhancing substituent effect strategies applied in homoleptic Cu(I) metal-to-ligand charge transfer (MLCT) chromophores have been adapted to the heteroleptic phenanthroline (HETPHEN) platform, leveraging 2,9-mesityl-1,10-phenanthroline (mesPhen) in conjunction with a series of seven distinct 2,9- and 2,3,4,7,8,9-substituted phenanthrolines. The newly conceived CuHETPHEN complexes feature MLCT lifetimes ranging from 62 to 443 ns, all of which exhibit unprecedented room-temperature photoluminescence and demonstrate quantitative adherence to the energy gap law. TD-DFT calculations successfully modeled the systematic variation in electronic transition intensities, accounting for the experimentally observed UV-vis absorption bands across the entire series of molecules while providing detailed structural explanations for the variations in spectral profiles. These heteroleptic Cu(I) diimine chromophores exhibit thermally activated delayed fluorescence (TADF), with delayed fluorescence occurring between closely spaced 1MLCT and 3MLCT excited manifolds, having energetic separations of ΔE = 713-1009 cm-1, as demonstrated here for the first time. Nanosecond and ultrafast transient absorption spectroscopy verified the MLCT nature of these excited states and extracted the time constants for the initial pseudo-Jahn-Teller distortion and intersystem crossing throughout the entire series of molecules. Finally, the triplet photosensitization properties of these Cu(I) HETPHENs are demonstrated in a number of model photochemical transformations.</w:t>
      </w:r>
    </w:p>
    <w:p>
      <w:pPr>
        <w:spacing w:before="120" w:after="120"/>
      </w:pPr>
      <w:r>
        <w:rPr>
          <w:sz w:val="18"/>
        </w:rPr>
        <w:t>——————————————————————————————————————————————————————————————————————</w:t>
      </w:r>
    </w:p>
    <w:p>
      <w:pPr>
        <w:spacing w:before="160" w:after="40" w:line="240" w:lineRule="auto"/>
      </w:pPr>
      <w:r>
        <w:rPr>
          <w:b/>
        </w:rPr>
        <w:t xml:space="preserve">[364] </w:t>
      </w:r>
      <w:hyperlink r:id="rId889">
        <w:r>
          <w:rPr>
            <w:color w:val="1155CC"/>
            <w:u w:val="single"/>
          </w:rPr>
          <w:t>[ASAP] 通过精确链折叠在建筑设计聚合物中编程晶体厚度</w:t>
        </w:r>
      </w:hyperlink>
    </w:p>
    <w:p>
      <w:pPr>
        <w:spacing w:before="0" w:after="80"/>
      </w:pPr>
      <w:r>
        <w:rPr>
          <w:i/>
          <w:sz w:val="20"/>
        </w:rPr>
        <w:t>EN: [ASAP] Programming Crystal Thickness by Precision Chain Folding in Architecturally Designed Polymers</w:t>
      </w:r>
    </w:p>
    <w:p>
      <w:pPr>
        <w:spacing w:before="0" w:after="120"/>
      </w:pPr>
      <w:r>
        <w:rPr>
          <w:b/>
        </w:rPr>
        <w:t xml:space="preserve">Source: </w:t>
      </w:r>
      <w:r>
        <w:t>Journal of the American Chemical Society: Latest Articles (ACS Publications)</w:t>
      </w:r>
      <w:r>
        <w:t xml:space="preserve">    </w:t>
      </w:r>
      <w:r>
        <w:rPr>
          <w:b/>
        </w:rPr>
        <w:t xml:space="preserve">Pub date: </w:t>
      </w:r>
      <w:r>
        <w:t>2026-03-25 19:27:49+00:00</w:t>
      </w:r>
      <w:r>
        <w:t xml:space="preserve">    </w:t>
      </w:r>
      <w:r>
        <w:rPr>
          <w:b/>
        </w:rPr>
        <w:t xml:space="preserve">DOI: </w:t>
      </w:r>
      <w:hyperlink r:id="rId890">
        <w:r>
          <w:rPr>
            <w:color w:val="1155CC"/>
            <w:u w:val="single"/>
          </w:rPr>
          <w:t>10.1021/jacs.5c23227</w:t>
        </w:r>
      </w:hyperlink>
    </w:p>
    <w:p>
      <w:pPr>
        <w:spacing w:before="0" w:after="120"/>
      </w:pPr>
      <w:r>
        <w:rPr>
          <w:b/>
        </w:rPr>
        <w:t xml:space="preserve">Notes: </w:t>
      </w:r>
      <w:r>
        <w:t>abstract_source=pubmed</w:t>
      </w:r>
    </w:p>
    <w:p>
      <w:pPr>
        <w:spacing w:before="0" w:after="80" w:lineRule="auto" w:line="276"/>
      </w:pPr>
      <w:r>
        <w:rPr>
          <w:b/>
        </w:rPr>
        <w:t xml:space="preserve">摘要（ZH）: </w:t>
      </w:r>
      <w:r>
        <w:t>半结晶聚合物的链折叠和堆积受到热力学和动力学因素复杂相互作用的影响，并对实现聚合物纳米材料的精确尺寸控制提出了重大挑战。本研究通过展示受控链折叠、沿非生长方向微调尺寸以及随后制造均匀组装体来应对这一挑战。虽然已知体积大的基团会破坏聚乙烯(PE)链的有序堆积，但其精确调节结晶以实现定制尺寸晶体的潜力尚未得到充分探索。在这项工作中，我们引入了环己烷、苯基和萘等环状单元作为PE主链中的缺陷以操控链堆积。我们的结果显示，o</w:t>
      </w:r>
    </w:p>
    <w:p>
      <w:pPr>
        <w:spacing w:before="0" w:after="200" w:lineRule="auto" w:line="276"/>
      </w:pPr>
      <w:r>
        <w:rPr>
          <w:b/>
        </w:rPr>
        <w:t xml:space="preserve">Abstract (EN): </w:t>
      </w:r>
      <w:r>
        <w:t>The chain folding and packing of semicrystalline polymers are influenced by a complex interplay of thermodynamic and kinetic factors and present a significant challenge for achieving precise dimensional control of polymeric nanomaterials. This study addresses this challenge by demonstrating controlled chain folding, fine-tuning dimensions along the nongrowth direction, and subsequently fabricating uniform assemblies. While bulky groups are known to disrupt the ordered packing of polyethylene (PE) chains, their potential for precisely regulating crystallization to achieve custom-sized crystals has not been fully explored. In this work, we introduce cyclic units such as cyclohexane, phenyl, and naphthalene as defects within the PE backbone to manipulate chain packing. Our results show that ortho-disubstituted defects, when incorporated periodically, can dominate the chain folding process, resulting in consistently formed crystalline segments. By adjusting the spacing between these bulky substituents along the polymer chain, we were able to generate lamellae and single crystals with precisely tunable thickness. Notably, the crystal thickness exhibits a strictly linear dependence on defect spacing. This approach paves the way for the preparation of uniform nanomaterials with three-dimensional precision.</w:t>
      </w:r>
    </w:p>
    <w:p>
      <w:pPr>
        <w:spacing w:before="120" w:after="120"/>
      </w:pPr>
      <w:r>
        <w:rPr>
          <w:sz w:val="18"/>
        </w:rPr>
        <w:t>——————————————————————————————————————————————————————————————————————</w:t>
      </w:r>
    </w:p>
    <w:p>
      <w:pPr>
        <w:spacing w:before="160" w:after="40" w:line="240" w:lineRule="auto"/>
      </w:pPr>
      <w:r>
        <w:rPr>
          <w:b/>
        </w:rPr>
        <w:t xml:space="preserve">[365] </w:t>
      </w:r>
      <w:hyperlink r:id="rId891">
        <w:r>
          <w:rPr>
            <w:color w:val="1155CC"/>
            <w:u w:val="single"/>
          </w:rPr>
          <w:t>自然蒸发维持的可扩展昼夜渗透发电</w:t>
        </w:r>
      </w:hyperlink>
    </w:p>
    <w:p>
      <w:pPr>
        <w:spacing w:before="0" w:after="80"/>
      </w:pPr>
      <w:r>
        <w:rPr>
          <w:i/>
          <w:sz w:val="20"/>
        </w:rPr>
        <w:t>EN: Natural evaporation-maintained scalable day-and-night osmotic power generation</w:t>
      </w:r>
    </w:p>
    <w:p>
      <w:pPr>
        <w:spacing w:before="0" w:after="120"/>
      </w:pPr>
      <w:r>
        <w:rPr>
          <w:b/>
        </w:rPr>
        <w:t xml:space="preserve">Source: </w:t>
      </w:r>
      <w:r>
        <w:t>Joule</w:t>
      </w:r>
      <w:r>
        <w:t xml:space="preserve">    </w:t>
      </w:r>
      <w:r>
        <w:rPr>
          <w:b/>
        </w:rPr>
        <w:t xml:space="preserve">Pub date: </w:t>
      </w:r>
      <w:r>
        <w:t>2026-03-26 00:00:00+00:00</w:t>
      </w:r>
      <w:r>
        <w:t xml:space="preserve">    </w:t>
      </w:r>
      <w:r>
        <w:rPr>
          <w:b/>
        </w:rPr>
        <w:t xml:space="preserve">DOI: </w:t>
      </w:r>
      <w:hyperlink r:id="rId892">
        <w:r>
          <w:rPr>
            <w:color w:val="1155CC"/>
            <w:u w:val="single"/>
          </w:rPr>
          <w:t>10.1016/j.joule.2026.102359</w:t>
        </w:r>
      </w:hyperlink>
    </w:p>
    <w:p>
      <w:pPr>
        <w:spacing w:before="0" w:after="120"/>
      </w:pPr>
      <w:r>
        <w:rPr>
          <w:b/>
        </w:rPr>
        <w:t xml:space="preserve">Notes: </w:t>
      </w:r>
      <w:r>
        <w:t>abstract_source=rss_cell</w:t>
      </w:r>
    </w:p>
    <w:p>
      <w:pPr>
        <w:spacing w:before="0" w:after="80" w:lineRule="auto" w:line="276"/>
      </w:pPr>
      <w:r>
        <w:rPr>
          <w:b/>
        </w:rPr>
        <w:t xml:space="preserve">摘要（ZH）: </w:t>
      </w:r>
      <w:r>
        <w:t>光伏发电提供清洁电力，但其昼夜间歇性导致持续供电存在缺口。本研究报告了一种基于离子选择性Nafion/氧化石墨烯膜的可扩展渗透能平台，并结合太阳能蒸发驱动操作。该系统在1 cm²上实现了创纪录的8.5 W m−2的稳定昼夜输出，在1,000 cm²膜上提供0.66 W m−2，并通过模块化串联集成达到100 V。</w:t>
      </w:r>
    </w:p>
    <w:p>
      <w:pPr>
        <w:spacing w:before="0" w:after="200" w:lineRule="auto" w:line="276"/>
      </w:pPr>
      <w:r>
        <w:rPr>
          <w:b/>
        </w:rPr>
        <w:t xml:space="preserve">Abstract (EN): </w:t>
      </w:r>
      <w:r>
        <w:t>Photovoltaics deliver clean electricity, but their day-night intermittency leaves a persistent gap for continuous power. This study reports a scalable osmotic power platform based on ion-selective Nafion/graphene oxide membranes coupled with solar-evaporation-driven operation. The system achieves a record 8.5 W m−2 at 1 cm2 with stable day-and-night output, delivers 0.66 W m−2 on a 1,000 cm2 membrane, and reaches 100 V via modular series integration.</w:t>
      </w:r>
    </w:p>
    <w:p>
      <w:pPr>
        <w:spacing w:before="120" w:after="120"/>
      </w:pPr>
      <w:r>
        <w:rPr>
          <w:sz w:val="18"/>
        </w:rPr>
        <w:t>——————————————————————————————————————————————————————————————————————</w:t>
      </w:r>
    </w:p>
    <w:p>
      <w:pPr>
        <w:spacing w:before="160" w:after="40" w:line="240" w:lineRule="auto"/>
      </w:pPr>
      <w:r>
        <w:rPr>
          <w:b/>
        </w:rPr>
        <w:t xml:space="preserve">[366] </w:t>
      </w:r>
      <w:hyperlink r:id="rId893">
        <w:r>
          <w:rPr>
            <w:color w:val="1155CC"/>
            <w:u w:val="single"/>
          </w:rPr>
          <w:t>声子控制金属中的热传导</w:t>
        </w:r>
      </w:hyperlink>
    </w:p>
    <w:p>
      <w:pPr>
        <w:spacing w:before="0" w:after="80"/>
      </w:pPr>
      <w:r>
        <w:rPr>
          <w:i/>
          <w:sz w:val="20"/>
        </w:rPr>
        <w:t>EN: Phonons take control of heat transfer in a metal</w:t>
      </w:r>
    </w:p>
    <w:p>
      <w:pPr>
        <w:spacing w:before="0" w:after="120"/>
      </w:pPr>
      <w:r>
        <w:rPr>
          <w:b/>
        </w:rPr>
        <w:t xml:space="preserve">Source: </w:t>
      </w:r>
      <w:r>
        <w:t>National Science Review Advance Access</w:t>
      </w:r>
      <w:r>
        <w:t xml:space="preserve">    </w:t>
      </w:r>
      <w:r>
        <w:rPr>
          <w:b/>
        </w:rPr>
        <w:t xml:space="preserve">Pub date: </w:t>
      </w:r>
      <w:r>
        <w:t>2026-03-26 00:00:00+00:00</w:t>
      </w:r>
      <w:r>
        <w:t xml:space="preserve">    </w:t>
      </w:r>
      <w:r>
        <w:rPr>
          <w:b/>
        </w:rPr>
        <w:t xml:space="preserve">DOI: </w:t>
      </w:r>
      <w:hyperlink r:id="rId894">
        <w:r>
          <w:rPr>
            <w:color w:val="1155CC"/>
            <w:u w:val="single"/>
          </w:rPr>
          <w:t>10.1093/nsr/nwag190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[367] </w:t>
      </w:r>
      <w:hyperlink r:id="rId895">
        <w:r>
          <w:rPr>
            <w:color w:val="1155CC"/>
            <w:u w:val="single"/>
          </w:rPr>
          <w:t>晶圆级和掺杂可调的p型半导体单层WSi2N4薄膜</w:t>
        </w:r>
      </w:hyperlink>
    </w:p>
    <w:p>
      <w:pPr>
        <w:spacing w:before="0" w:after="80"/>
      </w:pPr>
      <w:r>
        <w:rPr>
          <w:i/>
          <w:sz w:val="20"/>
        </w:rPr>
        <w:t>EN: Wafer-scale and doping-tunable p-type semiconducting monolayer WSi2N4 film</w:t>
      </w:r>
    </w:p>
    <w:p>
      <w:pPr>
        <w:spacing w:before="0" w:after="120"/>
      </w:pPr>
      <w:r>
        <w:rPr>
          <w:b/>
        </w:rPr>
        <w:t xml:space="preserve">Source: </w:t>
      </w:r>
      <w:r>
        <w:t>National Science Review Advance Access</w:t>
      </w:r>
      <w:r>
        <w:t xml:space="preserve">    </w:t>
      </w:r>
      <w:r>
        <w:rPr>
          <w:b/>
        </w:rPr>
        <w:t xml:space="preserve">Pub date: </w:t>
      </w:r>
      <w:r>
        <w:t>2026-03-26 00:00:00+00:00</w:t>
      </w:r>
      <w:r>
        <w:t xml:space="preserve">    </w:t>
      </w:r>
      <w:r>
        <w:rPr>
          <w:b/>
        </w:rPr>
        <w:t xml:space="preserve">DOI: </w:t>
      </w:r>
      <w:hyperlink r:id="rId896">
        <w:r>
          <w:rPr>
            <w:color w:val="1155CC"/>
            <w:u w:val="single"/>
          </w:rPr>
          <w:t>10.1093/nsr/nwag191</w:t>
        </w:r>
      </w:hyperlink>
    </w:p>
    <w:p>
      <w:pPr>
        <w:spacing w:before="0" w:after="120"/>
      </w:pPr>
      <w:r>
        <w:rPr>
          <w:b/>
        </w:rPr>
        <w:t xml:space="preserve">Notes: </w:t>
      </w:r>
      <w:r>
        <w:t>abstract_source=rss_oup</w:t>
      </w:r>
    </w:p>
    <w:p>
      <w:pPr>
        <w:spacing w:before="0" w:after="80" w:lineRule="auto" w:line="276"/>
      </w:pPr>
      <w:r>
        <w:rPr>
          <w:b/>
        </w:rPr>
        <w:t xml:space="preserve">摘要（ZH）: </w:t>
      </w:r>
      <w:r>
        <w:t>单层WSi2N4被预测为一种高性能p型半导体，具有高空穴迁移率、高开态电流密度、高强度和高热导率。实现单层WSi2N4的大面积生长和控制掺杂是设备应用可扩展集成的前提。然而，目前仅合成了微米级的单层WSi2N4域。在此，我们报告了通过化学气相沉积在液态Au/W双层作为生长基底上生长的晶圆级单层WSi2N4薄膜，具有亚毫米域，其生长速率比先前报道的值高三个数量级。该方法还能够有效调节载流子掺杂浓度，从5.8 × 1012 cm−2到3.2 × 1013 cm−2。</w:t>
      </w:r>
    </w:p>
    <w:p>
      <w:pPr>
        <w:spacing w:before="0" w:after="200" w:lineRule="auto" w:line="276"/>
      </w:pPr>
      <w:r>
        <w:rPr>
          <w:b/>
        </w:rPr>
        <w:t xml:space="preserve">Abstract (EN): </w:t>
      </w:r>
      <w:r>
        <w:t>Monolayer WSi2N4 has been predicted to be a high-performance p-type semiconductor with high hole mobility, high on-state current density, high strength, and high thermal conductivity. Achieving large-area growth of monolayer WSi2N4 with controlled doping is a prerequisite for the scalable integration of device applications. However, only micrometer-sized monolayer WSi2N4 domains have been synthesized so far. Here, we report the growth of wafer-scale monolayer WSi2N4 films with submillimeter domains by chemical vapor deposition using a liquid Au/W bilayer as the growth substrate, with a growth rate three orders of magnitude higher than previously reported values. This method also enables efficient modulation of carrier doping concentration from 5.8 × 1012 cm−2 to 3.2 × 1013 cm−2 through in</w:t>
      </w:r>
    </w:p>
    <w:p>
      <w:pPr>
        <w:spacing w:before="120" w:after="120"/>
      </w:pPr>
      <w:r>
        <w:rPr>
          <w:sz w:val="18"/>
        </w:rPr>
        <w:t>——————————————————————————————————————————————————————————————————————</w:t>
      </w:r>
    </w:p>
    <w:p>
      <w:pPr>
        <w:spacing w:before="160" w:after="40" w:line="240" w:lineRule="auto"/>
      </w:pPr>
      <w:r>
        <w:rPr>
          <w:b/>
        </w:rPr>
        <w:t xml:space="preserve">[368] </w:t>
      </w:r>
      <w:hyperlink r:id="rId897">
        <w:r>
          <w:rPr>
            <w:color w:val="1155CC"/>
            <w:u w:val="single"/>
          </w:rPr>
          <w:t>为什么实验室需要一个小憩室来帮助你工作、休息和娱乐</w:t>
        </w:r>
      </w:hyperlink>
    </w:p>
    <w:p>
      <w:pPr>
        <w:spacing w:before="0" w:after="80"/>
      </w:pPr>
      <w:r>
        <w:rPr>
          <w:i/>
          <w:sz w:val="20"/>
        </w:rPr>
        <w:t>EN: Why labs need a napping room to help you work, rest and play</w:t>
      </w:r>
    </w:p>
    <w:p>
      <w:pPr>
        <w:spacing w:before="0" w:after="120"/>
      </w:pPr>
      <w:r>
        <w:rPr>
          <w:b/>
        </w:rPr>
        <w:t xml:space="preserve">Source: </w:t>
      </w:r>
      <w:r>
        <w:t>Nature</w:t>
      </w:r>
      <w:r>
        <w:t xml:space="preserve">    </w:t>
      </w:r>
      <w:r>
        <w:rPr>
          <w:b/>
        </w:rPr>
        <w:t xml:space="preserve">Pub date: </w:t>
      </w:r>
      <w:r>
        <w:t>2026-03-26 00:00:00+00:00</w:t>
      </w:r>
      <w:r>
        <w:t xml:space="preserve">    </w:t>
      </w:r>
      <w:r>
        <w:rPr>
          <w:b/>
        </w:rPr>
        <w:t xml:space="preserve">DOI: </w:t>
      </w:r>
      <w:hyperlink r:id="rId898">
        <w:r>
          <w:rPr>
            <w:color w:val="1155CC"/>
            <w:u w:val="single"/>
          </w:rPr>
          <w:t>10.1038/d41586-026-00549-1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[369] </w:t>
      </w:r>
      <w:hyperlink r:id="rId899">
        <w:r>
          <w:rPr>
            <w:color w:val="1155CC"/>
            <w:u w:val="single"/>
          </w:rPr>
          <w:t>常规与三态螺旋性在手性共聚物中的对比：反转动力学和可编程手性光学开关</w:t>
        </w:r>
      </w:hyperlink>
    </w:p>
    <w:p>
      <w:pPr>
        <w:spacing w:before="0" w:after="80"/>
      </w:pPr>
      <w:r>
        <w:rPr>
          <w:i/>
          <w:sz w:val="20"/>
        </w:rPr>
        <w:t>EN: Conventional versus three-state helicity in chiral copolymers: Reversal dynamics and programmable chiroptical switches</w:t>
      </w:r>
    </w:p>
    <w:p>
      <w:pPr>
        <w:spacing w:before="0" w:after="120"/>
      </w:pPr>
      <w:r>
        <w:rPr>
          <w:b/>
        </w:rPr>
        <w:t xml:space="preserve">Source: </w:t>
      </w:r>
      <w:r>
        <w:t>Chem</w:t>
      </w:r>
      <w:r>
        <w:t xml:space="preserve">    </w:t>
      </w:r>
      <w:r>
        <w:rPr>
          <w:b/>
        </w:rPr>
        <w:t xml:space="preserve">Pub date: </w:t>
      </w:r>
      <w:r>
        <w:t>2026-03-26 00:00:00+00:00</w:t>
      </w:r>
      <w:r>
        <w:t xml:space="preserve">    </w:t>
      </w:r>
      <w:r>
        <w:rPr>
          <w:b/>
        </w:rPr>
        <w:t xml:space="preserve">DOI: </w:t>
      </w:r>
      <w:hyperlink r:id="rId900">
        <w:r>
          <w:rPr>
            <w:color w:val="1155CC"/>
            <w:u w:val="single"/>
          </w:rPr>
          <w:t>10.1016/j.chempr.2026.102988</w:t>
        </w:r>
      </w:hyperlink>
    </w:p>
    <w:p>
      <w:pPr>
        <w:spacing w:before="0" w:after="120"/>
      </w:pPr>
      <w:r>
        <w:rPr>
          <w:b/>
        </w:rPr>
        <w:t xml:space="preserve">Notes: </w:t>
      </w:r>
      <w:r>
        <w:t>abstract_source=rss_cell</w:t>
      </w:r>
    </w:p>
    <w:p>
      <w:pPr>
        <w:spacing w:before="0" w:after="80" w:lineRule="auto" w:line="276"/>
      </w:pPr>
      <w:r>
        <w:rPr>
          <w:b/>
        </w:rPr>
        <w:t xml:space="preserve">摘要（ZH）: </w:t>
      </w:r>
      <w:r>
        <w:t>本研究报告了一种新的手性嵌段共聚物组装体手性切换机制，由链缠绕和解缠而非主链手性反转驱动。由此产生的三态手性使得可以为智能设备创建多个可逆的手性光学开关。</w:t>
      </w:r>
    </w:p>
    <w:p>
      <w:pPr>
        <w:spacing w:before="0" w:after="200" w:lineRule="auto" w:line="276"/>
      </w:pPr>
      <w:r>
        <w:rPr>
          <w:b/>
        </w:rPr>
        <w:t xml:space="preserve">Abstract (EN): </w:t>
      </w:r>
      <w:r>
        <w:t>This study reports a new mechanism for helicity switching in chiral block copolymer assemblies, driven by chain intertwining and disentanglement instead of backbone helicity inversion. The resulting three-state helicity enables the creation of multiple reversible chiroptical switches for smart devices.</w:t>
      </w:r>
    </w:p>
    <w:p>
      <w:pPr>
        <w:spacing w:before="120" w:after="120"/>
      </w:pPr>
      <w:r>
        <w:rPr>
          <w:sz w:val="18"/>
        </w:rPr>
        <w:t>——————————————————————————————————————————————————————————————————————</w:t>
      </w:r>
    </w:p>
    <w:p>
      <w:pPr>
        <w:spacing w:before="160" w:after="40" w:line="240" w:lineRule="auto"/>
      </w:pPr>
      <w:r>
        <w:rPr>
          <w:b/>
        </w:rPr>
        <w:t xml:space="preserve">[370] </w:t>
      </w:r>
      <w:hyperlink r:id="rId901">
        <w:r>
          <w:rPr>
            <w:color w:val="1155CC"/>
            <w:u w:val="single"/>
          </w:rPr>
          <w:t>沸石基催化剂用于甲烷转化：挑战与机遇</w:t>
        </w:r>
      </w:hyperlink>
    </w:p>
    <w:p>
      <w:pPr>
        <w:spacing w:before="0" w:after="80"/>
      </w:pPr>
      <w:r>
        <w:rPr>
          <w:i/>
          <w:sz w:val="20"/>
        </w:rPr>
        <w:t>EN: Zeolite-based catalysts for methane conversion: Challenges and opportunities</w:t>
      </w:r>
    </w:p>
    <w:p>
      <w:pPr>
        <w:spacing w:before="0" w:after="120"/>
      </w:pPr>
      <w:r>
        <w:rPr>
          <w:b/>
        </w:rPr>
        <w:t xml:space="preserve">Source: </w:t>
      </w:r>
      <w:r>
        <w:t>Chem</w:t>
      </w:r>
      <w:r>
        <w:t xml:space="preserve">    </w:t>
      </w:r>
      <w:r>
        <w:rPr>
          <w:b/>
        </w:rPr>
        <w:t xml:space="preserve">Pub date: </w:t>
      </w:r>
      <w:r>
        <w:t>2026-03-26 00:00:00+00:00</w:t>
      </w:r>
      <w:r>
        <w:t xml:space="preserve">    </w:t>
      </w:r>
      <w:r>
        <w:rPr>
          <w:b/>
        </w:rPr>
        <w:t xml:space="preserve">DOI: </w:t>
      </w:r>
      <w:hyperlink r:id="rId902">
        <w:r>
          <w:rPr>
            <w:color w:val="1155CC"/>
            <w:u w:val="single"/>
          </w:rPr>
          <w:t>10.1016/j.chempr.2026.102986</w:t>
        </w:r>
      </w:hyperlink>
    </w:p>
    <w:p>
      <w:pPr>
        <w:spacing w:before="0" w:after="120"/>
      </w:pPr>
      <w:r>
        <w:rPr>
          <w:b/>
        </w:rPr>
        <w:t xml:space="preserve">Notes: </w:t>
      </w:r>
      <w:r>
        <w:t>abstract_source=rss_cell</w:t>
      </w:r>
    </w:p>
    <w:p>
      <w:pPr>
        <w:spacing w:before="0" w:after="80" w:lineRule="auto" w:line="276"/>
      </w:pPr>
      <w:r>
        <w:rPr>
          <w:b/>
        </w:rPr>
        <w:t xml:space="preserve">摘要（ZH）: </w:t>
      </w:r>
      <w:r>
        <w:t>这篇综述简要总结了甲烷转化的最新成果，包括甲烷脱氢芳构化、甲烷干重整、甲烷部分氧化、甲烷完全氧化和选择性催化还原NOx。它提供了一些高效甲烷转化的例子，并提出了基于沸石催化剂的挑战和机遇，这对于未来甲烷的综合利用和碳中和应该是有帮助的。</w:t>
      </w:r>
    </w:p>
    <w:p>
      <w:pPr>
        <w:spacing w:before="0" w:after="200" w:lineRule="auto" w:line="276"/>
      </w:pPr>
      <w:r>
        <w:rPr>
          <w:b/>
        </w:rPr>
        <w:t xml:space="preserve">Abstract (EN): </w:t>
      </w:r>
      <w:r>
        <w:t>This perspective briefly summarizes recent results from methane conversions, including methane dehydroaromatization, dry reforming of methane, the partial oxidation of methane, the complete oxidation of methane, and the selective catalytic reduction of NOx. It provides a few examples of efficient methane conversion and proposes the challenges and opportunities over zeolite-based catalysts, which should be helpful for the comprehensive utilization of methane and carbon neutrality in the future.</w:t>
      </w:r>
    </w:p>
    <w:p>
      <w:pPr>
        <w:spacing w:before="120" w:after="120"/>
      </w:pPr>
      <w:r>
        <w:rPr>
          <w:sz w:val="18"/>
        </w:rPr>
        <w:t>——————————————————————————————————————————————————————————————————————</w:t>
      </w:r>
    </w:p>
    <w:p>
      <w:pPr>
        <w:spacing w:before="160" w:after="40" w:line="240" w:lineRule="auto"/>
      </w:pPr>
      <w:r>
        <w:rPr>
          <w:b/>
        </w:rPr>
        <w:t xml:space="preserve">[371] </w:t>
      </w:r>
      <w:hyperlink r:id="rId903">
        <w:r>
          <w:rPr>
            <w:color w:val="1155CC"/>
            <w:u w:val="single"/>
          </w:rPr>
          <w:t>通过铁催化的三氯甲烷卡宾插入进行骨架编辑</w:t>
        </w:r>
      </w:hyperlink>
    </w:p>
    <w:p>
      <w:pPr>
        <w:spacing w:before="0" w:after="80"/>
      </w:pPr>
      <w:r>
        <w:rPr>
          <w:i/>
          <w:sz w:val="20"/>
        </w:rPr>
        <w:t>EN: Skeletal editing by iron-catalyzed carbene insertion of trichloromethanes</w:t>
      </w:r>
    </w:p>
    <w:p>
      <w:pPr>
        <w:spacing w:before="0" w:after="120"/>
      </w:pPr>
      <w:r>
        <w:rPr>
          <w:b/>
        </w:rPr>
        <w:t xml:space="preserve">Source: </w:t>
      </w:r>
      <w:r>
        <w:t>Chem</w:t>
      </w:r>
      <w:r>
        <w:t xml:space="preserve">    </w:t>
      </w:r>
      <w:r>
        <w:rPr>
          <w:b/>
        </w:rPr>
        <w:t xml:space="preserve">Pub date: </w:t>
      </w:r>
      <w:r>
        <w:t>2026-03-26 00:00:00+00:00</w:t>
      </w:r>
      <w:r>
        <w:t xml:space="preserve">    </w:t>
      </w:r>
      <w:r>
        <w:rPr>
          <w:b/>
        </w:rPr>
        <w:t xml:space="preserve">DOI: </w:t>
      </w:r>
      <w:hyperlink r:id="rId904">
        <w:r>
          <w:rPr>
            <w:color w:val="1155CC"/>
            <w:u w:val="single"/>
          </w:rPr>
          <w:t>10.1016/j.chempr.2026.102968</w:t>
        </w:r>
      </w:hyperlink>
    </w:p>
    <w:p>
      <w:pPr>
        <w:spacing w:before="0" w:after="120"/>
      </w:pPr>
      <w:r>
        <w:rPr>
          <w:b/>
        </w:rPr>
        <w:t xml:space="preserve">Notes: </w:t>
      </w:r>
      <w:r>
        <w:t>abstract_source=rss_cell</w:t>
      </w:r>
    </w:p>
    <w:p>
      <w:pPr>
        <w:spacing w:before="0" w:after="80" w:lineRule="auto" w:line="276"/>
      </w:pPr>
      <w:r>
        <w:rPr>
          <w:b/>
        </w:rPr>
        <w:t xml:space="preserve">摘要（ZH）: </w:t>
      </w:r>
      <w:r>
        <w:t>DeMuynck及其同事描述了一种新的铁催化方法，用于将三氯甲烷插入到各种吲哚中。通过利用市售的三氯甲烷试剂来获得铁氯卡宾，这一简单策略允许统一获取带有可修饰功能团和复杂取代的广泛类别的喹啉。提供了该铁催化卡宾插入的关键机制见解，并且该骨架编辑策略在肽和LSD的后期应用突显了其在新药发现中的潜力。</w:t>
      </w:r>
    </w:p>
    <w:p>
      <w:pPr>
        <w:spacing w:before="0" w:after="200" w:lineRule="auto" w:line="276"/>
      </w:pPr>
      <w:r>
        <w:rPr>
          <w:b/>
        </w:rPr>
        <w:t xml:space="preserve">Abstract (EN): </w:t>
      </w:r>
      <w:r>
        <w:t>DeMuynck and colleagues describe a new, iron-catalyzed method for carbene insertion of trichloromethanes into a diverse range of indoles. By harnessing commercially available trichloromethane reagents to access iron chlorocarbenes, this simple strategy allows unified access to broad classes of quinolines bearing modifiable functional groups and complex substitutions. Key mechanistic insights are provided for this iron-catalyzed carbene insertion, and late-stage applications of this skeletal editing strategy to peptides and LSD highlight its potential for the discovery of new medicines.</w:t>
      </w:r>
    </w:p>
    <w:p>
      <w:pPr>
        <w:spacing w:before="120" w:after="120"/>
      </w:pPr>
      <w:r>
        <w:rPr>
          <w:sz w:val="18"/>
        </w:rPr>
        <w:t>——————————————————————————————————————————————————————————————————————</w:t>
      </w:r>
    </w:p>
    <w:p>
      <w:pPr>
        <w:spacing w:before="160" w:after="40" w:line="240" w:lineRule="auto"/>
      </w:pPr>
      <w:r>
        <w:rPr>
          <w:b/>
        </w:rPr>
        <w:t xml:space="preserve">[372] </w:t>
      </w:r>
      <w:hyperlink r:id="rId905">
        <w:r>
          <w:rPr>
            <w:color w:val="1155CC"/>
            <w:u w:val="single"/>
          </w:rPr>
          <w:t>通过F···Au配位制备波纹状卤素二维金属有机框架</w:t>
        </w:r>
      </w:hyperlink>
    </w:p>
    <w:p>
      <w:pPr>
        <w:spacing w:before="0" w:after="80"/>
      </w:pPr>
      <w:r>
        <w:rPr>
          <w:i/>
          <w:sz w:val="20"/>
        </w:rPr>
        <w:t>EN: Fabrication of corrugated halogen 2D metal-organic frameworks by means of F···Au coordination</w:t>
      </w:r>
    </w:p>
    <w:p>
      <w:pPr>
        <w:spacing w:before="0" w:after="120"/>
      </w:pPr>
      <w:r>
        <w:rPr>
          <w:b/>
        </w:rPr>
        <w:t xml:space="preserve">Source: </w:t>
      </w:r>
      <w:r>
        <w:t>Chem</w:t>
      </w:r>
      <w:r>
        <w:t xml:space="preserve">    </w:t>
      </w:r>
      <w:r>
        <w:rPr>
          <w:b/>
        </w:rPr>
        <w:t xml:space="preserve">Pub date: </w:t>
      </w:r>
      <w:r>
        <w:t>2026-03-26 00:00:00+00:00</w:t>
      </w:r>
      <w:r>
        <w:t xml:space="preserve">    </w:t>
      </w:r>
      <w:r>
        <w:rPr>
          <w:b/>
        </w:rPr>
        <w:t xml:space="preserve">DOI: </w:t>
      </w:r>
      <w:hyperlink r:id="rId906">
        <w:r>
          <w:rPr>
            <w:color w:val="1155CC"/>
            <w:u w:val="single"/>
          </w:rPr>
          <w:t>10.1016/j.chempr.2026.102967</w:t>
        </w:r>
      </w:hyperlink>
    </w:p>
    <w:p>
      <w:pPr>
        <w:spacing w:before="0" w:after="120"/>
      </w:pPr>
      <w:r>
        <w:rPr>
          <w:b/>
        </w:rPr>
        <w:t xml:space="preserve">Notes: </w:t>
      </w:r>
      <w:r>
        <w:t>abstract_source=rss_cell</w:t>
      </w:r>
    </w:p>
    <w:p>
      <w:pPr>
        <w:spacing w:before="0" w:after="80" w:lineRule="auto" w:line="276"/>
      </w:pPr>
      <w:r>
        <w:rPr>
          <w:b/>
        </w:rPr>
        <w:t xml:space="preserve">摘要（ZH）: </w:t>
      </w:r>
      <w:r>
        <w:t>卤素原子通常在金属有机框架（MOFs）的构建中被弃用，因为它们的配位能力较低。这项研究挑战了这一观点，并展示了通过使用氟化碗状分子在Au(111)上通过Au···F相互作用形成2D MOF的可行性。所得框架结合了前所未有的键合几何、非平面拓扑和电子共轭。这些发现揭示了分子曲率如何在界面上重塑键合，提供了一种从未被充分探索的化学元素中设计功能性2D材料的新策略。</w:t>
      </w:r>
    </w:p>
    <w:p>
      <w:pPr>
        <w:spacing w:before="0" w:after="200" w:lineRule="auto" w:line="276"/>
      </w:pPr>
      <w:r>
        <w:rPr>
          <w:b/>
        </w:rPr>
        <w:t xml:space="preserve">Abstract (EN): </w:t>
      </w:r>
      <w:r>
        <w:t>Halogen atoms are generally discarded in the construction of metal-organic frameworks (MOFs) due to their low coordination ability. This study challenges that notion and demonstrates the feasibility of 2D MOF formation on Au(111) via Au···F interactions using fluorinated bowl-shaped molecules. The resulting framework combines unprecedented bonding geometry, non-planar topology, and electronic conjugation. These findings reveal how molecular curvature can reshape bonding at interfaces, offering a novel strategy to design functional 2D materials from underexplored chemical elements.</w:t>
      </w:r>
    </w:p>
    <w:p>
      <w:pPr>
        <w:spacing w:before="120" w:after="120"/>
      </w:pPr>
      <w:r>
        <w:rPr>
          <w:sz w:val="18"/>
        </w:rPr>
        <w:t>——————————————————————————————————————————————————————————————————————</w:t>
      </w:r>
    </w:p>
    <w:p>
      <w:pPr>
        <w:spacing w:before="160" w:after="40" w:line="240" w:lineRule="auto"/>
      </w:pPr>
      <w:r>
        <w:rPr>
          <w:b/>
        </w:rPr>
        <w:t xml:space="preserve">[373] </w:t>
      </w:r>
      <w:hyperlink r:id="rId907">
        <w:r>
          <w:rPr>
            <w:color w:val="1155CC"/>
            <w:u w:val="single"/>
          </w:rPr>
          <w:t>具有二维边界网络的自组装单分子层作为倒置钙钛矿太阳能电池的稳健底接触</w:t>
        </w:r>
      </w:hyperlink>
    </w:p>
    <w:p>
      <w:pPr>
        <w:spacing w:before="0" w:after="80"/>
      </w:pPr>
      <w:r>
        <w:rPr>
          <w:i/>
          <w:sz w:val="20"/>
        </w:rPr>
        <w:t>EN: Self-assembled monolayer with two-dimensional bounded network as robust bottom contact for inverted perovskite solar cells</w:t>
      </w:r>
    </w:p>
    <w:p>
      <w:pPr>
        <w:spacing w:before="0" w:after="120"/>
      </w:pPr>
      <w:r>
        <w:rPr>
          <w:b/>
        </w:rPr>
        <w:t xml:space="preserve">Source: </w:t>
      </w:r>
      <w:r>
        <w:t>Joule</w:t>
      </w:r>
      <w:r>
        <w:t xml:space="preserve">    </w:t>
      </w:r>
      <w:r>
        <w:rPr>
          <w:b/>
        </w:rPr>
        <w:t xml:space="preserve">Pub date: </w:t>
      </w:r>
      <w:r>
        <w:t>2026-03-26 00:00:00+00:00</w:t>
      </w:r>
      <w:r>
        <w:t xml:space="preserve">    </w:t>
      </w:r>
      <w:r>
        <w:rPr>
          <w:b/>
        </w:rPr>
        <w:t xml:space="preserve">DOI: </w:t>
      </w:r>
      <w:hyperlink r:id="rId908">
        <w:r>
          <w:rPr>
            <w:color w:val="1155CC"/>
            <w:u w:val="single"/>
          </w:rPr>
          <w:t>10.1016/j.joule.2026.102380</w:t>
        </w:r>
      </w:hyperlink>
    </w:p>
    <w:p>
      <w:pPr>
        <w:spacing w:before="0" w:after="120"/>
      </w:pPr>
      <w:r>
        <w:rPr>
          <w:b/>
        </w:rPr>
        <w:t xml:space="preserve">Notes: </w:t>
      </w:r>
      <w:r>
        <w:t>abstract_source=rss_cell</w:t>
      </w:r>
    </w:p>
    <w:p>
      <w:pPr>
        <w:spacing w:before="0" w:after="80" w:lineRule="auto" w:line="276"/>
      </w:pPr>
      <w:r>
        <w:rPr>
          <w:b/>
        </w:rPr>
        <w:t xml:space="preserve">摘要（ZH）: </w:t>
      </w:r>
      <w:r>
        <w:t>在此，PhTF-4P通过在咔唑上使用苯并噻吩（BT）侧基的非融合环取代进行设计和合成，其在末端基团中表现出超过45°的二面角，从而在PhTF-4P单分子层中诱导形成二维（2D）有界网络。这种结构有效抑制了SAM的解吸，同时促进了更完整和有序的分子排列，实现了既稳定又高效的p-i-n PSCs。</w:t>
      </w:r>
    </w:p>
    <w:p>
      <w:pPr>
        <w:spacing w:before="0" w:after="200" w:lineRule="auto" w:line="276"/>
      </w:pPr>
      <w:r>
        <w:rPr>
          <w:b/>
        </w:rPr>
        <w:t xml:space="preserve">Abstract (EN): </w:t>
      </w:r>
      <w:r>
        <w:t>Here, PhTF-4P was designed and synthesized using non-fused ring substitution of a benzothiophene (BT) side group onto the carbazole, which exhibits a dihedral angle over 45° in the terminal group and thus induces the formation of a two-dimensional (2D) bounded network at the PhTF-4P monolayer. This structure effectively suppresses SAM desorption while promoting a more complete and ordered molecular arrangement, achieving both stable and efficient p-i-n PSCs.</w:t>
      </w:r>
    </w:p>
    <w:p>
      <w:pPr>
        <w:spacing w:before="120" w:after="120"/>
      </w:pPr>
      <w:r>
        <w:rPr>
          <w:sz w:val="18"/>
        </w:rPr>
        <w:t>——————————————————————————————————————————————————————————————————————</w:t>
      </w:r>
    </w:p>
    <w:p>
      <w:pPr>
        <w:spacing w:before="160" w:after="40" w:line="240" w:lineRule="auto"/>
      </w:pPr>
      <w:r>
        <w:rPr>
          <w:b/>
        </w:rPr>
        <w:t xml:space="preserve">[374] </w:t>
      </w:r>
      <w:hyperlink r:id="rId909">
        <w:r>
          <w:rPr>
            <w:color w:val="1155CC"/>
            <w:u w:val="single"/>
          </w:rPr>
          <w:t>出版过程背后的团队</w:t>
        </w:r>
      </w:hyperlink>
    </w:p>
    <w:p>
      <w:pPr>
        <w:spacing w:before="0" w:after="80"/>
      </w:pPr>
      <w:r>
        <w:rPr>
          <w:i/>
          <w:sz w:val="20"/>
        </w:rPr>
        <w:t>EN: The team behind the publishing process</w:t>
      </w:r>
    </w:p>
    <w:p>
      <w:pPr>
        <w:spacing w:before="0" w:after="120"/>
      </w:pPr>
      <w:r>
        <w:rPr>
          <w:b/>
        </w:rPr>
        <w:t xml:space="preserve">Source: </w:t>
      </w:r>
      <w:r>
        <w:t>Nature Energy</w:t>
      </w:r>
      <w:r>
        <w:t xml:space="preserve">    </w:t>
      </w:r>
      <w:r>
        <w:rPr>
          <w:b/>
        </w:rPr>
        <w:t xml:space="preserve">Pub date: </w:t>
      </w:r>
      <w:r>
        <w:t>2026-03-26 00:00:00+00:00</w:t>
      </w:r>
      <w:r>
        <w:t xml:space="preserve">    </w:t>
      </w:r>
      <w:r>
        <w:rPr>
          <w:b/>
        </w:rPr>
        <w:t xml:space="preserve">DOI: </w:t>
      </w:r>
      <w:hyperlink r:id="rId910">
        <w:r>
          <w:rPr>
            <w:color w:val="1155CC"/>
            <w:u w:val="single"/>
          </w:rPr>
          <w:t>10.1038/s41560-025-01941-3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[375] </w:t>
      </w:r>
      <w:hyperlink r:id="rId911">
        <w:r>
          <w:rPr>
            <w:color w:val="1155CC"/>
            <w:u w:val="single"/>
          </w:rPr>
          <w:t>利用化学燃料分子机器进行非平衡态传感</w:t>
        </w:r>
      </w:hyperlink>
    </w:p>
    <w:p>
      <w:pPr>
        <w:spacing w:before="0" w:after="80"/>
      </w:pPr>
      <w:r>
        <w:rPr>
          <w:i/>
          <w:sz w:val="20"/>
        </w:rPr>
        <w:t>EN: Out-of-equilibrium sensing with a chemically fueled molecular machine</w:t>
      </w:r>
    </w:p>
    <w:p>
      <w:pPr>
        <w:spacing w:before="0" w:after="120"/>
      </w:pPr>
      <w:r>
        <w:rPr>
          <w:b/>
        </w:rPr>
        <w:t xml:space="preserve">Source: </w:t>
      </w:r>
      <w:r>
        <w:t>Chem</w:t>
      </w:r>
      <w:r>
        <w:t xml:space="preserve">    </w:t>
      </w:r>
      <w:r>
        <w:rPr>
          <w:b/>
        </w:rPr>
        <w:t xml:space="preserve">Pub date: </w:t>
      </w:r>
      <w:r>
        <w:t>2026-03-26 00:00:00+00:00</w:t>
      </w:r>
      <w:r>
        <w:t xml:space="preserve">    </w:t>
      </w:r>
      <w:r>
        <w:rPr>
          <w:b/>
        </w:rPr>
        <w:t xml:space="preserve">DOI: </w:t>
      </w:r>
      <w:hyperlink r:id="rId912">
        <w:r>
          <w:rPr>
            <w:color w:val="1155CC"/>
            <w:u w:val="single"/>
          </w:rPr>
          <w:t>10.1016/j.chempr.2026.102960</w:t>
        </w:r>
      </w:hyperlink>
    </w:p>
    <w:p>
      <w:pPr>
        <w:spacing w:before="0" w:after="120"/>
      </w:pPr>
      <w:r>
        <w:rPr>
          <w:b/>
        </w:rPr>
        <w:t xml:space="preserve">Notes: </w:t>
      </w:r>
      <w:r>
        <w:t>abstract_source=rss_cell</w:t>
      </w:r>
    </w:p>
    <w:p>
      <w:pPr>
        <w:spacing w:before="0" w:after="80" w:lineRule="auto" w:line="276"/>
      </w:pPr>
      <w:r>
        <w:rPr>
          <w:b/>
        </w:rPr>
        <w:t xml:space="preserve">摘要（ZH）: </w:t>
      </w:r>
      <w:r>
        <w:t>生物适应性受体被驱动出平衡以改变可检测的分析物浓度范围。在此，一个化学燃料驱动的轮烷信息棘轮将Zn(II)结合与催化碳二亚胺水合通过变构转移的宏环分布耦合起来。由于催化维持了非平衡稳态，燃料到废物的转化速率报告了在平衡状态下相同结合位点饱和的Zn(II)浓度，从而扩大了分析物检测范围。该原理应可推广到其他适应性超分子传感器和信号转导系统。</w:t>
      </w:r>
    </w:p>
    <w:p>
      <w:pPr>
        <w:spacing w:before="0" w:after="200" w:lineRule="auto" w:line="276"/>
      </w:pPr>
      <w:r>
        <w:rPr>
          <w:b/>
        </w:rPr>
        <w:t xml:space="preserve">Abstract (EN): </w:t>
      </w:r>
      <w:r>
        <w:t>Biological adaptive receptors are driven out of equilibrium to change the detectable range of analyte concentrations. Here, a chemically fueled rotaxane information ratchet couples Zn(II) binding to catalytic carbodiimide hydration through an allosterically shifted macrocycle distribution. Because the catalysis sustains a nonequilibrium steady state, the rate of fuel-to-waste conversion reports Zn(II) concentrations at which the same binding site is saturated at equilibrium, thereby widening the range of analyte detection. This principle should generalize to other adaptive supramolecular sensors and signal transduction systems.</w:t>
      </w:r>
    </w:p>
    <w:p>
      <w:pPr>
        <w:spacing w:before="120" w:after="120"/>
      </w:pPr>
      <w:r>
        <w:rPr>
          <w:sz w:val="18"/>
        </w:rPr>
        <w:t>——————————————————————————————————————————————————————————————————————</w:t>
      </w:r>
    </w:p>
    <w:p>
      <w:pPr>
        <w:spacing w:before="160" w:after="40" w:line="240" w:lineRule="auto"/>
      </w:pPr>
      <w:r>
        <w:rPr>
          <w:b/>
        </w:rPr>
        <w:t xml:space="preserve">[376] </w:t>
      </w:r>
      <w:hyperlink r:id="rId913">
        <w:r>
          <w:rPr>
            <w:color w:val="1155CC"/>
            <w:u w:val="single"/>
          </w:rPr>
          <w:t>定制铁电-半导体异质界面产生轻度相关的极化以实现高效电热制冷</w:t>
        </w:r>
      </w:hyperlink>
    </w:p>
    <w:p>
      <w:pPr>
        <w:spacing w:before="0" w:after="80"/>
      </w:pPr>
      <w:r>
        <w:rPr>
          <w:i/>
          <w:sz w:val="20"/>
        </w:rPr>
        <w:t>EN: Tailoring ferroelectric-semiconductor heterointerfaces generates lightly correlated polarization for efficient electrocaloric cooling</w:t>
      </w:r>
    </w:p>
    <w:p>
      <w:pPr>
        <w:spacing w:before="0" w:after="120"/>
      </w:pPr>
      <w:r>
        <w:rPr>
          <w:b/>
        </w:rPr>
        <w:t xml:space="preserve">Source: </w:t>
      </w:r>
      <w:r>
        <w:t>Joule</w:t>
      </w:r>
      <w:r>
        <w:t xml:space="preserve">    </w:t>
      </w:r>
      <w:r>
        <w:rPr>
          <w:b/>
        </w:rPr>
        <w:t xml:space="preserve">Pub date: </w:t>
      </w:r>
      <w:r>
        <w:t>2026-03-26 00:00:00+00:00</w:t>
      </w:r>
      <w:r>
        <w:t xml:space="preserve">    </w:t>
      </w:r>
      <w:r>
        <w:rPr>
          <w:b/>
        </w:rPr>
        <w:t xml:space="preserve">DOI: </w:t>
      </w:r>
      <w:hyperlink r:id="rId914">
        <w:r>
          <w:rPr>
            <w:color w:val="1155CC"/>
            <w:u w:val="single"/>
          </w:rPr>
          <w:t>10.1016/j.joule.2026.102377</w:t>
        </w:r>
      </w:hyperlink>
    </w:p>
    <w:p>
      <w:pPr>
        <w:spacing w:before="0" w:after="120"/>
      </w:pPr>
      <w:r>
        <w:rPr>
          <w:b/>
        </w:rPr>
        <w:t xml:space="preserve">Notes: </w:t>
      </w:r>
      <w:r>
        <w:t>abstract_source=rss_cell</w:t>
      </w:r>
    </w:p>
    <w:p>
      <w:pPr>
        <w:spacing w:before="0" w:after="80" w:lineRule="auto" w:line="276"/>
      </w:pPr>
      <w:r>
        <w:rPr>
          <w:b/>
        </w:rPr>
        <w:t xml:space="preserve">摘要（ZH）: </w:t>
      </w:r>
      <w:r>
        <w:t>巨大的电热效应需要在介电材料中共存大的极化能力和高极性随机性。在此，Li等人设计了具有花瓣状取向的铁电-半导体异质界面，以同时增强材料极化和零场极性随机性，导致与原始P(VDF-TrFE-CFE)相比电热效应增加一倍。分层随机化的极性结构为固态制冷提供了一种高效的设计策略。</w:t>
      </w:r>
    </w:p>
    <w:p>
      <w:pPr>
        <w:spacing w:before="0" w:after="200" w:lineRule="auto" w:line="276"/>
      </w:pPr>
      <w:r>
        <w:rPr>
          <w:b/>
        </w:rPr>
        <w:t xml:space="preserve">Abstract (EN): </w:t>
      </w:r>
      <w:r>
        <w:t>The giant electrocaloric response calls for the coexistence of large polarizability and high polar randomness in dielectric materials. Here, Li et al. engineered ferroelectric-semiconductor heterointerfaces with a petal-like orientation to simultaneously enhance material polarization and zero-field polar randomness, resulting in a doubled electrocaloric effect compared with pristine P(VDF-TrFE-CFE). The hierarchically randomized polar structures offer an efficient design strategy for solid-state refrigeration.</w:t>
      </w:r>
    </w:p>
    <w:p>
      <w:pPr>
        <w:spacing w:before="120" w:after="120"/>
      </w:pPr>
      <w:r>
        <w:rPr>
          <w:sz w:val="18"/>
        </w:rPr>
        <w:t>——————————————————————————————————————————————————————————————————————</w:t>
      </w:r>
    </w:p>
    <w:p>
      <w:pPr>
        <w:spacing w:before="160" w:after="40" w:line="240" w:lineRule="auto"/>
      </w:pPr>
      <w:r>
        <w:rPr>
          <w:b/>
        </w:rPr>
        <w:t xml:space="preserve">[377] </w:t>
      </w:r>
      <w:hyperlink r:id="rId915">
        <w:r>
          <w:rPr>
            <w:color w:val="1155CC"/>
            <w:u w:val="single"/>
          </w:rPr>
          <w:t>特朗普的新科学顾问包括12位技术主管和一位学者</w:t>
        </w:r>
      </w:hyperlink>
    </w:p>
    <w:p>
      <w:pPr>
        <w:spacing w:before="0" w:after="80"/>
      </w:pPr>
      <w:r>
        <w:rPr>
          <w:i/>
          <w:sz w:val="20"/>
        </w:rPr>
        <w:t>EN: Trump’s new science advisers include 12 technology chiefs — and one academic</w:t>
      </w:r>
    </w:p>
    <w:p>
      <w:pPr>
        <w:spacing w:before="0" w:after="120"/>
      </w:pPr>
      <w:r>
        <w:rPr>
          <w:b/>
        </w:rPr>
        <w:t xml:space="preserve">Source: </w:t>
      </w:r>
      <w:r>
        <w:t>Nature</w:t>
      </w:r>
      <w:r>
        <w:t xml:space="preserve">    </w:t>
      </w:r>
      <w:r>
        <w:rPr>
          <w:b/>
        </w:rPr>
        <w:t xml:space="preserve">Pub date: </w:t>
      </w:r>
      <w:r>
        <w:t>2026-03-26 00:00:00+00:00</w:t>
      </w:r>
      <w:r>
        <w:t xml:space="preserve">    </w:t>
      </w:r>
      <w:r>
        <w:rPr>
          <w:b/>
        </w:rPr>
        <w:t xml:space="preserve">DOI: </w:t>
      </w:r>
      <w:hyperlink r:id="rId916">
        <w:r>
          <w:rPr>
            <w:color w:val="1155CC"/>
            <w:u w:val="single"/>
          </w:rPr>
          <w:t>10.1038/d41586-026-00977-z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[378] </w:t>
      </w:r>
      <w:hyperlink r:id="rId917">
        <w:r>
          <w:rPr>
            <w:color w:val="1155CC"/>
            <w:u w:val="single"/>
          </w:rPr>
          <w:t>与谄媚的AI聊天会让你对他人不那么友善</w:t>
        </w:r>
      </w:hyperlink>
    </w:p>
    <w:p>
      <w:pPr>
        <w:spacing w:before="0" w:after="80"/>
      </w:pPr>
      <w:r>
        <w:rPr>
          <w:i/>
          <w:sz w:val="20"/>
        </w:rPr>
        <w:t>EN: Chats with sycophantic AI make you less kind to others</w:t>
      </w:r>
    </w:p>
    <w:p>
      <w:pPr>
        <w:spacing w:before="0" w:after="120"/>
      </w:pPr>
      <w:r>
        <w:rPr>
          <w:b/>
        </w:rPr>
        <w:t xml:space="preserve">Source: </w:t>
      </w:r>
      <w:r>
        <w:t>Nature</w:t>
      </w:r>
      <w:r>
        <w:t xml:space="preserve">    </w:t>
      </w:r>
      <w:r>
        <w:rPr>
          <w:b/>
        </w:rPr>
        <w:t xml:space="preserve">Pub date: </w:t>
      </w:r>
      <w:r>
        <w:t>2026-03-26 00:00:00+00:00</w:t>
      </w:r>
      <w:r>
        <w:t xml:space="preserve">    </w:t>
      </w:r>
      <w:r>
        <w:rPr>
          <w:b/>
        </w:rPr>
        <w:t xml:space="preserve">DOI: </w:t>
      </w:r>
      <w:hyperlink r:id="rId918">
        <w:r>
          <w:rPr>
            <w:color w:val="1155CC"/>
            <w:u w:val="single"/>
          </w:rPr>
          <w:t>10.1038/d41586-026-00979-x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[379] </w:t>
      </w:r>
      <w:hyperlink r:id="rId919">
        <w:r>
          <w:rPr>
            <w:color w:val="1155CC"/>
            <w:u w:val="single"/>
          </w:rPr>
          <w:t>‘永久’化学品的历史写在南极雪中</w:t>
        </w:r>
      </w:hyperlink>
    </w:p>
    <w:p>
      <w:pPr>
        <w:spacing w:before="0" w:after="80"/>
      </w:pPr>
      <w:r>
        <w:rPr>
          <w:i/>
          <w:sz w:val="20"/>
        </w:rPr>
        <w:t>EN: History of ‘forever’ chemicals is written in Antarctic snow</w:t>
      </w:r>
    </w:p>
    <w:p>
      <w:pPr>
        <w:spacing w:before="0" w:after="120"/>
      </w:pPr>
      <w:r>
        <w:rPr>
          <w:b/>
        </w:rPr>
        <w:t xml:space="preserve">Source: </w:t>
      </w:r>
      <w:r>
        <w:t>Nature</w:t>
      </w:r>
      <w:r>
        <w:t xml:space="preserve">    </w:t>
      </w:r>
      <w:r>
        <w:rPr>
          <w:b/>
        </w:rPr>
        <w:t xml:space="preserve">Pub date: </w:t>
      </w:r>
      <w:r>
        <w:t>2026-03-26 00:00:00+00:00</w:t>
      </w:r>
      <w:r>
        <w:t xml:space="preserve">    </w:t>
      </w:r>
      <w:r>
        <w:rPr>
          <w:b/>
        </w:rPr>
        <w:t xml:space="preserve">DOI: </w:t>
      </w:r>
      <w:hyperlink r:id="rId920">
        <w:r>
          <w:rPr>
            <w:color w:val="1155CC"/>
            <w:u w:val="single"/>
          </w:rPr>
          <w:t>10.1038/d41586-026-00867-4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[380] </w:t>
      </w:r>
      <w:hyperlink r:id="rId921">
        <w:r>
          <w:rPr>
            <w:color w:val="1155CC"/>
            <w:u w:val="single"/>
          </w:rPr>
          <w:t>基于基序的深度学习工具用于识别不寻常的NADH依赖性亚胺还原酶</w:t>
        </w:r>
      </w:hyperlink>
    </w:p>
    <w:p>
      <w:pPr>
        <w:spacing w:before="0" w:after="80"/>
      </w:pPr>
      <w:r>
        <w:rPr>
          <w:i/>
          <w:sz w:val="20"/>
        </w:rPr>
        <w:t>EN: A motif-based deep learning tool for the identification of unusual NADH-dependent imine reductases</w:t>
      </w:r>
    </w:p>
    <w:p>
      <w:pPr>
        <w:spacing w:before="0" w:after="120"/>
      </w:pPr>
      <w:r>
        <w:rPr>
          <w:b/>
        </w:rPr>
        <w:t xml:space="preserve">Source: </w:t>
      </w:r>
      <w:r>
        <w:t>Chem</w:t>
      </w:r>
      <w:r>
        <w:t xml:space="preserve">    </w:t>
      </w:r>
      <w:r>
        <w:rPr>
          <w:b/>
        </w:rPr>
        <w:t xml:space="preserve">Pub date: </w:t>
      </w:r>
      <w:r>
        <w:t>2026-03-26 00:00:00+00:00</w:t>
      </w:r>
      <w:r>
        <w:t xml:space="preserve">    </w:t>
      </w:r>
      <w:r>
        <w:rPr>
          <w:b/>
        </w:rPr>
        <w:t xml:space="preserve">DOI: </w:t>
      </w:r>
      <w:hyperlink r:id="rId922">
        <w:r>
          <w:rPr>
            <w:color w:val="1155CC"/>
            <w:u w:val="single"/>
          </w:rPr>
          <w:t>10.1016/j.chempr.2026.102956</w:t>
        </w:r>
      </w:hyperlink>
    </w:p>
    <w:p>
      <w:pPr>
        <w:spacing w:before="0" w:after="120"/>
      </w:pPr>
      <w:r>
        <w:rPr>
          <w:b/>
        </w:rPr>
        <w:t xml:space="preserve">Notes: </w:t>
      </w:r>
      <w:r>
        <w:t>abstract_source=rss_cell</w:t>
      </w:r>
    </w:p>
    <w:p>
      <w:pPr>
        <w:spacing w:before="0" w:after="80" w:lineRule="auto" w:line="276"/>
      </w:pPr>
      <w:r>
        <w:rPr>
          <w:b/>
        </w:rPr>
        <w:t xml:space="preserve">摘要（ZH）: </w:t>
      </w:r>
      <w:r>
        <w:t>开发了一种基于基序的深度学习方法，以克服传统序列比对的局限性，从而发现了95种以前未知的NADH依赖性亚胺还原酶。这项工作不仅扩展了用于胺合成的亚胺还原酶工具箱，还建立了一种可推广的酶发现策略。</w:t>
      </w:r>
    </w:p>
    <w:p>
      <w:pPr>
        <w:spacing w:before="0" w:after="200" w:lineRule="auto" w:line="276"/>
      </w:pPr>
      <w:r>
        <w:rPr>
          <w:b/>
        </w:rPr>
        <w:t xml:space="preserve">Abstract (EN): </w:t>
      </w:r>
      <w:r>
        <w:t>A motif-based deep learning method is developed to overcome the limitations of traditional sequence alignment, enabling the discovery of 95 previously unknown NADH-dependent imine reductases. This work not only expands the imine reductase toolbox for amine synthesis but also establishes a generalizable strategy for enzyme discovery.</w:t>
      </w:r>
    </w:p>
    <w:p>
      <w:pPr>
        <w:spacing w:before="120" w:after="120"/>
      </w:pPr>
      <w:r>
        <w:rPr>
          <w:sz w:val="18"/>
        </w:rPr>
        <w:t>——————————————————————————————————————————————————————————————————————</w:t>
      </w:r>
    </w:p>
    <w:p>
      <w:pPr>
        <w:spacing w:before="160" w:after="40" w:line="240" w:lineRule="auto"/>
      </w:pPr>
      <w:r>
        <w:rPr>
          <w:b/>
        </w:rPr>
        <w:t xml:space="preserve">[381] </w:t>
      </w:r>
      <w:hyperlink r:id="rId923">
        <w:r>
          <w:rPr>
            <w:color w:val="1155CC"/>
            <w:u w:val="single"/>
          </w:rPr>
          <w:t>来自富营养化河流的甲烷排放量全球翻倍</w:t>
        </w:r>
      </w:hyperlink>
    </w:p>
    <w:p>
      <w:pPr>
        <w:spacing w:before="0" w:after="80"/>
      </w:pPr>
      <w:r>
        <w:rPr>
          <w:i/>
          <w:sz w:val="20"/>
        </w:rPr>
        <w:t>EN: Globally doubled methane emissions from nutrient-enriched rivers</w:t>
      </w:r>
    </w:p>
    <w:p>
      <w:pPr>
        <w:spacing w:before="0" w:after="120"/>
      </w:pPr>
      <w:r>
        <w:rPr>
          <w:b/>
        </w:rPr>
        <w:t xml:space="preserve">Source: </w:t>
      </w:r>
      <w:r>
        <w:t>National Science Review Advance Access</w:t>
      </w:r>
      <w:r>
        <w:t xml:space="preserve">    </w:t>
      </w:r>
      <w:r>
        <w:rPr>
          <w:b/>
        </w:rPr>
        <w:t xml:space="preserve">Pub date: </w:t>
      </w:r>
      <w:r>
        <w:t>2026-03-26 00:00:00+00:00</w:t>
      </w:r>
      <w:r>
        <w:t xml:space="preserve">    </w:t>
      </w:r>
      <w:r>
        <w:rPr>
          <w:b/>
        </w:rPr>
        <w:t xml:space="preserve">DOI: </w:t>
      </w:r>
      <w:hyperlink r:id="rId924">
        <w:r>
          <w:rPr>
            <w:color w:val="1155CC"/>
            <w:u w:val="single"/>
          </w:rPr>
          <w:t>10.1093/nsr/nwag192</w:t>
        </w:r>
      </w:hyperlink>
    </w:p>
    <w:p>
      <w:pPr>
        <w:spacing w:before="0" w:after="120"/>
      </w:pPr>
      <w:r>
        <w:rPr>
          <w:b/>
        </w:rPr>
        <w:t xml:space="preserve">Notes: </w:t>
      </w:r>
      <w:r>
        <w:t>abstract_source=rss_oup</w:t>
      </w:r>
    </w:p>
    <w:p>
      <w:pPr>
        <w:spacing w:before="0" w:after="80" w:lineRule="auto" w:line="276"/>
      </w:pPr>
      <w:r>
        <w:rPr>
          <w:b/>
        </w:rPr>
        <w:t xml:space="preserve">摘要（ZH）: </w:t>
      </w:r>
      <w:r>
        <w:t>甲烷（CH4）约占当前人为温室气体驱动变暖的三分之一。河流，特别是那些流经人类影响景观的河流，是大气中CH4的重要来源。然而，由于缺乏对人为排放的准确量化和对其关键水生驱动因素的理解不足，有效缓解这一重要通量仍然难以实现。在此，我们证明了在人类影响区域的全球营养丰富河流的CH4排放率是原始河流的2.5倍。重要的是，在这些系统中，CH4通量与总磷和铵氮浓度之间存在强关联。这种关系是由自生和外源可溶性物质供应的增加所介导的。</w:t>
      </w:r>
    </w:p>
    <w:p>
      <w:pPr>
        <w:spacing w:before="0" w:after="200" w:lineRule="auto" w:line="276"/>
      </w:pPr>
      <w:r>
        <w:rPr>
          <w:b/>
        </w:rPr>
        <w:t xml:space="preserve">Abstract (EN): </w:t>
      </w:r>
      <w:r>
        <w:t>Methane (CH4) accounts for about one third of the current anthropogenic greenhouse gas-driven warming. Rivers, particularly those draining human-impacted landscapes, are important sources of CH4 to the atmosphere. Yet, effective mitigation of this important flux remains elusive due to the lack of accurate quantification of human-induced emissions and a poor understanding of its key aquatic drivers. Here, we demonstrate that CH4 emission rates from global nutrient-enriched rivers in human-impacted regions more than double (2.5-fold) those from pristine rivers. Importantly, a strong association is identified between CH4 flux and concentrations of total phosphorus and ammonium nitrogen in these systems. This relationship is mediated by increased autochthonous and exogenous supplies of labile organic substrates, enhanced methanogen abundance and diversity, and extended anoxia in nutrient-enriched rivers. Quantitative modeling incorporating nutrient effects estimates global CH4 emissions from nutrient-enriched rivers at 9.7 ± 1.1 Tg CH4 yr−1, of which 22–49% could be mitigated by reducing current nutrient concentrations to levels constrained by sustainable development goals, half of their current levels, or pristine conditions. These findings highlight the substantial potential for effective mitigation of riverine CH4 emissions via coordinated riverine nutrient management at the global scale.</w:t>
      </w:r>
    </w:p>
    <w:p>
      <w:pPr>
        <w:spacing w:before="120" w:after="120"/>
      </w:pPr>
      <w:r>
        <w:rPr>
          <w:sz w:val="18"/>
        </w:rPr>
        <w:t>——————————————————————————————————————————————————————————————————————</w:t>
      </w:r>
    </w:p>
    <w:p>
      <w:pPr>
        <w:spacing w:before="160" w:after="40" w:line="240" w:lineRule="auto"/>
      </w:pPr>
      <w:r>
        <w:rPr>
          <w:b/>
        </w:rPr>
        <w:t xml:space="preserve">[382] </w:t>
      </w:r>
      <w:hyperlink r:id="rId925">
        <w:r>
          <w:rPr>
            <w:color w:val="1155CC"/>
            <w:u w:val="single"/>
          </w:rPr>
          <w:t>用银三角形诱导顽固分子形成晶体</w:t>
        </w:r>
      </w:hyperlink>
    </w:p>
    <w:p>
      <w:pPr>
        <w:spacing w:before="0" w:after="80"/>
      </w:pPr>
      <w:r>
        <w:rPr>
          <w:i/>
          <w:sz w:val="20"/>
        </w:rPr>
        <w:t>EN: Coaxing stubborn molecules into crystals with a silver triangle</w:t>
      </w:r>
    </w:p>
    <w:p>
      <w:pPr>
        <w:spacing w:before="0" w:after="120"/>
      </w:pPr>
      <w:r>
        <w:rPr>
          <w:b/>
        </w:rPr>
        <w:t xml:space="preserve">Source: </w:t>
      </w:r>
      <w:r>
        <w:t>Chem</w:t>
      </w:r>
      <w:r>
        <w:t xml:space="preserve">    </w:t>
      </w:r>
      <w:r>
        <w:rPr>
          <w:b/>
        </w:rPr>
        <w:t xml:space="preserve">Pub date: </w:t>
      </w:r>
      <w:r>
        <w:t>2026-03-26 00:00:00+00:00</w:t>
      </w:r>
      <w:r>
        <w:t xml:space="preserve">    </w:t>
      </w:r>
      <w:r>
        <w:rPr>
          <w:b/>
        </w:rPr>
        <w:t xml:space="preserve">DOI: </w:t>
      </w:r>
      <w:hyperlink r:id="rId926">
        <w:r>
          <w:rPr>
            <w:color w:val="1155CC"/>
            <w:u w:val="single"/>
          </w:rPr>
          <w:t>10.1016/j.chempr.2026.102989</w:t>
        </w:r>
      </w:hyperlink>
    </w:p>
    <w:p>
      <w:pPr>
        <w:spacing w:before="0" w:after="120"/>
      </w:pPr>
      <w:r>
        <w:rPr>
          <w:b/>
        </w:rPr>
        <w:t xml:space="preserve">Notes: </w:t>
      </w:r>
      <w:r>
        <w:t>abstract_source=rss_cell</w:t>
      </w:r>
    </w:p>
    <w:p>
      <w:pPr>
        <w:spacing w:before="0" w:after="80" w:lineRule="auto" w:line="276"/>
      </w:pPr>
      <w:r>
        <w:rPr>
          <w:b/>
        </w:rPr>
        <w:t xml:space="preserve">摘要（ZH）: </w:t>
      </w:r>
      <w:r>
        <w:t>结晶通常限制了柔性或稀有分子的结构测定。发表在《美国化学学会杂志》上的报告中，王及其同事展示了如何通过银基晶体材料结合原位乙酰化标记将顽固分子转化为可共结晶的目标。他们的方法实现了快速的NMR管结晶，并将单晶X射线衍射扩展到以前难以处理的化合物，所需材料极少。</w:t>
      </w:r>
    </w:p>
    <w:p>
      <w:pPr>
        <w:spacing w:before="0" w:after="200" w:lineRule="auto" w:line="276"/>
      </w:pPr>
      <w:r>
        <w:rPr>
          <w:b/>
        </w:rPr>
        <w:t xml:space="preserve">Abstract (EN): </w:t>
      </w:r>
      <w:r>
        <w:t>Crystallization often limits the structural determination of flexible or scarce molecules. Reporting in the Journal of the American Chemical Society, Wang and co-workers demonstrate how a silver-based crystalline mate combined with in situ acetylation tagging converts stubborn molecules into co-crystallizable targets. Their method enables rapid NMR-tube crystallization and extends single-crystal X-ray diffraction to previously intractable compounds from minimal material.</w:t>
      </w:r>
    </w:p>
    <w:p>
      <w:pPr>
        <w:spacing w:before="120" w:after="120"/>
      </w:pPr>
      <w:r>
        <w:rPr>
          <w:sz w:val="18"/>
        </w:rPr>
        <w:t>——————————————————————————————————————————————————————————————————————</w:t>
      </w:r>
    </w:p>
    <w:p>
      <w:pPr>
        <w:spacing w:before="160" w:after="40" w:line="240" w:lineRule="auto"/>
      </w:pPr>
      <w:r>
        <w:rPr>
          <w:b/>
        </w:rPr>
        <w:t xml:space="preserve">[383] </w:t>
      </w:r>
      <w:hyperlink r:id="rId927">
        <w:r>
          <w:rPr>
            <w:color w:val="1155CC"/>
            <w:u w:val="single"/>
          </w:rPr>
          <w:t>减少模拟不确定性</w:t>
        </w:r>
      </w:hyperlink>
    </w:p>
    <w:p>
      <w:pPr>
        <w:spacing w:before="0" w:after="80"/>
      </w:pPr>
      <w:r>
        <w:rPr>
          <w:i/>
          <w:sz w:val="20"/>
        </w:rPr>
        <w:t>EN: Reducing simulation uncertainty</w:t>
      </w:r>
    </w:p>
    <w:p>
      <w:pPr>
        <w:spacing w:before="0" w:after="120"/>
      </w:pPr>
      <w:r>
        <w:rPr>
          <w:b/>
        </w:rPr>
        <w:t xml:space="preserve">Source: </w:t>
      </w:r>
      <w:r>
        <w:t>Nature Energy</w:t>
      </w:r>
      <w:r>
        <w:t xml:space="preserve">    </w:t>
      </w:r>
      <w:r>
        <w:rPr>
          <w:b/>
        </w:rPr>
        <w:t xml:space="preserve">Pub date: </w:t>
      </w:r>
      <w:r>
        <w:t>2026-03-26 00:00:00+00:00</w:t>
      </w:r>
      <w:r>
        <w:t xml:space="preserve">    </w:t>
      </w:r>
      <w:r>
        <w:rPr>
          <w:b/>
        </w:rPr>
        <w:t xml:space="preserve">DOI: </w:t>
      </w:r>
      <w:hyperlink r:id="rId928">
        <w:r>
          <w:rPr>
            <w:color w:val="1155CC"/>
            <w:u w:val="single"/>
          </w:rPr>
          <w:t>10.1038/s41560-026-02029-2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[384] </w:t>
      </w:r>
      <w:hyperlink r:id="rId929">
        <w:r>
          <w:rPr>
            <w:color w:val="1155CC"/>
            <w:u w:val="single"/>
          </w:rPr>
          <w:t>基于氨基酸的生物材料用于细胞行为调节：从机制到生物医学应用</w:t>
        </w:r>
      </w:hyperlink>
    </w:p>
    <w:p>
      <w:pPr>
        <w:spacing w:before="0" w:after="80"/>
      </w:pPr>
      <w:r>
        <w:rPr>
          <w:i/>
          <w:sz w:val="20"/>
        </w:rPr>
        <w:t>EN: Amino acid-based biomaterials for modulation of cell behaviors: from mechanisms to biomedical applications</w:t>
      </w:r>
    </w:p>
    <w:p>
      <w:pPr>
        <w:spacing w:before="0" w:after="120"/>
      </w:pPr>
      <w:r>
        <w:rPr>
          <w:b/>
        </w:rPr>
        <w:t xml:space="preserve">Source: </w:t>
      </w:r>
      <w:r>
        <w:t>RSC - Chem. Soc. Rev. latest articles</w:t>
      </w:r>
      <w:r>
        <w:t xml:space="preserve">    </w:t>
      </w:r>
      <w:r>
        <w:rPr>
          <w:b/>
        </w:rPr>
        <w:t xml:space="preserve">Pub date: </w:t>
      </w:r>
      <w:r>
        <w:t>2026-03-26 00:00:00+00:00</w:t>
      </w:r>
    </w:p>
    <w:p>
      <w:pPr>
        <w:spacing w:before="0" w:after="120"/>
      </w:pPr>
      <w:r>
        <w:rPr>
          <w:b/>
        </w:rPr>
        <w:t xml:space="preserve">Notes: </w:t>
      </w:r>
      <w:r>
        <w:t>abstract_source=rsc_html</w:t>
      </w:r>
    </w:p>
    <w:p>
      <w:pPr>
        <w:spacing w:before="0" w:after="80" w:lineRule="auto" w:line="276"/>
      </w:pPr>
      <w:r>
        <w:rPr>
          <w:b/>
        </w:rPr>
        <w:t xml:space="preserve">摘要（ZH）: </w:t>
      </w:r>
      <w:r>
        <w:t>基于氨基酸的生物材料，包括序列定义的肽、合成聚（氨基酸）和自组装材料，由于其在生物医学领域的先进潜力而受到越来越多的关注。传统上，这些材料主要用作药物递送或组织工程的载体或支架。然而，最近的研究发现它们能够通过各种化学和物理机制调节细胞行为，使其与传统的可生物降解生物材料区别开来。这些材料的降解产生的肽片段或氨基酸积极参与细胞代谢和信号调节，从而扩展了其功能超越结构支持。本文综述了这些生物材料如何影响细胞</w:t>
      </w:r>
    </w:p>
    <w:p>
      <w:pPr>
        <w:spacing w:before="0" w:after="200" w:lineRule="auto" w:line="276"/>
      </w:pPr>
      <w:r>
        <w:rPr>
          <w:b/>
        </w:rPr>
        <w:t xml:space="preserve">Abstract (EN): </w:t>
      </w:r>
      <w:r>
        <w:t>Amino acid-based biomaterials, encompassing sequence-defined peptides, synthetic poly(amino acid)s, and self-assembling materials, garner increased attention for their advanced potential in biomedical fields. Traditionally, these materials have been employed primarily as carriers or scaffolds for drug delivery or tissue engineering. However, recent research has uncovered their capacity to modulate cell behaviors through various chemical and physical mechanisms, setting them apart from conventional biodegradable biomaterials. The degradation of these materials yields peptide fragments or amino acids that actively participate in cell metabolism and signaling regulation, thereby extending their functionality beyond structural support. This review explores how these biomaterials influence cell processes, such as proliferation, differentiation, migration, gene expression, secretion, intercellular communication, adhesion, phagocytosis, endocytosis, metabolism, senescence, apoptosis, polarization, and immune responses. By regulating these cell functions, either alone or in combination with other therapeutic strategies, amino acid-based biomaterials hold significant promise for applications in cancer therapy, regenerative medicine, and other biomedical fields. Furthermore, this review discusses the synchronization between material biodegradation kinetics and disease treatment timelines, thereby maximizing the bioactivity of degradation products and enhancing therapeutic efficacy. By highlighting the multifunctionality of amino acid-based biomaterials, this review emphasizes their potential in improving therapeutic outcomes and encourages further interdisciplinary research to fully harness their capabilities.</w:t>
      </w:r>
    </w:p>
    <w:p>
      <w:pPr>
        <w:spacing w:before="120" w:after="120"/>
      </w:pPr>
      <w:r>
        <w:rPr>
          <w:sz w:val="18"/>
        </w:rPr>
        <w:t>——————————————————————————————————————————————————————————————————————</w:t>
      </w:r>
    </w:p>
    <w:p>
      <w:pPr>
        <w:spacing w:before="160" w:after="40" w:line="240" w:lineRule="auto"/>
      </w:pPr>
      <w:r>
        <w:rPr>
          <w:b/>
        </w:rPr>
        <w:t xml:space="preserve">[385] </w:t>
      </w:r>
      <w:hyperlink r:id="rId930">
        <w:r>
          <w:rPr>
            <w:color w:val="1155CC"/>
            <w:u w:val="single"/>
          </w:rPr>
          <w:t>L-蛋氨酸的自旋依赖性同位素分馏</w:t>
        </w:r>
      </w:hyperlink>
    </w:p>
    <w:p>
      <w:pPr>
        <w:spacing w:before="0" w:after="80"/>
      </w:pPr>
      <w:r>
        <w:rPr>
          <w:i/>
          <w:sz w:val="20"/>
        </w:rPr>
        <w:t>EN: Spin-dependent isotopic fractionation of L-methionine</w:t>
      </w:r>
    </w:p>
    <w:p>
      <w:pPr>
        <w:spacing w:before="0" w:after="120"/>
      </w:pPr>
      <w:r>
        <w:rPr>
          <w:b/>
        </w:rPr>
        <w:t xml:space="preserve">Source: </w:t>
      </w:r>
      <w:r>
        <w:t>Chem</w:t>
      </w:r>
      <w:r>
        <w:t xml:space="preserve">    </w:t>
      </w:r>
      <w:r>
        <w:rPr>
          <w:b/>
        </w:rPr>
        <w:t xml:space="preserve">Pub date: </w:t>
      </w:r>
      <w:r>
        <w:t>2026-03-26 00:00:00+00:00</w:t>
      </w:r>
      <w:r>
        <w:t xml:space="preserve">    </w:t>
      </w:r>
      <w:r>
        <w:rPr>
          <w:b/>
        </w:rPr>
        <w:t xml:space="preserve">DOI: </w:t>
      </w:r>
      <w:hyperlink r:id="rId931">
        <w:r>
          <w:rPr>
            <w:color w:val="1155CC"/>
            <w:u w:val="single"/>
          </w:rPr>
          <w:t>10.1016/j.chempr.2026.102993</w:t>
        </w:r>
      </w:hyperlink>
    </w:p>
    <w:p>
      <w:pPr>
        <w:spacing w:before="0" w:after="120"/>
      </w:pPr>
      <w:r>
        <w:rPr>
          <w:b/>
        </w:rPr>
        <w:t xml:space="preserve">Notes: </w:t>
      </w:r>
      <w:r>
        <w:t>abstract_source=rss_cell</w:t>
      </w:r>
    </w:p>
    <w:p>
      <w:pPr>
        <w:spacing w:before="0" w:after="80" w:lineRule="auto" w:line="276"/>
      </w:pPr>
      <w:r>
        <w:rPr>
          <w:b/>
        </w:rPr>
        <w:t xml:space="preserve">摘要（ZH）: </w:t>
      </w:r>
      <w:r>
        <w:t>磁化方向改变了通过磁性过滤器的¹³C标记的L-蛋氨酸的传输。体积分辨测量显示出与未标记分子相比的不同捕获和释放行为。这些结果将电子自旋选择性与同位素化学联系起来，并暗示自旋可能在形成早期生物分子同位素特征中发挥作用。</w:t>
      </w:r>
    </w:p>
    <w:p>
      <w:pPr>
        <w:spacing w:before="0" w:after="200" w:lineRule="auto" w:line="276"/>
      </w:pPr>
      <w:r>
        <w:rPr>
          <w:b/>
        </w:rPr>
        <w:t xml:space="preserve">Abstract (EN): </w:t>
      </w:r>
      <w:r>
        <w:t>Magnetization direction alters the transmission of ¹³C-labeled L-methionine through magnetic filters. Volume-resolved measurements reveal distinct capture and release behavior compared with unlabeled molecules. These results connect electron spin selectivity with isotope chemistry and suggest a possible role for spin in shaping early biomolecular isotopic signatures.</w:t>
      </w:r>
    </w:p>
    <w:p>
      <w:pPr>
        <w:spacing w:before="120" w:after="120"/>
      </w:pPr>
      <w:r>
        <w:rPr>
          <w:sz w:val="18"/>
        </w:rPr>
        <w:t>——————————————————————————————————————————————————————————————————————</w:t>
      </w:r>
    </w:p>
    <w:p>
      <w:pPr>
        <w:spacing w:before="160" w:after="40" w:line="240" w:lineRule="auto"/>
      </w:pPr>
      <w:r>
        <w:rPr>
          <w:b/>
        </w:rPr>
        <w:t xml:space="preserve">[386] </w:t>
      </w:r>
      <w:hyperlink r:id="rId932">
        <w:r>
          <w:rPr>
            <w:color w:val="1155CC"/>
            <w:u w:val="single"/>
          </w:rPr>
          <w:t>设计超越平衡的无序材料</w:t>
        </w:r>
      </w:hyperlink>
    </w:p>
    <w:p>
      <w:pPr>
        <w:spacing w:before="0" w:after="80"/>
      </w:pPr>
      <w:r>
        <w:rPr>
          <w:i/>
          <w:sz w:val="20"/>
        </w:rPr>
        <w:t>EN: Designing disordered materials beyond equilibrium</w:t>
      </w:r>
    </w:p>
    <w:p>
      <w:pPr>
        <w:spacing w:before="0" w:after="120"/>
      </w:pPr>
      <w:r>
        <w:rPr>
          <w:b/>
        </w:rPr>
        <w:t xml:space="preserve">Source: </w:t>
      </w:r>
      <w:r>
        <w:t>Nature Materials</w:t>
      </w:r>
      <w:r>
        <w:t xml:space="preserve">    </w:t>
      </w:r>
      <w:r>
        <w:rPr>
          <w:b/>
        </w:rPr>
        <w:t xml:space="preserve">Pub date: </w:t>
      </w:r>
      <w:r>
        <w:t>2026-03-26 00:00:00+00:00</w:t>
      </w:r>
      <w:r>
        <w:t xml:space="preserve">    </w:t>
      </w:r>
      <w:r>
        <w:rPr>
          <w:b/>
        </w:rPr>
        <w:t xml:space="preserve">DOI: </w:t>
      </w:r>
      <w:hyperlink r:id="rId933">
        <w:r>
          <w:rPr>
            <w:color w:val="1155CC"/>
            <w:u w:val="single"/>
          </w:rPr>
          <w:t>10.1038/s41563-026-02552-3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[387] </w:t>
      </w:r>
      <w:hyperlink r:id="rId934">
        <w:r>
          <w:rPr>
            <w:color w:val="1155CC"/>
            <w:u w:val="single"/>
          </w:rPr>
          <w:t>水电治理的挑战和机遇</w:t>
        </w:r>
      </w:hyperlink>
    </w:p>
    <w:p>
      <w:pPr>
        <w:spacing w:before="0" w:after="80"/>
      </w:pPr>
      <w:r>
        <w:rPr>
          <w:i/>
          <w:sz w:val="20"/>
        </w:rPr>
        <w:t>EN: Challenges and opportunities for the governance of hydropower</w:t>
      </w:r>
    </w:p>
    <w:p>
      <w:pPr>
        <w:spacing w:before="0" w:after="120"/>
      </w:pPr>
      <w:r>
        <w:rPr>
          <w:b/>
        </w:rPr>
        <w:t xml:space="preserve">Source: </w:t>
      </w:r>
      <w:r>
        <w:t>Nature Sustainability</w:t>
      </w:r>
      <w:r>
        <w:t xml:space="preserve">    </w:t>
      </w:r>
      <w:r>
        <w:rPr>
          <w:b/>
        </w:rPr>
        <w:t xml:space="preserve">Pub date: </w:t>
      </w:r>
      <w:r>
        <w:t>2026-03-26 00:00:00+00:00</w:t>
      </w:r>
      <w:r>
        <w:t xml:space="preserve">    </w:t>
      </w:r>
      <w:r>
        <w:rPr>
          <w:b/>
        </w:rPr>
        <w:t xml:space="preserve">DOI: </w:t>
      </w:r>
      <w:hyperlink r:id="rId935">
        <w:r>
          <w:rPr>
            <w:color w:val="1155CC"/>
            <w:u w:val="single"/>
          </w:rPr>
          <w:t>10.1038/s41893-026-01782-2</w:t>
        </w:r>
      </w:hyperlink>
    </w:p>
    <w:p>
      <w:pPr>
        <w:spacing w:before="0" w:after="120"/>
      </w:pPr>
      <w:r>
        <w:rPr>
          <w:b/>
        </w:rPr>
        <w:t xml:space="preserve">Notes: </w:t>
      </w:r>
      <w:r>
        <w:t>abstract_source=nature_html</w:t>
      </w:r>
    </w:p>
    <w:p>
      <w:pPr>
        <w:spacing w:before="0" w:after="80" w:lineRule="auto" w:line="276"/>
      </w:pPr>
      <w:r>
        <w:rPr>
          <w:b/>
        </w:rPr>
        <w:t xml:space="preserve">摘要（ZH）: </w:t>
      </w:r>
      <w:r>
        <w:t>全球南方计划或正在建设的水电大坝超过3,700座，容量超过1兆瓦，重复了许多过去的环境和社会问题。世界大坝委员会在2000年发布了指导方针，但主要的大坝建设国家认为这些指导方针不切实际。四分之一世纪后，大型水坝的净效益仍然存在争议，但背景已经发生变化。气候变化叙事、中国的领导地位、私人投资、环境正义运动和多层次治理现在塑造着水电发展。这一格局为更好的治理、战略规划和社区参与创造了机会，也为混合系统、跨界背景和中国的政治经济动态的新研究提供了机会。</w:t>
      </w:r>
    </w:p>
    <w:p>
      <w:pPr>
        <w:spacing w:before="0" w:after="200" w:lineRule="auto" w:line="276"/>
      </w:pPr>
      <w:r>
        <w:rPr>
          <w:b/>
        </w:rPr>
        <w:t xml:space="preserve">Abstract (EN): </w:t>
      </w:r>
      <w:r>
        <w:t>More than 3,700 hydropower dams with capacities of over 1 MW are planned or under construction across the global south, repeating many past environmental and social problems. The World Commission on Dams issued guidelines in 2000, but major dam-building nations dismissed them as impractical. A quarter of a century later, the net benefits of large dams remain contested, yet the context has shifted. Climate change narratives, China’s leadership, private investment, environmental justice movements and multi-level governance now shape hydropower development. This landscape creates opportunities for better governance, strategic planning and community involvement, as well as for new research on hybrid systems, transboundary contexts and China’s political–economic dynamics.</w:t>
      </w:r>
    </w:p>
    <w:p>
      <w:pPr>
        <w:spacing w:before="120" w:after="120"/>
      </w:pPr>
      <w:r>
        <w:rPr>
          <w:sz w:val="18"/>
        </w:rPr>
        <w:t>——————————————————————————————————————————————————————————————————————</w:t>
      </w:r>
    </w:p>
    <w:p>
      <w:pPr>
        <w:spacing w:before="160" w:after="40" w:line="240" w:lineRule="auto"/>
      </w:pPr>
      <w:r>
        <w:rPr>
          <w:b/>
        </w:rPr>
        <w:t xml:space="preserve">[388] </w:t>
      </w:r>
      <w:hyperlink r:id="rId936">
        <w:r>
          <w:rPr>
            <w:color w:val="1155CC"/>
            <w:u w:val="single"/>
          </w:rPr>
          <w:t>集成光子学中的极简太赫兹无线收发器</w:t>
        </w:r>
      </w:hyperlink>
    </w:p>
    <w:p>
      <w:pPr>
        <w:spacing w:before="0" w:after="80"/>
      </w:pPr>
      <w:r>
        <w:rPr>
          <w:i/>
          <w:sz w:val="20"/>
        </w:rPr>
        <w:t>EN: Minimalist terahertz wireless transceiver in integrated photonics</w:t>
      </w:r>
    </w:p>
    <w:p>
      <w:pPr>
        <w:spacing w:before="0" w:after="120"/>
      </w:pPr>
      <w:r>
        <w:rPr>
          <w:b/>
        </w:rPr>
        <w:t xml:space="preserve">Source: </w:t>
      </w:r>
      <w:r>
        <w:t>Nature Communications</w:t>
      </w:r>
      <w:r>
        <w:t xml:space="preserve">    </w:t>
      </w:r>
      <w:r>
        <w:rPr>
          <w:b/>
        </w:rPr>
        <w:t xml:space="preserve">Pub date: </w:t>
      </w:r>
      <w:r>
        <w:t>2026-03-26 00:00:00+00:00</w:t>
      </w:r>
      <w:r>
        <w:t xml:space="preserve">    </w:t>
      </w:r>
      <w:r>
        <w:rPr>
          <w:b/>
        </w:rPr>
        <w:t xml:space="preserve">DOI: </w:t>
      </w:r>
      <w:hyperlink r:id="rId937">
        <w:r>
          <w:rPr>
            <w:color w:val="1155CC"/>
            <w:u w:val="single"/>
          </w:rPr>
          <w:t>10.1038/s41467-026-71081-z</w:t>
        </w:r>
      </w:hyperlink>
    </w:p>
    <w:p>
      <w:pPr>
        <w:spacing w:before="0" w:after="120"/>
      </w:pPr>
      <w:r>
        <w:rPr>
          <w:b/>
        </w:rPr>
        <w:t xml:space="preserve">Notes: </w:t>
      </w:r>
      <w:r>
        <w:t>abstract_source=nature_html</w:t>
      </w:r>
    </w:p>
    <w:p>
      <w:pPr>
        <w:spacing w:before="0" w:after="80" w:lineRule="auto" w:line="276"/>
      </w:pPr>
      <w:r>
        <w:rPr>
          <w:b/>
        </w:rPr>
        <w:t xml:space="preserve">摘要（ZH）: </w:t>
      </w:r>
      <w:r>
        <w:t>光子辅助无线通信为下一代基础设施提供了一条强大的途径，提供超宽带宽和高频谱灵活性。尽管在基站场景中广泛研究和商业采用了光子辅助方案，如光纤无线电，但在空间受限和功率敏感的终端设备中的实施仍然极具挑战性。主要障碍来自复杂的收发器架构，因为减轻载波漂移和抖动的影响需要高纯度源或复杂的数字信号处理（DSP）。在此，我们提出了一种为轻量级系统量身定制的极简集成光子辅助太赫兹无线收发器解决方案。通过采用残余载波调制和注入锁定，</w:t>
      </w:r>
    </w:p>
    <w:p>
      <w:pPr>
        <w:spacing w:before="0" w:after="200" w:lineRule="auto" w:line="276"/>
      </w:pPr>
      <w:r>
        <w:rPr>
          <w:b/>
        </w:rPr>
        <w:t xml:space="preserve">Abstract (EN): </w:t>
      </w:r>
      <w:r>
        <w:t>Photonics-assisted wireless communication provides a powerful pathway for next-generation infrastructures, offering ultra-wide bandwidth and high spectral agility. Despite extensive research and commercial adoption of photonics-assisted schemes such as radio-over-fiber in base station scenarios, their implementation in space-constrained and power-sensitive end devices remains highly challenging. The main obstacles arise from complex transceiver architectures, as mitigating effects of drift and jitter in carriers necessitates either high-purity sources or complex digital signal processing (DSP). Here, we propose a minimalist integrated photonics-assisted terahertz wireless transceiver solution tailored for lightweight systems. By employing residual carrier modulation and injection locking, we achieve a streamlined architecture using solely off-the-shelf 4 MHz linewidth distributed feedback laser chips and a single photodetector receiver, which supports 144 Gbps high-speed transmission at sub-terahertz frequency, meanwhile operating in a DSP-free regime for carrier recovery. The system also incorporates on-chip modulator and photodiode, enabling higher-level system integration. Eliminating the long-standing hardware burden and DSP overhead, the proposed scheme paves the way for lightweight, massive adoption of high-performance photonics-assisted wireless transceivers in end devices for ubiquitous access.</w:t>
      </w:r>
    </w:p>
    <w:p>
      <w:pPr>
        <w:spacing w:before="120" w:after="120"/>
      </w:pPr>
      <w:r>
        <w:rPr>
          <w:sz w:val="18"/>
        </w:rPr>
        <w:t>——————————————————————————————————————————————————————————————————————</w:t>
      </w:r>
    </w:p>
    <w:p>
      <w:pPr>
        <w:spacing w:before="160" w:after="40" w:line="240" w:lineRule="auto"/>
      </w:pPr>
      <w:r>
        <w:rPr>
          <w:b/>
        </w:rPr>
        <w:t xml:space="preserve">[389] </w:t>
      </w:r>
      <w:hyperlink r:id="rId938">
        <w:r>
          <w:rPr>
            <w:color w:val="1155CC"/>
            <w:u w:val="single"/>
          </w:rPr>
          <w:t>在开放金属位点预测强Cu(I)–He相互作用使同位素选择性氦吸附成为可能</w:t>
        </w:r>
      </w:hyperlink>
    </w:p>
    <w:p>
      <w:pPr>
        <w:spacing w:before="0" w:after="80"/>
      </w:pPr>
      <w:r>
        <w:rPr>
          <w:i/>
          <w:sz w:val="20"/>
        </w:rPr>
        <w:t>EN: Prediction of strong Cu(I)–He interaction at open metal sites enables isotope-selective helium adsorption</w:t>
      </w:r>
    </w:p>
    <w:p>
      <w:pPr>
        <w:spacing w:before="0" w:after="120"/>
      </w:pPr>
      <w:r>
        <w:rPr>
          <w:b/>
        </w:rPr>
        <w:t xml:space="preserve">Source: </w:t>
      </w:r>
      <w:r>
        <w:t>Nature Communications</w:t>
      </w:r>
      <w:r>
        <w:t xml:space="preserve">    </w:t>
      </w:r>
      <w:r>
        <w:rPr>
          <w:b/>
        </w:rPr>
        <w:t xml:space="preserve">Pub date: </w:t>
      </w:r>
      <w:r>
        <w:t>2026-03-26 00:00:00+00:00</w:t>
      </w:r>
      <w:r>
        <w:t xml:space="preserve">    </w:t>
      </w:r>
      <w:r>
        <w:rPr>
          <w:b/>
        </w:rPr>
        <w:t xml:space="preserve">DOI: </w:t>
      </w:r>
      <w:hyperlink r:id="rId939">
        <w:r>
          <w:rPr>
            <w:color w:val="1155CC"/>
            <w:u w:val="single"/>
          </w:rPr>
          <w:t>10.1038/s41467-026-70901-6</w:t>
        </w:r>
      </w:hyperlink>
    </w:p>
    <w:p>
      <w:pPr>
        <w:spacing w:before="0" w:after="120"/>
      </w:pPr>
      <w:r>
        <w:rPr>
          <w:b/>
        </w:rPr>
        <w:t xml:space="preserve">Notes: </w:t>
      </w:r>
      <w:r>
        <w:t>abstract_source=nature_html</w:t>
      </w:r>
    </w:p>
    <w:p>
      <w:pPr>
        <w:spacing w:before="0" w:after="80" w:lineRule="auto" w:line="276"/>
      </w:pPr>
      <w:r>
        <w:rPr>
          <w:b/>
        </w:rPr>
        <w:t xml:space="preserve">摘要（ZH）: </w:t>
      </w:r>
      <w:r>
        <w:t>氦通常被认为是一种惰性元素，因为其高电离势、零电子亲和力和低极化率。在此，我们展示了具有有利配位配体的Cu(I)位点由于氦极化和沿Cu-He键的电荷积累而达到意外大的氦结合能，最高可达19 kJ mol-1。首先，我们对一系列Cu(I)-He气相簇进行精确的电子结构计算，以阐明Cu-He相互作用的性质。然后，我们建立了一个预测模型来研究包含Cu(I)位点的更大系统，包括冠醚、沸石和金属有机框架（MOFs）。强烈的Cu(I)-He相互作用导致4He/3He零点能量的显著差异，允许预测选择性同位素吸附在</w:t>
      </w:r>
    </w:p>
    <w:p>
      <w:pPr>
        <w:spacing w:before="0" w:after="200" w:lineRule="auto" w:line="276"/>
      </w:pPr>
      <w:r>
        <w:rPr>
          <w:b/>
        </w:rPr>
        <w:t xml:space="preserve">Abstract (EN): </w:t>
      </w:r>
      <w:r>
        <w:t>Helium is generally known as an inert element due to its high ionization potential, zero electron affinity, and low polarizability. Here, we demonstrate that Cu(I) sites with favorably coordinated ligands reach unexpectedly large He binding energies, up to 19 kJ mol-1, due to He polarization and charge accumulation along the Cu-He bond. First, we perform accurate electronic structure calculations on a series of Cu(I)-He gas phase clusters to elucidate the nature of the Cu-He interaction. Then, we establish a predictive model to study larger systems hosting Cu(I) sites, including crown ethers, zeolites and metal-organic frameworks (MOFs). The strong Cu(I)-He interaction induces significant differences in the 4He/3He zero-point energies, allowing prediction of selective isotope adsorption at technologically relevant temperatures (20–77 K). In particular, undercoordinated Cu(I) sites found in zeolites and MOFs emerge as promising materials with a predicted 4He/3He separation factor approaching three at 20 K.</w:t>
      </w:r>
    </w:p>
    <w:p>
      <w:pPr>
        <w:spacing w:before="120" w:after="120"/>
      </w:pPr>
      <w:r>
        <w:rPr>
          <w:sz w:val="18"/>
        </w:rPr>
        <w:t>——————————————————————————————————————————————————————————————————————</w:t>
      </w:r>
    </w:p>
    <w:p>
      <w:pPr>
        <w:spacing w:before="160" w:after="40" w:line="240" w:lineRule="auto"/>
      </w:pPr>
      <w:r>
        <w:rPr>
          <w:b/>
        </w:rPr>
        <w:t xml:space="preserve">[390] </w:t>
      </w:r>
      <w:hyperlink r:id="rId940">
        <w:r>
          <w:rPr>
            <w:color w:val="1155CC"/>
            <w:u w:val="single"/>
          </w:rPr>
          <w:t>Mirvetuximab soravtansine 联合 pembrolizumab 在复发性叶酸受体α阳性子宫浆液性癌中的应用：II期试验</w:t>
        </w:r>
      </w:hyperlink>
    </w:p>
    <w:p>
      <w:pPr>
        <w:spacing w:before="0" w:after="80"/>
      </w:pPr>
      <w:r>
        <w:rPr>
          <w:i/>
          <w:sz w:val="20"/>
        </w:rPr>
        <w:t>EN: Mirvetuximab soravtansine plus pembrolizumab in recurrent folate receptor alpha-positive uterine serous carcinoma: a phase II trial</w:t>
      </w:r>
    </w:p>
    <w:p>
      <w:pPr>
        <w:spacing w:before="0" w:after="120"/>
      </w:pPr>
      <w:r>
        <w:rPr>
          <w:b/>
        </w:rPr>
        <w:t xml:space="preserve">Source: </w:t>
      </w:r>
      <w:r>
        <w:t>Nature Communications</w:t>
      </w:r>
      <w:r>
        <w:t xml:space="preserve">    </w:t>
      </w:r>
      <w:r>
        <w:rPr>
          <w:b/>
        </w:rPr>
        <w:t xml:space="preserve">Pub date: </w:t>
      </w:r>
      <w:r>
        <w:t>2026-03-26 00:00:00+00:00</w:t>
      </w:r>
      <w:r>
        <w:t xml:space="preserve">    </w:t>
      </w:r>
      <w:r>
        <w:rPr>
          <w:b/>
        </w:rPr>
        <w:t xml:space="preserve">DOI: </w:t>
      </w:r>
      <w:hyperlink r:id="rId941">
        <w:r>
          <w:rPr>
            <w:color w:val="1155CC"/>
            <w:u w:val="single"/>
          </w:rPr>
          <w:t>10.1038/s41467-026-71102-x</w:t>
        </w:r>
      </w:hyperlink>
    </w:p>
    <w:p>
      <w:pPr>
        <w:spacing w:before="0" w:after="120"/>
      </w:pPr>
      <w:r>
        <w:rPr>
          <w:b/>
        </w:rPr>
        <w:t xml:space="preserve">Notes: </w:t>
      </w:r>
      <w:r>
        <w:t>abstract_source=nature_html</w:t>
      </w:r>
    </w:p>
    <w:p>
      <w:pPr>
        <w:spacing w:before="0" w:after="80" w:lineRule="auto" w:line="276"/>
      </w:pPr>
      <w:r>
        <w:rPr>
          <w:b/>
        </w:rPr>
        <w:t xml:space="preserve">摘要（ZH）: </w:t>
      </w:r>
      <w:r>
        <w:t>免疫检查点抑制剂（ICI）与抗体药物偶联物（ADC）在临床前协同作用，携带抗微管蛋白的美登素类有效载荷。我们进行了一项研究者发起的单臂二期试验，研究mirvetuximab soravtansine（MIRV），一种靶向叶酸受体α（FOLR1/FRα）的ADC，携带美登素类有效载荷DM4，与pembrolizumab联合用于复发性FOLR1表达的浆液性子宫内膜癌女性患者（EC，NCT03835819）。共同主要目标包括客观缓解率（ORR）和6个月无进展生存率（PFS6）；次要目标包括PFS、总生存期、缓解持续时间和安全性。探索性目标包括肿瘤基因组学和免疫分析与临床活动的相关性。十八名患者启动协议</w:t>
      </w:r>
    </w:p>
    <w:p>
      <w:pPr>
        <w:spacing w:before="0" w:after="200" w:lineRule="auto" w:line="276"/>
      </w:pPr>
      <w:r>
        <w:rPr>
          <w:b/>
        </w:rPr>
        <w:t xml:space="preserve">Abstract (EN): </w:t>
      </w:r>
      <w:r>
        <w:t>Immune checkpoint inhibitors (ICI) synergize preclinically with antibody drug conjugates (ADC), harboring anti-tubulin maytansinoid payloads. We conducted an investigator-initiated, single-arm, phase 2 trial of mirvetuximab soravtansine (MIRV), a folate receptor alpha (FOLR1/FRα)-targeting ADC with the maytansinoid payload, DM4, combined with pembrolizumab in female patients with recurrent FOLR1-expressing serous endometrial cancer (EC, NCT03835819). Co-primary objectives include objective response rate (ORR) and rate of progression-free survival at 6 months (PFS6); secondary objectives include PFS, overall survival, duration of response and safety. Exploratory objectives include correlation of tumor genomics and immunoprofiling with clinical activity. Eighteen patients initiated protocol therapy [MIRV 6 mg/kg adjusted ideal body weight IV and pembrolizumab 200 mg IV every 3 weeks]. Confirmed ORR is 28% (1 complete and 4 partial responses, 95% CI:10-53%), Kaplan Meier estimate of PFS6 is 24.4% (95% CI:7.7-46.1%) with 4 patients progression free at 6 months; trial was closed early for feasibility (planned sample size of 35 patients not reached) and hence these results are considered preliminary. G3 treatment-related adverse effects were rare with no grade ≥4 toxicities. We report a population of high FOLR1-expressing tumor-associated macrophages (CD163 + FOLR1 + ), suggesting potential on-target, off-tumor immune editing by MIRV. A composite biomarker score derived in this cohort correlates with objective response to MIRV and pembrolizumab.</w:t>
      </w:r>
    </w:p>
    <w:p>
      <w:pPr>
        <w:spacing w:before="120" w:after="120"/>
      </w:pPr>
      <w:r>
        <w:rPr>
          <w:sz w:val="18"/>
        </w:rPr>
        <w:t>——————————————————————————————————————————————————————————————————————</w:t>
      </w:r>
    </w:p>
    <w:p>
      <w:pPr>
        <w:spacing w:before="160" w:after="40" w:line="240" w:lineRule="auto"/>
      </w:pPr>
      <w:r>
        <w:rPr>
          <w:b/>
        </w:rPr>
        <w:t xml:space="preserve">[391] </w:t>
      </w:r>
      <w:hyperlink r:id="rId942">
        <w:r>
          <w:rPr>
            <w:color w:val="1155CC"/>
            <w:u w:val="single"/>
          </w:rPr>
          <w:t>一种多方面的模型研究溶组织内阿米巴 KERP2 调节基因表达和宿主细胞反应</w:t>
        </w:r>
      </w:hyperlink>
    </w:p>
    <w:p>
      <w:pPr>
        <w:spacing w:before="0" w:after="80"/>
      </w:pPr>
      <w:r>
        <w:rPr>
          <w:i/>
          <w:sz w:val="20"/>
        </w:rPr>
        <w:t>EN: A multifaceted model of Entamoeba histolytica KERP2 regulating gene expression and host cell responses</w:t>
      </w:r>
    </w:p>
    <w:p>
      <w:pPr>
        <w:spacing w:before="0" w:after="120"/>
      </w:pPr>
      <w:r>
        <w:rPr>
          <w:b/>
        </w:rPr>
        <w:t xml:space="preserve">Source: </w:t>
      </w:r>
      <w:r>
        <w:t>Nature Communications</w:t>
      </w:r>
      <w:r>
        <w:t xml:space="preserve">    </w:t>
      </w:r>
      <w:r>
        <w:rPr>
          <w:b/>
        </w:rPr>
        <w:t xml:space="preserve">Pub date: </w:t>
      </w:r>
      <w:r>
        <w:t>2026-03-26 00:00:00+00:00</w:t>
      </w:r>
      <w:r>
        <w:t xml:space="preserve">    </w:t>
      </w:r>
      <w:r>
        <w:rPr>
          <w:b/>
        </w:rPr>
        <w:t xml:space="preserve">DOI: </w:t>
      </w:r>
      <w:hyperlink r:id="rId943">
        <w:r>
          <w:rPr>
            <w:color w:val="1155CC"/>
            <w:u w:val="single"/>
          </w:rPr>
          <w:t>10.1038/s41467-026-70847-9</w:t>
        </w:r>
      </w:hyperlink>
    </w:p>
    <w:p>
      <w:pPr>
        <w:spacing w:before="0" w:after="120"/>
      </w:pPr>
      <w:r>
        <w:rPr>
          <w:b/>
        </w:rPr>
        <w:t xml:space="preserve">Notes: </w:t>
      </w:r>
      <w:r>
        <w:t>abstract_source=nature_html</w:t>
      </w:r>
    </w:p>
    <w:p>
      <w:pPr>
        <w:spacing w:before="0" w:after="80" w:lineRule="auto" w:line="276"/>
      </w:pPr>
      <w:r>
        <w:rPr>
          <w:b/>
        </w:rPr>
        <w:t xml:space="preserve">摘要（ZH）: </w:t>
      </w:r>
      <w:r>
        <w:t>溶组织内阿米巴（Entamoeba histolytica）引起阿米巴病并损害肠上皮，但个体寄生虫因子如何协调寄生虫基因调控与宿主重塑尚不清楚。我们研究了赖氨酸和谷氨酸丰富蛋白2，这是一种与宿主刷状缘相关的因子。序列分析、成像和功能测定显示，赖氨酸和谷氨酸丰富蛋白2在寄生虫细胞核中积累，结合富含AT的DNA，并调节与阿米巴病相关的转录程序，包括半胱氨酸蛋白酶和硫代谢。在寄生虫与上皮接触期间，该蛋白进入宿主上皮细胞，并与脱氧核糖核酸合成增加、细胞骨架调节因子改变、肌动蛋白重塑和屏障完整性降低相关。在此，我们提出一个工作</w:t>
      </w:r>
    </w:p>
    <w:p>
      <w:pPr>
        <w:spacing w:before="0" w:after="200" w:lineRule="auto" w:line="276"/>
      </w:pPr>
      <w:r>
        <w:rPr>
          <w:b/>
        </w:rPr>
        <w:t xml:space="preserve">Abstract (EN): </w:t>
      </w:r>
      <w:r>
        <w:t>Entamoeba histolytica causes amoebiasis and damages intestinal epithelium, but how individual parasite factors coordinate parasite gene regulation with host remodeling is unclear. We investigate lysine- and glutamic acid-rich protein 2, a factor linked to the host brush border. Sequence analysis, imaging, and functional assays show that lysine- and glutamic acid-rich protein 2 accumulates in the parasite nucleus, binds AT-rich DNA, and modulates transcriptional programs related to Amoebiasis, including cysteine protease and sulfur metabolism. During parasite-epithelium contact, the protein enters host epithelial cells and is associated with increased deoxyribonucleic acid synthesis, altered cytoskeletal regulators, actin remodeling, and reduced barrier integrity. Here, we propose a working model in which lysine- and glutamic acid-rich protein 2 links parasite chromatin-associated regulation with host epithelial remodeling during contact. Notably, our data support host cytoskeletal and junctional phenotypes and do not yet establish a direct role for it in host chromatin regulation. Together, these observations suggest a potentially broader mechanism by which extracellular pathogens deploy effectors to optimize virulence and adapt to diverse host environments.</w:t>
      </w:r>
    </w:p>
    <w:p>
      <w:pPr>
        <w:spacing w:before="120" w:after="120"/>
      </w:pPr>
      <w:r>
        <w:rPr>
          <w:sz w:val="18"/>
        </w:rPr>
        <w:t>——————————————————————————————————————————————————————————————————————</w:t>
      </w:r>
    </w:p>
    <w:p>
      <w:pPr>
        <w:spacing w:before="160" w:after="40" w:line="240" w:lineRule="auto"/>
      </w:pPr>
      <w:r>
        <w:rPr>
          <w:b/>
        </w:rPr>
        <w:t xml:space="preserve">[392] </w:t>
      </w:r>
      <w:hyperlink r:id="rId944">
        <w:r>
          <w:rPr>
            <w:color w:val="1155CC"/>
            <w:u w:val="single"/>
          </w:rPr>
          <w:t>艺术编辑的角色解析</w:t>
        </w:r>
      </w:hyperlink>
    </w:p>
    <w:p>
      <w:pPr>
        <w:spacing w:before="0" w:after="80"/>
      </w:pPr>
      <w:r>
        <w:rPr>
          <w:i/>
          <w:sz w:val="20"/>
        </w:rPr>
        <w:t>EN: Inside the role of the art editor</w:t>
      </w:r>
    </w:p>
    <w:p>
      <w:pPr>
        <w:spacing w:before="0" w:after="120"/>
      </w:pPr>
      <w:r>
        <w:rPr>
          <w:b/>
        </w:rPr>
        <w:t xml:space="preserve">Source: </w:t>
      </w:r>
      <w:r>
        <w:t>Nature Energy</w:t>
      </w:r>
      <w:r>
        <w:t xml:space="preserve">    </w:t>
      </w:r>
      <w:r>
        <w:rPr>
          <w:b/>
        </w:rPr>
        <w:t xml:space="preserve">Pub date: </w:t>
      </w:r>
      <w:r>
        <w:t>2026-03-26 00:00:00+00:00</w:t>
      </w:r>
      <w:r>
        <w:t xml:space="preserve">    </w:t>
      </w:r>
      <w:r>
        <w:rPr>
          <w:b/>
        </w:rPr>
        <w:t xml:space="preserve">DOI: </w:t>
      </w:r>
      <w:hyperlink r:id="rId945">
        <w:r>
          <w:rPr>
            <w:color w:val="1155CC"/>
            <w:u w:val="single"/>
          </w:rPr>
          <w:t>10.1038/s41560-025-01943-1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[393] </w:t>
      </w:r>
      <w:hyperlink r:id="rId946">
        <w:r>
          <w:rPr>
            <w:color w:val="1155CC"/>
            <w:u w:val="single"/>
          </w:rPr>
          <w:t>制作编辑的角色解析</w:t>
        </w:r>
      </w:hyperlink>
    </w:p>
    <w:p>
      <w:pPr>
        <w:spacing w:before="0" w:after="80"/>
      </w:pPr>
      <w:r>
        <w:rPr>
          <w:i/>
          <w:sz w:val="20"/>
        </w:rPr>
        <w:t>EN: Inside the role of the production editor</w:t>
      </w:r>
    </w:p>
    <w:p>
      <w:pPr>
        <w:spacing w:before="0" w:after="120"/>
      </w:pPr>
      <w:r>
        <w:rPr>
          <w:b/>
        </w:rPr>
        <w:t xml:space="preserve">Source: </w:t>
      </w:r>
      <w:r>
        <w:t>Nature Energy</w:t>
      </w:r>
      <w:r>
        <w:t xml:space="preserve">    </w:t>
      </w:r>
      <w:r>
        <w:rPr>
          <w:b/>
        </w:rPr>
        <w:t xml:space="preserve">Pub date: </w:t>
      </w:r>
      <w:r>
        <w:t>2026-03-26 00:00:00+00:00</w:t>
      </w:r>
      <w:r>
        <w:t xml:space="preserve">    </w:t>
      </w:r>
      <w:r>
        <w:rPr>
          <w:b/>
        </w:rPr>
        <w:t xml:space="preserve">DOI: </w:t>
      </w:r>
      <w:hyperlink r:id="rId947">
        <w:r>
          <w:rPr>
            <w:color w:val="1155CC"/>
            <w:u w:val="single"/>
          </w:rPr>
          <w:t>10.1038/s41560-025-01942-2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[394] </w:t>
      </w:r>
      <w:hyperlink r:id="rId948">
        <w:r>
          <w:rPr>
            <w:color w:val="1155CC"/>
            <w:u w:val="single"/>
          </w:rPr>
          <w:t>从同一来源到多样化和可回收材料</w:t>
        </w:r>
      </w:hyperlink>
    </w:p>
    <w:p>
      <w:pPr>
        <w:spacing w:before="0" w:after="80"/>
      </w:pPr>
      <w:r>
        <w:rPr>
          <w:i/>
          <w:sz w:val="20"/>
        </w:rPr>
        <w:t>EN: From a same origin to diverse and recyclable materials</w:t>
      </w:r>
    </w:p>
    <w:p>
      <w:pPr>
        <w:spacing w:before="0" w:after="120"/>
      </w:pPr>
      <w:r>
        <w:rPr>
          <w:b/>
        </w:rPr>
        <w:t xml:space="preserve">Source: </w:t>
      </w:r>
      <w:r>
        <w:t>Nature Materials</w:t>
      </w:r>
      <w:r>
        <w:t xml:space="preserve">    </w:t>
      </w:r>
      <w:r>
        <w:rPr>
          <w:b/>
        </w:rPr>
        <w:t xml:space="preserve">Pub date: </w:t>
      </w:r>
      <w:r>
        <w:t>2026-03-26 00:00:00+00:00</w:t>
      </w:r>
      <w:r>
        <w:t xml:space="preserve">    </w:t>
      </w:r>
      <w:r>
        <w:rPr>
          <w:b/>
        </w:rPr>
        <w:t xml:space="preserve">DOI: </w:t>
      </w:r>
      <w:hyperlink r:id="rId949">
        <w:r>
          <w:rPr>
            <w:color w:val="1155CC"/>
            <w:u w:val="single"/>
          </w:rPr>
          <w:t>10.1038/s41563-026-02550-5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[395] </w:t>
      </w:r>
      <w:hyperlink r:id="rId950">
        <w:r>
          <w:rPr>
            <w:color w:val="1155CC"/>
            <w:u w:val="single"/>
          </w:rPr>
          <w:t>关于能带弯曲及相关因素在光驱动电力和化学品生产中的作用的新视角</w:t>
        </w:r>
      </w:hyperlink>
    </w:p>
    <w:p>
      <w:pPr>
        <w:spacing w:before="0" w:after="80"/>
      </w:pPr>
      <w:r>
        <w:rPr>
          <w:i/>
          <w:sz w:val="20"/>
        </w:rPr>
        <w:t>EN: A fresh perspective on the role of band bending, and related contributors, in light-driven production of electricity and chemicals</w:t>
      </w:r>
    </w:p>
    <w:p>
      <w:pPr>
        <w:spacing w:before="0" w:after="120"/>
      </w:pPr>
      <w:r>
        <w:rPr>
          <w:b/>
        </w:rPr>
        <w:t xml:space="preserve">Source: </w:t>
      </w:r>
      <w:r>
        <w:t>RSC - Energy Environ. Sci. latest articles</w:t>
      </w:r>
      <w:r>
        <w:t xml:space="preserve">    </w:t>
      </w:r>
      <w:r>
        <w:rPr>
          <w:b/>
        </w:rPr>
        <w:t xml:space="preserve">Pub date: </w:t>
      </w:r>
      <w:r>
        <w:t>2026-03-26 00:00:00+00:00</w:t>
      </w:r>
    </w:p>
    <w:p>
      <w:pPr>
        <w:spacing w:before="0" w:after="120"/>
      </w:pPr>
      <w:r>
        <w:rPr>
          <w:b/>
        </w:rPr>
        <w:t xml:space="preserve">Notes: </w:t>
      </w:r>
      <w:r>
        <w:t>abstract_source=rsc_html</w:t>
      </w:r>
    </w:p>
    <w:p>
      <w:pPr>
        <w:spacing w:before="0" w:after="80" w:lineRule="auto" w:line="276"/>
      </w:pPr>
      <w:r>
        <w:rPr>
          <w:b/>
        </w:rPr>
        <w:t xml:space="preserve">摘要（ZH）: </w:t>
      </w:r>
      <w:r>
        <w:t>众所周知，基于半导体的太阳能转换可以为我们的星球提供动力。这部分是因为高质量的半导体结构在分离光生电子和空穴方面无与伦比。实现这种光诱导电荷分离的一种有效方法依赖于一种称为“能带弯曲”的现象。但能带弯曲导致光诱导电荷分离的原因比通常认为的更为复杂。这种低估是下一代太阳能转换方法的理性、假设驱动设计的障碍。在此，我们通过基于物理化学的推导展示了几种现象——不仅仅是能带弯曲——可以促进光诱导电荷分离，并且每种现象都</w:t>
      </w:r>
    </w:p>
    <w:p>
      <w:pPr>
        <w:spacing w:before="0" w:after="200" w:lineRule="auto" w:line="276"/>
      </w:pPr>
      <w:r>
        <w:rPr>
          <w:b/>
        </w:rPr>
        <w:t xml:space="preserve">Abstract (EN): </w:t>
      </w:r>
      <w:r>
        <w:t>It is widely known that semiconductor-based solar energy conversion could power our planet. This is in part because high-quality semiconductor structures are unrivalled in their ability to separate photogenerated electrons and holes. One effective approach to achieving this photoinduced charge separation relies on a phenomenon known as “band bending”. But details to justify why band bending results in photoinduced charge separation are more complex than often appreciated. This underappreciation is an impediment to the rational, hypothesis-driven design of next-generation approaches to solar energy conversion. Herein we show, by means of derivations rooted in physical chemistry, that several phenomena – not just band bending – can facilitate photoinduced charge separation, and that each is influenced by nonequilibrium species concentration and a parameter, such as diffusion coefficient or rate coefficient, that introduces dynamics. To help visualize the impact of each phenomenon, we introduce plots that depict their contributions as free energy, force, flux, force constant, and rate. We reveal that spatial dopant distributions that define band bending are predictors of initial photogenerated species transport rates. But charge separation alone does not guarantee high-efficiency operation. A photogenerated change in energy that is freely available to do useful work is also essential, and is strongly dependent on semiconductor optical properties and reaction kinetics. Notably, this information reveals that specificity of interfacial chemical reactions – even when they are not preceded by charge separation elsewhere – can result in efficient solar energy conversion. We expect that this tutorial will guide researchers in their pursuit to uncover new mechanisms for light to perform useful work.</w:t>
      </w:r>
    </w:p>
    <w:p>
      <w:pPr>
        <w:spacing w:before="120" w:after="120"/>
      </w:pPr>
      <w:r>
        <w:rPr>
          <w:sz w:val="18"/>
        </w:rPr>
        <w:t>——————————————————————————————————————————————————————————————————————</w:t>
      </w:r>
    </w:p>
    <w:p>
      <w:pPr>
        <w:spacing w:before="160" w:after="40" w:line="240" w:lineRule="auto"/>
      </w:pPr>
      <w:r>
        <w:rPr>
          <w:b/>
        </w:rPr>
        <w:t xml:space="preserve">[396] </w:t>
      </w:r>
      <w:hyperlink r:id="rId951">
        <w:r>
          <w:rPr>
            <w:color w:val="1155CC"/>
            <w:u w:val="single"/>
          </w:rPr>
          <w:t>副编辑的角色解析</w:t>
        </w:r>
      </w:hyperlink>
    </w:p>
    <w:p>
      <w:pPr>
        <w:spacing w:before="0" w:after="80"/>
      </w:pPr>
      <w:r>
        <w:rPr>
          <w:i/>
          <w:sz w:val="20"/>
        </w:rPr>
        <w:t>EN: Inside the role of the subeditor</w:t>
      </w:r>
    </w:p>
    <w:p>
      <w:pPr>
        <w:spacing w:before="0" w:after="120"/>
      </w:pPr>
      <w:r>
        <w:rPr>
          <w:b/>
        </w:rPr>
        <w:t xml:space="preserve">Source: </w:t>
      </w:r>
      <w:r>
        <w:t>Nature Energy</w:t>
      </w:r>
      <w:r>
        <w:t xml:space="preserve">    </w:t>
      </w:r>
      <w:r>
        <w:rPr>
          <w:b/>
        </w:rPr>
        <w:t xml:space="preserve">Pub date: </w:t>
      </w:r>
      <w:r>
        <w:t>2026-03-26 00:00:00+00:00</w:t>
      </w:r>
      <w:r>
        <w:t xml:space="preserve">    </w:t>
      </w:r>
      <w:r>
        <w:rPr>
          <w:b/>
        </w:rPr>
        <w:t xml:space="preserve">DOI: </w:t>
      </w:r>
      <w:hyperlink r:id="rId952">
        <w:r>
          <w:rPr>
            <w:color w:val="1155CC"/>
            <w:u w:val="single"/>
          </w:rPr>
          <w:t>10.1038/s41560-025-01944-0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[397] </w:t>
      </w:r>
      <w:hyperlink r:id="rId953">
        <w:r>
          <w:rPr>
            <w:color w:val="1155CC"/>
            <w:u w:val="single"/>
          </w:rPr>
          <w:t>非洲海洋资源冲突模式突显蓝色经济中公平获取和利益共享的必要性</w:t>
        </w:r>
      </w:hyperlink>
    </w:p>
    <w:p>
      <w:pPr>
        <w:spacing w:before="0" w:after="80"/>
      </w:pPr>
      <w:r>
        <w:rPr>
          <w:i/>
          <w:sz w:val="20"/>
        </w:rPr>
        <w:t>EN: Patterns of marine resource conflicts across Africa highlight need for fair access and benefit sharing for a blue economy</w:t>
      </w:r>
    </w:p>
    <w:p>
      <w:pPr>
        <w:spacing w:before="0" w:after="120"/>
      </w:pPr>
      <w:r>
        <w:rPr>
          <w:b/>
        </w:rPr>
        <w:t xml:space="preserve">Source: </w:t>
      </w:r>
      <w:r>
        <w:t>One Earth</w:t>
      </w:r>
      <w:r>
        <w:t xml:space="preserve">    </w:t>
      </w:r>
      <w:r>
        <w:rPr>
          <w:b/>
        </w:rPr>
        <w:t xml:space="preserve">Pub date: </w:t>
      </w:r>
      <w:r>
        <w:t>2026-03-26 00:00:00+00:00</w:t>
      </w:r>
      <w:r>
        <w:t xml:space="preserve">    </w:t>
      </w:r>
      <w:r>
        <w:rPr>
          <w:b/>
        </w:rPr>
        <w:t xml:space="preserve">DOI: </w:t>
      </w:r>
      <w:hyperlink r:id="rId954">
        <w:r>
          <w:rPr>
            <w:color w:val="1155CC"/>
            <w:u w:val="single"/>
          </w:rPr>
          <w:t>10.1016/j.oneear.2026.101644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[398] </w:t>
      </w:r>
      <w:hyperlink r:id="rId955">
        <w:r>
          <w:rPr>
            <w:color w:val="1155CC"/>
            <w:u w:val="single"/>
          </w:rPr>
          <w:t>HfO2 的辅助作用</w:t>
        </w:r>
      </w:hyperlink>
    </w:p>
    <w:p>
      <w:pPr>
        <w:spacing w:before="0" w:after="80"/>
      </w:pPr>
      <w:r>
        <w:rPr>
          <w:i/>
          <w:sz w:val="20"/>
        </w:rPr>
        <w:t>EN: A supporting role for HfO2</w:t>
      </w:r>
    </w:p>
    <w:p>
      <w:pPr>
        <w:spacing w:before="0" w:after="120"/>
      </w:pPr>
      <w:r>
        <w:rPr>
          <w:b/>
        </w:rPr>
        <w:t xml:space="preserve">Source: </w:t>
      </w:r>
      <w:r>
        <w:t>Nature Energy</w:t>
      </w:r>
      <w:r>
        <w:t xml:space="preserve">    </w:t>
      </w:r>
      <w:r>
        <w:rPr>
          <w:b/>
        </w:rPr>
        <w:t xml:space="preserve">Pub date: </w:t>
      </w:r>
      <w:r>
        <w:t>2026-03-26 00:00:00+00:00</w:t>
      </w:r>
      <w:r>
        <w:t xml:space="preserve">    </w:t>
      </w:r>
      <w:r>
        <w:rPr>
          <w:b/>
        </w:rPr>
        <w:t xml:space="preserve">DOI: </w:t>
      </w:r>
      <w:hyperlink r:id="rId956">
        <w:r>
          <w:rPr>
            <w:color w:val="1155CC"/>
            <w:u w:val="single"/>
          </w:rPr>
          <w:t>10.1038/s41560-026-02030-9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[399] </w:t>
      </w:r>
      <w:hyperlink r:id="rId957">
        <w:r>
          <w:rPr>
            <w:color w:val="1155CC"/>
            <w:u w:val="single"/>
          </w:rPr>
          <w:t>在异色团苝双酰亚胺自组装体在超分子电子学中的进展</w:t>
        </w:r>
      </w:hyperlink>
    </w:p>
    <w:p>
      <w:pPr>
        <w:spacing w:before="0" w:after="80"/>
      </w:pPr>
      <w:r>
        <w:rPr>
          <w:i/>
          <w:sz w:val="20"/>
        </w:rPr>
        <w:t>EN: Advances in heterochromophoric perylene bisimide self-assemblies towards supramolecular electronics</w:t>
      </w:r>
    </w:p>
    <w:p>
      <w:pPr>
        <w:spacing w:before="0" w:after="120"/>
      </w:pPr>
      <w:r>
        <w:rPr>
          <w:b/>
        </w:rPr>
        <w:t xml:space="preserve">Source: </w:t>
      </w:r>
      <w:r>
        <w:t>RSC - Chem. Soc. Rev. latest articles</w:t>
      </w:r>
      <w:r>
        <w:t xml:space="preserve">    </w:t>
      </w:r>
      <w:r>
        <w:rPr>
          <w:b/>
        </w:rPr>
        <w:t xml:space="preserve">Pub date: </w:t>
      </w:r>
      <w:r>
        <w:t>2026-03-26 00:00:00+00:00</w:t>
      </w:r>
    </w:p>
    <w:p>
      <w:pPr>
        <w:spacing w:before="0" w:after="120"/>
      </w:pPr>
      <w:r>
        <w:rPr>
          <w:b/>
        </w:rPr>
        <w:t xml:space="preserve">Notes: </w:t>
      </w:r>
      <w:r>
        <w:t>abstract_source=rsc_html</w:t>
      </w:r>
    </w:p>
    <w:p>
      <w:pPr>
        <w:spacing w:before="0" w:after="80" w:lineRule="auto" w:line="276"/>
      </w:pPr>
      <w:r>
        <w:rPr>
          <w:b/>
        </w:rPr>
        <w:t xml:space="preserve">摘要（ZH）: </w:t>
      </w:r>
      <w:r>
        <w:t>苝二酰亚胺（PBI）染料是设计仿生光采集（LH）自组装系统的典型且研究最为深入的染料类别，因其卓越的光物理特性，如优异的吸收、高摩尔消光系数和高荧光量子产率、热稳定性、高电荷载流子迁移率以及在其组装体中的高效激子扩散性能。尽管文献中有许多关于PBI染料及其应用的优秀综述，但迄今为止尚无综述专注于溶液中的异色素PBI组装体及其在电子学中的应用。为填补这一空白，本综述重点关注异色素PBI染料自组装体、其在溶液中的光学性质、形态</w:t>
      </w:r>
    </w:p>
    <w:p>
      <w:pPr>
        <w:spacing w:before="0" w:after="200" w:lineRule="auto" w:line="276"/>
      </w:pPr>
      <w:r>
        <w:rPr>
          <w:b/>
        </w:rPr>
        <w:t xml:space="preserve">Abstract (EN): </w:t>
      </w:r>
      <w:r>
        <w:t>Perylene bisimide (PBI) dyes are the quintessential and most well-studied class of dyes for designing biomimetic light harvesting (LH) self-assembled systems owing to their exceptional photophysical features such as excellent absorption, high molar extinction coefficient and high fluorescence quantum yield, thermal robustness, high charge carrier mobilities, and efficient exciton diffusion properties in their assemblies. Although excellent reviews spanning many aspects of PBI dyes and their applications are available in the literature, none of these to date have focused on heterochromophoric PBI assemblies in solution and their applications in electronics. To bridge the gap, this review focuses on heterochromophoric PBI dye self-assemblies, their optical properties in solution, morphological aspects and applications in solar light harvesting and charge and energy transfer, and their eventual integration in supramolecular electronic devices. The PBI heterochromophoric assemblies have been categorized into two major categories, namely, (i) covalent heterochromophoric self-assemblies and (ii) heterochromophoric PBI systems assembled via non-covalent interactions such as π–π stacking, hydrogen bonding, charge transfer interactions or co-assembly of PBIs with other chromophores and scaffolds. The detailed structural intricacies, photophysical properties in the solution phase, and morphologies of these assemblies are discussed followed by their established supramolecular electronic applications and future potential in the frontier areas of materials science.</w:t>
      </w:r>
    </w:p>
    <w:p>
      <w:pPr>
        <w:spacing w:before="120" w:after="120"/>
      </w:pPr>
      <w:r>
        <w:rPr>
          <w:sz w:val="18"/>
        </w:rPr>
        <w:t>——————————————————————————————————————————————————————————————————————</w:t>
      </w:r>
    </w:p>
    <w:p>
      <w:pPr>
        <w:spacing w:before="160" w:after="40" w:line="240" w:lineRule="auto"/>
      </w:pPr>
      <w:r>
        <w:rPr>
          <w:b/>
        </w:rPr>
        <w:t xml:space="preserve">[400] </w:t>
      </w:r>
      <w:hyperlink r:id="rId958">
        <w:r>
          <w:rPr>
            <w:color w:val="1155CC"/>
            <w:u w:val="single"/>
          </w:rPr>
          <w:t>通过光化学动力学操作的自供电有机突触实现生物真实视觉</w:t>
        </w:r>
      </w:hyperlink>
    </w:p>
    <w:p>
      <w:pPr>
        <w:spacing w:before="0" w:after="80"/>
      </w:pPr>
      <w:r>
        <w:rPr>
          <w:i/>
          <w:sz w:val="20"/>
        </w:rPr>
        <w:t>EN: Biorealistic vision enabled by self-powered organic synapses operating via photochemical dynamics</w:t>
      </w:r>
    </w:p>
    <w:p>
      <w:pPr>
        <w:spacing w:before="0" w:after="120"/>
      </w:pPr>
      <w:r>
        <w:rPr>
          <w:b/>
        </w:rPr>
        <w:t xml:space="preserve">Source: </w:t>
      </w:r>
      <w:r>
        <w:t>Matter</w:t>
      </w:r>
      <w:r>
        <w:t xml:space="preserve">    </w:t>
      </w:r>
      <w:r>
        <w:rPr>
          <w:b/>
        </w:rPr>
        <w:t xml:space="preserve">Pub date: </w:t>
      </w:r>
      <w:r>
        <w:t>2026-03-26 00:00:00+00:00</w:t>
      </w:r>
      <w:r>
        <w:t xml:space="preserve">    </w:t>
      </w:r>
      <w:r>
        <w:rPr>
          <w:b/>
        </w:rPr>
        <w:t xml:space="preserve">DOI: </w:t>
      </w:r>
      <w:hyperlink r:id="rId959">
        <w:r>
          <w:rPr>
            <w:color w:val="1155CC"/>
            <w:u w:val="single"/>
          </w:rPr>
          <w:t>10.1016/j.matt.2026.102700</w:t>
        </w:r>
      </w:hyperlink>
    </w:p>
    <w:p>
      <w:pPr>
        <w:spacing w:before="0" w:after="120"/>
      </w:pPr>
      <w:r>
        <w:rPr>
          <w:b/>
        </w:rPr>
        <w:t xml:space="preserve">Notes: </w:t>
      </w:r>
      <w:r>
        <w:t>abstract_source=rss_cell</w:t>
      </w:r>
    </w:p>
    <w:p>
      <w:pPr>
        <w:spacing w:before="0" w:after="80" w:lineRule="auto" w:line="276"/>
      </w:pPr>
      <w:r>
        <w:rPr>
          <w:b/>
        </w:rPr>
        <w:t xml:space="preserve">摘要（ZH）: </w:t>
      </w:r>
      <w:r>
        <w:t>一种自供电的有机光电化学突触（SOPECS）在生物兼容电解质中运行，已被开发用于模拟生物视觉系统。该设备通过光诱导还原反应驱动，表现出多波长响应、神经形态可塑性和在活细胞条件下的视觉自我恢复——为自主的、电解质兼容的神经形态视觉系统铺平了道路。</w:t>
      </w:r>
    </w:p>
    <w:p>
      <w:pPr>
        <w:spacing w:before="0" w:after="200" w:lineRule="auto" w:line="276"/>
      </w:pPr>
      <w:r>
        <w:rPr>
          <w:b/>
        </w:rPr>
        <w:t xml:space="preserve">Abstract (EN): </w:t>
      </w:r>
      <w:r>
        <w:t>A self-powered organic photoelectrochemical synapse (SOPECS) operating in a biocompatible electrolyte has been developed to emulate the biological visual system. Driven by a photo-induced reduction reaction, the device exhibits multi-wavelength responsiveness, neuromorphic plasticity, and visual self-recovery under live-cell conditions—paving the way for autonomous, electrolyte-compatible neuromorphic vision systems.</w:t>
      </w:r>
    </w:p>
    <w:p>
      <w:pPr>
        <w:spacing w:before="120" w:after="120"/>
      </w:pPr>
      <w:r>
        <w:rPr>
          <w:sz w:val="18"/>
        </w:rPr>
        <w:t>——————————————————————————————————————————————————————————————————————</w:t>
      </w:r>
    </w:p>
    <w:p>
      <w:pPr>
        <w:spacing w:before="160" w:after="40" w:line="240" w:lineRule="auto"/>
      </w:pPr>
      <w:r>
        <w:rPr>
          <w:b/>
        </w:rPr>
        <w:t xml:space="preserve">[401] </w:t>
      </w:r>
      <w:hyperlink r:id="rId960">
        <w:r>
          <w:rPr>
            <w:color w:val="1155CC"/>
            <w:u w:val="single"/>
          </w:rPr>
          <w:t>马蹄形配体设计中的螯合逻辑用于耐用的二维钙钛矿</w:t>
        </w:r>
      </w:hyperlink>
    </w:p>
    <w:p>
      <w:pPr>
        <w:spacing w:before="0" w:after="80"/>
      </w:pPr>
      <w:r>
        <w:rPr>
          <w:i/>
          <w:sz w:val="20"/>
        </w:rPr>
        <w:t>EN: Chelation logic in a horseshoe ligand design for durable 2D perovskites</w:t>
      </w:r>
    </w:p>
    <w:p>
      <w:pPr>
        <w:spacing w:before="0" w:after="120"/>
      </w:pPr>
      <w:r>
        <w:rPr>
          <w:b/>
        </w:rPr>
        <w:t xml:space="preserve">Source: </w:t>
      </w:r>
      <w:r>
        <w:t>Chem</w:t>
      </w:r>
      <w:r>
        <w:t xml:space="preserve">    </w:t>
      </w:r>
      <w:r>
        <w:rPr>
          <w:b/>
        </w:rPr>
        <w:t xml:space="preserve">Pub date: </w:t>
      </w:r>
      <w:r>
        <w:t>2026-03-26 00:00:00+00:00</w:t>
      </w:r>
      <w:r>
        <w:t xml:space="preserve">    </w:t>
      </w:r>
      <w:r>
        <w:rPr>
          <w:b/>
        </w:rPr>
        <w:t xml:space="preserve">DOI: </w:t>
      </w:r>
      <w:hyperlink r:id="rId961">
        <w:r>
          <w:rPr>
            <w:color w:val="1155CC"/>
            <w:u w:val="single"/>
          </w:rPr>
          <w:t>10.1016/j.chempr.2026.103028</w:t>
        </w:r>
      </w:hyperlink>
    </w:p>
    <w:p>
      <w:pPr>
        <w:spacing w:before="0" w:after="120"/>
      </w:pPr>
      <w:r>
        <w:rPr>
          <w:b/>
        </w:rPr>
        <w:t xml:space="preserve">Notes: </w:t>
      </w:r>
      <w:r>
        <w:t>abstract_source=rss_cell</w:t>
      </w:r>
    </w:p>
    <w:p>
      <w:pPr>
        <w:spacing w:before="0" w:after="80" w:lineRule="auto" w:line="276"/>
      </w:pPr>
      <w:r>
        <w:rPr>
          <w:b/>
        </w:rPr>
        <w:t xml:space="preserve">摘要（ZH）: </w:t>
      </w:r>
      <w:r>
        <w:t>在《自然化学》杂志中，Lin等人引入了用于二维钙钛矿的层内双齿二铵配体；这些配体具有刚性、马蹄形、位置匹配的几何结构，增强了表面结合力并提高了耐久性。这项工作将配体钝化重新定义为晶体界面的分子识别。</w:t>
      </w:r>
    </w:p>
    <w:p>
      <w:pPr>
        <w:spacing w:before="0" w:after="200" w:lineRule="auto" w:line="276"/>
      </w:pPr>
      <w:r>
        <w:rPr>
          <w:b/>
        </w:rPr>
        <w:t xml:space="preserve">Abstract (EN): </w:t>
      </w:r>
      <w:r>
        <w:t>In Nature Chemistry, Lin et al. introduce intralayer bidentate diammonium ligands for 2D perovskites; these ligands have a rigid, horseshoe-like, site-matched geometry that strengthens surface binding and improves durability. The work reframes ligand passivation as molecular recognition at a crystalline interface.</w:t>
      </w:r>
    </w:p>
    <w:p>
      <w:pPr>
        <w:spacing w:before="120" w:after="120"/>
      </w:pPr>
      <w:r>
        <w:rPr>
          <w:sz w:val="18"/>
        </w:rPr>
        <w:t>——————————————————————————————————————————————————————————————————————</w:t>
      </w:r>
    </w:p>
    <w:p>
      <w:pPr>
        <w:spacing w:before="160" w:after="40" w:line="240" w:lineRule="auto"/>
      </w:pPr>
      <w:r>
        <w:rPr>
          <w:b/>
        </w:rPr>
        <w:t xml:space="preserve">[402] </w:t>
      </w:r>
      <w:hyperlink r:id="rId962">
        <w:r>
          <w:rPr>
            <w:color w:val="1155CC"/>
            <w:u w:val="single"/>
          </w:rPr>
          <w:t>用于编程吡唑肽框架中自适应响应的合成氨基酸</w:t>
        </w:r>
      </w:hyperlink>
    </w:p>
    <w:p>
      <w:pPr>
        <w:spacing w:before="0" w:after="80"/>
      </w:pPr>
      <w:r>
        <w:rPr>
          <w:i/>
          <w:sz w:val="20"/>
        </w:rPr>
        <w:t>EN: Synthetic amino acids for programming adaptive response in pyrazolate peptide frameworks</w:t>
      </w:r>
    </w:p>
    <w:p>
      <w:pPr>
        <w:spacing w:before="0" w:after="120"/>
      </w:pPr>
      <w:r>
        <w:rPr>
          <w:b/>
        </w:rPr>
        <w:t xml:space="preserve">Source: </w:t>
      </w:r>
      <w:r>
        <w:t>Chem</w:t>
      </w:r>
      <w:r>
        <w:t xml:space="preserve">    </w:t>
      </w:r>
      <w:r>
        <w:rPr>
          <w:b/>
        </w:rPr>
        <w:t xml:space="preserve">Pub date: </w:t>
      </w:r>
      <w:r>
        <w:t>2026-03-26 00:00:00+00:00</w:t>
      </w:r>
      <w:r>
        <w:t xml:space="preserve">    </w:t>
      </w:r>
      <w:r>
        <w:rPr>
          <w:b/>
        </w:rPr>
        <w:t xml:space="preserve">DOI: </w:t>
      </w:r>
      <w:hyperlink r:id="rId963">
        <w:r>
          <w:rPr>
            <w:color w:val="1155CC"/>
            <w:u w:val="single"/>
          </w:rPr>
          <w:t>10.1016/j.chempr.2026.102992</w:t>
        </w:r>
      </w:hyperlink>
    </w:p>
    <w:p>
      <w:pPr>
        <w:spacing w:before="0" w:after="120"/>
      </w:pPr>
      <w:r>
        <w:rPr>
          <w:b/>
        </w:rPr>
        <w:t xml:space="preserve">Notes: </w:t>
      </w:r>
      <w:r>
        <w:t>abstract_source=rss_cell</w:t>
      </w:r>
    </w:p>
    <w:p>
      <w:pPr>
        <w:spacing w:before="0" w:after="80" w:lineRule="auto" w:line="276"/>
      </w:pPr>
      <w:r>
        <w:rPr>
          <w:b/>
        </w:rPr>
        <w:t xml:space="preserve">摘要（ZH）: </w:t>
      </w:r>
      <w:r>
        <w:t>双吡唑氨基酸连接体使得设计具有化学稳健性的基于肽的框架成为可能，这些框架具有可控的维度和自适应孔隙率。侧链的性质决定了架构和客体响应，允许在溶剂暴露下进行动态转变。该平台连接了肽化学和网状设计，提供了一种通用途径来设计结合构象灵活性、长程有序性和应用相关稳定性的对映纯多孔材料。</w:t>
      </w:r>
    </w:p>
    <w:p>
      <w:pPr>
        <w:spacing w:before="0" w:after="200" w:lineRule="auto" w:line="276"/>
      </w:pPr>
      <w:r>
        <w:rPr>
          <w:b/>
        </w:rPr>
        <w:t xml:space="preserve">Abstract (EN): </w:t>
      </w:r>
      <w:r>
        <w:t>Bispyrazolate amino acid linkers enable the design of chemically robust peptide-based frameworks with controlled dimensionality and adaptive porosity. The nature of the side chain governs both the architecture and the guest response, allowing dynamic transformations upon solvent exposure. This platform bridges peptide chemistry and reticular design, providing a general route to engineer enantiopure porous materials that combine conformational flexibility, long-range order, and application-relevant stability.</w:t>
      </w:r>
    </w:p>
    <w:p>
      <w:pPr>
        <w:spacing w:before="120" w:after="120"/>
      </w:pPr>
      <w:r>
        <w:rPr>
          <w:sz w:val="18"/>
        </w:rPr>
        <w:t>——————————————————————————————————————————————————————————————————————</w:t>
      </w:r>
    </w:p>
    <w:p>
      <w:pPr>
        <w:spacing w:before="160" w:after="40" w:line="240" w:lineRule="auto"/>
      </w:pPr>
      <w:r>
        <w:rPr>
          <w:b/>
        </w:rPr>
        <w:t xml:space="preserve">[403] </w:t>
      </w:r>
      <w:hyperlink r:id="rId964">
        <w:r>
          <w:rPr>
            <w:color w:val="1155CC"/>
            <w:u w:val="single"/>
          </w:rPr>
          <w:t>硝化化学导航：试剂、机制和选择性的实用指南</w:t>
        </w:r>
      </w:hyperlink>
    </w:p>
    <w:p>
      <w:pPr>
        <w:spacing w:before="0" w:after="80"/>
      </w:pPr>
      <w:r>
        <w:rPr>
          <w:i/>
          <w:sz w:val="20"/>
        </w:rPr>
        <w:t>EN: Navigating Nitration Chemistry: A Practical Guide to Reagents, Mechanisms, and Selectivity</w:t>
      </w:r>
    </w:p>
    <w:p>
      <w:pPr>
        <w:spacing w:before="0" w:after="120"/>
      </w:pPr>
      <w:r>
        <w:rPr>
          <w:b/>
        </w:rPr>
        <w:t xml:space="preserve">Source: </w:t>
      </w:r>
      <w:r>
        <w:t>Wiley: Angewandte Chemie International Edition: Table of Contents</w:t>
      </w:r>
      <w:r>
        <w:t xml:space="preserve">    </w:t>
      </w:r>
      <w:r>
        <w:rPr>
          <w:b/>
        </w:rPr>
        <w:t xml:space="preserve">Pub date: </w:t>
      </w:r>
      <w:r>
        <w:t>2026-03-26 04:59:01+00:00</w:t>
      </w:r>
      <w:r>
        <w:t xml:space="preserve">    </w:t>
      </w:r>
      <w:r>
        <w:rPr>
          <w:b/>
        </w:rPr>
        <w:t xml:space="preserve">DOI: </w:t>
      </w:r>
      <w:hyperlink r:id="rId965">
        <w:r>
          <w:rPr>
            <w:color w:val="1155CC"/>
            <w:u w:val="single"/>
          </w:rPr>
          <w:t>10.1002/anie.202526128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我们强调了硝化化学的最新进展，重点是可持续和选择性方法的发展。提供了硝化试剂的全面概述，按来源（有机或无机）和活化模式（光化学、电化学、热化学等）分类。每种试剂在不同硝化过程中（即芳香、</w:t>
      </w:r>
      <w:r>
        <w:t xml:space="preserve"> </w:t>
      </w:r>
      <w:r>
        <w:t>ipso</w:t>
      </w:r>
      <w:r>
        <w:t xml:space="preserve"> </w:t>
      </w:r>
      <w:r>
        <w:t>‐、烯烃、炔烃和杂原子硝化）的性能进行了批判性分析。此分析审查了产率、底物范围、官能团耐受性、多功能性、资源和危害等关键特征，这些特征构成了效率评分。活化策略的比较分析强调了演变</w:t>
      </w:r>
    </w:p>
    <w:p>
      <w:pPr>
        <w:spacing w:before="0" w:after="200" w:lineRule="auto" w:line="276"/>
      </w:pPr>
      <w:r>
        <w:rPr>
          <w:b/>
        </w:rPr>
        <w:t xml:space="preserve">Abstract (EN): </w:t>
      </w:r>
      <w:r>
        <w:t>We highlight recent advances in nitration chemistry with emphasis on the development of sustainable and selective methodologies. A comprehensive overview of nitrating reagents is provided, classified by origin (organic or inorganic) and activation mode (photochemical, electrochemical, thermal, and others). Each reagent is critically analyzed with respect to its performance across different nitration processes, that is, aromatic,</w:t>
      </w:r>
      <w:r>
        <w:t xml:space="preserve"> </w:t>
      </w:r>
      <w:r>
        <w:t>ipso</w:t>
      </w:r>
      <w:r>
        <w:t xml:space="preserve"> </w:t>
      </w:r>
      <w:r>
        <w:t>‐, olefinic, alkyne, and heteroatom nitration. This analysis scrutinizes yield, substrate scope, functional group tolerance, versatility, resource and hazard, key features that comprise an efficiency score. A comparative analysis of activation strategies underscores the evolution of nitration from classical mixed‐acid approaches to modern photocatalytic, electrochemical, and cross‐coupling methodologies. The insights gathered here provide a practical framework for identifying the most suitable nitrating reagents and highlight future directions toward safer, greener, and more versatile nitration chemistry.</w:t>
      </w:r>
    </w:p>
    <w:p>
      <w:pPr>
        <w:spacing w:before="120" w:after="120"/>
      </w:pPr>
      <w:r>
        <w:rPr>
          <w:sz w:val="18"/>
        </w:rPr>
        <w:t>——————————————————————————————————————————————————————————————————————</w:t>
      </w:r>
    </w:p>
    <w:p>
      <w:pPr>
        <w:spacing w:before="160" w:after="40" w:line="240" w:lineRule="auto"/>
      </w:pPr>
      <w:r>
        <w:rPr>
          <w:b/>
        </w:rPr>
        <w:t xml:space="preserve">[404] </w:t>
      </w:r>
      <w:hyperlink r:id="rId966">
        <w:r>
          <w:rPr>
            <w:color w:val="1155CC"/>
            <w:u w:val="single"/>
          </w:rPr>
          <w:t>在质子交换膜水电解槽中通过低钌含量氧化物促进氧化路径机制以增强氧析出</w:t>
        </w:r>
      </w:hyperlink>
    </w:p>
    <w:p>
      <w:pPr>
        <w:spacing w:before="0" w:after="80"/>
      </w:pPr>
      <w:r>
        <w:rPr>
          <w:i/>
          <w:sz w:val="20"/>
        </w:rPr>
        <w:t>EN: Promoting Oxide Pathway Mechanism on Low‐Ruthenium‐Content Oxides for Enhanced Oxygen Evolution in Proton Exchange Membrane Water Electrolyzer</w:t>
      </w:r>
    </w:p>
    <w:p>
      <w:pPr>
        <w:spacing w:before="0" w:after="120"/>
      </w:pPr>
      <w:r>
        <w:rPr>
          <w:b/>
        </w:rPr>
        <w:t xml:space="preserve">Source: </w:t>
      </w:r>
      <w:r>
        <w:t>Wiley: Angewandte Chemie International Edition: Table of Contents</w:t>
      </w:r>
      <w:r>
        <w:t xml:space="preserve">    </w:t>
      </w:r>
      <w:r>
        <w:rPr>
          <w:b/>
        </w:rPr>
        <w:t xml:space="preserve">Pub date: </w:t>
      </w:r>
      <w:r>
        <w:t>2026-03-26 05:03:27+00:00</w:t>
      </w:r>
      <w:r>
        <w:t xml:space="preserve">    </w:t>
      </w:r>
      <w:r>
        <w:rPr>
          <w:b/>
        </w:rPr>
        <w:t xml:space="preserve">DOI: </w:t>
      </w:r>
      <w:hyperlink r:id="rId967">
        <w:r>
          <w:rPr>
            <w:color w:val="1155CC"/>
            <w:u w:val="single"/>
          </w:rPr>
          <w:t>10.1002/anie.8854134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由于成本相对较低，RuO</w:t>
      </w:r>
      <w:r>
        <w:rPr>
          <w:vertAlign w:val="subscript"/>
        </w:rPr>
        <w:t>2</w:t>
      </w:r>
      <w:r>
        <w:t>作为酸性氧析出反应（OER）的有前途的替代品。然而，其实际应用仍受限于由晶格氧化引起的稳定性问题。在此，我们报告了一种低钌含量的固溶氧化物（Ru</w:t>
      </w:r>
      <w:r>
        <w:t xml:space="preserve"> </w:t>
      </w:r>
      <w:r>
        <w:t>0.32</w:t>
      </w:r>
      <w:r>
        <w:t xml:space="preserve"> </w:t>
      </w:r>
      <w:r>
        <w:t>Ta</w:t>
      </w:r>
      <w:r>
        <w:t xml:space="preserve"> </w:t>
      </w:r>
      <w:r>
        <w:t>0.66</w:t>
      </w:r>
      <w:r>
        <w:t xml:space="preserve"> </w:t>
      </w:r>
      <w:r>
        <w:t>Mn</w:t>
      </w:r>
      <w:r>
        <w:t xml:space="preserve"> </w:t>
      </w:r>
      <w:r>
        <w:t>0.02</w:t>
      </w:r>
      <w:r>
        <w:t xml:space="preserve"> </w:t>
      </w:r>
      <w:r>
        <w:t>O</w:t>
      </w:r>
      <w:r>
        <w:rPr>
          <w:vertAlign w:val="subscript"/>
        </w:rPr>
        <w:t>2</w:t>
      </w:r>
      <w:r>
        <w:t>）用于高效酸性OER。Ru</w:t>
      </w:r>
      <w:r>
        <w:t xml:space="preserve"> </w:t>
      </w:r>
      <w:r>
        <w:t>0.32</w:t>
      </w:r>
      <w:r>
        <w:t xml:space="preserve"> </w:t>
      </w:r>
      <w:r>
        <w:t>Ta</w:t>
      </w:r>
      <w:r>
        <w:t xml:space="preserve"> </w:t>
      </w:r>
      <w:r>
        <w:t>0.66</w:t>
      </w:r>
      <w:r>
        <w:t xml:space="preserve"> </w:t>
      </w:r>
      <w:r>
        <w:t>Mn</w:t>
      </w:r>
      <w:r>
        <w:t xml:space="preserve"> </w:t>
      </w:r>
      <w:r>
        <w:t>0.02</w:t>
      </w:r>
      <w:r>
        <w:t xml:space="preserve"> </w:t>
      </w:r>
      <w:r>
        <w:t>O</w:t>
      </w:r>
    </w:p>
    <w:p>
      <w:pPr>
        <w:spacing w:before="0" w:after="200" w:lineRule="auto" w:line="276"/>
      </w:pPr>
      <w:r>
        <w:rPr>
          <w:b/>
        </w:rPr>
        <w:t xml:space="preserve">Abstract (EN): </w:t>
      </w:r>
      <w:r>
        <w:t>RuO</w:t>
      </w:r>
      <w:r>
        <w:rPr>
          <w:vertAlign w:val="subscript"/>
        </w:rPr>
        <w:t>2</w:t>
      </w:r>
      <w:r>
        <w:t>emerges as a promising alternative to IrO</w:t>
      </w:r>
      <w:r>
        <w:rPr>
          <w:vertAlign w:val="subscript"/>
        </w:rPr>
        <w:t>2</w:t>
      </w:r>
      <w:r>
        <w:t>for acidic oxygen evolution reaction (OER) due to its relatively low cost. But its practical application remains hindered by stability issues originating from the oxidation of lattice oxygen. Here, we report a low Ru‐content solid solution oxide (Ru</w:t>
      </w:r>
      <w:r>
        <w:t xml:space="preserve"> </w:t>
      </w:r>
      <w:r>
        <w:t>0.32</w:t>
      </w:r>
      <w:r>
        <w:t xml:space="preserve"> </w:t>
      </w:r>
      <w:r>
        <w:t>Ta</w:t>
      </w:r>
      <w:r>
        <w:t xml:space="preserve"> </w:t>
      </w:r>
      <w:r>
        <w:t>0.66</w:t>
      </w:r>
      <w:r>
        <w:t xml:space="preserve"> </w:t>
      </w:r>
      <w:r>
        <w:t>Mn</w:t>
      </w:r>
      <w:r>
        <w:t xml:space="preserve"> </w:t>
      </w:r>
      <w:r>
        <w:t>0.02</w:t>
      </w:r>
      <w:r>
        <w:t xml:space="preserve"> </w:t>
      </w:r>
      <w:r>
        <w:t>O</w:t>
      </w:r>
      <w:r>
        <w:rPr>
          <w:vertAlign w:val="subscript"/>
        </w:rPr>
        <w:t>2</w:t>
      </w:r>
      <w:r>
        <w:t>) for efficient acidic OER. The Ru</w:t>
      </w:r>
      <w:r>
        <w:t xml:space="preserve"> </w:t>
      </w:r>
      <w:r>
        <w:t>0.32</w:t>
      </w:r>
      <w:r>
        <w:t xml:space="preserve"> </w:t>
      </w:r>
      <w:r>
        <w:t>Ta</w:t>
      </w:r>
      <w:r>
        <w:t xml:space="preserve"> </w:t>
      </w:r>
      <w:r>
        <w:t>0.66</w:t>
      </w:r>
      <w:r>
        <w:t xml:space="preserve"> </w:t>
      </w:r>
      <w:r>
        <w:t>Mn</w:t>
      </w:r>
      <w:r>
        <w:t xml:space="preserve"> </w:t>
      </w:r>
      <w:r>
        <w:t>0.02</w:t>
      </w:r>
      <w:r>
        <w:t xml:space="preserve"> </w:t>
      </w:r>
      <w:r>
        <w:t>O</w:t>
      </w:r>
      <w:r>
        <w:rPr>
          <w:vertAlign w:val="subscript"/>
        </w:rPr>
        <w:t>2</w:t>
      </w:r>
      <w:r>
        <w:t>catalyst possesses a low overpotential of 175 mV@10 mA cm</w:t>
      </w:r>
      <w:r>
        <w:t xml:space="preserve"> </w:t>
      </w:r>
      <w:r>
        <w:t>−2</w:t>
      </w:r>
      <w:r>
        <w:t xml:space="preserve"> </w:t>
      </w:r>
      <w:r>
        <w:t>in 0.5 M H</w:t>
      </w:r>
      <w:r>
        <w:rPr>
          <w:vertAlign w:val="subscript"/>
        </w:rPr>
        <w:t>2</w:t>
      </w:r>
      <w:r>
        <w:t>SO</w:t>
      </w:r>
      <w:r>
        <w:rPr>
          <w:vertAlign w:val="subscript"/>
        </w:rPr>
        <w:t>4</w:t>
      </w:r>
      <w:r>
        <w:t>and achieves current densities of 0.5/1 A cm</w:t>
      </w:r>
      <w:r>
        <w:t xml:space="preserve"> </w:t>
      </w:r>
      <w:r>
        <w:t>−2</w:t>
      </w:r>
      <w:r>
        <w:t xml:space="preserve"> </w:t>
      </w:r>
      <w:r>
        <w:t>at cell voltages of 1.539/1.660 V in a proton exchange membrane water electrolyzer with stable response for over 1000 h@0.5 A cm</w:t>
      </w:r>
      <w:r>
        <w:t xml:space="preserve"> </w:t>
      </w:r>
      <w:r>
        <w:t>−2</w:t>
      </w:r>
      <w:r>
        <w:t xml:space="preserve"> </w:t>
      </w:r>
      <w:r>
        <w:t>. X‐ray absorption spectroscopy (XAS) reveals that Ta and Mn effectively modulates the distance between the active sites, thereby promoting the direct O─O coupling. Moreover, Mn increases the surface coverage of *OH, facilitating the oxide pathway mechanism (OPM) for OER. In situ infrared spectroscopy and</w:t>
      </w:r>
      <w:r>
        <w:rPr>
          <w:vertAlign w:val="subscript"/>
        </w:rPr>
        <w:t>18</w:t>
      </w:r>
      <w:r>
        <w:t>O‐labeled mass spectrometry confirm the formation of *O─O* intermediate on Ru</w:t>
      </w:r>
      <w:r>
        <w:t xml:space="preserve"> </w:t>
      </w:r>
      <w:r>
        <w:t>0.32</w:t>
      </w:r>
      <w:r>
        <w:t xml:space="preserve"> </w:t>
      </w:r>
      <w:r>
        <w:t>Ta</w:t>
      </w:r>
      <w:r>
        <w:t xml:space="preserve"> </w:t>
      </w:r>
      <w:r>
        <w:t>0.66</w:t>
      </w:r>
      <w:r>
        <w:t xml:space="preserve"> </w:t>
      </w:r>
      <w:r>
        <w:t>Mn</w:t>
      </w:r>
      <w:r>
        <w:t xml:space="preserve"> </w:t>
      </w:r>
      <w:r>
        <w:t>0.02</w:t>
      </w:r>
      <w:r>
        <w:t xml:space="preserve"> </w:t>
      </w:r>
      <w:r>
        <w:t>O</w:t>
      </w:r>
      <w:r>
        <w:rPr>
          <w:vertAlign w:val="subscript"/>
        </w:rPr>
        <w:t>2</w:t>
      </w:r>
      <w:r>
        <w:t>via OPM. Density functional theory calculation demonstrates that TaO</w:t>
      </w:r>
      <w:r>
        <w:rPr>
          <w:vertAlign w:val="subscript"/>
        </w:rPr>
        <w:t>2</w:t>
      </w:r>
      <w:r>
        <w:t>matrix weakens the d‐p orbital hybridization and attenuate the Ru─O covalency, thereby inhibiting the oxidation of lattice oxygen. In addition, the doped Mn reduces the OER free energy barrier by triggering the OPM, breaking the linear scaling relationship of OER.</w:t>
      </w:r>
    </w:p>
    <w:p>
      <w:pPr>
        <w:spacing w:before="120" w:after="120"/>
      </w:pPr>
      <w:r>
        <w:rPr>
          <w:sz w:val="18"/>
        </w:rPr>
        <w:t>——————————————————————————————————————————————————————————————————————</w:t>
      </w:r>
    </w:p>
    <w:p>
      <w:pPr>
        <w:spacing w:before="160" w:after="40" w:line="240" w:lineRule="auto"/>
      </w:pPr>
      <w:r>
        <w:rPr>
          <w:b/>
        </w:rPr>
        <w:t xml:space="preserve">[405] </w:t>
      </w:r>
      <w:hyperlink r:id="rId968">
        <w:r>
          <w:rPr>
            <w:color w:val="1155CC"/>
            <w:u w:val="single"/>
          </w:rPr>
          <w:t>通过多尺度协同元界面在大气空气中实现超高接触压力下的工程级宏观超润滑</w:t>
        </w:r>
      </w:hyperlink>
    </w:p>
    <w:p>
      <w:pPr>
        <w:spacing w:before="0" w:after="80"/>
      </w:pPr>
      <w:r>
        <w:rPr>
          <w:i/>
          <w:sz w:val="20"/>
        </w:rPr>
        <w:t>EN: Engineering‐Grade Macroscale Superlubricity Under Ultrahigh Contact Pressure in Atmospheric Air via Multiscale Synergistic Meta‐Interfaces</w:t>
      </w:r>
    </w:p>
    <w:p>
      <w:pPr>
        <w:spacing w:before="0" w:after="120"/>
      </w:pPr>
      <w:r>
        <w:rPr>
          <w:b/>
        </w:rPr>
        <w:t xml:space="preserve">Source: </w:t>
      </w:r>
      <w:r>
        <w:t>Wiley: Advanced Materials: Table of Contents</w:t>
      </w:r>
      <w:r>
        <w:t xml:space="preserve">    </w:t>
      </w:r>
      <w:r>
        <w:rPr>
          <w:b/>
        </w:rPr>
        <w:t xml:space="preserve">Pub date: </w:t>
      </w:r>
      <w:r>
        <w:t>2026-03-26 05:04:01+00:00</w:t>
      </w:r>
      <w:r>
        <w:t xml:space="preserve">    </w:t>
      </w:r>
      <w:r>
        <w:rPr>
          <w:b/>
        </w:rPr>
        <w:t xml:space="preserve">DOI: </w:t>
      </w:r>
      <w:hyperlink r:id="rId969">
        <w:r>
          <w:rPr>
            <w:color w:val="1155CC"/>
            <w:u w:val="single"/>
          </w:rPr>
          <w:t>10.1002/adma.202520241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摩擦是全球能量耗散的重要部分，限制了运动机械的效率和寿命。虽然结构超润滑性，即源于不共格性的近乎零摩擦状态，已在纳米尺度上得到验证，但将其扩展到工程级应用仍然是一个重大挑战。这种尺度差距主要由“边缘钉扎”效应、高负载下界面变形破坏晶格不共格性以及晶界在潮湿空气中作为摩擦化学氧化反应位点的存在所驱动。在此，我们提出了一种跨尺度协同策略，通过对随机宏观尺度进行图案化，将宏观接触与原子晶格连接起来。</w:t>
      </w:r>
    </w:p>
    <w:p>
      <w:pPr>
        <w:spacing w:before="0" w:after="200" w:lineRule="auto" w:line="276"/>
      </w:pPr>
      <w:r>
        <w:rPr>
          <w:b/>
        </w:rPr>
        <w:t xml:space="preserve">Abstract (EN): </w:t>
      </w:r>
      <w:r>
        <w:t>Friction is responsible for a substantial fraction of global energy dissipation, limiting the efficiency and longevity of moving machinery. While structural superlubricity, a state of near‐zero friction originating from incommensurability, has been demonstrated at the nanoscale, its extension to engineering‐grade applications remains a significant challenge. This scaling gap is primarily driven by “edge‐pinning” effects, interfacial deformations under high loads that disrupt lattice incommensurability, and the presence of grain boundaries that serve as reactive sites for tribochemical oxidation in humid air. Here, we propose an across‐scale synergistic strategy that bridges macroscale contacts to atomic lattices by patterning random macroscale contacts into controllable amorphous/crystalline meta‐interfaces. By integrating laser‐textured pillars coated with high‐rigidity diamond‐like carbon (DLC) and a reinforced MoS</w:t>
      </w:r>
      <w:r>
        <w:rPr>
          <w:vertAlign w:val="subscript"/>
        </w:rPr>
        <w:t>2</w:t>
      </w:r>
      <w:r>
        <w:t>‐MXene composite, we establish an interface where the amorphous DLC ensures persistent incommensurability and resists out‐of‐plane deformation. Simultaneously, the high‐strength MXene phase serves as a protective scaffold to maintain MoS</w:t>
      </w:r>
      <w:r>
        <w:rPr>
          <w:vertAlign w:val="subscript"/>
        </w:rPr>
        <w:t>2</w:t>
      </w:r>
      <w:r>
        <w:t>crystal integrity and suppresses oxidation. Our findings demonstrate a robust superlubricity regime with a friction coefficient of 0.008 sustained over 100 000 laps under extreme coupled conditions: millimeter‐scale contact size, 12.7 GPa contact pressure, and 40% relative humidity. This design paradigm extends structural superlubricity from nanoscale model systems to practical technologies for sustainable engineering.</w:t>
      </w:r>
    </w:p>
    <w:p>
      <w:pPr>
        <w:spacing w:before="120" w:after="120"/>
      </w:pPr>
      <w:r>
        <w:rPr>
          <w:sz w:val="18"/>
        </w:rPr>
        <w:t>——————————————————————————————————————————————————————————————————————</w:t>
      </w:r>
    </w:p>
    <w:p>
      <w:pPr>
        <w:spacing w:before="160" w:after="40" w:line="240" w:lineRule="auto"/>
      </w:pPr>
      <w:r>
        <w:rPr>
          <w:b/>
        </w:rPr>
        <w:t xml:space="preserve">[406] </w:t>
      </w:r>
      <w:hyperlink r:id="rId970">
        <w:r>
          <w:rPr>
            <w:color w:val="1155CC"/>
            <w:u w:val="single"/>
          </w:rPr>
          <w:t>一个原子在NHC配体合金纳米簇中产生巨大差异：从结构和性质到催化</w:t>
        </w:r>
      </w:hyperlink>
    </w:p>
    <w:p>
      <w:pPr>
        <w:spacing w:before="0" w:after="80"/>
      </w:pPr>
      <w:r>
        <w:rPr>
          <w:i/>
          <w:sz w:val="20"/>
        </w:rPr>
        <w:t>EN: One Atom Makes a Big Difference in NHC‐Ligated Alloy Nanoclusters: From Structure and Properties to Catalysis</w:t>
      </w:r>
    </w:p>
    <w:p>
      <w:pPr>
        <w:spacing w:before="0" w:after="120"/>
      </w:pPr>
      <w:r>
        <w:rPr>
          <w:b/>
        </w:rPr>
        <w:t xml:space="preserve">Source: </w:t>
      </w:r>
      <w:r>
        <w:t>Wiley: Angewandte Chemie International Edition: Table of Contents</w:t>
      </w:r>
      <w:r>
        <w:t xml:space="preserve">    </w:t>
      </w:r>
      <w:r>
        <w:rPr>
          <w:b/>
        </w:rPr>
        <w:t xml:space="preserve">Pub date: </w:t>
      </w:r>
      <w:r>
        <w:t>2026-03-26 05:04:55+00:00</w:t>
      </w:r>
      <w:r>
        <w:t xml:space="preserve">    </w:t>
      </w:r>
      <w:r>
        <w:rPr>
          <w:b/>
        </w:rPr>
        <w:t xml:space="preserve">DOI: </w:t>
      </w:r>
      <w:hyperlink r:id="rId971">
        <w:r>
          <w:rPr>
            <w:color w:val="1155CC"/>
            <w:u w:val="single"/>
          </w:rPr>
          <w:t>10.1002/anie.8667223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对N-杂环卡宾（NHC）保护的金属纳米簇进行了积极研究，但由于结构和性质控制的限制，其发展面临挑战。特别是，NHC配位合金纳米簇的结构和性质的精确操控仍未被探索。在此，我们提出了一个原子级模型系统，展示了在NHC稳定的合金纳米簇中单原子控制。通过用银替换Au</w:t>
      </w:r>
      <w:r>
        <w:rPr>
          <w:vertAlign w:val="subscript"/>
        </w:rPr>
        <w:t>3</w:t>
      </w:r>
      <w:r>
        <w:t>Cu(</w:t>
      </w:r>
      <w:r>
        <w:t xml:space="preserve"> </w:t>
      </w:r>
      <w:r>
        <w:t>iPr</w:t>
      </w:r>
      <w:r>
        <w:t xml:space="preserve"> </w:t>
      </w:r>
      <w:r>
        <w:t>NHC</w:t>
      </w:r>
      <w:r>
        <w:t xml:space="preserve"> </w:t>
      </w:r>
      <w:r>
        <w:t>iPr</w:t>
      </w:r>
      <w:r>
        <w:t xml:space="preserve"> </w:t>
      </w:r>
      <w:r>
        <w:t>)(PhC≡C)</w:t>
      </w:r>
      <w:r>
        <w:rPr>
          <w:vertAlign w:val="subscript"/>
        </w:rPr>
        <w:t>4</w:t>
      </w:r>
      <w:r>
        <w:t>(Au</w:t>
      </w:r>
      <w:r>
        <w:rPr>
          <w:vertAlign w:val="subscript"/>
        </w:rPr>
        <w:t>3</w:t>
      </w:r>
      <w:r>
        <w:t>Cu，其中</w:t>
      </w:r>
      <w:r>
        <w:t xml:space="preserve"> </w:t>
      </w:r>
      <w:r>
        <w:t>iPr</w:t>
      </w:r>
      <w:r>
        <w:t xml:space="preserve"> </w:t>
      </w:r>
      <w:r>
        <w:t>NHC</w:t>
      </w:r>
    </w:p>
    <w:p>
      <w:pPr>
        <w:spacing w:before="0" w:after="200" w:lineRule="auto" w:line="276"/>
      </w:pPr>
      <w:r>
        <w:rPr>
          <w:b/>
        </w:rPr>
        <w:t xml:space="preserve">Abstract (EN): </w:t>
      </w:r>
      <w:r>
        <w:t>Despite active research on N‐heterocyclic carbene (NHC)‐protected metal nanoclusters, their development faces challenges due to limited structural and property control. Especially, the precise manipulation of structure and property of NHC‐ligated alloy nanoclusters remains unexplored. Here, we present an atomistic‐level model system demonstrating single‐atom control in NHC‐stabilized alloy nanoclusters. By varying a single copper atom with silver in Au</w:t>
      </w:r>
      <w:r>
        <w:rPr>
          <w:vertAlign w:val="subscript"/>
        </w:rPr>
        <w:t>3</w:t>
      </w:r>
      <w:r>
        <w:t>Cu(</w:t>
      </w:r>
      <w:r>
        <w:t xml:space="preserve"> </w:t>
      </w:r>
      <w:r>
        <w:t>iPr</w:t>
      </w:r>
      <w:r>
        <w:t xml:space="preserve"> </w:t>
      </w:r>
      <w:r>
        <w:t>NHC</w:t>
      </w:r>
      <w:r>
        <w:t xml:space="preserve"> </w:t>
      </w:r>
      <w:r>
        <w:t>iPr</w:t>
      </w:r>
      <w:r>
        <w:t xml:space="preserve"> </w:t>
      </w:r>
      <w:r>
        <w:t>)(PhC≡C)</w:t>
      </w:r>
      <w:r>
        <w:rPr>
          <w:vertAlign w:val="subscript"/>
        </w:rPr>
        <w:t>4</w:t>
      </w:r>
      <w:r>
        <w:t>(Au</w:t>
      </w:r>
      <w:r>
        <w:rPr>
          <w:vertAlign w:val="subscript"/>
        </w:rPr>
        <w:t>3</w:t>
      </w:r>
      <w:r>
        <w:t>Cu, where</w:t>
      </w:r>
      <w:r>
        <w:t xml:space="preserve"> </w:t>
      </w:r>
      <w:r>
        <w:t>iPr</w:t>
      </w:r>
      <w:r>
        <w:t xml:space="preserve"> </w:t>
      </w:r>
      <w:r>
        <w:t>NHC</w:t>
      </w:r>
      <w:r>
        <w:t xml:space="preserve"> </w:t>
      </w:r>
      <w:r>
        <w:t>iPr</w:t>
      </w:r>
      <w:r>
        <w:t xml:space="preserve"> </w:t>
      </w:r>
      <w:r>
        <w:t>is a bidentate NHC ligand and PhC≡C is phenylacetylide), we reveal how one atomic change dramatically alters the structure, properties, and catalytic behavior of these clusters. The newly synthesized Au</w:t>
      </w:r>
      <w:r>
        <w:rPr>
          <w:vertAlign w:val="subscript"/>
        </w:rPr>
        <w:t>3</w:t>
      </w:r>
      <w:r>
        <w:t>Ag(</w:t>
      </w:r>
      <w:r>
        <w:t xml:space="preserve"> </w:t>
      </w:r>
      <w:r>
        <w:t>iPr</w:t>
      </w:r>
      <w:r>
        <w:t xml:space="preserve"> </w:t>
      </w:r>
      <w:r>
        <w:t>NHC</w:t>
      </w:r>
      <w:r>
        <w:t xml:space="preserve"> </w:t>
      </w:r>
      <w:r>
        <w:t>iPr</w:t>
      </w:r>
      <w:r>
        <w:t xml:space="preserve"> </w:t>
      </w:r>
      <w:r>
        <w:t>)(PhC≡C)</w:t>
      </w:r>
      <w:r>
        <w:rPr>
          <w:vertAlign w:val="subscript"/>
        </w:rPr>
        <w:t>4</w:t>
      </w:r>
      <w:r>
        <w:t>retains a tetrahedral metal framework and surface coordination pattern similar to Au</w:t>
      </w:r>
      <w:r>
        <w:rPr>
          <w:vertAlign w:val="subscript"/>
        </w:rPr>
        <w:t>3</w:t>
      </w:r>
      <w:r>
        <w:t>Cu, yet the single‐atom variation (Ag for Cu) triggers profound differences. Notably, while Au</w:t>
      </w:r>
      <w:r>
        <w:rPr>
          <w:vertAlign w:val="subscript"/>
        </w:rPr>
        <w:t>3</w:t>
      </w:r>
      <w:r>
        <w:t>Cu exists as a monomer, the Au</w:t>
      </w:r>
      <w:r>
        <w:rPr>
          <w:vertAlign w:val="subscript"/>
        </w:rPr>
        <w:t>3</w:t>
      </w:r>
      <w:r>
        <w:t>Ag clusters spontaneously dimerize, forming [Au</w:t>
      </w:r>
      <w:r>
        <w:rPr>
          <w:vertAlign w:val="subscript"/>
        </w:rPr>
        <w:t>3</w:t>
      </w:r>
      <w:r>
        <w:t>Ag(</w:t>
      </w:r>
      <w:r>
        <w:t xml:space="preserve"> </w:t>
      </w:r>
      <w:r>
        <w:t>iPr</w:t>
      </w:r>
      <w:r>
        <w:t xml:space="preserve"> </w:t>
      </w:r>
      <w:r>
        <w:t>NHC</w:t>
      </w:r>
      <w:r>
        <w:t xml:space="preserve"> </w:t>
      </w:r>
      <w:r>
        <w:t>iPr</w:t>
      </w:r>
      <w:r>
        <w:t xml:space="preserve"> </w:t>
      </w:r>
      <w:r>
        <w:t>)(PhC≡C)</w:t>
      </w:r>
      <w:r>
        <w:rPr>
          <w:vertAlign w:val="subscript"/>
        </w:rPr>
        <w:t>4</w:t>
      </w:r>
      <w:r>
        <w:t>]</w:t>
      </w:r>
      <w:r>
        <w:rPr>
          <w:vertAlign w:val="subscript"/>
        </w:rPr>
        <w:t>2</w:t>
      </w:r>
      <w:r>
        <w:t>(denoted as (Au</w:t>
      </w:r>
      <w:r>
        <w:rPr>
          <w:vertAlign w:val="subscript"/>
        </w:rPr>
        <w:t>3</w:t>
      </w:r>
      <w:r>
        <w:t>Ag)</w:t>
      </w:r>
      <w:r>
        <w:rPr>
          <w:vertAlign w:val="subscript"/>
        </w:rPr>
        <w:t>2</w:t>
      </w:r>
      <w:r>
        <w:t>). Single‐cluster junction conductance measurements reveal a colossal conductance difference of up to 30‐fold of magnitude between the two systems. Furthermore, the (Au</w:t>
      </w:r>
      <w:r>
        <w:rPr>
          <w:vertAlign w:val="subscript"/>
        </w:rPr>
        <w:t>3</w:t>
      </w:r>
      <w:r>
        <w:t>Ag)</w:t>
      </w:r>
      <w:r>
        <w:rPr>
          <w:vertAlign w:val="subscript"/>
        </w:rPr>
        <w:t>2</w:t>
      </w:r>
      <w:r>
        <w:t>dimer exhibits exceptional catalytic selectivity in electrocatalytic CO</w:t>
      </w:r>
      <w:r>
        <w:rPr>
          <w:vertAlign w:val="subscript"/>
        </w:rPr>
        <w:t>2</w:t>
      </w:r>
      <w:r>
        <w:t>reduction, achieving a CO Faradaic efficiency of 70%—more than double that of the Au</w:t>
      </w:r>
      <w:r>
        <w:rPr>
          <w:vertAlign w:val="subscript"/>
        </w:rPr>
        <w:t>3</w:t>
      </w:r>
      <w:r>
        <w:t>Cu monomer. Density functional theory calculations and experimental data elucidate the origin of these dramatic structural and functional disparities induced by a single‐atom change.</w:t>
      </w:r>
    </w:p>
    <w:p>
      <w:pPr>
        <w:spacing w:before="120" w:after="120"/>
      </w:pPr>
      <w:r>
        <w:rPr>
          <w:sz w:val="18"/>
        </w:rPr>
        <w:t>——————————————————————————————————————————————————————————————————————</w:t>
      </w:r>
    </w:p>
    <w:p>
      <w:pPr>
        <w:spacing w:before="160" w:after="40" w:line="240" w:lineRule="auto"/>
      </w:pPr>
      <w:r>
        <w:rPr>
          <w:b/>
        </w:rPr>
        <w:t xml:space="preserve">[407] </w:t>
      </w:r>
      <w:hyperlink r:id="rId972">
        <w:r>
          <w:rPr>
            <w:color w:val="1155CC"/>
            <w:u w:val="single"/>
          </w:rPr>
          <w:t>通过重原子、聚集效应和氢键限制运动的超高亮度Ln-MOFs X射线闪烁体</w:t>
        </w:r>
      </w:hyperlink>
    </w:p>
    <w:p>
      <w:pPr>
        <w:spacing w:before="0" w:after="80"/>
      </w:pPr>
      <w:r>
        <w:rPr>
          <w:i/>
          <w:sz w:val="20"/>
        </w:rPr>
        <w:t>EN: Ultra‐High‐Brightness Ln‐MOFs X‐ray Scintillators by Heavy Atoms, Aggregation Effects, and Hydrogen Bonds Restrict Movement</w:t>
      </w:r>
    </w:p>
    <w:p>
      <w:pPr>
        <w:spacing w:before="0" w:after="120"/>
      </w:pPr>
      <w:r>
        <w:rPr>
          <w:b/>
        </w:rPr>
        <w:t xml:space="preserve">Source: </w:t>
      </w:r>
      <w:r>
        <w:t>Wiley: Advanced Materials: Table of Contents</w:t>
      </w:r>
      <w:r>
        <w:t xml:space="preserve">    </w:t>
      </w:r>
      <w:r>
        <w:rPr>
          <w:b/>
        </w:rPr>
        <w:t xml:space="preserve">Pub date: </w:t>
      </w:r>
      <w:r>
        <w:t>2026-03-26 05:06:09+00:00</w:t>
      </w:r>
      <w:r>
        <w:t xml:space="preserve">    </w:t>
      </w:r>
      <w:r>
        <w:rPr>
          <w:b/>
        </w:rPr>
        <w:t xml:space="preserve">DOI: </w:t>
      </w:r>
      <w:hyperlink r:id="rId973">
        <w:r>
          <w:rPr>
            <w:color w:val="1155CC"/>
            <w:u w:val="single"/>
          </w:rPr>
          <w:t>10.1002/adma.202520018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“四合一”策略的协同效应，包括重原子效应、配位诱导发光（CIE）、氢键锁定效应和高效天线效应，被用于显著提高Tb-SDB-MOF X射线闪烁体的光产额。值得注意的是，高效的重原子效应增强了Tb-SDB-MOF的X射线吸收效率，与CIE、氢键锁定分子内运动限制（RIM）和能量匹配的天线效应协同作用，产生了69,575光子MeV</w:t>
      </w:r>
      <w:r>
        <w:t xml:space="preserve"> </w:t>
      </w:r>
      <w:r>
        <w:t>−1</w:t>
      </w:r>
      <w:r>
        <w:t xml:space="preserve"> </w:t>
      </w:r>
      <w:r>
        <w:t>的闪烁光产额——在基于镧系复合物的X射线闪烁体中处于领先水平。同时，Tb-SDB-MOF X射线闪烁体表现出超低d</w:t>
      </w:r>
    </w:p>
    <w:p>
      <w:pPr>
        <w:spacing w:before="0" w:after="200" w:lineRule="auto" w:line="276"/>
      </w:pPr>
      <w:r>
        <w:rPr>
          <w:b/>
        </w:rPr>
        <w:t xml:space="preserve">Abstract (EN): </w:t>
      </w:r>
      <w:r>
        <w:t>The synergistic effect of the “four‐in‐one” strategy, which includes the heavy atoms effect, coordination‐induced emission (CIE), hydrogen bonds locking effect, and efficient antenna effect, was utilized to significantly enhance the light yield of Tb‐SDB‐MOF X‐ray scintillator. Notably, the efficient heavy atoms effect enhances the X‐ray absorption efficiency of Tb‐SDB‐MOF, synergistically with CIE, hydrogen bonds locking restriction of intramolecular motion (RIM), and an energy‐matched antenna effect, producing a scintillation light yield of 69,575 photons MeV</w:t>
      </w:r>
      <w:r>
        <w:t xml:space="preserve"> </w:t>
      </w:r>
      <w:r>
        <w:t>−1</w:t>
      </w:r>
      <w:r>
        <w:t xml:space="preserve"> </w:t>
      </w:r>
      <w:r>
        <w:t>– a leading level among lanthanide complexes based X‐ray scintillators. Meanwhile, the Tb‐SDB‐MOF X‐ray scintillator exhibited an ultra‐low detection limit (20.86 nGy/s), which is 264 times lower than the clinical standard, making it an “ultra‐low dose” lanthanide complexes based X‐ray scintillator. Moreover, low‐concentration formic acid vapor selectively quenched the antenna effect of Tb</w:t>
      </w:r>
      <w:r>
        <w:t xml:space="preserve"> </w:t>
      </w:r>
      <w:r>
        <w:t>3+</w:t>
      </w:r>
      <w:r>
        <w:t xml:space="preserve"> </w:t>
      </w:r>
      <w:r>
        <w:t>ions within Eu</w:t>
      </w:r>
      <w:r>
        <w:t xml:space="preserve"> </w:t>
      </w:r>
      <w:r>
        <w:t>0.08</w:t>
      </w:r>
      <w:r>
        <w:t xml:space="preserve"> </w:t>
      </w:r>
      <w:r>
        <w:t>Tb</w:t>
      </w:r>
      <w:r>
        <w:t xml:space="preserve"> </w:t>
      </w:r>
      <w:r>
        <w:t>0.92</w:t>
      </w:r>
      <w:r>
        <w:t xml:space="preserve"> </w:t>
      </w:r>
      <w:r>
        <w:t>‐SDB‐MOF, resulting in multistage multicolor luminescence switching from gold→brown→orange→deep‐red→red. The Eu‐SDB‐MOF@Tb‐SDB‐MOF heterostructure facilitates the development of an advanced multi‐functional anti‐counterfeiting system by utilizing the highly efficient multicolor luminescence properties of a single crystal. Finally, this work not only opens new avenues for the development of lanthanide complexes based X‐ray scintillators with ultrahigh light yield but also expands new horizons for the expansion of multifunctional lanthanide complexes.</w:t>
      </w:r>
    </w:p>
    <w:p>
      <w:pPr>
        <w:spacing w:before="120" w:after="120"/>
      </w:pPr>
      <w:r>
        <w:rPr>
          <w:sz w:val="18"/>
        </w:rPr>
        <w:t>——————————————————————————————————————————————————————————————————————</w:t>
      </w:r>
    </w:p>
    <w:p>
      <w:pPr>
        <w:spacing w:before="160" w:after="40" w:line="240" w:lineRule="auto"/>
      </w:pPr>
      <w:r>
        <w:rPr>
          <w:b/>
        </w:rPr>
        <w:t xml:space="preserve">[408] </w:t>
      </w:r>
      <w:hyperlink r:id="rId974">
        <w:r>
          <w:rPr>
            <w:color w:val="1155CC"/>
            <w:u w:val="single"/>
          </w:rPr>
          <w:t>同位素标记启发的晶格继承铼单原子调节双相MoS2/MoP纳米管的局部电子微环境以加速硫的氧化还原动力学</w:t>
        </w:r>
      </w:hyperlink>
    </w:p>
    <w:p>
      <w:pPr>
        <w:spacing w:before="0" w:after="80"/>
      </w:pPr>
      <w:r>
        <w:rPr>
          <w:i/>
          <w:sz w:val="20"/>
        </w:rPr>
        <w:t>EN: Isotope‐Labeling Inspired Lattice‐Inherited Rhenium Single‐Atom Regulating Local Electronic Microenvironment of Dual‐Phase MoS2/MoP Nanotubes for Accelerated Sulfur Redox Kinetics</w:t>
      </w:r>
    </w:p>
    <w:p>
      <w:pPr>
        <w:spacing w:before="0" w:after="120"/>
      </w:pPr>
      <w:r>
        <w:rPr>
          <w:b/>
        </w:rPr>
        <w:t xml:space="preserve">Source: </w:t>
      </w:r>
      <w:r>
        <w:t>Wiley: Advanced Materials: Table of Contents</w:t>
      </w:r>
      <w:r>
        <w:t xml:space="preserve">    </w:t>
      </w:r>
      <w:r>
        <w:rPr>
          <w:b/>
        </w:rPr>
        <w:t xml:space="preserve">Pub date: </w:t>
      </w:r>
      <w:r>
        <w:t>2026-03-26 05:08:27+00:00</w:t>
      </w:r>
      <w:r>
        <w:t xml:space="preserve">    </w:t>
      </w:r>
      <w:r>
        <w:rPr>
          <w:b/>
        </w:rPr>
        <w:t xml:space="preserve">DOI: </w:t>
      </w:r>
      <w:hyperlink r:id="rId975">
        <w:r>
          <w:rPr>
            <w:color w:val="1155CC"/>
            <w:u w:val="single"/>
          </w:rPr>
          <w:t>10.1002/adma.72910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同时调节异质结构中双相的局部电子微环境仍然是一个重大挑战。在此，我们提出了一种晶格继承的单原子策略来构建Re掺杂的MoS</w:t>
      </w:r>
      <w:r>
        <w:rPr>
          <w:vertAlign w:val="subscript"/>
        </w:rPr>
        <w:t>2</w:t>
      </w:r>
      <w:r>
        <w:t>/MoP双相，其中Re原子在MoS</w:t>
      </w:r>
      <w:r>
        <w:rPr>
          <w:vertAlign w:val="subscript"/>
        </w:rPr>
        <w:t>2</w:t>
      </w:r>
      <w:r>
        <w:t>到MoP的转变过程中保持原子级分散。该策略能够同时调节MoS</w:t>
      </w:r>
      <w:r>
        <w:rPr>
          <w:vertAlign w:val="subscript"/>
        </w:rPr>
        <w:t>2</w:t>
      </w:r>
      <w:r>
        <w:t>和催化MoP相的扩散，从而克服传统双相异质结构中单个相的固有吸附、扩散和催化限制。DFT计算表明，在Re-MoS</w:t>
      </w:r>
      <w:r>
        <w:rPr>
          <w:vertAlign w:val="subscript"/>
        </w:rPr>
        <w:t>2</w:t>
      </w:r>
    </w:p>
    <w:p>
      <w:pPr>
        <w:spacing w:before="0" w:after="200" w:lineRule="auto" w:line="276"/>
      </w:pPr>
      <w:r>
        <w:rPr>
          <w:b/>
        </w:rPr>
        <w:t xml:space="preserve">Abstract (EN): </w:t>
      </w:r>
      <w:r>
        <w:t>Simultaneously regulating the local electronic microenvironment of dual phases in heterostructures remains a significant challenge. Herein, we propose a lattice‐inherited single‐atom strategy to construct Re‐doped MoS</w:t>
      </w:r>
      <w:r>
        <w:rPr>
          <w:vertAlign w:val="subscript"/>
        </w:rPr>
        <w:t>2</w:t>
      </w:r>
      <w:r>
        <w:t>/MoP dual phases, where Re atoms remain atomically dispersed throughout the MoS</w:t>
      </w:r>
      <w:r>
        <w:rPr>
          <w:vertAlign w:val="subscript"/>
        </w:rPr>
        <w:t>2</w:t>
      </w:r>
      <w:r>
        <w:t>to MoP transformation. This strategy enables concurrent regulation of the diffusion of MoS</w:t>
      </w:r>
      <w:r>
        <w:rPr>
          <w:vertAlign w:val="subscript"/>
        </w:rPr>
        <w:t>2</w:t>
      </w:r>
      <w:r>
        <w:t>and catalytic MoP phases, thereby overcoming the intrinsic adsorption, diffusion, and catalytic limitations of individual phases in conventional dual‐phase heterostructures. DFT calculations reveal that, in Re‐MoS</w:t>
      </w:r>
      <w:r>
        <w:rPr>
          <w:vertAlign w:val="subscript"/>
        </w:rPr>
        <w:t>2</w:t>
      </w:r>
      <w:r>
        <w:t>, Re incorporation induces reconfiguration of surface S 3</w:t>
      </w:r>
      <w:r>
        <w:t xml:space="preserve"> </w:t>
      </w:r>
      <w:r>
        <w:t>p</w:t>
      </w:r>
      <w:r>
        <w:t xml:space="preserve"> </w:t>
      </w:r>
      <w:r>
        <w:t>orbitals, weakening Li‐S orbital overlap and lowering Li</w:t>
      </w:r>
      <w:r>
        <w:t xml:space="preserve"> </w:t>
      </w:r>
      <w:r>
        <w:t>+</w:t>
      </w:r>
      <w:r>
        <w:t xml:space="preserve"> </w:t>
      </w:r>
      <w:r>
        <w:t>diffusion barrier. In Re‐MoP, unpaired delocalized electrons upshift the</w:t>
      </w:r>
      <w:r>
        <w:t xml:space="preserve"> </w:t>
      </w:r>
      <w:r>
        <w:t>d</w:t>
      </w:r>
      <w:r>
        <w:t xml:space="preserve"> </w:t>
      </w:r>
      <w:r>
        <w:t>‐band center and strengthen interfacial charge coupling, thereby accelerating polysulfide redox kinetics. Meanwhile, the dual‐phase distribution of Re atoms enhances the built‐in electric field, promoting directional polysulfide migration toward catalytic domains. Structurally, the constructed hetero‐nanotube catalysts, featuring ultrathin Re‐doped MoS</w:t>
      </w:r>
      <w:r>
        <w:rPr>
          <w:vertAlign w:val="subscript"/>
        </w:rPr>
        <w:t>2</w:t>
      </w:r>
      <w:r>
        <w:t>/MoP coaxially encapsulating carbon nanotubes, ensure intimate face‐to‐face contact and efficient electron transport. The cell exhibits remarkable cycling stability (0.035% decay over 1000 cycles at 5 C) and achieves a high areal capacity of 9.16 mAh cm</w:t>
      </w:r>
      <w:r>
        <w:t xml:space="preserve"> </w:t>
      </w:r>
      <w:r>
        <w:t>−2</w:t>
      </w:r>
      <w:r>
        <w:t xml:space="preserve"> </w:t>
      </w:r>
      <w:r>
        <w:t>at 10.59 mg cm</w:t>
      </w:r>
      <w:r>
        <w:t xml:space="preserve"> </w:t>
      </w:r>
      <w:r>
        <w:t>−2</w:t>
      </w:r>
      <w:r>
        <w:t xml:space="preserve"> </w:t>
      </w:r>
      <w:r>
        <w:t>sulfur loading. This work opens a new avenue for enhancing heterostructure synergistic effects, extending beyond Li‐S batteries to other multi‐electron‐transfer systems.</w:t>
      </w:r>
    </w:p>
    <w:p>
      <w:pPr>
        <w:spacing w:before="120" w:after="120"/>
      </w:pPr>
      <w:r>
        <w:rPr>
          <w:sz w:val="18"/>
        </w:rPr>
        <w:t>——————————————————————————————————————————————————————————————————————</w:t>
      </w:r>
    </w:p>
    <w:p>
      <w:pPr>
        <w:spacing w:before="160" w:after="40" w:line="240" w:lineRule="auto"/>
      </w:pPr>
      <w:r>
        <w:rPr>
          <w:b/>
        </w:rPr>
        <w:t xml:space="preserve">[409] </w:t>
      </w:r>
      <w:hyperlink r:id="rId976">
        <w:r>
          <w:rPr>
            <w:color w:val="1155CC"/>
            <w:u w:val="single"/>
          </w:rPr>
          <w:t>重新设计FeMn双原子纳米酶中的对齐d轨道能级以抑制细胞焦亡从而有效缓解炎症性疾病</w:t>
        </w:r>
      </w:hyperlink>
    </w:p>
    <w:p>
      <w:pPr>
        <w:spacing w:before="0" w:after="80"/>
      </w:pPr>
      <w:r>
        <w:rPr>
          <w:i/>
          <w:sz w:val="20"/>
        </w:rPr>
        <w:t>EN: Reengineering Aligned D‐Orbital Energy Levels in FeMn Dual‐Atom Nanozyme Inhibits Pyroptosis for Effective Alleviation of Inflammatory Diseases</w:t>
      </w:r>
    </w:p>
    <w:p>
      <w:pPr>
        <w:spacing w:before="0" w:after="120"/>
      </w:pPr>
      <w:r>
        <w:rPr>
          <w:b/>
        </w:rPr>
        <w:t xml:space="preserve">Source: </w:t>
      </w:r>
      <w:r>
        <w:t>Wiley: Advanced Materials: Table of Contents</w:t>
      </w:r>
      <w:r>
        <w:t xml:space="preserve">    </w:t>
      </w:r>
      <w:r>
        <w:rPr>
          <w:b/>
        </w:rPr>
        <w:t xml:space="preserve">Pub date: </w:t>
      </w:r>
      <w:r>
        <w:t>2026-03-26 05:09:09+00:00</w:t>
      </w:r>
      <w:r>
        <w:t xml:space="preserve">    </w:t>
      </w:r>
      <w:r>
        <w:rPr>
          <w:b/>
        </w:rPr>
        <w:t xml:space="preserve">DOI: </w:t>
      </w:r>
      <w:hyperlink r:id="rId977">
        <w:r>
          <w:rPr>
            <w:color w:val="1155CC"/>
            <w:u w:val="single"/>
          </w:rPr>
          <w:t>10.1002/adma.72857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通过Fe单原子纳米酶抑制细胞焦亡在炎症治疗中具有前景，但常见的Fe-N</w:t>
      </w:r>
      <w:r>
        <w:rPr>
          <w:vertAlign w:val="subscript"/>
        </w:rPr>
        <w:t>4</w:t>
      </w:r>
      <w:r>
        <w:t>构型限制了氧中间体的解吸，并缺乏协同位点，从而限制了催化性能。为了解决这个问题，我们开发了一种支持在氧氮掺杂竹状碳纳米管上的FeMn双原子纳米酶（FeMn</w:t>
      </w:r>
      <w:r>
        <w:t xml:space="preserve"> </w:t>
      </w:r>
      <w:r>
        <w:t>DA</w:t>
      </w:r>
      <w:r>
        <w:t xml:space="preserve"> </w:t>
      </w:r>
      <w:r>
        <w:t>/BCNT）。通过Fe和Mn 3</w:t>
      </w:r>
      <w:r>
        <w:t xml:space="preserve"> </w:t>
      </w:r>
      <w:r>
        <w:t>dz</w:t>
      </w:r>
      <w:r>
        <w:rPr>
          <w:vertAlign w:val="subscript"/>
        </w:rPr>
        <w:t>2</w:t>
      </w:r>
      <w:r>
        <w:t xml:space="preserve"> </w:t>
      </w:r>
      <w:r>
        <w:t>轨道能级与FeMn-N/O活性中心的电子离域BCNT支撑的精确对齐，从而降低了解离能垒</w:t>
      </w:r>
    </w:p>
    <w:p>
      <w:pPr>
        <w:spacing w:before="0" w:after="200" w:lineRule="auto" w:line="276"/>
      </w:pPr>
      <w:r>
        <w:rPr>
          <w:b/>
        </w:rPr>
        <w:t xml:space="preserve">Abstract (EN): </w:t>
      </w:r>
      <w:r>
        <w:t>Pyroptosis inhibition via Fe single‐atom nanozymes is promising for inflammation therapy, but the common Fe‐N</w:t>
      </w:r>
      <w:r>
        <w:rPr>
          <w:vertAlign w:val="subscript"/>
        </w:rPr>
        <w:t>4</w:t>
      </w:r>
      <w:r>
        <w:t>configuration restricts oxygen intermediate desorption and lacks cooperative sites, thus limiting catalytic performance. To overcome this, we develop a FeMn dual‐atom nanozyme supported on oxygen‐nitrogen‐doped bamboo‐like carbon nanotubes (FeMn</w:t>
      </w:r>
      <w:r>
        <w:t xml:space="preserve"> </w:t>
      </w:r>
      <w:r>
        <w:t>DA</w:t>
      </w:r>
      <w:r>
        <w:t xml:space="preserve"> </w:t>
      </w:r>
      <w:r>
        <w:t>/BCNT). Through the precise alignment of Fe and Mn 3</w:t>
      </w:r>
      <w:r>
        <w:t xml:space="preserve"> </w:t>
      </w:r>
      <w:r>
        <w:t>dz</w:t>
      </w:r>
      <w:r>
        <w:rPr>
          <w:vertAlign w:val="subscript"/>
        </w:rPr>
        <w:t>2</w:t>
      </w:r>
      <w:r>
        <w:t xml:space="preserve"> </w:t>
      </w:r>
      <w:r>
        <w:t>orbital energy levels by the electron‐delocalized BCNT support in the FeMn‐N/O active center, thereby lowering the dissociation energy barrier for</w:t>
      </w:r>
      <w:r>
        <w:t xml:space="preserve"> </w:t>
      </w:r>
      <w:r>
        <w:t>*</w:t>
      </w:r>
      <w:r>
        <w:t xml:space="preserve"> </w:t>
      </w:r>
      <w:r>
        <w:t>O</w:t>
      </w:r>
      <w:r>
        <w:rPr>
          <w:vertAlign w:val="subscript"/>
        </w:rPr>
        <w:t>2</w:t>
      </w:r>
      <w:r>
        <w:t>or</w:t>
      </w:r>
      <w:r>
        <w:t xml:space="preserve"> </w:t>
      </w:r>
      <w:r>
        <w:t>*</w:t>
      </w:r>
      <w:r>
        <w:t xml:space="preserve"> </w:t>
      </w:r>
      <w:r>
        <w:t>H</w:t>
      </w:r>
      <w:r>
        <w:rPr>
          <w:vertAlign w:val="subscript"/>
        </w:rPr>
        <w:t>2</w:t>
      </w:r>
      <w:r>
        <w:t>O molecules, promoting O─O bond cleavage to bypass toxic ─OOH species, and thus accelerating the enzyme‐like kinetics. Combined with a hierarchical porous bamboo‐like structure of the BCNT that enhances high specific surface, atom exposure, and mass transfer, the FeMn</w:t>
      </w:r>
      <w:r>
        <w:t xml:space="preserve"> </w:t>
      </w:r>
      <w:r>
        <w:t>DA</w:t>
      </w:r>
      <w:r>
        <w:t xml:space="preserve"> </w:t>
      </w:r>
      <w:r>
        <w:t>/BCNT nanozymes exhibit potent superoxide dismutase (SOD), catalase (CAT), and glutathione peroxidase (GPx)‐like activities. Further encapsulation with a macrophage membrane ([MM]FeMn</w:t>
      </w:r>
      <w:r>
        <w:t xml:space="preserve"> </w:t>
      </w:r>
      <w:r>
        <w:t>DA</w:t>
      </w:r>
      <w:r>
        <w:t xml:space="preserve"> </w:t>
      </w:r>
      <w:r>
        <w:t>/BCNT) confers excellent biocompatibility and active targeting ability toward inflammatory sites. The resulting [MM]FeMn</w:t>
      </w:r>
      <w:r>
        <w:t xml:space="preserve"> </w:t>
      </w:r>
      <w:r>
        <w:t>DA</w:t>
      </w:r>
      <w:r>
        <w:t xml:space="preserve"> </w:t>
      </w:r>
      <w:r>
        <w:t>/BCNT nanozymes target the inflammatory microenvironment, scavenges ROS, restores mitochondrial function, and suppresses NLRP3 inflammasome activation, thereby inhibiting pyroptosis. In vivo, [MM]FeMn</w:t>
      </w:r>
      <w:r>
        <w:t xml:space="preserve"> </w:t>
      </w:r>
      <w:r>
        <w:t>DA</w:t>
      </w:r>
      <w:r>
        <w:t xml:space="preserve"> </w:t>
      </w:r>
      <w:r>
        <w:t>/BCNT nanozymes show good biocompatibility and efficacy in treating osteoarthritis, acute liver injury, and acute kidney injury. This work provides a novel strategy for inflammatory disease therapy using a biomimetic dual‐atom nanozyme.</w:t>
      </w:r>
    </w:p>
    <w:p>
      <w:pPr>
        <w:spacing w:before="120" w:after="120"/>
      </w:pPr>
      <w:r>
        <w:rPr>
          <w:sz w:val="18"/>
        </w:rPr>
        <w:t>——————————————————————————————————————————————————————————————————————</w:t>
      </w:r>
    </w:p>
    <w:p>
      <w:pPr>
        <w:spacing w:before="160" w:after="40" w:line="240" w:lineRule="auto"/>
      </w:pPr>
      <w:r>
        <w:rPr>
          <w:b/>
        </w:rPr>
        <w:t xml:space="preserve">[410] </w:t>
      </w:r>
      <w:hyperlink r:id="rId978">
        <w:r>
          <w:rPr>
            <w:color w:val="1155CC"/>
            <w:u w:val="single"/>
          </w:rPr>
          <w:t>中熵尖晶石中的熵启用位点反转和缺陷激活用于近黑红外发射</w:t>
        </w:r>
      </w:hyperlink>
    </w:p>
    <w:p>
      <w:pPr>
        <w:spacing w:before="0" w:after="80"/>
      </w:pPr>
      <w:r>
        <w:rPr>
          <w:i/>
          <w:sz w:val="20"/>
        </w:rPr>
        <w:t>EN: Entropy‐Enabled Site Inversion and Defect Activation in Medium‐Entropy Spinels for Near‐Black Infrared Emission</w:t>
      </w:r>
    </w:p>
    <w:p>
      <w:pPr>
        <w:spacing w:before="0" w:after="120"/>
      </w:pPr>
      <w:r>
        <w:rPr>
          <w:b/>
        </w:rPr>
        <w:t xml:space="preserve">Source: </w:t>
      </w:r>
      <w:r>
        <w:t>Wiley: Advanced Materials: Table of Contents</w:t>
      </w:r>
      <w:r>
        <w:t xml:space="preserve">    </w:t>
      </w:r>
      <w:r>
        <w:rPr>
          <w:b/>
        </w:rPr>
        <w:t xml:space="preserve">Pub date: </w:t>
      </w:r>
      <w:r>
        <w:t>2026-03-26 05:12:31+00:00</w:t>
      </w:r>
      <w:r>
        <w:t xml:space="preserve">    </w:t>
      </w:r>
      <w:r>
        <w:rPr>
          <w:b/>
        </w:rPr>
        <w:t xml:space="preserve">DOI: </w:t>
      </w:r>
      <w:hyperlink r:id="rId979">
        <w:r>
          <w:rPr>
            <w:color w:val="1155CC"/>
            <w:u w:val="single"/>
          </w:rPr>
          <w:t>10.1002/adma.72917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尖晶石红外（IR）涂层在高温热管理中具有吸引力，但通常表现出亚黑体发射率并受到热漂移的影响。尽管已经探索了熵稳定氧化物，但大多数先前的展示仍然是个案，没有统一的原则来定制红外辐射。在此，我们报告了一种中熵反尖晶石，其中构型熵驱动部分位点反转和缺陷形成，协调调节带结构和晶格动力学。该陶瓷实现了接近黑体的发射率（∼0.90，0.78–16 µm），并且在2–8 µm波段中比母氧化物高出两倍以上，这对于1000°C以上的辐射热传递至关重要。它在1300°C下保持单相和更高的发射率超过200小时。</w:t>
      </w:r>
    </w:p>
    <w:p>
      <w:pPr>
        <w:spacing w:before="0" w:after="200" w:lineRule="auto" w:line="276"/>
      </w:pPr>
      <w:r>
        <w:rPr>
          <w:b/>
        </w:rPr>
        <w:t xml:space="preserve">Abstract (EN): </w:t>
      </w:r>
      <w:r>
        <w:t>Spinel infrared (IR) coatings are attractive for high‐temperature thermal management but often deliver sub‐black emissivity and suffer thermal drift. Although entropy‐stabilized oxides have been explored, most prior demonstrations remain case‐by‐case without a unifying principle for tailoring infrared radiation. Here, we report a medium‐entropy inverse spinel, where configurational entropy drives partial site inversion and defect formation, coherently tuning both band structure and lattice dynamics. The ceramic achieves near‐blackbody emissivity (∼0.90, 0.78–16 µm) and more than doubles the parent oxide in the 2–8 µm band critical for radiative heat transfer above 1000°C. It remains a single‐phase and higher emissivity after 200 h at 1300°C. The material exhibits low thermal conductivity (0.53 W·m</w:t>
      </w:r>
      <w:r>
        <w:t xml:space="preserve"> </w:t>
      </w:r>
      <w:r>
        <w:t>−1</w:t>
      </w:r>
      <w:r>
        <w:t xml:space="preserve"> </w:t>
      </w:r>
      <w:r>
        <w:t>·K</w:t>
      </w:r>
      <w:r>
        <w:t xml:space="preserve"> </w:t>
      </w:r>
      <w:r>
        <w:t>−1</w:t>
      </w:r>
      <w:r>
        <w:t xml:space="preserve"> </w:t>
      </w:r>
      <w:r>
        <w:t>, 800°C), and as a sprayable coating reaches a hemispherical emissivity of ∼0.96 on steel and refractories, increasing furnace temperature by ∼44.3°C. Spectroscopy and density functional theory (DFT) reveal entropy‐driven mixed‐valence states, abundant oxygen vacancies, band gap narrowing (∼0.7 eV), and activation of IR phonons. This work establishes a generalizable strategy, coupling configurational entropy and site inversion, to convert robust spinels into near‐black, durable radiators, offering a scalable platform for energy‐saving coatings in extreme environments.</w:t>
      </w:r>
    </w:p>
    <w:p>
      <w:pPr>
        <w:spacing w:before="120" w:after="120"/>
      </w:pPr>
      <w:r>
        <w:rPr>
          <w:sz w:val="18"/>
        </w:rPr>
        <w:t>——————————————————————————————————————————————————————————————————————</w:t>
      </w:r>
    </w:p>
    <w:p>
      <w:pPr>
        <w:spacing w:before="160" w:after="40" w:line="240" w:lineRule="auto"/>
      </w:pPr>
      <w:r>
        <w:rPr>
          <w:b/>
        </w:rPr>
        <w:t xml:space="preserve">[411] </w:t>
      </w:r>
      <w:hyperlink r:id="rId980">
        <w:r>
          <w:rPr>
            <w:color w:val="1155CC"/>
            <w:u w:val="single"/>
          </w:rPr>
          <w:t>金属有机框架中的自适应角袋通道用于乙炔的超快速扩散和储存</w:t>
        </w:r>
      </w:hyperlink>
    </w:p>
    <w:p>
      <w:pPr>
        <w:spacing w:before="0" w:after="80"/>
      </w:pPr>
      <w:r>
        <w:rPr>
          <w:i/>
          <w:sz w:val="20"/>
        </w:rPr>
        <w:t>EN: Adaptive Corner‐Pocket Channels in a Metal‐Organic Framework for Acetylene Ultra‐Fast Diffusion and Storage</w:t>
      </w:r>
    </w:p>
    <w:p>
      <w:pPr>
        <w:spacing w:before="0" w:after="120"/>
      </w:pPr>
      <w:r>
        <w:rPr>
          <w:b/>
        </w:rPr>
        <w:t xml:space="preserve">Source: </w:t>
      </w:r>
      <w:r>
        <w:t>Wiley: Angewandte Chemie International Edition: Table of Contents</w:t>
      </w:r>
      <w:r>
        <w:t xml:space="preserve">    </w:t>
      </w:r>
      <w:r>
        <w:rPr>
          <w:b/>
        </w:rPr>
        <w:t xml:space="preserve">Pub date: </w:t>
      </w:r>
      <w:r>
        <w:t>2026-03-26 05:43:35+00:00</w:t>
      </w:r>
      <w:r>
        <w:t xml:space="preserve">    </w:t>
      </w:r>
      <w:r>
        <w:rPr>
          <w:b/>
        </w:rPr>
        <w:t xml:space="preserve">DOI: </w:t>
      </w:r>
      <w:hyperlink r:id="rId981">
        <w:r>
          <w:rPr>
            <w:color w:val="1155CC"/>
            <w:u w:val="single"/>
          </w:rPr>
          <w:t>10.1002/anie.8460951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超微孔分子筛材料提供了卓越的尺寸和形状选择性气体分离，但其实际应用往往受到扩散动力学缓慢和吸附容量低的限制。在此，我们报告了一种低成本的锰基金属有机框架（MOF），Mn-dcbp，具有自适应的“角袋”通道结构。在保持C2H2/C2H4筛分选择性的同时，该材料成功实现了高乙炔（C2H2）吸附（126.3 cm3</w:t>
      </w:r>
    </w:p>
    <w:p>
      <w:pPr>
        <w:spacing w:before="0" w:after="200" w:lineRule="auto" w:line="276"/>
      </w:pPr>
      <w:r>
        <w:rPr>
          <w:b/>
        </w:rPr>
        <w:t xml:space="preserve">Abstract (EN): </w:t>
      </w:r>
      <w:r>
        <w:t>Ultra‐microporous molecular sieving materials offer exceptional size‐ and shape‐selective gas separation, yet their practical use is often limited by slow diffusion kinetics and low adsorption capacities. Here, we report a low‐cost manganese‐based metal‐organic framework (MOF), Mn‐dcbp, featuring an adaptive “corner‐pocket” channel structure. While retaining C</w:t>
      </w:r>
      <w:r>
        <w:rPr>
          <w:vertAlign w:val="subscript"/>
        </w:rPr>
        <w:t>2</w:t>
      </w:r>
      <w:r>
        <w:t>H</w:t>
      </w:r>
      <w:r>
        <w:rPr>
          <w:vertAlign w:val="subscript"/>
        </w:rPr>
        <w:t>2</w:t>
      </w:r>
      <w:r>
        <w:t>/C</w:t>
      </w:r>
      <w:r>
        <w:rPr>
          <w:vertAlign w:val="subscript"/>
        </w:rPr>
        <w:t>2</w:t>
      </w:r>
      <w:r>
        <w:t>H</w:t>
      </w:r>
      <w:r>
        <w:rPr>
          <w:vertAlign w:val="subscript"/>
        </w:rPr>
        <w:t>4</w:t>
      </w:r>
      <w:r>
        <w:t>sieving selectivity, the material successfully integrates a high acetylene (C</w:t>
      </w:r>
      <w:r>
        <w:rPr>
          <w:vertAlign w:val="subscript"/>
        </w:rPr>
        <w:t>2</w:t>
      </w:r>
      <w:r>
        <w:t>H</w:t>
      </w:r>
      <w:r>
        <w:rPr>
          <w:vertAlign w:val="subscript"/>
        </w:rPr>
        <w:t>2</w:t>
      </w:r>
      <w:r>
        <w:t>) uptake (126.3 cm</w:t>
      </w:r>
      <w:r>
        <w:rPr>
          <w:vertAlign w:val="subscript"/>
        </w:rPr>
        <w:t>3</w:t>
      </w:r>
      <w:r>
        <w:t>/cm</w:t>
      </w:r>
      <w:r>
        <w:rPr>
          <w:vertAlign w:val="subscript"/>
        </w:rPr>
        <w:t>3</w:t>
      </w:r>
      <w:r>
        <w:t>) with ultrafast diffusion kinetics (k = 0.01863 s</w:t>
      </w:r>
      <w:r>
        <w:t xml:space="preserve"> </w:t>
      </w:r>
      <w:r>
        <w:t>−1</w:t>
      </w:r>
      <w:r>
        <w:t xml:space="preserve"> </w:t>
      </w:r>
      <w:r>
        <w:t>). In situ single‐crystal x‐ray diffraction reveals a sub‐angstrom‐level structural adaptation mechanism induced by C</w:t>
      </w:r>
      <w:r>
        <w:rPr>
          <w:vertAlign w:val="subscript"/>
        </w:rPr>
        <w:t>2</w:t>
      </w:r>
      <w:r>
        <w:t>H</w:t>
      </w:r>
      <w:r>
        <w:rPr>
          <w:vertAlign w:val="subscript"/>
        </w:rPr>
        <w:t>2</w:t>
      </w:r>
      <w:r>
        <w:t>, leading to ordered, high‐density packing of C</w:t>
      </w:r>
      <w:r>
        <w:rPr>
          <w:vertAlign w:val="subscript"/>
        </w:rPr>
        <w:t>2</w:t>
      </w:r>
      <w:r>
        <w:t>H</w:t>
      </w:r>
      <w:r>
        <w:rPr>
          <w:vertAlign w:val="subscript"/>
        </w:rPr>
        <w:t>2</w:t>
      </w:r>
      <w:r>
        <w:t>within the channels and achieving a record storage density of 1.02 g/mL. Strong host–guest interactions enable the material to maintain excellent C</w:t>
      </w:r>
      <w:r>
        <w:rPr>
          <w:vertAlign w:val="subscript"/>
        </w:rPr>
        <w:t>2</w:t>
      </w:r>
      <w:r>
        <w:t>H</w:t>
      </w:r>
      <w:r>
        <w:rPr>
          <w:vertAlign w:val="subscript"/>
        </w:rPr>
        <w:t>2</w:t>
      </w:r>
      <w:r>
        <w:t>adsorption capacity (110.6 cm</w:t>
      </w:r>
      <w:r>
        <w:rPr>
          <w:vertAlign w:val="subscript"/>
        </w:rPr>
        <w:t>3</w:t>
      </w:r>
      <w:r>
        <w:t>/cm</w:t>
      </w:r>
      <w:r>
        <w:rPr>
          <w:vertAlign w:val="subscript"/>
        </w:rPr>
        <w:t>3</w:t>
      </w:r>
      <w:r>
        <w:t>) even at elevated temperatures (75 °C), while also demonstrating superior separation performance for C</w:t>
      </w:r>
      <w:r>
        <w:rPr>
          <w:vertAlign w:val="subscript"/>
        </w:rPr>
        <w:t>2</w:t>
      </w:r>
      <w:r>
        <w:t>H</w:t>
      </w:r>
      <w:r>
        <w:rPr>
          <w:vertAlign w:val="subscript"/>
        </w:rPr>
        <w:t>2</w:t>
      </w:r>
      <w:r>
        <w:t>/C</w:t>
      </w:r>
      <w:r>
        <w:rPr>
          <w:vertAlign w:val="subscript"/>
        </w:rPr>
        <w:t>2</w:t>
      </w:r>
      <w:r>
        <w:t>H</w:t>
      </w:r>
      <w:r>
        <w:rPr>
          <w:vertAlign w:val="subscript"/>
        </w:rPr>
        <w:t>4</w:t>
      </w:r>
      <w:r>
        <w:t>and C</w:t>
      </w:r>
      <w:r>
        <w:rPr>
          <w:vertAlign w:val="subscript"/>
        </w:rPr>
        <w:t>2</w:t>
      </w:r>
      <w:r>
        <w:t>H</w:t>
      </w:r>
      <w:r>
        <w:rPr>
          <w:vertAlign w:val="subscript"/>
        </w:rPr>
        <w:t>2</w:t>
      </w:r>
      <w:r>
        <w:t>/CO</w:t>
      </w:r>
      <w:r>
        <w:rPr>
          <w:vertAlign w:val="subscript"/>
        </w:rPr>
        <w:t>2</w:t>
      </w:r>
      <w:r>
        <w:t>gas mixtures. Furthermore, Mn‐dcbp can be produced on a large scale via an environmentally friendly route and exhibits excellent, water, thermal, and cycling stability, which is crucial for potential industrial implementation.</w:t>
      </w:r>
    </w:p>
    <w:p>
      <w:pPr>
        <w:spacing w:before="120" w:after="120"/>
      </w:pPr>
      <w:r>
        <w:rPr>
          <w:sz w:val="18"/>
        </w:rPr>
        <w:t>——————————————————————————————————————————————————————————————————————</w:t>
      </w:r>
    </w:p>
    <w:p>
      <w:pPr>
        <w:spacing w:before="160" w:after="40" w:line="240" w:lineRule="auto"/>
      </w:pPr>
      <w:r>
        <w:rPr>
          <w:b/>
        </w:rPr>
        <w:t xml:space="preserve">[412] </w:t>
      </w:r>
      <w:hyperlink r:id="rId982">
        <w:r>
          <w:rPr>
            <w:color w:val="1155CC"/>
            <w:u w:val="single"/>
          </w:rPr>
          <w:t>新型复杂磁性材料的可能性</w:t>
        </w:r>
      </w:hyperlink>
    </w:p>
    <w:p>
      <w:pPr>
        <w:spacing w:before="0" w:after="80"/>
      </w:pPr>
      <w:r>
        <w:rPr>
          <w:i/>
          <w:sz w:val="20"/>
        </w:rPr>
        <w:t>EN: The Possibility of New Complex Magnet Materials</w:t>
      </w:r>
    </w:p>
    <w:p>
      <w:pPr>
        <w:spacing w:before="0" w:after="120"/>
      </w:pPr>
      <w:r>
        <w:rPr>
          <w:b/>
        </w:rPr>
        <w:t xml:space="preserve">Source: </w:t>
      </w:r>
      <w:r>
        <w:t>Wiley: Advanced Materials: Table of Contents</w:t>
      </w:r>
      <w:r>
        <w:t xml:space="preserve">    </w:t>
      </w:r>
      <w:r>
        <w:rPr>
          <w:b/>
        </w:rPr>
        <w:t xml:space="preserve">Pub date: </w:t>
      </w:r>
      <w:r>
        <w:t>2026-03-26 05:44:19+00:00</w:t>
      </w:r>
      <w:r>
        <w:t xml:space="preserve">    </w:t>
      </w:r>
      <w:r>
        <w:rPr>
          <w:b/>
        </w:rPr>
        <w:t xml:space="preserve">DOI: </w:t>
      </w:r>
      <w:hyperlink r:id="rId983">
        <w:r>
          <w:rPr>
            <w:color w:val="1155CC"/>
            <w:u w:val="single"/>
          </w:rPr>
          <w:t>10.1002/adma.202518751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磁体对于移动消费电子产品、电动机以及未来的交通运输至关重要，同时也用于大多数电力的生成和转换。强磁体可以减小电动机和发电机的尺寸和重量，并提高效率。最强大的基磁体具有复杂的结构，预计存在数百万种，但尚未制造和表征。随着AI材料发现技术的最新发展，这些技术使得数据驱动和机器学习辅助筛选成为可能，再加上能够准确预测给定结构的内在磁性特性的计算方法，以及高通量自主实验室，新型超强磁性材料的发现</w:t>
      </w:r>
    </w:p>
    <w:p>
      <w:pPr>
        <w:spacing w:before="0" w:after="200" w:lineRule="auto" w:line="276"/>
      </w:pPr>
      <w:r>
        <w:rPr>
          <w:b/>
        </w:rPr>
        <w:t xml:space="preserve">Abstract (EN): </w:t>
      </w:r>
      <w:r>
        <w:t>Magnets are essential for mobile consumer electronics, electric motors that power industry and the future of transportation as well as generating and transforming most electric power. Strong magnets reduce the size and weight of motors and generators as well as improve efficiency. The most powerful ‐based magnets have a complex structure like millions that are expected to exist but have not been made and characterized. With the recent developments of AI materials discovery techniques, which enable data‐driven and machine‐learning‐assisted screening, together with computational approaches that can accurately predict intrinsic magnetic properties of a given structure, and high‐throughput autonomous labs, the discovery of new, ultra‐powerful magnet materials with saturation magnetization greater than 2.5 Tesla or magnetic energy density () greater than 800 kJ/ is now quite possible.</w:t>
      </w:r>
    </w:p>
    <w:p>
      <w:pPr>
        <w:spacing w:before="120" w:after="120"/>
      </w:pPr>
      <w:r>
        <w:rPr>
          <w:sz w:val="18"/>
        </w:rPr>
        <w:t>——————————————————————————————————————————————————————————————————————</w:t>
      </w:r>
    </w:p>
    <w:p>
      <w:pPr>
        <w:spacing w:before="160" w:after="40" w:line="240" w:lineRule="auto"/>
      </w:pPr>
      <w:r>
        <w:rPr>
          <w:b/>
        </w:rPr>
        <w:t xml:space="preserve">[413] </w:t>
      </w:r>
      <w:hyperlink r:id="rId984">
        <w:r>
          <w:rPr>
            <w:color w:val="1155CC"/>
            <w:u w:val="single"/>
          </w:rPr>
          <w:t>三维磁性纳米双螺旋中的共振畴壁动力学</w:t>
        </w:r>
      </w:hyperlink>
    </w:p>
    <w:p>
      <w:pPr>
        <w:spacing w:before="0" w:after="80"/>
      </w:pPr>
      <w:r>
        <w:rPr>
          <w:i/>
          <w:sz w:val="20"/>
        </w:rPr>
        <w:t>EN: Resonant Domain Wall Dynamics in a Three‐Dimensional Magnetic Nano Double Helix</w:t>
      </w:r>
    </w:p>
    <w:p>
      <w:pPr>
        <w:spacing w:before="0" w:after="120"/>
      </w:pPr>
      <w:r>
        <w:rPr>
          <w:b/>
        </w:rPr>
        <w:t xml:space="preserve">Source: </w:t>
      </w:r>
      <w:r>
        <w:t>Wiley: Advanced Materials: Table of Contents</w:t>
      </w:r>
      <w:r>
        <w:t xml:space="preserve">    </w:t>
      </w:r>
      <w:r>
        <w:rPr>
          <w:b/>
        </w:rPr>
        <w:t xml:space="preserve">Pub date: </w:t>
      </w:r>
      <w:r>
        <w:t>2026-03-26 05:49:42+00:00</w:t>
      </w:r>
      <w:r>
        <w:t xml:space="preserve">    </w:t>
      </w:r>
      <w:r>
        <w:rPr>
          <w:b/>
        </w:rPr>
        <w:t xml:space="preserve">DOI: </w:t>
      </w:r>
      <w:hyperlink r:id="rId985">
        <w:r>
          <w:rPr>
            <w:color w:val="1155CC"/>
            <w:u w:val="single"/>
          </w:rPr>
          <w:t>10.1002/adma.202600004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磁性纳米结构向三维（3D）扩展被预测会导致非互易集体动力学和超快速纹理运动等现象。然而，尽管在微结构中已经探索了3D动力学的初步迹象，但在复杂形状的3D纳米结构中对磁化动力学的实验研究仍然具有挑战性。在此，使用时间分辨X射线显微镜在纳米级空间和皮秒时间分辨率下研究3D纳米打印的钴双螺旋纳米结构的磁化动力学。在螺旋结构中，观察到耦合畴壁的动力学，并识别出明显的共振响应。微磁模拟证实了实验观察到的</w:t>
      </w:r>
    </w:p>
    <w:p>
      <w:pPr>
        <w:spacing w:before="0" w:after="200" w:lineRule="auto" w:line="276"/>
      </w:pPr>
      <w:r>
        <w:rPr>
          <w:b/>
        </w:rPr>
        <w:t xml:space="preserve">Abstract (EN): </w:t>
      </w:r>
      <w:r>
        <w:t>The extension of magnetic nanostructures to three dimensions (3D) has been predicted to result in phenomena such as non‐reciprocal collective dynamics and ultra‐fast motion of textures. However, while first indications of dynamics in 3D have been explored in microstructures, the experimental investigation of magnetization dynamics in complex‐shaped 3D nanostructures remains challenging. Here, 3D nanoprinted cobalt double‐helix nanostructures are investigated with time‐resolved X‐ray microscopy at nanoscale spatial and picosecond temporal resolution to study their magnetization dynamics. Within the helices, the dynamics of coupled domain walls are observed, and a clear resonant response identified. Micromagnetic simulations confirm that the experimentally observed resonance arises from a harmonic oscillatory mode of the coupled domain walls and predict additional higher‐frequency modes, revealing a rich dynamic spectrum. By systematically varying the helix geometry in simulations, we find that the resonant modes can be engineered. This geometrical control promises an alternative to conventional tuning strategies based on tailored magnetic anisotropies, DC bias, or externally applied fields. Together, these experimental and simulated results of magnetization dynamics in complex 3D nanostructures provide a pathway for programmable functionalities, relevant for potential technologies including information processing architectures based on tunable spin texture dynamics.</w:t>
      </w:r>
    </w:p>
    <w:p>
      <w:pPr>
        <w:spacing w:before="120" w:after="120"/>
      </w:pPr>
      <w:r>
        <w:rPr>
          <w:sz w:val="18"/>
        </w:rPr>
        <w:t>——————————————————————————————————————————————————————————————————————</w:t>
      </w:r>
    </w:p>
    <w:p>
      <w:pPr>
        <w:spacing w:before="160" w:after="40" w:line="240" w:lineRule="auto"/>
      </w:pPr>
      <w:r>
        <w:rPr>
          <w:b/>
        </w:rPr>
        <w:t xml:space="preserve">[414] </w:t>
      </w:r>
      <w:hyperlink r:id="rId986">
        <w:r>
          <w:rPr>
            <w:color w:val="1155CC"/>
            <w:u w:val="single"/>
          </w:rPr>
          <w:t>村庄受伤，一生的使命</w:t>
        </w:r>
      </w:hyperlink>
    </w:p>
    <w:p>
      <w:pPr>
        <w:spacing w:before="0" w:after="80"/>
      </w:pPr>
      <w:r>
        <w:rPr>
          <w:i/>
          <w:sz w:val="20"/>
        </w:rPr>
        <w:t>EN: A village injury, a lifelong mission</w:t>
      </w:r>
    </w:p>
    <w:p>
      <w:pPr>
        <w:spacing w:before="0" w:after="120"/>
      </w:pPr>
      <w:r>
        <w:rPr>
          <w:b/>
        </w:rPr>
        <w:t xml:space="preserve">Source: </w:t>
      </w:r>
      <w:r>
        <w:t>AAAS: Science: Table of Contents</w:t>
      </w:r>
      <w:r>
        <w:t xml:space="preserve">    </w:t>
      </w:r>
      <w:r>
        <w:rPr>
          <w:b/>
        </w:rPr>
        <w:t xml:space="preserve">Pub date: </w:t>
      </w:r>
      <w:r>
        <w:t>2026-03-26 06:00:07+00:00</w:t>
      </w:r>
      <w:r>
        <w:t xml:space="preserve">    </w:t>
      </w:r>
      <w:r>
        <w:rPr>
          <w:b/>
        </w:rPr>
        <w:t xml:space="preserve">DOI: </w:t>
      </w:r>
      <w:hyperlink r:id="rId987">
        <w:r>
          <w:rPr>
            <w:color w:val="1155CC"/>
            <w:u w:val="single"/>
          </w:rPr>
          <w:t>10.1126/science.aea2353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[415] </w:t>
      </w:r>
      <w:hyperlink r:id="rId988">
        <w:r>
          <w:rPr>
            <w:color w:val="1155CC"/>
            <w:u w:val="single"/>
          </w:rPr>
          <w:t>互联世界中自然灾害的级联影响</w:t>
        </w:r>
      </w:hyperlink>
    </w:p>
    <w:p>
      <w:pPr>
        <w:spacing w:before="0" w:after="80"/>
      </w:pPr>
      <w:r>
        <w:rPr>
          <w:i/>
          <w:sz w:val="20"/>
        </w:rPr>
        <w:t>EN: Cascading impacts of natural disasters in a connected world</w:t>
      </w:r>
    </w:p>
    <w:p>
      <w:pPr>
        <w:spacing w:before="0" w:after="120"/>
      </w:pPr>
      <w:r>
        <w:rPr>
          <w:b/>
        </w:rPr>
        <w:t xml:space="preserve">Source: </w:t>
      </w:r>
      <w:r>
        <w:t>AAAS: Science: Table of Contents</w:t>
      </w:r>
      <w:r>
        <w:t xml:space="preserve">    </w:t>
      </w:r>
      <w:r>
        <w:rPr>
          <w:b/>
        </w:rPr>
        <w:t xml:space="preserve">Pub date: </w:t>
      </w:r>
      <w:r>
        <w:t>2026-03-26 06:00:07+00:00</w:t>
      </w:r>
      <w:r>
        <w:t xml:space="preserve">    </w:t>
      </w:r>
      <w:r>
        <w:rPr>
          <w:b/>
        </w:rPr>
        <w:t xml:space="preserve">DOI: </w:t>
      </w:r>
      <w:hyperlink r:id="rId989">
        <w:r>
          <w:rPr>
            <w:color w:val="1155CC"/>
            <w:u w:val="single"/>
          </w:rPr>
          <w:t>10.1126/science.adn8744</w:t>
        </w:r>
      </w:hyperlink>
    </w:p>
    <w:p>
      <w:pPr>
        <w:spacing w:before="0" w:after="120"/>
      </w:pPr>
      <w:r>
        <w:rPr>
          <w:b/>
        </w:rPr>
        <w:t xml:space="preserve">Notes: </w:t>
      </w:r>
      <w:r>
        <w:t>abstract_source=crossref</w:t>
      </w:r>
    </w:p>
    <w:p>
      <w:pPr>
        <w:spacing w:before="0" w:after="80" w:lineRule="auto" w:line="276"/>
      </w:pPr>
      <w:r>
        <w:rPr>
          <w:b/>
        </w:rPr>
        <w:t xml:space="preserve">摘要（ZH）: </w:t>
      </w:r>
      <w:r>
        <w:t>极端气候相关事件的多方面影响对于风险模型和管理至关重要</w:t>
      </w:r>
    </w:p>
    <w:p>
      <w:pPr>
        <w:spacing w:before="0" w:after="200" w:lineRule="auto" w:line="276"/>
      </w:pPr>
      <w:r>
        <w:rPr>
          <w:b/>
        </w:rPr>
        <w:t xml:space="preserve">Abstract (EN): </w:t>
      </w:r>
      <w:r>
        <w:t>Multifaceted effects of extreme climate-related events are essential for risk models and management</w:t>
      </w:r>
    </w:p>
    <w:p>
      <w:pPr>
        <w:spacing w:before="120" w:after="120"/>
      </w:pPr>
      <w:r>
        <w:rPr>
          <w:sz w:val="18"/>
        </w:rPr>
        <w:t>——————————————————————————————————————————————————————————————————————</w:t>
      </w:r>
    </w:p>
    <w:p>
      <w:pPr>
        <w:spacing w:before="160" w:after="40" w:line="240" w:lineRule="auto"/>
      </w:pPr>
      <w:r>
        <w:rPr>
          <w:b/>
        </w:rPr>
        <w:t xml:space="preserve">[416] </w:t>
      </w:r>
      <w:hyperlink r:id="rId990">
        <w:r>
          <w:rPr>
            <w:color w:val="1155CC"/>
            <w:u w:val="single"/>
          </w:rPr>
          <w:t>南美洲主要疟疾传播媒介蚊子Anopheles darlingi的群体基因组学</w:t>
        </w:r>
      </w:hyperlink>
    </w:p>
    <w:p>
      <w:pPr>
        <w:spacing w:before="0" w:after="80"/>
      </w:pPr>
      <w:r>
        <w:rPr>
          <w:i/>
          <w:sz w:val="20"/>
        </w:rPr>
        <w:t>EN: Population genomics of Anopheles darlingi, the principal South American malaria vector mosquito</w:t>
      </w:r>
    </w:p>
    <w:p>
      <w:pPr>
        <w:spacing w:before="0" w:after="120"/>
      </w:pPr>
      <w:r>
        <w:rPr>
          <w:b/>
        </w:rPr>
        <w:t xml:space="preserve">Source: </w:t>
      </w:r>
      <w:r>
        <w:t>AAAS: Science: Table of Contents</w:t>
      </w:r>
      <w:r>
        <w:t xml:space="preserve">    </w:t>
      </w:r>
      <w:r>
        <w:rPr>
          <w:b/>
        </w:rPr>
        <w:t xml:space="preserve">Pub date: </w:t>
      </w:r>
      <w:r>
        <w:t>2026-03-26 06:00:07+00:00</w:t>
      </w:r>
      <w:r>
        <w:t xml:space="preserve">    </w:t>
      </w:r>
      <w:r>
        <w:rPr>
          <w:b/>
        </w:rPr>
        <w:t xml:space="preserve">DOI: </w:t>
      </w:r>
      <w:hyperlink r:id="rId991">
        <w:r>
          <w:rPr>
            <w:color w:val="1155CC"/>
            <w:u w:val="single"/>
          </w:rPr>
          <w:t>10.1126/science.adw9761</w:t>
        </w:r>
      </w:hyperlink>
    </w:p>
    <w:p>
      <w:pPr>
        <w:spacing w:before="0" w:after="120"/>
      </w:pPr>
      <w:r>
        <w:rPr>
          <w:b/>
        </w:rPr>
        <w:t xml:space="preserve">Notes: </w:t>
      </w:r>
      <w:r>
        <w:t>abstract_source=crossref</w:t>
      </w:r>
    </w:p>
    <w:p>
      <w:pPr>
        <w:spacing w:before="0" w:after="80" w:lineRule="auto" w:line="276"/>
      </w:pPr>
      <w:r>
        <w:rPr>
          <w:b/>
        </w:rPr>
        <w:t xml:space="preserve">摘要（ZH）: </w:t>
      </w:r>
      <w:r>
        <w:t>南美洲的疟疾仍然是一个严重的公共卫生问题。</w:t>
      </w:r>
      <w:r>
        <w:t xml:space="preserve"> </w:t>
      </w:r>
      <w:r>
        <w:t>按蚊</w:t>
      </w:r>
      <w:r>
        <w:t xml:space="preserve"> </w:t>
      </w:r>
      <w:r>
        <w:t>(</w:t>
      </w:r>
      <w:r>
        <w:t xml:space="preserve"> </w:t>
      </w:r>
      <w:r>
        <w:t>Nyssorhynchus</w:t>
      </w:r>
      <w:r>
        <w:t xml:space="preserve"> </w:t>
      </w:r>
      <w:r>
        <w:t>)</w:t>
      </w:r>
      <w:r>
        <w:t xml:space="preserve"> </w:t>
      </w:r>
      <w:r>
        <w:t>darlingi</w:t>
      </w:r>
      <w:r>
        <w:t xml:space="preserve"> </w:t>
      </w:r>
      <w:r>
        <w:t>是整个热带拉丁美洲最重要的疟疾传播媒介。针对媒介的疾病控制工作需要对蚊虫的人口统计和进化模式有深入的了解。我们展示并分析了来自南美洲六个国家的1094个</w:t>
      </w:r>
      <w:r>
        <w:t xml:space="preserve"> </w:t>
      </w:r>
      <w:r>
        <w:t>An. darlingi</w:t>
      </w:r>
      <w:r>
        <w:t xml:space="preserve"> </w:t>
      </w:r>
      <w:r>
        <w:t>（中位深度18x）的全基因组。我们观察到深刻的地理种群结构，高遗传多样性，包括13个假定的分离倒位，并且尽管种群间分化很高，但没有共栖隐匿种的证据。强烈的选择信号是</w:t>
      </w:r>
    </w:p>
    <w:p>
      <w:pPr>
        <w:spacing w:before="0" w:after="200" w:lineRule="auto" w:line="276"/>
      </w:pPr>
      <w:r>
        <w:rPr>
          <w:b/>
        </w:rPr>
        <w:t xml:space="preserve">Abstract (EN): </w:t>
      </w:r>
      <w:r>
        <w:t>Malaria in South America remains a serious public health problem.</w:t>
      </w:r>
      <w:r>
        <w:t xml:space="preserve"> </w:t>
      </w:r>
      <w:r>
        <w:t>Anopheles</w:t>
      </w:r>
      <w:r>
        <w:t xml:space="preserve"> </w:t>
      </w:r>
      <w:r>
        <w:t>(</w:t>
      </w:r>
      <w:r>
        <w:t xml:space="preserve"> </w:t>
      </w:r>
      <w:r>
        <w:t>Nyssorhynchus</w:t>
      </w:r>
      <w:r>
        <w:t xml:space="preserve"> </w:t>
      </w:r>
      <w:r>
        <w:t>)</w:t>
      </w:r>
      <w:r>
        <w:t xml:space="preserve"> </w:t>
      </w:r>
      <w:r>
        <w:t>darlingi</w:t>
      </w:r>
      <w:r>
        <w:t xml:space="preserve"> </w:t>
      </w:r>
      <w:r>
        <w:t>is the most important malaria vector across tropical Latin America. Vector-targeted disease control efforts require a thorough understanding of mosquito demographic and evolutionary patterns. We present and analyze whole genomes of 1094</w:t>
      </w:r>
      <w:r>
        <w:t xml:space="preserve"> </w:t>
      </w:r>
      <w:r>
        <w:t>An. darlingi</w:t>
      </w:r>
      <w:r>
        <w:t xml:space="preserve"> </w:t>
      </w:r>
      <w:r>
        <w:t>(median depth 18x) from six South American countries. We observe deep geographic population structure, high genetic diversity including 13 putative segregating inversions, and no evidence for sympatric cryptic taxa despite high interpopulation divergence. Strong signals of selection are plausibly driven by insecticides, especially on cytochrome P450 genes. Our results will facilitate effective mosquito surveillance and control while highlighting ongoing challenges that a diverse vector poses for malaria elimination in the Western hemisphere.</w:t>
      </w:r>
    </w:p>
    <w:p>
      <w:pPr>
        <w:spacing w:before="120" w:after="120"/>
      </w:pPr>
      <w:r>
        <w:rPr>
          <w:sz w:val="18"/>
        </w:rPr>
        <w:t>——————————————————————————————————————————————————————————————————————</w:t>
      </w:r>
    </w:p>
    <w:p>
      <w:pPr>
        <w:spacing w:before="160" w:after="40" w:line="240" w:lineRule="auto"/>
      </w:pPr>
      <w:r>
        <w:rPr>
          <w:b/>
        </w:rPr>
        <w:t xml:space="preserve">[417] </w:t>
      </w:r>
      <w:hyperlink r:id="rId992">
        <w:r>
          <w:rPr>
            <w:color w:val="1155CC"/>
            <w:u w:val="single"/>
          </w:rPr>
          <w:t>超凡脱俗的伙伴电影</w:t>
        </w:r>
      </w:hyperlink>
    </w:p>
    <w:p>
      <w:pPr>
        <w:spacing w:before="0" w:after="80"/>
      </w:pPr>
      <w:r>
        <w:rPr>
          <w:i/>
          <w:sz w:val="20"/>
        </w:rPr>
        <w:t>EN: An out of this world buddy movie</w:t>
      </w:r>
    </w:p>
    <w:p>
      <w:pPr>
        <w:spacing w:before="0" w:after="120"/>
      </w:pPr>
      <w:r>
        <w:rPr>
          <w:b/>
        </w:rPr>
        <w:t xml:space="preserve">Source: </w:t>
      </w:r>
      <w:r>
        <w:t>AAAS: Science: Table of Contents</w:t>
      </w:r>
      <w:r>
        <w:t xml:space="preserve">    </w:t>
      </w:r>
      <w:r>
        <w:rPr>
          <w:b/>
        </w:rPr>
        <w:t xml:space="preserve">Pub date: </w:t>
      </w:r>
      <w:r>
        <w:t>2026-03-26 06:00:07+00:00</w:t>
      </w:r>
      <w:r>
        <w:t xml:space="preserve">    </w:t>
      </w:r>
      <w:r>
        <w:rPr>
          <w:b/>
        </w:rPr>
        <w:t xml:space="preserve">DOI: </w:t>
      </w:r>
      <w:hyperlink r:id="rId993">
        <w:r>
          <w:rPr>
            <w:color w:val="1155CC"/>
            <w:u w:val="single"/>
          </w:rPr>
          <w:t>10.1126/science.aeg6276</w:t>
        </w:r>
      </w:hyperlink>
    </w:p>
    <w:p>
      <w:pPr>
        <w:spacing w:before="0" w:after="120"/>
      </w:pPr>
      <w:r>
        <w:rPr>
          <w:b/>
        </w:rPr>
        <w:t xml:space="preserve">Notes: </w:t>
      </w:r>
      <w:r>
        <w:t>abstract_source=crossref</w:t>
      </w:r>
    </w:p>
    <w:p>
      <w:pPr>
        <w:spacing w:before="0" w:after="80" w:lineRule="auto" w:line="276"/>
      </w:pPr>
      <w:r>
        <w:rPr>
          <w:b/>
        </w:rPr>
        <w:t xml:space="preserve">摘要（ZH）: </w:t>
      </w:r>
      <w:r>
        <w:t>一名宇航员和一名外星工程师在一部新电影中联手对抗生存威胁</w:t>
      </w:r>
    </w:p>
    <w:p>
      <w:pPr>
        <w:spacing w:before="0" w:after="200" w:lineRule="auto" w:line="276"/>
      </w:pPr>
      <w:r>
        <w:rPr>
          <w:b/>
        </w:rPr>
        <w:t xml:space="preserve">Abstract (EN): </w:t>
      </w:r>
      <w:r>
        <w:t>An astronaut and an alien engineer team up against an existential threat in a new film</w:t>
      </w:r>
    </w:p>
    <w:p>
      <w:pPr>
        <w:spacing w:before="120" w:after="120"/>
      </w:pPr>
      <w:r>
        <w:rPr>
          <w:sz w:val="18"/>
        </w:rPr>
        <w:t>——————————————————————————————————————————————————————————————————————</w:t>
      </w:r>
    </w:p>
    <w:p>
      <w:pPr>
        <w:spacing w:before="160" w:after="40" w:line="240" w:lineRule="auto"/>
      </w:pPr>
      <w:r>
        <w:rPr>
          <w:b/>
        </w:rPr>
        <w:t xml:space="preserve">[418] </w:t>
      </w:r>
      <w:hyperlink r:id="rId994">
        <w:r>
          <w:rPr>
            <w:color w:val="1155CC"/>
            <w:u w:val="single"/>
          </w:rPr>
          <w:t>高维拓扑光子纠缠</w:t>
        </w:r>
      </w:hyperlink>
    </w:p>
    <w:p>
      <w:pPr>
        <w:spacing w:before="0" w:after="80"/>
      </w:pPr>
      <w:r>
        <w:rPr>
          <w:i/>
          <w:sz w:val="20"/>
        </w:rPr>
        <w:t>EN: High-dimensional topological photonic entanglement</w:t>
      </w:r>
    </w:p>
    <w:p>
      <w:pPr>
        <w:spacing w:before="0" w:after="120"/>
      </w:pPr>
      <w:r>
        <w:rPr>
          <w:b/>
        </w:rPr>
        <w:t xml:space="preserve">Source: </w:t>
      </w:r>
      <w:r>
        <w:t>AAAS: Science: Table of Contents</w:t>
      </w:r>
      <w:r>
        <w:t xml:space="preserve">    </w:t>
      </w:r>
      <w:r>
        <w:rPr>
          <w:b/>
        </w:rPr>
        <w:t xml:space="preserve">Pub date: </w:t>
      </w:r>
      <w:r>
        <w:t>2026-03-26 06:00:07+00:00</w:t>
      </w:r>
      <w:r>
        <w:t xml:space="preserve">    </w:t>
      </w:r>
      <w:r>
        <w:rPr>
          <w:b/>
        </w:rPr>
        <w:t xml:space="preserve">DOI: </w:t>
      </w:r>
      <w:hyperlink r:id="rId995">
        <w:r>
          <w:rPr>
            <w:color w:val="1155CC"/>
            <w:u w:val="single"/>
          </w:rPr>
          <w:t>10.1126/science.aec1344</w:t>
        </w:r>
      </w:hyperlink>
    </w:p>
    <w:p>
      <w:pPr>
        <w:spacing w:before="0" w:after="120"/>
      </w:pPr>
      <w:r>
        <w:rPr>
          <w:b/>
        </w:rPr>
        <w:t xml:space="preserve">Notes: </w:t>
      </w:r>
      <w:r>
        <w:t>abstract_source=crossref</w:t>
      </w:r>
    </w:p>
    <w:p>
      <w:pPr>
        <w:spacing w:before="0" w:after="80" w:lineRule="auto" w:line="276"/>
      </w:pPr>
      <w:r>
        <w:rPr>
          <w:b/>
        </w:rPr>
        <w:t xml:space="preserve">摘要（ZH）: </w:t>
      </w:r>
      <w:r>
        <w:t>高维量子态的生成和操控是现代量子计算的核心。利用拓扑结构来稳健地编码和传输量子信息在凝聚态物理中已被广泛研究，并且最近渗透到量子光子学中。然而，扩展到大量纠缠拓扑光子模式的途径一直缺失。在这项工作中，我们展示了一种生成高维拓扑光子纠缠的方法。我们的平台依赖于设计的硅光子波导拓扑超晶格，支持在多个拓扑模式的叠加上非线性生成能量-时间纠缠光子对。我们展示了多达五个拓扑模式的纠缠强烈特征，并具有对纳米级的韧性。</w:t>
      </w:r>
    </w:p>
    <w:p>
      <w:pPr>
        <w:spacing w:before="0" w:after="200" w:lineRule="auto" w:line="276"/>
      </w:pPr>
      <w:r>
        <w:rPr>
          <w:b/>
        </w:rPr>
        <w:t xml:space="preserve">Abstract (EN): </w:t>
      </w:r>
      <w:r>
        <w:t>The generation and manipulation of high-dimensional quantum states lies at the heart of modern quantum computation. The use of topology to resiliently encode and transport quantum information has been widely investigated in condensed matter and has recently penetrated quantum photonics. However, a route to scale up to a large number of entangled topological photonic modes has been missing. In this work, we demonstrate a method to generate high-dimensional topological photonic entanglement. Our platform relies on designed silicon photonic waveguide topological superlattices, which support nonlinear generation of energy-time–entangled photon pairs on a superposition of multiple topological modes. We show strong signatures of entanglement of up to five topological modes with resilience to nanofabrication imperfections, providing a route toward scalable, fault-tolerant quantum photonic states.</w:t>
      </w:r>
    </w:p>
    <w:p>
      <w:pPr>
        <w:spacing w:before="120" w:after="120"/>
      </w:pPr>
      <w:r>
        <w:rPr>
          <w:sz w:val="18"/>
        </w:rPr>
        <w:t>——————————————————————————————————————————————————————————————————————</w:t>
      </w:r>
    </w:p>
    <w:p>
      <w:pPr>
        <w:spacing w:before="160" w:after="40" w:line="240" w:lineRule="auto"/>
      </w:pPr>
      <w:r>
        <w:rPr>
          <w:b/>
        </w:rPr>
        <w:t xml:space="preserve">[419] </w:t>
      </w:r>
      <w:hyperlink r:id="rId996">
        <w:r>
          <w:rPr>
            <w:color w:val="1155CC"/>
            <w:u w:val="single"/>
          </w:rPr>
          <w:t>当疾病抗拒诊断时</w:t>
        </w:r>
      </w:hyperlink>
    </w:p>
    <w:p>
      <w:pPr>
        <w:spacing w:before="0" w:after="80"/>
      </w:pPr>
      <w:r>
        <w:rPr>
          <w:i/>
          <w:sz w:val="20"/>
        </w:rPr>
        <w:t>EN: When disease resists diagnosis</w:t>
      </w:r>
    </w:p>
    <w:p>
      <w:pPr>
        <w:spacing w:before="0" w:after="120"/>
      </w:pPr>
      <w:r>
        <w:rPr>
          <w:b/>
        </w:rPr>
        <w:t xml:space="preserve">Source: </w:t>
      </w:r>
      <w:r>
        <w:t>AAAS: Science: Table of Contents</w:t>
      </w:r>
      <w:r>
        <w:t xml:space="preserve">    </w:t>
      </w:r>
      <w:r>
        <w:rPr>
          <w:b/>
        </w:rPr>
        <w:t xml:space="preserve">Pub date: </w:t>
      </w:r>
      <w:r>
        <w:t>2026-03-26 06:00:07+00:00</w:t>
      </w:r>
      <w:r>
        <w:t xml:space="preserve">    </w:t>
      </w:r>
      <w:r>
        <w:rPr>
          <w:b/>
        </w:rPr>
        <w:t xml:space="preserve">DOI: </w:t>
      </w:r>
      <w:hyperlink r:id="rId997">
        <w:r>
          <w:rPr>
            <w:color w:val="1155CC"/>
            <w:u w:val="single"/>
          </w:rPr>
          <w:t>10.1126/science.aef7086</w:t>
        </w:r>
      </w:hyperlink>
    </w:p>
    <w:p>
      <w:pPr>
        <w:spacing w:before="0" w:after="120"/>
      </w:pPr>
      <w:r>
        <w:rPr>
          <w:b/>
        </w:rPr>
        <w:t xml:space="preserve">Notes: </w:t>
      </w:r>
      <w:r>
        <w:t>abstract_source=crossref</w:t>
      </w:r>
    </w:p>
    <w:p>
      <w:pPr>
        <w:spacing w:before="0" w:after="80" w:lineRule="auto" w:line="276"/>
      </w:pPr>
      <w:r>
        <w:rPr>
          <w:b/>
        </w:rPr>
        <w:t xml:space="preserve">摘要（ZH）: </w:t>
      </w:r>
      <w:r>
        <w:t>当症状无法轻易解释时，结构性限制阻碍了患者和医生。</w:t>
      </w:r>
    </w:p>
    <w:p>
      <w:pPr>
        <w:spacing w:before="0" w:after="200" w:lineRule="auto" w:line="276"/>
      </w:pPr>
      <w:r>
        <w:rPr>
          <w:b/>
        </w:rPr>
        <w:t xml:space="preserve">Abstract (EN): </w:t>
      </w:r>
      <w:r>
        <w:t>Structural constraints stymie patients and physicians when symptoms cannot be easily explained</w:t>
      </w:r>
    </w:p>
    <w:p>
      <w:pPr>
        <w:spacing w:before="120" w:after="120"/>
      </w:pPr>
      <w:r>
        <w:rPr>
          <w:sz w:val="18"/>
        </w:rPr>
        <w:t>——————————————————————————————————————————————————————————————————————</w:t>
      </w:r>
    </w:p>
    <w:p>
      <w:pPr>
        <w:spacing w:before="160" w:after="40" w:line="240" w:lineRule="auto"/>
      </w:pPr>
      <w:r>
        <w:rPr>
          <w:b/>
        </w:rPr>
        <w:t xml:space="preserve">[420] </w:t>
      </w:r>
      <w:hyperlink r:id="rId998">
        <w:r>
          <w:rPr>
            <w:color w:val="1155CC"/>
            <w:u w:val="single"/>
          </w:rPr>
          <w:t>超越美中生物技术记分板</w:t>
        </w:r>
      </w:hyperlink>
    </w:p>
    <w:p>
      <w:pPr>
        <w:spacing w:before="0" w:after="80"/>
      </w:pPr>
      <w:r>
        <w:rPr>
          <w:i/>
          <w:sz w:val="20"/>
        </w:rPr>
        <w:t>EN: Beyond the US-China biotech scoreboard</w:t>
      </w:r>
    </w:p>
    <w:p>
      <w:pPr>
        <w:spacing w:before="0" w:after="120"/>
      </w:pPr>
      <w:r>
        <w:rPr>
          <w:b/>
        </w:rPr>
        <w:t xml:space="preserve">Source: </w:t>
      </w:r>
      <w:r>
        <w:t>AAAS: Science: Table of Contents</w:t>
      </w:r>
      <w:r>
        <w:t xml:space="preserve">    </w:t>
      </w:r>
      <w:r>
        <w:rPr>
          <w:b/>
        </w:rPr>
        <w:t xml:space="preserve">Pub date: </w:t>
      </w:r>
      <w:r>
        <w:t>2026-03-26 06:00:07+00:00</w:t>
      </w:r>
      <w:r>
        <w:t xml:space="preserve">    </w:t>
      </w:r>
      <w:r>
        <w:rPr>
          <w:b/>
        </w:rPr>
        <w:t xml:space="preserve">DOI: </w:t>
      </w:r>
      <w:hyperlink r:id="rId999">
        <w:r>
          <w:rPr>
            <w:color w:val="1155CC"/>
            <w:u w:val="single"/>
          </w:rPr>
          <w:t>10.1126/science.aeg0560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[421] </w:t>
      </w:r>
      <w:hyperlink r:id="rId1000">
        <w:r>
          <w:rPr>
            <w:color w:val="1155CC"/>
            <w:u w:val="single"/>
          </w:rPr>
          <w:t>全球甲烷观测系统以追踪气候反馈，实现可验证的气候影响</w:t>
        </w:r>
      </w:hyperlink>
    </w:p>
    <w:p>
      <w:pPr>
        <w:spacing w:before="0" w:after="80"/>
      </w:pPr>
      <w:r>
        <w:rPr>
          <w:i/>
          <w:sz w:val="20"/>
        </w:rPr>
        <w:t>EN: A global methane observation system to track climate feedbacks for verifiable climate impact</w:t>
      </w:r>
    </w:p>
    <w:p>
      <w:pPr>
        <w:spacing w:before="0" w:after="120"/>
      </w:pPr>
      <w:r>
        <w:rPr>
          <w:b/>
        </w:rPr>
        <w:t xml:space="preserve">Source: </w:t>
      </w:r>
      <w:r>
        <w:t>AAAS: Science: Table of Contents</w:t>
      </w:r>
      <w:r>
        <w:t xml:space="preserve">    </w:t>
      </w:r>
      <w:r>
        <w:rPr>
          <w:b/>
        </w:rPr>
        <w:t xml:space="preserve">Pub date: </w:t>
      </w:r>
      <w:r>
        <w:t>2026-03-26 06:00:07+00:00</w:t>
      </w:r>
      <w:r>
        <w:t xml:space="preserve">    </w:t>
      </w:r>
      <w:r>
        <w:rPr>
          <w:b/>
        </w:rPr>
        <w:t xml:space="preserve">DOI: </w:t>
      </w:r>
      <w:hyperlink r:id="rId1001">
        <w:r>
          <w:rPr>
            <w:color w:val="1155CC"/>
            <w:u w:val="single"/>
          </w:rPr>
          <w:t>10.1126/science.aef0459</w:t>
        </w:r>
      </w:hyperlink>
    </w:p>
    <w:p>
      <w:pPr>
        <w:spacing w:before="0" w:after="120"/>
      </w:pPr>
      <w:r>
        <w:rPr>
          <w:b/>
        </w:rPr>
        <w:t xml:space="preserve">Notes: </w:t>
      </w:r>
      <w:r>
        <w:t>abstract_source=crossref</w:t>
      </w:r>
    </w:p>
    <w:p>
      <w:pPr>
        <w:spacing w:before="0" w:after="80" w:lineRule="auto" w:line="276"/>
      </w:pPr>
      <w:r>
        <w:rPr>
          <w:b/>
        </w:rPr>
        <w:t xml:space="preserve">摘要（ZH）: </w:t>
      </w:r>
      <w:r>
        <w:t>甲烷测量，特别是自然来源的测量，需要大幅扩展。</w:t>
      </w:r>
    </w:p>
    <w:p>
      <w:pPr>
        <w:spacing w:before="0" w:after="200" w:lineRule="auto" w:line="276"/>
      </w:pPr>
      <w:r>
        <w:rPr>
          <w:b/>
        </w:rPr>
        <w:t xml:space="preserve">Abstract (EN): </w:t>
      </w:r>
      <w:r>
        <w:t>Methane measurements, particularly of natural sources, need to be expanded considerably</w:t>
      </w:r>
    </w:p>
    <w:p>
      <w:pPr>
        <w:spacing w:before="120" w:after="120"/>
      </w:pPr>
      <w:r>
        <w:rPr>
          <w:sz w:val="18"/>
        </w:rPr>
        <w:t>——————————————————————————————————————————————————————————————————————</w:t>
      </w:r>
    </w:p>
    <w:p>
      <w:pPr>
        <w:spacing w:before="160" w:after="40" w:line="240" w:lineRule="auto"/>
      </w:pPr>
      <w:r>
        <w:rPr>
          <w:b/>
        </w:rPr>
        <w:t xml:space="preserve">[422] </w:t>
      </w:r>
      <w:hyperlink r:id="rId1002">
        <w:r>
          <w:rPr>
            <w:color w:val="1155CC"/>
            <w:u w:val="single"/>
          </w:rPr>
          <w:t>尼安德特人在刀刃上生活了350,000年</w:t>
        </w:r>
      </w:hyperlink>
    </w:p>
    <w:p>
      <w:pPr>
        <w:spacing w:before="0" w:after="80"/>
      </w:pPr>
      <w:r>
        <w:rPr>
          <w:i/>
          <w:sz w:val="20"/>
        </w:rPr>
        <w:t>EN: Neanderthals lived on a knife’s edge for 350,000 years</w:t>
      </w:r>
    </w:p>
    <w:p>
      <w:pPr>
        <w:spacing w:before="0" w:after="120"/>
      </w:pPr>
      <w:r>
        <w:rPr>
          <w:b/>
        </w:rPr>
        <w:t xml:space="preserve">Source: </w:t>
      </w:r>
      <w:r>
        <w:t>AAAS: Science: Table of Contents</w:t>
      </w:r>
      <w:r>
        <w:t xml:space="preserve">    </w:t>
      </w:r>
      <w:r>
        <w:rPr>
          <w:b/>
        </w:rPr>
        <w:t xml:space="preserve">Pub date: </w:t>
      </w:r>
      <w:r>
        <w:t>2026-03-26 06:00:07+00:00</w:t>
      </w:r>
      <w:r>
        <w:t xml:space="preserve">    </w:t>
      </w:r>
      <w:r>
        <w:rPr>
          <w:b/>
        </w:rPr>
        <w:t xml:space="preserve">DOI: </w:t>
      </w:r>
      <w:hyperlink r:id="rId1003">
        <w:r>
          <w:rPr>
            <w:color w:val="1155CC"/>
            <w:u w:val="single"/>
          </w:rPr>
          <w:t>10.1126/science.aeh4833</w:t>
        </w:r>
      </w:hyperlink>
    </w:p>
    <w:p>
      <w:pPr>
        <w:spacing w:before="0" w:after="120"/>
      </w:pPr>
      <w:r>
        <w:rPr>
          <w:b/>
        </w:rPr>
        <w:t xml:space="preserve">Notes: </w:t>
      </w:r>
      <w:r>
        <w:t>abstract_source=crossref</w:t>
      </w:r>
    </w:p>
    <w:p>
      <w:pPr>
        <w:spacing w:before="0" w:after="80" w:lineRule="auto" w:line="276"/>
      </w:pPr>
      <w:r>
        <w:rPr>
          <w:b/>
        </w:rPr>
        <w:t xml:space="preserve">摘要（ZH）: </w:t>
      </w:r>
      <w:r>
        <w:t>一对研究揭示了这些人类漫长而艰难的生存历程</w:t>
      </w:r>
    </w:p>
    <w:p>
      <w:pPr>
        <w:spacing w:before="0" w:after="200" w:lineRule="auto" w:line="276"/>
      </w:pPr>
      <w:r>
        <w:rPr>
          <w:b/>
        </w:rPr>
        <w:t xml:space="preserve">Abstract (EN): </w:t>
      </w:r>
      <w:r>
        <w:t>A pair of studies illuminates these humans’ long, hardscrabble existence</w:t>
      </w:r>
    </w:p>
    <w:p>
      <w:pPr>
        <w:spacing w:before="120" w:after="120"/>
      </w:pPr>
      <w:r>
        <w:rPr>
          <w:sz w:val="18"/>
        </w:rPr>
        <w:t>——————————————————————————————————————————————————————————————————————</w:t>
      </w:r>
    </w:p>
    <w:p>
      <w:pPr>
        <w:spacing w:before="160" w:after="40" w:line="240" w:lineRule="auto"/>
      </w:pPr>
      <w:r>
        <w:rPr>
          <w:b/>
        </w:rPr>
        <w:t xml:space="preserve">[423] </w:t>
      </w:r>
      <w:hyperlink r:id="rId1004">
        <w:r>
          <w:rPr>
            <w:color w:val="1155CC"/>
            <w:u w:val="single"/>
          </w:rPr>
          <w:t>煤转气过渡加剧了中国的公平性问题</w:t>
        </w:r>
      </w:hyperlink>
    </w:p>
    <w:p>
      <w:pPr>
        <w:spacing w:before="0" w:after="80"/>
      </w:pPr>
      <w:r>
        <w:rPr>
          <w:i/>
          <w:sz w:val="20"/>
        </w:rPr>
        <w:t>EN: Coal-to-gas transition strains equity in China</w:t>
      </w:r>
    </w:p>
    <w:p>
      <w:pPr>
        <w:spacing w:before="0" w:after="120"/>
      </w:pPr>
      <w:r>
        <w:rPr>
          <w:b/>
        </w:rPr>
        <w:t xml:space="preserve">Source: </w:t>
      </w:r>
      <w:r>
        <w:t>AAAS: Science: Table of Contents</w:t>
      </w:r>
      <w:r>
        <w:t xml:space="preserve">    </w:t>
      </w:r>
      <w:r>
        <w:rPr>
          <w:b/>
        </w:rPr>
        <w:t xml:space="preserve">Pub date: </w:t>
      </w:r>
      <w:r>
        <w:t>2026-03-26 06:00:07+00:00</w:t>
      </w:r>
      <w:r>
        <w:t xml:space="preserve">    </w:t>
      </w:r>
      <w:r>
        <w:rPr>
          <w:b/>
        </w:rPr>
        <w:t xml:space="preserve">DOI: </w:t>
      </w:r>
      <w:hyperlink r:id="rId1005">
        <w:r>
          <w:rPr>
            <w:color w:val="1155CC"/>
            <w:u w:val="single"/>
          </w:rPr>
          <w:t>10.1126/science.aef7960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[424] </w:t>
      </w:r>
      <w:hyperlink r:id="rId1006">
        <w:r>
          <w:rPr>
            <w:color w:val="1155CC"/>
            <w:u w:val="single"/>
          </w:rPr>
          <w:t>来自私人月球着陆器的首次科学挑战了月球火山活动的图景</w:t>
        </w:r>
      </w:hyperlink>
    </w:p>
    <w:p>
      <w:pPr>
        <w:spacing w:before="0" w:after="80"/>
      </w:pPr>
      <w:r>
        <w:rPr>
          <w:i/>
          <w:sz w:val="20"/>
        </w:rPr>
        <w:t>EN: First science from private Moon lander challenges picture of lunar volcanism</w:t>
      </w:r>
    </w:p>
    <w:p>
      <w:pPr>
        <w:spacing w:before="0" w:after="120"/>
      </w:pPr>
      <w:r>
        <w:rPr>
          <w:b/>
        </w:rPr>
        <w:t xml:space="preserve">Source: </w:t>
      </w:r>
      <w:r>
        <w:t>AAAS: Science: Table of Contents</w:t>
      </w:r>
      <w:r>
        <w:t xml:space="preserve">    </w:t>
      </w:r>
      <w:r>
        <w:rPr>
          <w:b/>
        </w:rPr>
        <w:t xml:space="preserve">Pub date: </w:t>
      </w:r>
      <w:r>
        <w:t>2026-03-26 06:00:07+00:00</w:t>
      </w:r>
      <w:r>
        <w:t xml:space="preserve">    </w:t>
      </w:r>
      <w:r>
        <w:rPr>
          <w:b/>
        </w:rPr>
        <w:t xml:space="preserve">DOI: </w:t>
      </w:r>
      <w:hyperlink r:id="rId1007">
        <w:r>
          <w:rPr>
            <w:color w:val="1155CC"/>
            <w:u w:val="single"/>
          </w:rPr>
          <w:t>10.1126/science.aeh4835</w:t>
        </w:r>
      </w:hyperlink>
    </w:p>
    <w:p>
      <w:pPr>
        <w:spacing w:before="0" w:after="120"/>
      </w:pPr>
      <w:r>
        <w:rPr>
          <w:b/>
        </w:rPr>
        <w:t xml:space="preserve">Notes: </w:t>
      </w:r>
      <w:r>
        <w:t>abstract_source=crossref</w:t>
      </w:r>
    </w:p>
    <w:p>
      <w:pPr>
        <w:spacing w:before="0" w:after="80" w:lineRule="auto" w:line="276"/>
      </w:pPr>
      <w:r>
        <w:rPr>
          <w:b/>
        </w:rPr>
        <w:t xml:space="preserve">摘要（ZH）: </w:t>
      </w:r>
      <w:r>
        <w:t>Blue Ghost数据表明NASA日益增长的商业月球计划可以取得成果</w:t>
      </w:r>
    </w:p>
    <w:p>
      <w:pPr>
        <w:spacing w:before="0" w:after="200" w:lineRule="auto" w:line="276"/>
      </w:pPr>
      <w:r>
        <w:rPr>
          <w:b/>
        </w:rPr>
        <w:t xml:space="preserve">Abstract (EN): </w:t>
      </w:r>
      <w:r>
        <w:t>Blue Ghost data suggest NASA’s growing commercial Moon program can deliver results</w:t>
      </w:r>
    </w:p>
    <w:p>
      <w:pPr>
        <w:spacing w:before="120" w:after="120"/>
      </w:pPr>
      <w:r>
        <w:rPr>
          <w:sz w:val="18"/>
        </w:rPr>
        <w:t>——————————————————————————————————————————————————————————————————————</w:t>
      </w:r>
    </w:p>
    <w:p>
      <w:pPr>
        <w:spacing w:before="160" w:after="40" w:line="240" w:lineRule="auto"/>
      </w:pPr>
      <w:r>
        <w:rPr>
          <w:b/>
        </w:rPr>
        <w:t xml:space="preserve">[425] </w:t>
      </w:r>
      <w:hyperlink r:id="rId1008">
        <w:r>
          <w:rPr>
            <w:color w:val="1155CC"/>
            <w:u w:val="single"/>
          </w:rPr>
          <w:t>装死</w:t>
        </w:r>
      </w:hyperlink>
    </w:p>
    <w:p>
      <w:pPr>
        <w:spacing w:before="0" w:after="80"/>
      </w:pPr>
      <w:r>
        <w:rPr>
          <w:i/>
          <w:sz w:val="20"/>
        </w:rPr>
        <w:t>EN: Playing dead</w:t>
      </w:r>
    </w:p>
    <w:p>
      <w:pPr>
        <w:spacing w:before="0" w:after="120"/>
      </w:pPr>
      <w:r>
        <w:rPr>
          <w:b/>
        </w:rPr>
        <w:t xml:space="preserve">Source: </w:t>
      </w:r>
      <w:r>
        <w:t>AAAS: Science: Table of Contents</w:t>
      </w:r>
      <w:r>
        <w:t xml:space="preserve">    </w:t>
      </w:r>
      <w:r>
        <w:rPr>
          <w:b/>
        </w:rPr>
        <w:t xml:space="preserve">Pub date: </w:t>
      </w:r>
      <w:r>
        <w:t>2026-03-26 06:00:07+00:00</w:t>
      </w:r>
      <w:r>
        <w:t xml:space="preserve">    </w:t>
      </w:r>
      <w:r>
        <w:rPr>
          <w:b/>
        </w:rPr>
        <w:t xml:space="preserve">DOI: </w:t>
      </w:r>
      <w:hyperlink r:id="rId1009">
        <w:r>
          <w:rPr>
            <w:color w:val="1155CC"/>
            <w:u w:val="single"/>
          </w:rPr>
          <w:t>10.1126/science.aeh4465</w:t>
        </w:r>
      </w:hyperlink>
    </w:p>
    <w:p>
      <w:pPr>
        <w:spacing w:before="0" w:after="120"/>
      </w:pPr>
      <w:r>
        <w:rPr>
          <w:b/>
        </w:rPr>
        <w:t xml:space="preserve">Notes: </w:t>
      </w:r>
      <w:r>
        <w:t>abstract_source=crossref</w:t>
      </w:r>
    </w:p>
    <w:p>
      <w:pPr>
        <w:spacing w:before="0" w:after="80" w:lineRule="auto" w:line="276"/>
      </w:pPr>
      <w:r>
        <w:rPr>
          <w:b/>
        </w:rPr>
        <w:t xml:space="preserve">摘要（ZH）: </w:t>
      </w:r>
      <w:r>
        <w:t>复活植物在干旱中可以枯萎至无，随后又能恢复生机。Jill Farrant认为这一壮举对农作物有启示</w:t>
      </w:r>
    </w:p>
    <w:p>
      <w:pPr>
        <w:spacing w:before="0" w:after="200" w:lineRule="auto" w:line="276"/>
      </w:pPr>
      <w:r>
        <w:rPr>
          <w:b/>
        </w:rPr>
        <w:t xml:space="preserve">Abstract (EN): </w:t>
      </w:r>
      <w:r>
        <w:t>Resurrection plants can wither to nothing in a drought, then spring back to life. Jill Farrant thinks the feat holds lessons for crops</w:t>
      </w:r>
    </w:p>
    <w:p>
      <w:pPr>
        <w:spacing w:before="120" w:after="120"/>
      </w:pPr>
      <w:r>
        <w:rPr>
          <w:sz w:val="18"/>
        </w:rPr>
        <w:t>——————————————————————————————————————————————————————————————————————</w:t>
      </w:r>
    </w:p>
    <w:p>
      <w:pPr>
        <w:spacing w:before="160" w:after="40" w:line="240" w:lineRule="auto"/>
      </w:pPr>
      <w:r>
        <w:rPr>
          <w:b/>
        </w:rPr>
        <w:t xml:space="preserve">[426] </w:t>
      </w:r>
      <w:hyperlink r:id="rId1010">
        <w:r>
          <w:rPr>
            <w:color w:val="1155CC"/>
            <w:u w:val="single"/>
          </w:rPr>
          <w:t>伊朗战争对文化遗址造成附带损害</w:t>
        </w:r>
      </w:hyperlink>
    </w:p>
    <w:p>
      <w:pPr>
        <w:spacing w:before="0" w:after="80"/>
      </w:pPr>
      <w:r>
        <w:rPr>
          <w:i/>
          <w:sz w:val="20"/>
        </w:rPr>
        <w:t>EN: Iran war rains collateral damage on heritage sites</w:t>
      </w:r>
    </w:p>
    <w:p>
      <w:pPr>
        <w:spacing w:before="0" w:after="120"/>
      </w:pPr>
      <w:r>
        <w:rPr>
          <w:b/>
        </w:rPr>
        <w:t xml:space="preserve">Source: </w:t>
      </w:r>
      <w:r>
        <w:t>AAAS: Science: Table of Contents</w:t>
      </w:r>
      <w:r>
        <w:t xml:space="preserve">    </w:t>
      </w:r>
      <w:r>
        <w:rPr>
          <w:b/>
        </w:rPr>
        <w:t xml:space="preserve">Pub date: </w:t>
      </w:r>
      <w:r>
        <w:t>2026-03-26 06:00:07+00:00</w:t>
      </w:r>
      <w:r>
        <w:t xml:space="preserve">    </w:t>
      </w:r>
      <w:r>
        <w:rPr>
          <w:b/>
        </w:rPr>
        <w:t xml:space="preserve">DOI: </w:t>
      </w:r>
      <w:hyperlink r:id="rId1011">
        <w:r>
          <w:rPr>
            <w:color w:val="1155CC"/>
            <w:u w:val="single"/>
          </w:rPr>
          <w:t>10.1126/science.aeh4832</w:t>
        </w:r>
      </w:hyperlink>
    </w:p>
    <w:p>
      <w:pPr>
        <w:spacing w:before="0" w:after="120"/>
      </w:pPr>
      <w:r>
        <w:rPr>
          <w:b/>
        </w:rPr>
        <w:t xml:space="preserve">Notes: </w:t>
      </w:r>
      <w:r>
        <w:t>abstract_source=crossref</w:t>
      </w:r>
    </w:p>
    <w:p>
      <w:pPr>
        <w:spacing w:before="0" w:after="80" w:lineRule="auto" w:line="276"/>
      </w:pPr>
      <w:r>
        <w:rPr>
          <w:b/>
        </w:rPr>
        <w:t xml:space="preserve">摘要（ZH）: </w:t>
      </w:r>
      <w:r>
        <w:t>互联网中断和学术孤立使追踪美以打击的文化损失的努力蒙上阴影</w:t>
      </w:r>
    </w:p>
    <w:p>
      <w:pPr>
        <w:spacing w:before="0" w:after="200" w:lineRule="auto" w:line="276"/>
      </w:pPr>
      <w:r>
        <w:rPr>
          <w:b/>
        </w:rPr>
        <w:t xml:space="preserve">Abstract (EN): </w:t>
      </w:r>
      <w:r>
        <w:t>Internet blackouts and academic isolation cloud efforts to track cultural toll of U.S.-Israeli strikes</w:t>
      </w:r>
    </w:p>
    <w:p>
      <w:pPr>
        <w:spacing w:before="120" w:after="120"/>
      </w:pPr>
      <w:r>
        <w:rPr>
          <w:sz w:val="18"/>
        </w:rPr>
        <w:t>——————————————————————————————————————————————————————————————————————</w:t>
      </w:r>
    </w:p>
    <w:p>
      <w:pPr>
        <w:spacing w:before="160" w:after="40" w:line="240" w:lineRule="auto"/>
      </w:pPr>
      <w:r>
        <w:rPr>
          <w:b/>
        </w:rPr>
        <w:t xml:space="preserve">[427] </w:t>
      </w:r>
      <w:hyperlink r:id="rId1012">
        <w:r>
          <w:rPr>
            <w:color w:val="1155CC"/>
            <w:u w:val="single"/>
          </w:rPr>
          <w:t>非亲属在分娩期间的合作支持抹香鲸的社会复杂性</w:t>
        </w:r>
      </w:hyperlink>
    </w:p>
    <w:p>
      <w:pPr>
        <w:spacing w:before="0" w:after="80"/>
      </w:pPr>
      <w:r>
        <w:rPr>
          <w:i/>
          <w:sz w:val="20"/>
        </w:rPr>
        <w:t>EN: Cooperation by non-kin during birth underpins sperm whale social complexity</w:t>
      </w:r>
    </w:p>
    <w:p>
      <w:pPr>
        <w:spacing w:before="0" w:after="120"/>
      </w:pPr>
      <w:r>
        <w:rPr>
          <w:b/>
        </w:rPr>
        <w:t xml:space="preserve">Source: </w:t>
      </w:r>
      <w:r>
        <w:t>AAAS: Science: Table of Contents</w:t>
      </w:r>
      <w:r>
        <w:t xml:space="preserve">    </w:t>
      </w:r>
      <w:r>
        <w:rPr>
          <w:b/>
        </w:rPr>
        <w:t xml:space="preserve">Pub date: </w:t>
      </w:r>
      <w:r>
        <w:t>2026-03-26 06:00:07+00:00</w:t>
      </w:r>
      <w:r>
        <w:t xml:space="preserve">    </w:t>
      </w:r>
      <w:r>
        <w:rPr>
          <w:b/>
        </w:rPr>
        <w:t xml:space="preserve">DOI: </w:t>
      </w:r>
      <w:hyperlink r:id="rId1013">
        <w:r>
          <w:rPr>
            <w:color w:val="1155CC"/>
            <w:u w:val="single"/>
          </w:rPr>
          <w:t>10.1126/science.ady9280</w:t>
        </w:r>
      </w:hyperlink>
    </w:p>
    <w:p>
      <w:pPr>
        <w:spacing w:before="0" w:after="120"/>
      </w:pPr>
      <w:r>
        <w:rPr>
          <w:b/>
        </w:rPr>
        <w:t xml:space="preserve">Notes: </w:t>
      </w:r>
      <w:r>
        <w:t>abstract_source=crossref</w:t>
      </w:r>
    </w:p>
    <w:p>
      <w:pPr>
        <w:spacing w:before="0" w:after="80" w:lineRule="auto" w:line="276"/>
      </w:pPr>
      <w:r>
        <w:rPr>
          <w:b/>
        </w:rPr>
        <w:t xml:space="preserve">摘要（ZH）: </w:t>
      </w:r>
      <w:r>
        <w:t>我们定量记录了一次抹香鲸的出生事件，揭示了跨亲缘关系的集体支持行为。利用高分辨率无人机镜头、计算机视觉和多尺度网络分析，我们研究了一个由两个母系组成的加勒比抹香鲸群体内的互动。我们的结果表明，一名女性家庭成员领导了分娩协助，并且在分娩后，所有个体都面向并帮助抬起新生儿，轮流进行协调的跨亲缘努力。尽管历史上观察到觅食隔离，亲缘障碍消失，因为所有群体成员都参与其中。这些分析提供了非灵长类物种中分娩出席或协助的证据，这种行为长期以来被认为仅是人类及其近亲的特征。</w:t>
      </w:r>
    </w:p>
    <w:p>
      <w:pPr>
        <w:spacing w:before="0" w:after="200" w:lineRule="auto" w:line="276"/>
      </w:pPr>
      <w:r>
        <w:rPr>
          <w:b/>
        </w:rPr>
        <w:t xml:space="preserve">Abstract (EN): </w:t>
      </w:r>
      <w:r>
        <w:t>We quantitatively document a sperm whale birth event, revealing collective support behaviors across kinship lines. Using high-resolution drone footage, computer vision, and multiscale network analysis, we studied the interactions within a Caribbean sperm whale unit comprising two matrilines. Our results suggest that a female family member led birth assistance and that after delivery, all individuals oriented toward and helped lift the newborn, taking turns in a coordinated, cross-kin effort. Despite historically observed foraging segregation, kinship barriers dissolved as all unit members contributed. These analyses provide evidence of birth attendance, or assistance, in a nonprimate species, a behavior long considered characteristic only of humans and their close relatives.</w:t>
      </w:r>
    </w:p>
    <w:p>
      <w:pPr>
        <w:spacing w:before="120" w:after="120"/>
      </w:pPr>
      <w:r>
        <w:rPr>
          <w:sz w:val="18"/>
        </w:rPr>
        <w:t>——————————————————————————————————————————————————————————————————————</w:t>
      </w:r>
    </w:p>
    <w:p>
      <w:pPr>
        <w:spacing w:before="160" w:after="40" w:line="240" w:lineRule="auto"/>
      </w:pPr>
      <w:r>
        <w:rPr>
          <w:b/>
        </w:rPr>
        <w:t xml:space="preserve">[428] </w:t>
      </w:r>
      <w:hyperlink r:id="rId1014">
        <w:r>
          <w:rPr>
            <w:color w:val="1155CC"/>
            <w:u w:val="single"/>
          </w:rPr>
          <w:t>‘晨吐激素’可能有助于减少酒精摄入</w:t>
        </w:r>
      </w:hyperlink>
    </w:p>
    <w:p>
      <w:pPr>
        <w:spacing w:before="0" w:after="80"/>
      </w:pPr>
      <w:r>
        <w:rPr>
          <w:i/>
          <w:sz w:val="20"/>
        </w:rPr>
        <w:t>EN: ‘Morning sickness hormone’ may help reduce alcohol intake</w:t>
      </w:r>
    </w:p>
    <w:p>
      <w:pPr>
        <w:spacing w:before="0" w:after="120"/>
      </w:pPr>
      <w:r>
        <w:rPr>
          <w:b/>
        </w:rPr>
        <w:t xml:space="preserve">Source: </w:t>
      </w:r>
      <w:r>
        <w:t>AAAS: Science: Table of Contents</w:t>
      </w:r>
      <w:r>
        <w:t xml:space="preserve">    </w:t>
      </w:r>
      <w:r>
        <w:rPr>
          <w:b/>
        </w:rPr>
        <w:t xml:space="preserve">Pub date: </w:t>
      </w:r>
      <w:r>
        <w:t>2026-03-26 06:00:07+00:00</w:t>
      </w:r>
      <w:r>
        <w:t xml:space="preserve">    </w:t>
      </w:r>
      <w:r>
        <w:rPr>
          <w:b/>
        </w:rPr>
        <w:t xml:space="preserve">DOI: </w:t>
      </w:r>
      <w:hyperlink r:id="rId1015">
        <w:r>
          <w:rPr>
            <w:color w:val="1155CC"/>
            <w:u w:val="single"/>
          </w:rPr>
          <w:t>10.1126/science.aeh4834</w:t>
        </w:r>
      </w:hyperlink>
    </w:p>
    <w:p>
      <w:pPr>
        <w:spacing w:before="0" w:after="120"/>
      </w:pPr>
      <w:r>
        <w:rPr>
          <w:b/>
        </w:rPr>
        <w:t xml:space="preserve">Notes: </w:t>
      </w:r>
      <w:r>
        <w:t>abstract_source=crossref</w:t>
      </w:r>
    </w:p>
    <w:p>
      <w:pPr>
        <w:spacing w:before="0" w:after="80" w:lineRule="auto" w:line="276"/>
      </w:pPr>
      <w:r>
        <w:rPr>
          <w:b/>
        </w:rPr>
        <w:t xml:space="preserve">摘要（ZH）: </w:t>
      </w:r>
      <w:r>
        <w:t>研究人员认为，GDF15被认为在怀孕期间导致恶心，也起到抑制饮酒的作用</w:t>
      </w:r>
    </w:p>
    <w:p>
      <w:pPr>
        <w:spacing w:before="0" w:after="200" w:lineRule="auto" w:line="276"/>
      </w:pPr>
      <w:r>
        <w:rPr>
          <w:b/>
        </w:rPr>
        <w:t xml:space="preserve">Abstract (EN): </w:t>
      </w:r>
      <w:r>
        <w:t>GDF15, thought to contribute to nausea during pregnancy, also acts as a brake on drinking, researchers argue</w:t>
      </w:r>
    </w:p>
    <w:p>
      <w:pPr>
        <w:spacing w:before="120" w:after="120"/>
      </w:pPr>
      <w:r>
        <w:rPr>
          <w:sz w:val="18"/>
        </w:rPr>
        <w:t>——————————————————————————————————————————————————————————————————————</w:t>
      </w:r>
    </w:p>
    <w:p>
      <w:pPr>
        <w:spacing w:before="160" w:after="40" w:line="240" w:lineRule="auto"/>
      </w:pPr>
      <w:r>
        <w:rPr>
          <w:b/>
        </w:rPr>
        <w:t xml:space="preserve">[429] </w:t>
      </w:r>
      <w:hyperlink r:id="rId1016">
        <w:r>
          <w:rPr>
            <w:color w:val="1155CC"/>
            <w:u w:val="single"/>
          </w:rPr>
          <w:t>SWOT探测到与2025年堪察加地震近海沟源相关的分散海啸</w:t>
        </w:r>
      </w:hyperlink>
    </w:p>
    <w:p>
      <w:pPr>
        <w:spacing w:before="0" w:after="80"/>
      </w:pPr>
      <w:r>
        <w:rPr>
          <w:i/>
          <w:sz w:val="20"/>
        </w:rPr>
        <w:t>EN: SWOT detects dispersive tsunami tied to a near-trench source in the 2025 Kamchatka earthquake</w:t>
      </w:r>
    </w:p>
    <w:p>
      <w:pPr>
        <w:spacing w:before="0" w:after="120"/>
      </w:pPr>
      <w:r>
        <w:rPr>
          <w:b/>
        </w:rPr>
        <w:t xml:space="preserve">Source: </w:t>
      </w:r>
      <w:r>
        <w:t>AAAS: Science: Table of Contents</w:t>
      </w:r>
      <w:r>
        <w:t xml:space="preserve">    </w:t>
      </w:r>
      <w:r>
        <w:rPr>
          <w:b/>
        </w:rPr>
        <w:t xml:space="preserve">Pub date: </w:t>
      </w:r>
      <w:r>
        <w:t>2026-03-26 06:00:07+00:00</w:t>
      </w:r>
      <w:r>
        <w:t xml:space="preserve">    </w:t>
      </w:r>
      <w:r>
        <w:rPr>
          <w:b/>
        </w:rPr>
        <w:t xml:space="preserve">DOI: </w:t>
      </w:r>
      <w:hyperlink r:id="rId1017">
        <w:r>
          <w:rPr>
            <w:color w:val="1155CC"/>
            <w:u w:val="single"/>
          </w:rPr>
          <w:t>10.1126/science.aeb8634</w:t>
        </w:r>
      </w:hyperlink>
    </w:p>
    <w:p>
      <w:pPr>
        <w:spacing w:before="0" w:after="120"/>
      </w:pPr>
      <w:r>
        <w:rPr>
          <w:b/>
        </w:rPr>
        <w:t xml:space="preserve">Notes: </w:t>
      </w:r>
      <w:r>
        <w:t>abstract_source=crossref</w:t>
      </w:r>
    </w:p>
    <w:p>
      <w:pPr>
        <w:spacing w:before="0" w:after="80" w:lineRule="auto" w:line="276"/>
      </w:pPr>
      <w:r>
        <w:rPr>
          <w:b/>
        </w:rPr>
        <w:t xml:space="preserve">摘要（ZH）: </w:t>
      </w:r>
      <w:r>
        <w:t>来自大型俯冲地震的海啸对沿海地区构成严重威胁，但其在海沟附近的生成过程仍然受到陆基地震测地数据和远距离深水传感器的限制。在2025年7月29日发生的8.8级堪察加地震之后，NASA/CNES的水面和海洋地形（SWOT）卫星捕捉到了一列明显的短波长海啸波，我们将其与海沟附近的海啸生成联系起来。地震滑动的敏感性分析表明，海啸生成发生在距海沟10公里以内，这一推断无法仅通过陆地地震学和测地学或稀疏的深水海底压力记录获得。这些结果提供了首次高分辨率的二维空间观测，直接将测量到的色散海啸波场与</w:t>
      </w:r>
    </w:p>
    <w:p>
      <w:pPr>
        <w:spacing w:before="0" w:after="200" w:lineRule="auto" w:line="276"/>
      </w:pPr>
      <w:r>
        <w:rPr>
          <w:b/>
        </w:rPr>
        <w:t xml:space="preserve">Abstract (EN): </w:t>
      </w:r>
      <w:r>
        <w:t>Tsunamis from large subduction earthquakes pose severe coastal hazards, yet their genesis near the trench remains poorly constrained by land-based seismic geodetic data and distant deep-water sensors. Following the 29 July 2025 magnitude 8.8 Kamchatka earthquake, the NASA/CNES Surface Water and Ocean Topography (SWOT) satellite captured a distinct train of short-wavelength tsunami waves, which we link to near-trench tsunamigenesis. Sensitivity analyses of earthquake slip indicated tsunamigenesis within 10 kilometers of the trench, an inference not attainable from land seismology and geodesy or sparse deep-water seafloor pressure records alone. These results provide the first high-resolution, two-dimensional spaceborne observation directly linking the measured dispersive tsunami wavefield to near-trench tsunamigenesis, extending earlier model- and gauge-based inferences. They establish SWOT as a constraint on source processes, with implications for tsunami hazard science and subduction-zone geodynamics.</w:t>
      </w:r>
    </w:p>
    <w:p>
      <w:pPr>
        <w:spacing w:before="120" w:after="120"/>
      </w:pPr>
      <w:r>
        <w:rPr>
          <w:sz w:val="18"/>
        </w:rPr>
        <w:t>——————————————————————————————————————————————————————————————————————</w:t>
      </w:r>
    </w:p>
    <w:p>
      <w:pPr>
        <w:spacing w:before="160" w:after="40" w:line="240" w:lineRule="auto"/>
      </w:pPr>
      <w:r>
        <w:rPr>
          <w:b/>
        </w:rPr>
        <w:t xml:space="preserve">[430] </w:t>
      </w:r>
      <w:hyperlink r:id="rId1018">
        <w:r>
          <w:rPr>
            <w:color w:val="1155CC"/>
            <w:u w:val="single"/>
          </w:rPr>
          <w:t>在科学期刊中</w:t>
        </w:r>
      </w:hyperlink>
    </w:p>
    <w:p>
      <w:pPr>
        <w:spacing w:before="0" w:after="80"/>
      </w:pPr>
      <w:r>
        <w:rPr>
          <w:i/>
          <w:sz w:val="20"/>
        </w:rPr>
        <w:t>EN: In Science Journals</w:t>
      </w:r>
    </w:p>
    <w:p>
      <w:pPr>
        <w:spacing w:before="0" w:after="120"/>
      </w:pPr>
      <w:r>
        <w:rPr>
          <w:b/>
        </w:rPr>
        <w:t xml:space="preserve">Source: </w:t>
      </w:r>
      <w:r>
        <w:t>AAAS: Science: Table of Contents</w:t>
      </w:r>
      <w:r>
        <w:t xml:space="preserve">    </w:t>
      </w:r>
      <w:r>
        <w:rPr>
          <w:b/>
        </w:rPr>
        <w:t xml:space="preserve">Pub date: </w:t>
      </w:r>
      <w:r>
        <w:t>2026-03-26 06:00:07+00:00</w:t>
      </w:r>
      <w:r>
        <w:t xml:space="preserve">    </w:t>
      </w:r>
      <w:r>
        <w:rPr>
          <w:b/>
        </w:rPr>
        <w:t xml:space="preserve">DOI: </w:t>
      </w:r>
      <w:hyperlink r:id="rId1019">
        <w:r>
          <w:rPr>
            <w:color w:val="1155CC"/>
            <w:u w:val="single"/>
          </w:rPr>
          <w:t>10.1126/science.aeh4463</w:t>
        </w:r>
      </w:hyperlink>
    </w:p>
    <w:p>
      <w:pPr>
        <w:spacing w:before="0" w:after="120"/>
      </w:pPr>
      <w:r>
        <w:rPr>
          <w:b/>
        </w:rPr>
        <w:t xml:space="preserve">Notes: </w:t>
      </w:r>
      <w:r>
        <w:t>abstract_source=crossref</w:t>
      </w:r>
    </w:p>
    <w:p>
      <w:pPr>
        <w:spacing w:before="0" w:after="80" w:lineRule="auto" w:line="276"/>
      </w:pPr>
      <w:r>
        <w:rPr>
          <w:b/>
        </w:rPr>
        <w:t xml:space="preserve">摘要（ZH）: </w:t>
      </w:r>
      <w:r>
        <w:t>《科学》系列期刊的亮点</w:t>
      </w:r>
    </w:p>
    <w:p>
      <w:pPr>
        <w:spacing w:before="0" w:after="200" w:lineRule="auto" w:line="276"/>
      </w:pPr>
      <w:r>
        <w:rPr>
          <w:b/>
        </w:rPr>
        <w:t xml:space="preserve">Abstract (EN): </w:t>
      </w:r>
      <w:r>
        <w:t>Highlights from the</w:t>
      </w:r>
      <w:r>
        <w:t xml:space="preserve"> </w:t>
      </w:r>
      <w:r>
        <w:t>Science</w:t>
      </w:r>
      <w:r>
        <w:t xml:space="preserve"> </w:t>
      </w:r>
      <w:r>
        <w:t>family of journals</w:t>
      </w:r>
    </w:p>
    <w:p>
      <w:pPr>
        <w:spacing w:before="120" w:after="120"/>
      </w:pPr>
      <w:r>
        <w:rPr>
          <w:sz w:val="18"/>
        </w:rPr>
        <w:t>——————————————————————————————————————————————————————————————————————</w:t>
      </w:r>
    </w:p>
    <w:p>
      <w:pPr>
        <w:spacing w:before="160" w:after="40" w:line="240" w:lineRule="auto"/>
      </w:pPr>
      <w:r>
        <w:rPr>
          <w:b/>
        </w:rPr>
        <w:t xml:space="preserve">[431] </w:t>
      </w:r>
      <w:hyperlink r:id="rId1020">
        <w:r>
          <w:rPr>
            <w:color w:val="1155CC"/>
            <w:u w:val="single"/>
          </w:rPr>
          <w:t>在古代狩猎采集者遗址发现世界上最古老的狗</w:t>
        </w:r>
      </w:hyperlink>
    </w:p>
    <w:p>
      <w:pPr>
        <w:spacing w:before="0" w:after="80"/>
      </w:pPr>
      <w:r>
        <w:rPr>
          <w:i/>
          <w:sz w:val="20"/>
        </w:rPr>
        <w:t>EN: World’s oldest dog identified at ancient hunter-gatherer site</w:t>
      </w:r>
    </w:p>
    <w:p>
      <w:pPr>
        <w:spacing w:before="0" w:after="120"/>
      </w:pPr>
      <w:r>
        <w:rPr>
          <w:b/>
        </w:rPr>
        <w:t xml:space="preserve">Source: </w:t>
      </w:r>
      <w:r>
        <w:t>AAAS: Science: Table of Contents</w:t>
      </w:r>
      <w:r>
        <w:t xml:space="preserve">    </w:t>
      </w:r>
      <w:r>
        <w:rPr>
          <w:b/>
        </w:rPr>
        <w:t xml:space="preserve">Pub date: </w:t>
      </w:r>
      <w:r>
        <w:t>2026-03-26 06:00:07+00:00</w:t>
      </w:r>
      <w:r>
        <w:t xml:space="preserve">    </w:t>
      </w:r>
      <w:r>
        <w:rPr>
          <w:b/>
        </w:rPr>
        <w:t xml:space="preserve">DOI: </w:t>
      </w:r>
      <w:hyperlink r:id="rId1021">
        <w:r>
          <w:rPr>
            <w:color w:val="1155CC"/>
            <w:u w:val="single"/>
          </w:rPr>
          <w:t>10.1126/science.aeh4837</w:t>
        </w:r>
      </w:hyperlink>
    </w:p>
    <w:p>
      <w:pPr>
        <w:spacing w:before="0" w:after="120"/>
      </w:pPr>
      <w:r>
        <w:rPr>
          <w:b/>
        </w:rPr>
        <w:t xml:space="preserve">Notes: </w:t>
      </w:r>
      <w:r>
        <w:t>abstract_source=crossref</w:t>
      </w:r>
    </w:p>
    <w:p>
      <w:pPr>
        <w:spacing w:before="0" w:after="80" w:lineRule="auto" w:line="276"/>
      </w:pPr>
      <w:r>
        <w:rPr>
          <w:b/>
        </w:rPr>
        <w:t xml:space="preserve">摘要（ZH）: </w:t>
      </w:r>
      <w:r>
        <w:t>15,800年前的小狗将我们犬类伴侣的确认起源推回了近5000年</w:t>
      </w:r>
    </w:p>
    <w:p>
      <w:pPr>
        <w:spacing w:before="0" w:after="200" w:lineRule="auto" w:line="276"/>
      </w:pPr>
      <w:r>
        <w:rPr>
          <w:b/>
        </w:rPr>
        <w:t xml:space="preserve">Abstract (EN): </w:t>
      </w:r>
      <w:r>
        <w:t>15,800-year-old puppy pushes confirmed origin of our canine companions back nearly 5000 years</w:t>
      </w:r>
    </w:p>
    <w:p>
      <w:pPr>
        <w:spacing w:before="120" w:after="120"/>
      </w:pPr>
      <w:r>
        <w:rPr>
          <w:sz w:val="18"/>
        </w:rPr>
        <w:t>——————————————————————————————————————————————————————————————————————</w:t>
      </w:r>
    </w:p>
    <w:p>
      <w:pPr>
        <w:spacing w:before="160" w:after="40" w:line="240" w:lineRule="auto"/>
      </w:pPr>
      <w:r>
        <w:rPr>
          <w:b/>
        </w:rPr>
        <w:t xml:space="preserve">[432] </w:t>
      </w:r>
      <w:hyperlink r:id="rId1022">
        <w:r>
          <w:rPr>
            <w:color w:val="1155CC"/>
            <w:u w:val="single"/>
          </w:rPr>
          <w:t>开创性的预印本服务器独立运营</w:t>
        </w:r>
      </w:hyperlink>
    </w:p>
    <w:p>
      <w:pPr>
        <w:spacing w:before="0" w:after="80"/>
      </w:pPr>
      <w:r>
        <w:rPr>
          <w:i/>
          <w:sz w:val="20"/>
        </w:rPr>
        <w:t>EN: Pioneering preprint server goes solo</w:t>
      </w:r>
    </w:p>
    <w:p>
      <w:pPr>
        <w:spacing w:before="0" w:after="120"/>
      </w:pPr>
      <w:r>
        <w:rPr>
          <w:b/>
        </w:rPr>
        <w:t xml:space="preserve">Source: </w:t>
      </w:r>
      <w:r>
        <w:t>AAAS: Science: Table of Contents</w:t>
      </w:r>
      <w:r>
        <w:t xml:space="preserve">    </w:t>
      </w:r>
      <w:r>
        <w:rPr>
          <w:b/>
        </w:rPr>
        <w:t xml:space="preserve">Pub date: </w:t>
      </w:r>
      <w:r>
        <w:t>2026-03-26 06:00:07+00:00</w:t>
      </w:r>
      <w:r>
        <w:t xml:space="preserve">    </w:t>
      </w:r>
      <w:r>
        <w:rPr>
          <w:b/>
        </w:rPr>
        <w:t xml:space="preserve">DOI: </w:t>
      </w:r>
      <w:hyperlink r:id="rId1023">
        <w:r>
          <w:rPr>
            <w:color w:val="1155CC"/>
            <w:u w:val="single"/>
          </w:rPr>
          <w:t>10.1126/science.aeh4839</w:t>
        </w:r>
      </w:hyperlink>
    </w:p>
    <w:p>
      <w:pPr>
        <w:spacing w:before="0" w:after="120"/>
      </w:pPr>
      <w:r>
        <w:rPr>
          <w:b/>
        </w:rPr>
        <w:t xml:space="preserve">Notes: </w:t>
      </w:r>
      <w:r>
        <w:t>abstract_source=crossref</w:t>
      </w:r>
    </w:p>
    <w:p>
      <w:pPr>
        <w:spacing w:before="0" w:after="80" w:lineRule="auto" w:line="276"/>
      </w:pPr>
      <w:r>
        <w:rPr>
          <w:b/>
        </w:rPr>
        <w:t xml:space="preserve">摘要（ZH）: </w:t>
      </w:r>
      <w:r>
        <w:t>ArXiv从康奈尔分离，旨在筹集资金以应对快速增长</w:t>
      </w:r>
    </w:p>
    <w:p>
      <w:pPr>
        <w:spacing w:before="0" w:after="200" w:lineRule="auto" w:line="276"/>
      </w:pPr>
      <w:r>
        <w:rPr>
          <w:b/>
        </w:rPr>
        <w:t xml:space="preserve">Abstract (EN): </w:t>
      </w:r>
      <w:r>
        <w:t>ArXiv splits from Cornell, aiming to raise funds to cope with rapid growth</w:t>
      </w:r>
    </w:p>
    <w:p>
      <w:pPr>
        <w:spacing w:before="120" w:after="120"/>
      </w:pPr>
      <w:r>
        <w:rPr>
          <w:sz w:val="18"/>
        </w:rPr>
        <w:t>——————————————————————————————————————————————————————————————————————</w:t>
      </w:r>
    </w:p>
    <w:p>
      <w:pPr>
        <w:spacing w:before="160" w:after="40" w:line="240" w:lineRule="auto"/>
      </w:pPr>
      <w:r>
        <w:rPr>
          <w:b/>
        </w:rPr>
        <w:t xml:space="preserve">[433] </w:t>
      </w:r>
      <w:hyperlink r:id="rId1024">
        <w:r>
          <w:rPr>
            <w:color w:val="1155CC"/>
            <w:u w:val="single"/>
          </w:rPr>
          <w:t>在过冷水中液-液临界点的实验证据</w:t>
        </w:r>
      </w:hyperlink>
    </w:p>
    <w:p>
      <w:pPr>
        <w:spacing w:before="0" w:after="80"/>
      </w:pPr>
      <w:r>
        <w:rPr>
          <w:i/>
          <w:sz w:val="20"/>
        </w:rPr>
        <w:t>EN: Experimental evidence of a liquid-liquid critical point in supercooled water</w:t>
      </w:r>
    </w:p>
    <w:p>
      <w:pPr>
        <w:spacing w:before="0" w:after="120"/>
      </w:pPr>
      <w:r>
        <w:rPr>
          <w:b/>
        </w:rPr>
        <w:t xml:space="preserve">Source: </w:t>
      </w:r>
      <w:r>
        <w:t>AAAS: Science: Table of Contents</w:t>
      </w:r>
      <w:r>
        <w:t xml:space="preserve">    </w:t>
      </w:r>
      <w:r>
        <w:rPr>
          <w:b/>
        </w:rPr>
        <w:t xml:space="preserve">Pub date: </w:t>
      </w:r>
      <w:r>
        <w:t>2026-03-26 06:00:07+00:00</w:t>
      </w:r>
      <w:r>
        <w:t xml:space="preserve">    </w:t>
      </w:r>
      <w:r>
        <w:rPr>
          <w:b/>
        </w:rPr>
        <w:t xml:space="preserve">DOI: </w:t>
      </w:r>
      <w:hyperlink r:id="rId1025">
        <w:r>
          <w:rPr>
            <w:color w:val="1155CC"/>
            <w:u w:val="single"/>
          </w:rPr>
          <w:t>10.1126/science.aec0018</w:t>
        </w:r>
      </w:hyperlink>
    </w:p>
    <w:p>
      <w:pPr>
        <w:spacing w:before="0" w:after="120"/>
      </w:pPr>
      <w:r>
        <w:rPr>
          <w:b/>
        </w:rPr>
        <w:t xml:space="preserve">Notes: </w:t>
      </w:r>
      <w:r>
        <w:t>abstract_source=crossref</w:t>
      </w:r>
    </w:p>
    <w:p>
      <w:pPr>
        <w:spacing w:before="0" w:after="80" w:lineRule="auto" w:line="276"/>
      </w:pPr>
      <w:r>
        <w:rPr>
          <w:b/>
        </w:rPr>
        <w:t xml:space="preserve">摘要（ZH）: </w:t>
      </w:r>
      <w:r>
        <w:t>由于快速结晶，寻找过冷水中液-液临界点具有挑战性。我们通过使用红外超快激光脉冲加热高密度和低密度无定形冰，然后进行X射线散射，研究了冰形成前时间尺度上的过冷水。通过改变泵浦激光的能量密度，我们进入了跨越预测临界点的液态。我们观察到从不连续到连续转变的交叉点，在此处发生了广泛且缓慢的结构变化，与临界波动和减速一致。我们还观察到热容的快速增加，表明在210 ± 8 K时出现临界发散，与增强的密度波动相吻合。这些结果表明我们的实验直接探测到了v</w:t>
      </w:r>
    </w:p>
    <w:p>
      <w:pPr>
        <w:spacing w:before="0" w:after="200" w:lineRule="auto" w:line="276"/>
      </w:pPr>
      <w:r>
        <w:rPr>
          <w:b/>
        </w:rPr>
        <w:t xml:space="preserve">Abstract (EN): </w:t>
      </w:r>
      <w:r>
        <w:t>The search for the liquid-liquid critical point in supercooled water is challenging owing to rapid crystallization. We studied supercooled water at timescales before ice formation by heating high- and low-density amorphous ices using infrared ultrafast laser pulses, followed by x-ray scattering. By varying the pump laser fluence, we accessed liquid states straddling the predicted critical point. We observed a crossover from a discontinuous to a continuous transition at which broad and slow structural variations occurred, consistent with critical fluctuations and slowing down. We also observed a rapid increase in the heat capacity indicating a critical divergence at 210 ± 8 K coincident with enhanced density fluctuations. These results suggest that our experiments have directly probed the vicinity of a critical point in supercooled water.</w:t>
      </w:r>
    </w:p>
    <w:p>
      <w:pPr>
        <w:spacing w:before="120" w:after="120"/>
      </w:pPr>
      <w:r>
        <w:rPr>
          <w:sz w:val="18"/>
        </w:rPr>
        <w:t>——————————————————————————————————————————————————————————————————————</w:t>
      </w:r>
    </w:p>
    <w:p>
      <w:pPr>
        <w:spacing w:before="160" w:after="40" w:line="240" w:lineRule="auto"/>
      </w:pPr>
      <w:r>
        <w:rPr>
          <w:b/>
        </w:rPr>
        <w:t xml:space="preserve">[434] </w:t>
      </w:r>
      <w:hyperlink r:id="rId1026">
        <w:r>
          <w:rPr>
            <w:color w:val="1155CC"/>
            <w:u w:val="single"/>
          </w:rPr>
          <w:t>科学家可以拯救核武器控制</w:t>
        </w:r>
      </w:hyperlink>
    </w:p>
    <w:p>
      <w:pPr>
        <w:spacing w:before="0" w:after="80"/>
      </w:pPr>
      <w:r>
        <w:rPr>
          <w:i/>
          <w:sz w:val="20"/>
        </w:rPr>
        <w:t>EN: Scientists can save nuclear arms control</w:t>
      </w:r>
    </w:p>
    <w:p>
      <w:pPr>
        <w:spacing w:before="0" w:after="120"/>
      </w:pPr>
      <w:r>
        <w:rPr>
          <w:b/>
        </w:rPr>
        <w:t xml:space="preserve">Source: </w:t>
      </w:r>
      <w:r>
        <w:t>AAAS: Science: Table of Contents</w:t>
      </w:r>
      <w:r>
        <w:t xml:space="preserve">    </w:t>
      </w:r>
      <w:r>
        <w:rPr>
          <w:b/>
        </w:rPr>
        <w:t xml:space="preserve">Pub date: </w:t>
      </w:r>
      <w:r>
        <w:t>2026-03-26 06:00:07+00:00</w:t>
      </w:r>
      <w:r>
        <w:t xml:space="preserve">    </w:t>
      </w:r>
      <w:r>
        <w:rPr>
          <w:b/>
        </w:rPr>
        <w:t xml:space="preserve">DOI: </w:t>
      </w:r>
      <w:hyperlink r:id="rId1027">
        <w:r>
          <w:rPr>
            <w:color w:val="1155CC"/>
            <w:u w:val="single"/>
          </w:rPr>
          <w:t>10.1126/science.aeh3556</w:t>
        </w:r>
      </w:hyperlink>
    </w:p>
    <w:p>
      <w:pPr>
        <w:spacing w:before="0" w:after="120"/>
      </w:pPr>
      <w:r>
        <w:rPr>
          <w:b/>
        </w:rPr>
        <w:t xml:space="preserve">Notes: </w:t>
      </w:r>
      <w:r>
        <w:t>abstract_source=crossref</w:t>
      </w:r>
    </w:p>
    <w:p>
      <w:pPr>
        <w:spacing w:before="0" w:after="80" w:lineRule="auto" w:line="276"/>
      </w:pPr>
      <w:r>
        <w:rPr>
          <w:b/>
        </w:rPr>
        <w:t xml:space="preserve">摘要（ZH）: </w:t>
      </w:r>
      <w:r>
        <w:t>2026年2月，新战略武器削减条约（New START）结束，这是美国和俄罗斯之间最后一项核武器控制协议。在没有核武器限制的情况下，接下来会发生什么？科学家能否像过去那样介入，帮助阻止核战争的风险？</w:t>
      </w:r>
    </w:p>
    <w:p>
      <w:pPr>
        <w:spacing w:before="0" w:after="200" w:lineRule="auto" w:line="276"/>
      </w:pPr>
      <w:r>
        <w:rPr>
          <w:b/>
        </w:rPr>
        <w:t xml:space="preserve">Abstract (EN): </w:t>
      </w:r>
      <w:r>
        <w:t>February 2026 saw the end of the New Strategic Arms Reduction Treaty, known as New START, the last nuclear arms control agreement between the United States and Russia. Without limitations on nuclear weapons, what comes next? Can scientists step in, as they did in years past, to help stop the risk of nuclear war?</w:t>
      </w:r>
    </w:p>
    <w:p>
      <w:pPr>
        <w:spacing w:before="120" w:after="120"/>
      </w:pPr>
      <w:r>
        <w:rPr>
          <w:sz w:val="18"/>
        </w:rPr>
        <w:t>——————————————————————————————————————————————————————————————————————</w:t>
      </w:r>
    </w:p>
    <w:p>
      <w:pPr>
        <w:spacing w:before="160" w:after="40" w:line="240" w:lineRule="auto"/>
      </w:pPr>
      <w:r>
        <w:rPr>
          <w:b/>
        </w:rPr>
        <w:t xml:space="preserve">[435] </w:t>
      </w:r>
      <w:hyperlink r:id="rId1028">
        <w:r>
          <w:rPr>
            <w:color w:val="1155CC"/>
            <w:u w:val="single"/>
          </w:rPr>
          <w:t>Mpemba效应进入量子领域</w:t>
        </w:r>
      </w:hyperlink>
    </w:p>
    <w:p>
      <w:pPr>
        <w:spacing w:before="0" w:after="80"/>
      </w:pPr>
      <w:r>
        <w:rPr>
          <w:i/>
          <w:sz w:val="20"/>
        </w:rPr>
        <w:t>EN: The Mpemba effect goes quantum</w:t>
      </w:r>
    </w:p>
    <w:p>
      <w:pPr>
        <w:spacing w:before="0" w:after="120"/>
      </w:pPr>
      <w:r>
        <w:rPr>
          <w:b/>
        </w:rPr>
        <w:t xml:space="preserve">Source: </w:t>
      </w:r>
      <w:r>
        <w:t>AAAS: Science: Table of Contents</w:t>
      </w:r>
      <w:r>
        <w:t xml:space="preserve">    </w:t>
      </w:r>
      <w:r>
        <w:rPr>
          <w:b/>
        </w:rPr>
        <w:t xml:space="preserve">Pub date: </w:t>
      </w:r>
      <w:r>
        <w:t>2026-03-26 06:00:07+00:00</w:t>
      </w:r>
      <w:r>
        <w:t xml:space="preserve">    </w:t>
      </w:r>
      <w:r>
        <w:rPr>
          <w:b/>
        </w:rPr>
        <w:t xml:space="preserve">DOI: </w:t>
      </w:r>
      <w:hyperlink r:id="rId1029">
        <w:r>
          <w:rPr>
            <w:color w:val="1155CC"/>
            <w:u w:val="single"/>
          </w:rPr>
          <w:t>10.1126/science.aeh4838</w:t>
        </w:r>
      </w:hyperlink>
    </w:p>
    <w:p>
      <w:pPr>
        <w:spacing w:before="0" w:after="120"/>
      </w:pPr>
      <w:r>
        <w:rPr>
          <w:b/>
        </w:rPr>
        <w:t xml:space="preserve">Notes: </w:t>
      </w:r>
      <w:r>
        <w:t>abstract_source=crossref</w:t>
      </w:r>
    </w:p>
    <w:p>
      <w:pPr>
        <w:spacing w:before="0" w:after="80" w:lineRule="auto" w:line="276"/>
      </w:pPr>
      <w:r>
        <w:rPr>
          <w:b/>
        </w:rPr>
        <w:t xml:space="preserve">摘要（ZH）: </w:t>
      </w:r>
      <w:r>
        <w:t>在原子尺度上发现水冻结的特性，暗示着技术应用的可能性</w:t>
      </w:r>
    </w:p>
    <w:p>
      <w:pPr>
        <w:spacing w:before="0" w:after="200" w:lineRule="auto" w:line="276"/>
      </w:pPr>
      <w:r>
        <w:rPr>
          <w:b/>
        </w:rPr>
        <w:t xml:space="preserve">Abstract (EN): </w:t>
      </w:r>
      <w:r>
        <w:t>Quirk of freezing water found on atomic scales, hinting at technological applications</w:t>
      </w:r>
    </w:p>
    <w:p>
      <w:pPr>
        <w:spacing w:before="120" w:after="120"/>
      </w:pPr>
      <w:r>
        <w:rPr>
          <w:sz w:val="18"/>
        </w:rPr>
        <w:t>——————————————————————————————————————————————————————————————————————</w:t>
      </w:r>
    </w:p>
    <w:p>
      <w:pPr>
        <w:spacing w:before="160" w:after="40" w:line="240" w:lineRule="auto"/>
      </w:pPr>
      <w:r>
        <w:rPr>
          <w:b/>
        </w:rPr>
        <w:t xml:space="preserve">[436] </w:t>
      </w:r>
      <w:hyperlink r:id="rId1030">
        <w:r>
          <w:rPr>
            <w:color w:val="1155CC"/>
            <w:u w:val="single"/>
          </w:rPr>
          <w:t>来自非洲和欧亚人科生物地理交汇处的早中新世猿类</w:t>
        </w:r>
      </w:hyperlink>
    </w:p>
    <w:p>
      <w:pPr>
        <w:spacing w:before="0" w:after="80"/>
      </w:pPr>
      <w:r>
        <w:rPr>
          <w:i/>
          <w:sz w:val="20"/>
        </w:rPr>
        <w:t>EN: An Early Miocene ape from the biogeographic crossroads of African and Eurasian Hominoidea</w:t>
      </w:r>
    </w:p>
    <w:p>
      <w:pPr>
        <w:spacing w:before="0" w:after="120"/>
      </w:pPr>
      <w:r>
        <w:rPr>
          <w:b/>
        </w:rPr>
        <w:t xml:space="preserve">Source: </w:t>
      </w:r>
      <w:r>
        <w:t>AAAS: Science: Table of Contents</w:t>
      </w:r>
      <w:r>
        <w:t xml:space="preserve">    </w:t>
      </w:r>
      <w:r>
        <w:rPr>
          <w:b/>
        </w:rPr>
        <w:t xml:space="preserve">Pub date: </w:t>
      </w:r>
      <w:r>
        <w:t>2026-03-26 06:00:07+00:00</w:t>
      </w:r>
      <w:r>
        <w:t xml:space="preserve">    </w:t>
      </w:r>
      <w:r>
        <w:rPr>
          <w:b/>
        </w:rPr>
        <w:t xml:space="preserve">DOI: </w:t>
      </w:r>
      <w:hyperlink r:id="rId1031">
        <w:r>
          <w:rPr>
            <w:color w:val="1155CC"/>
            <w:u w:val="single"/>
          </w:rPr>
          <w:t>10.1126/science.adz4102</w:t>
        </w:r>
      </w:hyperlink>
    </w:p>
    <w:p>
      <w:pPr>
        <w:spacing w:before="0" w:after="120"/>
      </w:pPr>
      <w:r>
        <w:rPr>
          <w:b/>
        </w:rPr>
        <w:t xml:space="preserve">Notes: </w:t>
      </w:r>
      <w:r>
        <w:t>abstract_source=crossref</w:t>
      </w:r>
    </w:p>
    <w:p>
      <w:pPr>
        <w:spacing w:before="0" w:after="80" w:lineRule="auto" w:line="276"/>
      </w:pPr>
      <w:r>
        <w:rPr>
          <w:b/>
        </w:rPr>
        <w:t xml:space="preserve">摘要（ZH）: </w:t>
      </w:r>
      <w:r>
        <w:t>早中新世的化石记录长期以来主要限于东非的遗址，记录了人猿的进化，而同时期的北非遗址仅出土了猴科动物的遗骸。在此，我们描述了一种来自北非的新属化石猿（Masripithecus），其来自埃及北部早中新世（约1700万至1800万年前）的下颌骨遗骸。结合分子-形态学的贝叶斯尖端定年分析将Masripithecus定位于比东非同时期化石猿更接近冠人猿的位置，从而填补了干人猿进化中的系统发育和生物地理学空白。这一证据表明，冠人猿可能起源于</w:t>
      </w:r>
    </w:p>
    <w:p>
      <w:pPr>
        <w:spacing w:before="0" w:after="200" w:lineRule="auto" w:line="276"/>
      </w:pPr>
      <w:r>
        <w:rPr>
          <w:b/>
        </w:rPr>
        <w:t xml:space="preserve">Abstract (EN): </w:t>
      </w:r>
      <w:r>
        <w:t>The Early Miocene fossil record documenting hominoid evolution has long been restricted primarily to sites in East Africa, whereas contemporaneous North African sites have only yielded remains of cercopithecoid monkeys. Here, we describe a fossil ape from North Africa, a new genus (</w:t>
      </w:r>
      <w:r>
        <w:t xml:space="preserve"> </w:t>
      </w:r>
      <w:r>
        <w:t>Masripithecus</w:t>
      </w:r>
      <w:r>
        <w:t xml:space="preserve"> </w:t>
      </w:r>
      <w:r>
        <w:t>) from the Early Miocene (~17 million to 18 million years) of northern Egypt, on the basis of mandibular remains. A combined molecular-morphological Bayesian tip-dating analysis positions</w:t>
      </w:r>
      <w:r>
        <w:t xml:space="preserve"> </w:t>
      </w:r>
      <w:r>
        <w:t>Masripithecus</w:t>
      </w:r>
      <w:r>
        <w:t xml:space="preserve"> </w:t>
      </w:r>
      <w:r>
        <w:t>closer to crown hominoids than coeval fossil apes from East Africa, thereby filling a phylogenetic and biogeographic gap in the evolution of stem hominoids. This evidence suggests that crown Hominoidea might have originated during the Early Miocene in the underexplored northeastern part of Afro-Arabia, rather than in eastern Africa or Eurasia.</w:t>
      </w:r>
    </w:p>
    <w:p>
      <w:pPr>
        <w:spacing w:before="120" w:after="120"/>
      </w:pPr>
      <w:r>
        <w:rPr>
          <w:sz w:val="18"/>
        </w:rPr>
        <w:t>——————————————————————————————————————————————————————————————————————</w:t>
      </w:r>
    </w:p>
    <w:p>
      <w:pPr>
        <w:spacing w:before="160" w:after="40" w:line="240" w:lineRule="auto"/>
      </w:pPr>
      <w:r>
        <w:rPr>
          <w:b/>
        </w:rPr>
        <w:t xml:space="preserve">[437] </w:t>
      </w:r>
      <w:hyperlink r:id="rId1032">
        <w:r>
          <w:rPr>
            <w:color w:val="1155CC"/>
            <w:u w:val="single"/>
          </w:rPr>
          <w:t>旨在记忆</w:t>
        </w:r>
      </w:hyperlink>
    </w:p>
    <w:p>
      <w:pPr>
        <w:spacing w:before="0" w:after="80"/>
      </w:pPr>
      <w:r>
        <w:rPr>
          <w:i/>
          <w:sz w:val="20"/>
        </w:rPr>
        <w:t>EN: Designed to remember</w:t>
      </w:r>
    </w:p>
    <w:p>
      <w:pPr>
        <w:spacing w:before="0" w:after="120"/>
      </w:pPr>
      <w:r>
        <w:rPr>
          <w:b/>
        </w:rPr>
        <w:t xml:space="preserve">Source: </w:t>
      </w:r>
      <w:r>
        <w:t>AAAS: Science: Table of Contents</w:t>
      </w:r>
      <w:r>
        <w:t xml:space="preserve">    </w:t>
      </w:r>
      <w:r>
        <w:rPr>
          <w:b/>
        </w:rPr>
        <w:t xml:space="preserve">Pub date: </w:t>
      </w:r>
      <w:r>
        <w:t>2026-03-26 06:00:07+00:00</w:t>
      </w:r>
      <w:r>
        <w:t xml:space="preserve">    </w:t>
      </w:r>
      <w:r>
        <w:rPr>
          <w:b/>
        </w:rPr>
        <w:t xml:space="preserve">DOI: </w:t>
      </w:r>
      <w:hyperlink r:id="rId1033">
        <w:r>
          <w:rPr>
            <w:color w:val="1155CC"/>
            <w:u w:val="single"/>
          </w:rPr>
          <w:t>10.1126/science.aeg3891</w:t>
        </w:r>
      </w:hyperlink>
    </w:p>
    <w:p>
      <w:pPr>
        <w:spacing w:before="0" w:after="120"/>
      </w:pPr>
      <w:r>
        <w:rPr>
          <w:b/>
        </w:rPr>
        <w:t xml:space="preserve">Notes: </w:t>
      </w:r>
      <w:r>
        <w:t>abstract_source=crossref</w:t>
      </w:r>
    </w:p>
    <w:p>
      <w:pPr>
        <w:spacing w:before="0" w:after="80" w:lineRule="auto" w:line="276"/>
      </w:pPr>
      <w:r>
        <w:rPr>
          <w:b/>
        </w:rPr>
        <w:t xml:space="preserve">摘要（ZH）: </w:t>
      </w:r>
      <w:r>
        <w:t>特定的DNA序列特征编码了炎症表观遗传记忆的持久性</w:t>
      </w:r>
    </w:p>
    <w:p>
      <w:pPr>
        <w:spacing w:before="0" w:after="200" w:lineRule="auto" w:line="276"/>
      </w:pPr>
      <w:r>
        <w:rPr>
          <w:b/>
        </w:rPr>
        <w:t xml:space="preserve">Abstract (EN): </w:t>
      </w:r>
      <w:r>
        <w:t>Specific DNA sequence features encode the persistence of epigenetic memory of inflammation</w:t>
      </w:r>
    </w:p>
    <w:p>
      <w:pPr>
        <w:spacing w:before="120" w:after="120"/>
      </w:pPr>
      <w:r>
        <w:rPr>
          <w:sz w:val="18"/>
        </w:rPr>
        <w:t>——————————————————————————————————————————————————————————————————————</w:t>
      </w:r>
    </w:p>
    <w:p>
      <w:pPr>
        <w:spacing w:before="160" w:after="40" w:line="240" w:lineRule="auto"/>
      </w:pPr>
      <w:r>
        <w:rPr>
          <w:b/>
        </w:rPr>
        <w:t xml:space="preserve">[438] </w:t>
      </w:r>
      <w:hyperlink r:id="rId1034">
        <w:r>
          <w:rPr>
            <w:color w:val="1155CC"/>
            <w:u w:val="single"/>
          </w:rPr>
          <w:t>AI“代理”在现实模拟中失控</w:t>
        </w:r>
      </w:hyperlink>
    </w:p>
    <w:p>
      <w:pPr>
        <w:spacing w:before="0" w:after="80"/>
      </w:pPr>
      <w:r>
        <w:rPr>
          <w:i/>
          <w:sz w:val="20"/>
        </w:rPr>
        <w:t>EN: AI ‘agents’ go rogue in realistic simulations</w:t>
      </w:r>
    </w:p>
    <w:p>
      <w:pPr>
        <w:spacing w:before="0" w:after="120"/>
      </w:pPr>
      <w:r>
        <w:rPr>
          <w:b/>
        </w:rPr>
        <w:t xml:space="preserve">Source: </w:t>
      </w:r>
      <w:r>
        <w:t>AAAS: Science: Table of Contents</w:t>
      </w:r>
      <w:r>
        <w:t xml:space="preserve">    </w:t>
      </w:r>
      <w:r>
        <w:rPr>
          <w:b/>
        </w:rPr>
        <w:t xml:space="preserve">Pub date: </w:t>
      </w:r>
      <w:r>
        <w:t>2026-03-26 06:00:07+00:00</w:t>
      </w:r>
      <w:r>
        <w:t xml:space="preserve">    </w:t>
      </w:r>
      <w:r>
        <w:rPr>
          <w:b/>
        </w:rPr>
        <w:t xml:space="preserve">DOI: </w:t>
      </w:r>
      <w:hyperlink r:id="rId1035">
        <w:r>
          <w:rPr>
            <w:color w:val="1155CC"/>
            <w:u w:val="single"/>
          </w:rPr>
          <w:t>10.1126/science.aeh4836</w:t>
        </w:r>
      </w:hyperlink>
    </w:p>
    <w:p>
      <w:pPr>
        <w:spacing w:before="0" w:after="120"/>
      </w:pPr>
      <w:r>
        <w:rPr>
          <w:b/>
        </w:rPr>
        <w:t xml:space="preserve">Notes: </w:t>
      </w:r>
      <w:r>
        <w:t>abstract_source=crossref</w:t>
      </w:r>
    </w:p>
    <w:p>
      <w:pPr>
        <w:spacing w:before="0" w:after="80" w:lineRule="auto" w:line="276"/>
      </w:pPr>
      <w:r>
        <w:rPr>
          <w:b/>
        </w:rPr>
        <w:t xml:space="preserve">摘要（ZH）: </w:t>
      </w:r>
      <w:r>
        <w:t>自主控制其他软件和文件的算法可能成为“混乱的代理”，侵犯隐私和安全</w:t>
      </w:r>
    </w:p>
    <w:p>
      <w:pPr>
        <w:spacing w:before="0" w:after="200" w:lineRule="auto" w:line="276"/>
      </w:pPr>
      <w:r>
        <w:rPr>
          <w:b/>
        </w:rPr>
        <w:t xml:space="preserve">Abstract (EN): </w:t>
      </w:r>
      <w:r>
        <w:t>Algorithms that autonomously control other software and files can become “agents of chaos,” violating privacy, security</w:t>
      </w:r>
    </w:p>
    <w:p>
      <w:pPr>
        <w:spacing w:before="120" w:after="120"/>
      </w:pPr>
      <w:r>
        <w:rPr>
          <w:sz w:val="18"/>
        </w:rPr>
        <w:t>——————————————————————————————————————————————————————————————————————</w:t>
      </w:r>
    </w:p>
    <w:p>
      <w:pPr>
        <w:spacing w:before="160" w:after="40" w:line="240" w:lineRule="auto"/>
      </w:pPr>
      <w:r>
        <w:rPr>
          <w:b/>
        </w:rPr>
        <w:t xml:space="preserve">[439] </w:t>
      </w:r>
      <w:hyperlink r:id="rId1036">
        <w:r>
          <w:rPr>
            <w:color w:val="1155CC"/>
            <w:u w:val="single"/>
          </w:rPr>
          <w:t>现代猿类的黎明</w:t>
        </w:r>
      </w:hyperlink>
    </w:p>
    <w:p>
      <w:pPr>
        <w:spacing w:before="0" w:after="80"/>
      </w:pPr>
      <w:r>
        <w:rPr>
          <w:i/>
          <w:sz w:val="20"/>
        </w:rPr>
        <w:t>EN: The dawn of modern apes</w:t>
      </w:r>
    </w:p>
    <w:p>
      <w:pPr>
        <w:spacing w:before="0" w:after="120"/>
      </w:pPr>
      <w:r>
        <w:rPr>
          <w:b/>
        </w:rPr>
        <w:t xml:space="preserve">Source: </w:t>
      </w:r>
      <w:r>
        <w:t>AAAS: Science: Table of Contents</w:t>
      </w:r>
      <w:r>
        <w:t xml:space="preserve">    </w:t>
      </w:r>
      <w:r>
        <w:rPr>
          <w:b/>
        </w:rPr>
        <w:t xml:space="preserve">Pub date: </w:t>
      </w:r>
      <w:r>
        <w:t>2026-03-26 06:00:07+00:00</w:t>
      </w:r>
      <w:r>
        <w:t xml:space="preserve">    </w:t>
      </w:r>
      <w:r>
        <w:rPr>
          <w:b/>
        </w:rPr>
        <w:t xml:space="preserve">DOI: </w:t>
      </w:r>
      <w:hyperlink r:id="rId1037">
        <w:r>
          <w:rPr>
            <w:color w:val="1155CC"/>
            <w:u w:val="single"/>
          </w:rPr>
          <w:t>10.1126/science.aeg3100</w:t>
        </w:r>
      </w:hyperlink>
    </w:p>
    <w:p>
      <w:pPr>
        <w:spacing w:before="0" w:after="120"/>
      </w:pPr>
      <w:r>
        <w:rPr>
          <w:b/>
        </w:rPr>
        <w:t xml:space="preserve">Notes: </w:t>
      </w:r>
      <w:r>
        <w:t>abstract_source=crossref</w:t>
      </w:r>
    </w:p>
    <w:p>
      <w:pPr>
        <w:spacing w:before="0" w:after="80" w:lineRule="auto" w:line="276"/>
      </w:pPr>
      <w:r>
        <w:rPr>
          <w:b/>
        </w:rPr>
        <w:t xml:space="preserve">摘要（ZH）: </w:t>
      </w:r>
      <w:r>
        <w:t>一块埃及化石将现代猿类的起源定位于东北非阿拉伯地区</w:t>
      </w:r>
    </w:p>
    <w:p>
      <w:pPr>
        <w:spacing w:before="0" w:after="200" w:lineRule="auto" w:line="276"/>
      </w:pPr>
      <w:r>
        <w:rPr>
          <w:b/>
        </w:rPr>
        <w:t xml:space="preserve">Abstract (EN): </w:t>
      </w:r>
      <w:r>
        <w:t>An Egyptian fossil places the origin of modern apes in northeastern Afro-Arabia</w:t>
      </w:r>
    </w:p>
    <w:p>
      <w:pPr>
        <w:spacing w:before="120" w:after="120"/>
      </w:pPr>
      <w:r>
        <w:rPr>
          <w:sz w:val="18"/>
        </w:rPr>
        <w:t>——————————————————————————————————————————————————————————————————————</w:t>
      </w:r>
    </w:p>
    <w:p>
      <w:pPr>
        <w:spacing w:before="160" w:after="40" w:line="240" w:lineRule="auto"/>
      </w:pPr>
      <w:r>
        <w:rPr>
          <w:b/>
        </w:rPr>
        <w:t xml:space="preserve">[440] </w:t>
      </w:r>
      <w:hyperlink r:id="rId1038">
        <w:r>
          <w:rPr>
            <w:color w:val="1155CC"/>
            <w:u w:val="single"/>
          </w:rPr>
          <w:t>捕捉水的隐藏转变</w:t>
        </w:r>
      </w:hyperlink>
    </w:p>
    <w:p>
      <w:pPr>
        <w:spacing w:before="0" w:after="80"/>
      </w:pPr>
      <w:r>
        <w:rPr>
          <w:i/>
          <w:sz w:val="20"/>
        </w:rPr>
        <w:t>EN: Catching water’s hidden transition</w:t>
      </w:r>
    </w:p>
    <w:p>
      <w:pPr>
        <w:spacing w:before="0" w:after="120"/>
      </w:pPr>
      <w:r>
        <w:rPr>
          <w:b/>
        </w:rPr>
        <w:t xml:space="preserve">Source: </w:t>
      </w:r>
      <w:r>
        <w:t>AAAS: Science: Table of Contents</w:t>
      </w:r>
      <w:r>
        <w:t xml:space="preserve">    </w:t>
      </w:r>
      <w:r>
        <w:rPr>
          <w:b/>
        </w:rPr>
        <w:t xml:space="preserve">Pub date: </w:t>
      </w:r>
      <w:r>
        <w:t>2026-03-26 06:00:07+00:00</w:t>
      </w:r>
      <w:r>
        <w:t xml:space="preserve">    </w:t>
      </w:r>
      <w:r>
        <w:rPr>
          <w:b/>
        </w:rPr>
        <w:t xml:space="preserve">DOI: </w:t>
      </w:r>
      <w:hyperlink r:id="rId1039">
        <w:r>
          <w:rPr>
            <w:color w:val="1155CC"/>
            <w:u w:val="single"/>
          </w:rPr>
          <w:t>10.1126/science.aef3474</w:t>
        </w:r>
      </w:hyperlink>
    </w:p>
    <w:p>
      <w:pPr>
        <w:spacing w:before="0" w:after="120"/>
      </w:pPr>
      <w:r>
        <w:rPr>
          <w:b/>
        </w:rPr>
        <w:t xml:space="preserve">Notes: </w:t>
      </w:r>
      <w:r>
        <w:t>abstract_source=crossref</w:t>
      </w:r>
    </w:p>
    <w:p>
      <w:pPr>
        <w:spacing w:before="0" w:after="80" w:lineRule="auto" w:line="276"/>
      </w:pPr>
      <w:r>
        <w:rPr>
          <w:b/>
        </w:rPr>
        <w:t xml:space="preserve">摘要（ZH）: </w:t>
      </w:r>
      <w:r>
        <w:t>快速测量捕捉到过冷水短暂液态的结构转变</w:t>
      </w:r>
    </w:p>
    <w:p>
      <w:pPr>
        <w:spacing w:before="0" w:after="200" w:lineRule="auto" w:line="276"/>
      </w:pPr>
      <w:r>
        <w:rPr>
          <w:b/>
        </w:rPr>
        <w:t xml:space="preserve">Abstract (EN): </w:t>
      </w:r>
      <w:r>
        <w:t>Rapid measurements capture structural transition in a short-lived liquid state of supercooled water</w:t>
      </w:r>
    </w:p>
    <w:p>
      <w:pPr>
        <w:spacing w:before="120" w:after="120"/>
      </w:pPr>
      <w:r>
        <w:rPr>
          <w:sz w:val="18"/>
        </w:rPr>
        <w:t>——————————————————————————————————————————————————————————————————————</w:t>
      </w:r>
    </w:p>
    <w:p>
      <w:pPr>
        <w:spacing w:before="160" w:after="40" w:line="240" w:lineRule="auto"/>
      </w:pPr>
      <w:r>
        <w:rPr>
          <w:b/>
        </w:rPr>
        <w:t xml:space="preserve">[441] </w:t>
      </w:r>
      <w:hyperlink r:id="rId1040">
        <w:r>
          <w:rPr>
            <w:color w:val="1155CC"/>
            <w:u w:val="single"/>
          </w:rPr>
          <w:t>在其他期刊中</w:t>
        </w:r>
      </w:hyperlink>
    </w:p>
    <w:p>
      <w:pPr>
        <w:spacing w:before="0" w:after="80"/>
      </w:pPr>
      <w:r>
        <w:rPr>
          <w:i/>
          <w:sz w:val="20"/>
        </w:rPr>
        <w:t>EN: In Other Journals</w:t>
      </w:r>
    </w:p>
    <w:p>
      <w:pPr>
        <w:spacing w:before="0" w:after="120"/>
      </w:pPr>
      <w:r>
        <w:rPr>
          <w:b/>
        </w:rPr>
        <w:t xml:space="preserve">Source: </w:t>
      </w:r>
      <w:r>
        <w:t>AAAS: Science: Table of Contents</w:t>
      </w:r>
      <w:r>
        <w:t xml:space="preserve">    </w:t>
      </w:r>
      <w:r>
        <w:rPr>
          <w:b/>
        </w:rPr>
        <w:t xml:space="preserve">Pub date: </w:t>
      </w:r>
      <w:r>
        <w:t>2026-03-26 06:00:07+00:00</w:t>
      </w:r>
      <w:r>
        <w:t xml:space="preserve">    </w:t>
      </w:r>
      <w:r>
        <w:rPr>
          <w:b/>
        </w:rPr>
        <w:t xml:space="preserve">DOI: </w:t>
      </w:r>
      <w:hyperlink r:id="rId1041">
        <w:r>
          <w:rPr>
            <w:color w:val="1155CC"/>
            <w:u w:val="single"/>
          </w:rPr>
          <w:t>10.1126/science.aeh4464</w:t>
        </w:r>
      </w:hyperlink>
    </w:p>
    <w:p>
      <w:pPr>
        <w:spacing w:before="0" w:after="120"/>
      </w:pPr>
      <w:r>
        <w:rPr>
          <w:b/>
        </w:rPr>
        <w:t xml:space="preserve">Notes: </w:t>
      </w:r>
      <w:r>
        <w:t>abstract_source=crossref</w:t>
      </w:r>
    </w:p>
    <w:p>
      <w:pPr>
        <w:spacing w:before="0" w:after="80" w:lineRule="auto" w:line="276"/>
      </w:pPr>
      <w:r>
        <w:rPr>
          <w:b/>
        </w:rPr>
        <w:t xml:space="preserve">摘要（ZH）: </w:t>
      </w:r>
      <w:r>
        <w:t>当前科学文献的编辑精选</w:t>
      </w:r>
    </w:p>
    <w:p>
      <w:pPr>
        <w:spacing w:before="0" w:after="200" w:lineRule="auto" w:line="276"/>
      </w:pPr>
      <w:r>
        <w:rPr>
          <w:b/>
        </w:rPr>
        <w:t xml:space="preserve">Abstract (EN): </w:t>
      </w:r>
      <w:r>
        <w:t>Editors’ selections from the current scientific literature</w:t>
      </w:r>
    </w:p>
    <w:p>
      <w:pPr>
        <w:spacing w:before="120" w:after="120"/>
      </w:pPr>
      <w:r>
        <w:rPr>
          <w:sz w:val="18"/>
        </w:rPr>
        <w:t>——————————————————————————————————————————————————————————————————————</w:t>
      </w:r>
    </w:p>
    <w:p>
      <w:pPr>
        <w:spacing w:before="160" w:after="40" w:line="240" w:lineRule="auto"/>
      </w:pPr>
      <w:r>
        <w:rPr>
          <w:b/>
        </w:rPr>
        <w:t xml:space="preserve">[442] </w:t>
      </w:r>
      <w:hyperlink r:id="rId1042">
        <w:r>
          <w:rPr>
            <w:color w:val="1155CC"/>
            <w:u w:val="single"/>
          </w:rPr>
          <w:t>我在教学中的经验</w:t>
        </w:r>
      </w:hyperlink>
    </w:p>
    <w:p>
      <w:pPr>
        <w:spacing w:before="0" w:after="80"/>
      </w:pPr>
      <w:r>
        <w:rPr>
          <w:i/>
          <w:sz w:val="20"/>
        </w:rPr>
        <w:t>EN: My lesson in teaching</w:t>
      </w:r>
    </w:p>
    <w:p>
      <w:pPr>
        <w:spacing w:before="0" w:after="120"/>
      </w:pPr>
      <w:r>
        <w:rPr>
          <w:b/>
        </w:rPr>
        <w:t xml:space="preserve">Source: </w:t>
      </w:r>
      <w:r>
        <w:t>AAAS: Science: Table of Contents</w:t>
      </w:r>
      <w:r>
        <w:t xml:space="preserve">    </w:t>
      </w:r>
      <w:r>
        <w:rPr>
          <w:b/>
        </w:rPr>
        <w:t xml:space="preserve">Pub date: </w:t>
      </w:r>
      <w:r>
        <w:t>2026-03-26 06:00:07+00:00</w:t>
      </w:r>
      <w:r>
        <w:t xml:space="preserve">    </w:t>
      </w:r>
      <w:r>
        <w:rPr>
          <w:b/>
        </w:rPr>
        <w:t xml:space="preserve">DOI: </w:t>
      </w:r>
      <w:hyperlink r:id="rId1043">
        <w:r>
          <w:rPr>
            <w:color w:val="1155CC"/>
            <w:u w:val="single"/>
          </w:rPr>
          <w:t>10.1126/science.aeh3849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[443] </w:t>
      </w:r>
      <w:hyperlink r:id="rId1044">
        <w:r>
          <w:rPr>
            <w:color w:val="1155CC"/>
            <w:u w:val="single"/>
          </w:rPr>
          <w:t>细胞外蛋白稳态的系统级组织</w:t>
        </w:r>
      </w:hyperlink>
    </w:p>
    <w:p>
      <w:pPr>
        <w:spacing w:before="0" w:after="80"/>
      </w:pPr>
      <w:r>
        <w:rPr>
          <w:i/>
          <w:sz w:val="20"/>
        </w:rPr>
        <w:t>EN: Systems-level organization of extracellular proteostasis</w:t>
      </w:r>
    </w:p>
    <w:p>
      <w:pPr>
        <w:spacing w:before="0" w:after="120"/>
      </w:pPr>
      <w:r>
        <w:rPr>
          <w:b/>
        </w:rPr>
        <w:t xml:space="preserve">Source: </w:t>
      </w:r>
      <w:r>
        <w:t>AAAS: Science: Table of Contents</w:t>
      </w:r>
      <w:r>
        <w:t xml:space="preserve">    </w:t>
      </w:r>
      <w:r>
        <w:rPr>
          <w:b/>
        </w:rPr>
        <w:t xml:space="preserve">Pub date: </w:t>
      </w:r>
      <w:r>
        <w:t>2026-03-26 06:00:07+00:00</w:t>
      </w:r>
      <w:r>
        <w:t xml:space="preserve">    </w:t>
      </w:r>
      <w:r>
        <w:rPr>
          <w:b/>
        </w:rPr>
        <w:t xml:space="preserve">DOI: </w:t>
      </w:r>
      <w:hyperlink r:id="rId1045">
        <w:r>
          <w:rPr>
            <w:color w:val="1155CC"/>
            <w:u w:val="single"/>
          </w:rPr>
          <w:t>10.1126/science.aed3712</w:t>
        </w:r>
      </w:hyperlink>
    </w:p>
    <w:p>
      <w:pPr>
        <w:spacing w:before="0" w:after="120"/>
      </w:pPr>
      <w:r>
        <w:rPr>
          <w:b/>
        </w:rPr>
        <w:t xml:space="preserve">Notes: </w:t>
      </w:r>
      <w:r>
        <w:t>abstract_source=crossref</w:t>
      </w:r>
    </w:p>
    <w:p>
      <w:pPr>
        <w:spacing w:before="0" w:after="80" w:lineRule="auto" w:line="276"/>
      </w:pPr>
      <w:r>
        <w:rPr>
          <w:b/>
        </w:rPr>
        <w:t xml:space="preserve">摘要（ZH）: </w:t>
      </w:r>
      <w:r>
        <w:t>复杂生物体的一个定义特征是能够在细胞边界之外维持蛋白质稳态。我们回顾了细胞外蛋白质稳态如何组织成一个跨越细胞周围、组织和系统层次的分层网络。在每个层次上，分泌的伴侣蛋白、蛋白酶、囊泡、受体、免疫哨兵和清除器官合作识别、缓冲和消除错误折叠的蛋白质。通过免疫信号、应激诱导的蛋白质分泌以及脑脊液和淋巴液运输的反馈来调整对蛋白质毒性负荷的容量。我们说明了这种分层防御的失败如何导致神经退行性疾病和系统性淀粉样变性，并强调了稳定细胞外蛋白质、增强清除途径或增强液体运输的策略。</w:t>
      </w:r>
    </w:p>
    <w:p>
      <w:pPr>
        <w:spacing w:before="0" w:after="200" w:lineRule="auto" w:line="276"/>
      </w:pPr>
      <w:r>
        <w:rPr>
          <w:b/>
        </w:rPr>
        <w:t xml:space="preserve">Abstract (EN): </w:t>
      </w:r>
      <w:r>
        <w:t>One defining feature of complex organisms is the ability to maintain protein homeostasis beyond cellular boundaries. We review how extracellular proteostasis is organized as a hierarchical network spanning pericellular, tissue, and systemic tiers. At each tier, secreted chaperones, proteases, vesicles, receptors, immune sentinels, and clearance organs cooperate to recognize, buffer, and eliminate misfolded proteins. Feedback through immune signaling, stress-induced protein secretion, and glymphatic and lymphatic transport adjusts capacity to proteotoxic load. We illustrate how failures in this stratified defense underlie neurodegenerative disorders and systemic amyloidoses, and we highlight strategies that stabilize extracellular proteins, augment clearance pathways, or enhance fluid transport. Viewing extracellular proteostasis as an integrated systems-level network reveals opportunities for combinatorial and preventive therapies.</w:t>
      </w:r>
    </w:p>
    <w:p>
      <w:pPr>
        <w:spacing w:before="120" w:after="120"/>
      </w:pPr>
      <w:r>
        <w:rPr>
          <w:sz w:val="18"/>
        </w:rPr>
        <w:t>——————————————————————————————————————————————————————————————————————</w:t>
      </w:r>
    </w:p>
    <w:p>
      <w:pPr>
        <w:spacing w:before="160" w:after="40" w:line="240" w:lineRule="auto"/>
      </w:pPr>
      <w:r>
        <w:rPr>
          <w:b/>
        </w:rPr>
        <w:t xml:space="preserve">[444] </w:t>
      </w:r>
      <w:hyperlink r:id="rId1046">
        <w:r>
          <w:rPr>
            <w:color w:val="1155CC"/>
            <w:u w:val="single"/>
          </w:rPr>
          <w:t>丘脑在单突触水平上激活视觉皮层</w:t>
        </w:r>
      </w:hyperlink>
    </w:p>
    <w:p>
      <w:pPr>
        <w:spacing w:before="0" w:after="80"/>
      </w:pPr>
      <w:r>
        <w:rPr>
          <w:i/>
          <w:sz w:val="20"/>
        </w:rPr>
        <w:t>EN: Thalamic activation of the visual cortex at the single-synapse level</w:t>
      </w:r>
    </w:p>
    <w:p>
      <w:pPr>
        <w:spacing w:before="0" w:after="120"/>
      </w:pPr>
      <w:r>
        <w:rPr>
          <w:b/>
        </w:rPr>
        <w:t xml:space="preserve">Source: </w:t>
      </w:r>
      <w:r>
        <w:t>AAAS: Science: Table of Contents</w:t>
      </w:r>
      <w:r>
        <w:t xml:space="preserve">    </w:t>
      </w:r>
      <w:r>
        <w:rPr>
          <w:b/>
        </w:rPr>
        <w:t xml:space="preserve">Pub date: </w:t>
      </w:r>
      <w:r>
        <w:t>2026-03-26 06:00:07+00:00</w:t>
      </w:r>
      <w:r>
        <w:t xml:space="preserve">    </w:t>
      </w:r>
      <w:r>
        <w:rPr>
          <w:b/>
        </w:rPr>
        <w:t xml:space="preserve">DOI: </w:t>
      </w:r>
      <w:hyperlink r:id="rId1047">
        <w:r>
          <w:rPr>
            <w:color w:val="1155CC"/>
            <w:u w:val="single"/>
          </w:rPr>
          <w:t>10.1126/science.aec9923</w:t>
        </w:r>
      </w:hyperlink>
    </w:p>
    <w:p>
      <w:pPr>
        <w:spacing w:before="0" w:after="120"/>
      </w:pPr>
      <w:r>
        <w:rPr>
          <w:b/>
        </w:rPr>
        <w:t xml:space="preserve">Notes: </w:t>
      </w:r>
      <w:r>
        <w:t>abstract_source=crossref</w:t>
      </w:r>
    </w:p>
    <w:p>
      <w:pPr>
        <w:spacing w:before="0" w:after="80" w:lineRule="auto" w:line="276"/>
      </w:pPr>
      <w:r>
        <w:rPr>
          <w:b/>
        </w:rPr>
        <w:t xml:space="preserve">摘要（ZH）: </w:t>
      </w:r>
      <w:r>
        <w:t>解码丘脑皮层（TC）在单个突触水平的激活对于理解皮层如何处理感觉信息至关重要。在这项工作中，我们研究了哺乳动物初级视觉皮层（V1）中方向选择性出现的TC计算。使用双光子谷氨酸成像和体内光遗传学皮层沉默，我们识别并表征了小鼠V1层4神经元上的TC突触。我们发现，TC而非皮层间接受体的脊椎缺乏突触后Ca</w:t>
      </w:r>
      <w:r>
        <w:t xml:space="preserve"> </w:t>
      </w:r>
      <w:r>
        <w:t>2+</w:t>
      </w:r>
      <w:r>
        <w:t xml:space="preserve"> </w:t>
      </w:r>
      <w:r>
        <w:t>信号。我们的结果直接验证了Hubel和Wiesel的前馈模型的核心预测，并揭示了对皮层计算和可塑性至关重要的独特突触特性。</w:t>
      </w:r>
    </w:p>
    <w:p>
      <w:pPr>
        <w:spacing w:before="0" w:after="200" w:lineRule="auto" w:line="276"/>
      </w:pPr>
      <w:r>
        <w:rPr>
          <w:b/>
        </w:rPr>
        <w:t xml:space="preserve">Abstract (EN): </w:t>
      </w:r>
      <w:r>
        <w:t>Deciphering thalamocortical (TC) activation at the level of individual synapses is essential to understanding how the cortex processes sensory information. In this work, we studied TC computation underlying the emergence of orientation selectivity in the mammalian primary visual cortex (V1). Using two-photon glutamate imaging and optogenetic cortical silencing in vivo, we identified and characterized TC synapses onto mouse V1 layer 4 neurons. We found that TC- but not corticocortical-recipient spines lacked postsynaptic Ca</w:t>
      </w:r>
      <w:r>
        <w:t xml:space="preserve"> </w:t>
      </w:r>
      <w:r>
        <w:t>2+</w:t>
      </w:r>
      <w:r>
        <w:t xml:space="preserve"> </w:t>
      </w:r>
      <w:r>
        <w:t>signals. Our results directly validate the core predictions of Hubel and Wiesel’s feedforward model and reveal distinctive synaptic properties that are critical for cortical computation and plasticity.</w:t>
      </w:r>
    </w:p>
    <w:p>
      <w:pPr>
        <w:spacing w:before="120" w:after="120"/>
      </w:pPr>
      <w:r>
        <w:rPr>
          <w:sz w:val="18"/>
        </w:rPr>
        <w:t>——————————————————————————————————————————————————————————————————————</w:t>
      </w:r>
    </w:p>
    <w:p>
      <w:pPr>
        <w:spacing w:before="160" w:after="40" w:line="240" w:lineRule="auto"/>
      </w:pPr>
      <w:r>
        <w:rPr>
          <w:b/>
        </w:rPr>
        <w:t xml:space="preserve">[445] </w:t>
      </w:r>
      <w:hyperlink r:id="rId1048">
        <w:r>
          <w:rPr>
            <w:color w:val="1155CC"/>
            <w:u w:val="single"/>
          </w:rPr>
          <w:t>为社会摩擦辩护</w:t>
        </w:r>
      </w:hyperlink>
    </w:p>
    <w:p>
      <w:pPr>
        <w:spacing w:before="0" w:after="80"/>
      </w:pPr>
      <w:r>
        <w:rPr>
          <w:i/>
          <w:sz w:val="20"/>
        </w:rPr>
        <w:t>EN: In defense of social friction</w:t>
      </w:r>
    </w:p>
    <w:p>
      <w:pPr>
        <w:spacing w:before="0" w:after="120"/>
      </w:pPr>
      <w:r>
        <w:rPr>
          <w:b/>
        </w:rPr>
        <w:t xml:space="preserve">Source: </w:t>
      </w:r>
      <w:r>
        <w:t>AAAS: Science: Table of Contents</w:t>
      </w:r>
      <w:r>
        <w:t xml:space="preserve">    </w:t>
      </w:r>
      <w:r>
        <w:rPr>
          <w:b/>
        </w:rPr>
        <w:t xml:space="preserve">Pub date: </w:t>
      </w:r>
      <w:r>
        <w:t>2026-03-26 06:00:07+00:00</w:t>
      </w:r>
      <w:r>
        <w:t xml:space="preserve">    </w:t>
      </w:r>
      <w:r>
        <w:rPr>
          <w:b/>
        </w:rPr>
        <w:t xml:space="preserve">DOI: </w:t>
      </w:r>
      <w:hyperlink r:id="rId1049">
        <w:r>
          <w:rPr>
            <w:color w:val="1155CC"/>
            <w:u w:val="single"/>
          </w:rPr>
          <w:t>10.1126/science.aeg3145</w:t>
        </w:r>
      </w:hyperlink>
    </w:p>
    <w:p>
      <w:pPr>
        <w:spacing w:before="0" w:after="120"/>
      </w:pPr>
      <w:r>
        <w:rPr>
          <w:b/>
        </w:rPr>
        <w:t xml:space="preserve">Notes: </w:t>
      </w:r>
      <w:r>
        <w:t>abstract_source=crossref</w:t>
      </w:r>
    </w:p>
    <w:p>
      <w:pPr>
        <w:spacing w:before="0" w:after="80" w:lineRule="auto" w:line="276"/>
      </w:pPr>
      <w:r>
        <w:rPr>
          <w:b/>
        </w:rPr>
        <w:t xml:space="preserve">摘要（ZH）: </w:t>
      </w:r>
      <w:r>
        <w:t>谄媚的人工智能扭曲了社会判断和行为</w:t>
      </w:r>
    </w:p>
    <w:p>
      <w:pPr>
        <w:spacing w:before="0" w:after="200" w:lineRule="auto" w:line="276"/>
      </w:pPr>
      <w:r>
        <w:rPr>
          <w:b/>
        </w:rPr>
        <w:t xml:space="preserve">Abstract (EN): </w:t>
      </w:r>
      <w:r>
        <w:t>Sycophantic AI distorts social judgments and behaviors</w:t>
      </w:r>
    </w:p>
    <w:p>
      <w:pPr>
        <w:spacing w:before="120" w:after="120"/>
      </w:pPr>
      <w:r>
        <w:rPr>
          <w:sz w:val="18"/>
        </w:rPr>
        <w:t>——————————————————————————————————————————————————————————————————————</w:t>
      </w:r>
    </w:p>
    <w:p>
      <w:pPr>
        <w:spacing w:before="160" w:after="40" w:line="240" w:lineRule="auto"/>
      </w:pPr>
      <w:r>
        <w:rPr>
          <w:b/>
        </w:rPr>
        <w:t xml:space="preserve">[446] </w:t>
      </w:r>
      <w:hyperlink r:id="rId1050">
        <w:r>
          <w:rPr>
            <w:color w:val="1155CC"/>
            <w:u w:val="single"/>
          </w:rPr>
          <w:t>染色质在转录过程中缓冲扭转应力</w:t>
        </w:r>
      </w:hyperlink>
    </w:p>
    <w:p>
      <w:pPr>
        <w:spacing w:before="0" w:after="80"/>
      </w:pPr>
      <w:r>
        <w:rPr>
          <w:i/>
          <w:sz w:val="20"/>
        </w:rPr>
        <w:t>EN: Chromatin buffers torsional stress during transcription</w:t>
      </w:r>
    </w:p>
    <w:p>
      <w:pPr>
        <w:spacing w:before="0" w:after="120"/>
      </w:pPr>
      <w:r>
        <w:rPr>
          <w:b/>
        </w:rPr>
        <w:t xml:space="preserve">Source: </w:t>
      </w:r>
      <w:r>
        <w:t>AAAS: Science: Table of Contents</w:t>
      </w:r>
      <w:r>
        <w:t xml:space="preserve">    </w:t>
      </w:r>
      <w:r>
        <w:rPr>
          <w:b/>
        </w:rPr>
        <w:t xml:space="preserve">Pub date: </w:t>
      </w:r>
      <w:r>
        <w:t>2026-03-26 07:00:00+00:00</w:t>
      </w:r>
      <w:r>
        <w:t xml:space="preserve">    </w:t>
      </w:r>
      <w:r>
        <w:rPr>
          <w:b/>
        </w:rPr>
        <w:t xml:space="preserve">DOI: </w:t>
      </w:r>
      <w:hyperlink r:id="rId1051">
        <w:r>
          <w:rPr>
            <w:color w:val="1155CC"/>
            <w:u w:val="single"/>
          </w:rPr>
          <w:t>10.1126/science.adv0134</w:t>
        </w:r>
      </w:hyperlink>
    </w:p>
    <w:p>
      <w:pPr>
        <w:spacing w:before="0" w:after="120"/>
      </w:pPr>
      <w:r>
        <w:rPr>
          <w:b/>
        </w:rPr>
        <w:t xml:space="preserve">Notes: </w:t>
      </w:r>
      <w:r>
        <w:t>abstract_source=crossref</w:t>
      </w:r>
    </w:p>
    <w:p>
      <w:pPr>
        <w:spacing w:before="0" w:after="80" w:lineRule="auto" w:line="276"/>
      </w:pPr>
      <w:r>
        <w:rPr>
          <w:b/>
        </w:rPr>
        <w:t xml:space="preserve">摘要（ZH）: </w:t>
      </w:r>
      <w:r>
        <w:t>在真核转录过程中，RNA聚合酶II（Pol II）必须克服核小体障碍，并且由于DNA的螺旋结构，还必须相对于DNA旋转，这会产生扭转应力。然而，对于Pol II如何在超螺旋DNA中转录通过核小体的理解有限。在这项工作中，我们确定了Pol II单独产生9皮牛·纳米（pN·nm）的扭矩，与转录因子IIS（TFIIS）一起产生13 pN·nm，使其成为一个强大的旋转马达。当Pol II遇到核小体时，与单核小体底物相比，在染色质底物上的通过效率更高，这表明染色质在转录过程中显著缓冲了扭转应力。此外，拓扑异构酶的超螺旋松弛允许Pol I</w:t>
      </w:r>
    </w:p>
    <w:p>
      <w:pPr>
        <w:spacing w:before="0" w:after="200" w:lineRule="auto" w:line="276"/>
      </w:pPr>
      <w:r>
        <w:rPr>
          <w:b/>
        </w:rPr>
        <w:t xml:space="preserve">Abstract (EN): </w:t>
      </w:r>
      <w:r>
        <w:t>During eukaryotic transcription, RNA polymerase II (Pol II) must overcome nucleosome obstacles and, because of DNA’s helical structure, must also rotate relative to DNA, which generates torsional stress. However, there is limited understanding of how Pol II transcribes through nucleosomes while supercoiling DNA. In this work, we determined that Pol II generates a torque of 9 piconewton-nanometers (pN·nm) alone and 13 pN·nm with transcription factor IIS (TFIIS), making it a powerful rotary motor. When Pol II encounters a nucleosome, passage becomes more efficient on a chromatin substrate compared with on a single-nucleosome substrate, which demonstrates that chromatin substantially buffers torsional stress during transcription. Furthermore, topoisomerase supercoiling relaxation allows Pol II to transcribe through multiple nucleosomes. Our results reveal a role of chromatin beyond the more conventional view of it being just a roadblock to transcription.</w:t>
      </w:r>
    </w:p>
    <w:p>
      <w:pPr>
        <w:spacing w:before="120" w:after="120"/>
      </w:pPr>
      <w:r>
        <w:rPr>
          <w:sz w:val="18"/>
        </w:rPr>
        <w:t>——————————————————————————————————————————————————————————————————————</w:t>
      </w:r>
    </w:p>
    <w:p>
      <w:pPr>
        <w:spacing w:before="160" w:after="40" w:line="240" w:lineRule="auto"/>
      </w:pPr>
      <w:r>
        <w:rPr>
          <w:b/>
        </w:rPr>
        <w:t xml:space="preserve">[447] </w:t>
      </w:r>
      <w:hyperlink r:id="rId1052">
        <w:r>
          <w:rPr>
            <w:color w:val="1155CC"/>
            <w:u w:val="single"/>
          </w:rPr>
          <w:t>通过安培/电位光-SECM探测Pt/TiO2光催化剂中的电荷转移过程</w:t>
        </w:r>
      </w:hyperlink>
    </w:p>
    <w:p>
      <w:pPr>
        <w:spacing w:before="0" w:after="80"/>
      </w:pPr>
      <w:r>
        <w:rPr>
          <w:i/>
          <w:sz w:val="20"/>
        </w:rPr>
        <w:t>EN: Probing charge-transfer processes in Pt/TiO2 photocatalysts by amperometric/potentiometric photo-SECM</w:t>
      </w:r>
    </w:p>
    <w:p>
      <w:pPr>
        <w:spacing w:before="0" w:after="120"/>
      </w:pPr>
      <w:r>
        <w:rPr>
          <w:b/>
        </w:rPr>
        <w:t xml:space="preserve">Source: </w:t>
      </w:r>
      <w:r>
        <w:t>Proceedings of the National Academy of Sciences: Keyword search for query</w:t>
      </w:r>
      <w:r>
        <w:t xml:space="preserve">    </w:t>
      </w:r>
      <w:r>
        <w:rPr>
          <w:b/>
        </w:rPr>
        <w:t xml:space="preserve">Pub date: </w:t>
      </w:r>
      <w:r>
        <w:t>2026-03-26 07:00:00+00:00</w:t>
      </w:r>
      <w:r>
        <w:t xml:space="preserve">    </w:t>
      </w:r>
      <w:r>
        <w:rPr>
          <w:b/>
        </w:rPr>
        <w:t xml:space="preserve">DOI: </w:t>
      </w:r>
      <w:hyperlink r:id="rId1053">
        <w:r>
          <w:rPr>
            <w:color w:val="1155CC"/>
            <w:u w:val="single"/>
          </w:rPr>
          <w:t>10.1073/pnas.2527861123</w:t>
        </w:r>
      </w:hyperlink>
    </w:p>
    <w:p>
      <w:pPr>
        <w:spacing w:before="0" w:after="120"/>
      </w:pPr>
      <w:r>
        <w:rPr>
          <w:b/>
        </w:rPr>
        <w:t xml:space="preserve">Notes: </w:t>
      </w:r>
      <w:r>
        <w:t>abstract_source=crossref</w:t>
      </w:r>
    </w:p>
    <w:p>
      <w:pPr>
        <w:spacing w:before="0" w:after="80" w:lineRule="auto" w:line="276"/>
      </w:pPr>
      <w:r>
        <w:rPr>
          <w:b/>
        </w:rPr>
        <w:t xml:space="preserve">摘要（ZH）: </w:t>
      </w:r>
      <w:r>
        <w:t>电催化剂与光电极结合可以为广泛的光电化学过程提供更高的活性和/或更低的过电位。尽管半导体表面的助催化剂纳米颗粒（NPs）已被广泛研究，但在此类系统中进行电荷转移过程的空间分辨动力学测量仍然具有挑战性。在此，我们介绍了一种基于单一装置的独特方法，采用接触安培/电位光扫描电化学显微镜进行定量、高分辨率的纳米结构光催化剂光电化学过程测量。安培SECM实验与使用同一纳米探针进行的纳米尺度局部电位测量相结合，该探针被带到与sa的隧道距离内。</w:t>
      </w:r>
    </w:p>
    <w:p>
      <w:pPr>
        <w:spacing w:before="0" w:after="200" w:lineRule="auto" w:line="276"/>
      </w:pPr>
      <w:r>
        <w:rPr>
          <w:b/>
        </w:rPr>
        <w:t xml:space="preserve">Abstract (EN): </w:t>
      </w:r>
      <w:r>
        <w:t>Electrocatalysts in combination with photoelectrodes can provide higher activity and/or lower overpotential for a broad range of photoelectrochemical processes. Although cocatalyst nanoparticles (NPs) on semiconductor surfaces have been extensively studied, spatially resolved kinetic measurements of charge-transfer processes in such systems remain challenging. Here, we introduce a unique approach based on a single setup employing contact amperometric/potentiometric photo-scanning electrochemical microscopy for quantitative, high-resolution measurements of photoelectrochemical processes in nanostructured photocatalysts. Amperometric SECM experiments are coupled with nanoscale local potential measurements made using the same nanotip, which is brought within the tunneling distance from the sample surface. Pt NPs electrodeposited on the surface of Nb-doped TiO</w:t>
      </w:r>
      <w:r>
        <w:rPr>
          <w:vertAlign w:val="subscript"/>
        </w:rPr>
        <w:t>2</w:t>
      </w:r>
      <w:r>
        <w:t>rutile (110) single crystals are used as a model experimental system to demonstrate the capabilities of the developed technique for probing local rates of photogenerated hole/electron transfers, such as overall water splitting (OWS) with coevolved H</w:t>
      </w:r>
      <w:r>
        <w:rPr>
          <w:vertAlign w:val="subscript"/>
        </w:rPr>
        <w:t>2</w:t>
      </w:r>
      <w:r>
        <w:t>and O</w:t>
      </w:r>
      <w:r>
        <w:rPr>
          <w:vertAlign w:val="subscript"/>
        </w:rPr>
        <w:t>2</w:t>
      </w:r>
      <w:r>
        <w:t>, as well as the oxidation/reduction of a reversible redox mediator (e.g., ferro/ferricyanide). This methodology resolves spatial variations in photocatalytic reactivity of nanoscale cocatalysts supported on semiconductors with a spatial resolution on the order of 10 nm. In the Pt/Nb:TiO2 system, this method identifies distinct cathodic and anodic sites separated by ~150 nm, with local surface potentials of approximately −0.53 V and +0.58 V vs. Ag/AgCl, respectively. Complementary structural/compositional and spectroscopic analyses reveal the coexistence of metallic Pt and oxidized Pt species under OWS conditions, establishing asymmetric surface energetics consistent with a ~1.5 eV difference in local band-edge position and thereby driving directional carrier separation within Nb:TiO</w:t>
      </w:r>
      <w:r>
        <w:rPr>
          <w:vertAlign w:val="subscript"/>
        </w:rPr>
        <w:t>2</w:t>
      </w:r>
      <w:r>
        <w:t>.</w:t>
      </w:r>
    </w:p>
    <w:p>
      <w:pPr>
        <w:spacing w:before="120" w:after="120"/>
      </w:pPr>
      <w:r>
        <w:rPr>
          <w:sz w:val="18"/>
        </w:rPr>
        <w:t>——————————————————————————————————————————————————————————————————————</w:t>
      </w:r>
    </w:p>
    <w:p>
      <w:pPr>
        <w:spacing w:before="160" w:after="40" w:line="240" w:lineRule="auto"/>
      </w:pPr>
      <w:r>
        <w:rPr>
          <w:b/>
        </w:rPr>
        <w:t xml:space="preserve">[448] </w:t>
      </w:r>
      <w:hyperlink r:id="rId1054">
        <w:r>
          <w:rPr>
            <w:color w:val="1155CC"/>
            <w:u w:val="single"/>
          </w:rPr>
          <w:t>家族单细胞图谱揭示猪妊娠和胎儿生长受限的关键细胞类型</w:t>
        </w:r>
      </w:hyperlink>
    </w:p>
    <w:p>
      <w:pPr>
        <w:spacing w:before="0" w:after="80"/>
      </w:pPr>
      <w:r>
        <w:rPr>
          <w:i/>
          <w:sz w:val="20"/>
        </w:rPr>
        <w:t>EN: Family single-cell atlases reveal pig pregnancy and fetal growth restriction critical cell types</w:t>
      </w:r>
    </w:p>
    <w:p>
      <w:pPr>
        <w:spacing w:before="0" w:after="120"/>
      </w:pPr>
      <w:r>
        <w:rPr>
          <w:b/>
        </w:rPr>
        <w:t xml:space="preserve">Source: </w:t>
      </w:r>
      <w:r>
        <w:t>AAAS: Science: Table of Contents</w:t>
      </w:r>
      <w:r>
        <w:t xml:space="preserve">    </w:t>
      </w:r>
      <w:r>
        <w:rPr>
          <w:b/>
        </w:rPr>
        <w:t xml:space="preserve">Pub date: </w:t>
      </w:r>
      <w:r>
        <w:t>2026-03-26 07:00:00+00:00</w:t>
      </w:r>
      <w:r>
        <w:t xml:space="preserve">    </w:t>
      </w:r>
      <w:r>
        <w:rPr>
          <w:b/>
        </w:rPr>
        <w:t xml:space="preserve">DOI: </w:t>
      </w:r>
      <w:hyperlink r:id="rId1055">
        <w:r>
          <w:rPr>
            <w:color w:val="1155CC"/>
            <w:u w:val="single"/>
          </w:rPr>
          <w:t>10.1126/science.adu7265</w:t>
        </w:r>
      </w:hyperlink>
    </w:p>
    <w:p>
      <w:pPr>
        <w:spacing w:before="0" w:after="120"/>
      </w:pPr>
      <w:r>
        <w:rPr>
          <w:b/>
        </w:rPr>
        <w:t xml:space="preserve">Notes: </w:t>
      </w:r>
      <w:r>
        <w:t>abstract_source=crossref</w:t>
      </w:r>
    </w:p>
    <w:p>
      <w:pPr>
        <w:spacing w:before="0" w:after="80" w:lineRule="auto" w:line="276"/>
      </w:pPr>
      <w:r>
        <w:rPr>
          <w:b/>
        </w:rPr>
        <w:t xml:space="preserve">摘要（ZH）: </w:t>
      </w:r>
      <w:r>
        <w:t>尽管已经有大量的细胞图谱可用，但要获得单个身体内所有组织的图谱仍然是一个挑战，尤其是在胎儿和孕妇中。我们展示了一个转录组图谱，涵盖了来自一只胎猪及其孕母的115和119个组织的256万单细胞。我们发现一簇心脏毛细血管内皮细胞在怀孕期间脂肪酸转运能力增强，但在妊娠后恢复。我们还解码了胎盘中l-亮氨酸转运不足通过减少肌肉II型肌纤维亚群导致胎儿生长受限。我们的“all-from-one”策略使得识别组织细胞类型特异性转录因子和p成为可能。</w:t>
      </w:r>
    </w:p>
    <w:p>
      <w:pPr>
        <w:spacing w:before="0" w:after="200" w:lineRule="auto" w:line="276"/>
      </w:pPr>
      <w:r>
        <w:rPr>
          <w:b/>
        </w:rPr>
        <w:t xml:space="preserve">Abstract (EN): </w:t>
      </w:r>
      <w:r>
        <w:t>Although massive cell atlases are already available, it is still a challenge to obtain an atlas of all tissues within a single body, especially in fetuses and pregnant mothers. We present a transcriptomic atlas of 2.56 million single cells covering 115 and 119 tissues from one fetal pig and its pregnant mother, respectively. We found that a cluster of heart capillary endothelial cells with enhanced fatty acid transit capability was enriched for pregnancy but restored after gestation. We also deciphered that</w:t>
      </w:r>
      <w:r>
        <w:t xml:space="preserve"> </w:t>
      </w:r>
      <w:r>
        <w:t>l</w:t>
      </w:r>
      <w:r>
        <w:t xml:space="preserve"> </w:t>
      </w:r>
      <w:r>
        <w:t>-leucine transport insufficiency in the trophoblast causes fetal growth restriction by reducing a muscle type II myofiber subcluster. Our “all-from-one” strategy enabled the identification of tissue cell type–specific transcription factors and provided insights into pregnancy heart adaptation and fetal growth restriction.</w:t>
      </w:r>
    </w:p>
    <w:p>
      <w:pPr>
        <w:spacing w:before="120" w:after="120"/>
      </w:pPr>
      <w:r>
        <w:rPr>
          <w:sz w:val="18"/>
        </w:rPr>
        <w:t>——————————————————————————————————————————————————————————————————————</w:t>
      </w:r>
    </w:p>
    <w:p>
      <w:pPr>
        <w:spacing w:before="160" w:after="40" w:line="240" w:lineRule="auto"/>
      </w:pPr>
      <w:r>
        <w:rPr>
          <w:b/>
        </w:rPr>
        <w:t xml:space="preserve">[449] </w:t>
      </w:r>
      <w:hyperlink r:id="rId1056">
        <w:r>
          <w:rPr>
            <w:color w:val="1155CC"/>
            <w:u w:val="single"/>
          </w:rPr>
          <w:t>阿拉伯芥同步户外进化实验中的快速适应和灭绝</w:t>
        </w:r>
      </w:hyperlink>
    </w:p>
    <w:p>
      <w:pPr>
        <w:spacing w:before="0" w:after="80"/>
      </w:pPr>
      <w:r>
        <w:rPr>
          <w:i/>
          <w:sz w:val="20"/>
        </w:rPr>
        <w:t>EN: Rapid adaptation and extinction in synchronized outdoor evolution experiments of Arabidopsis</w:t>
      </w:r>
    </w:p>
    <w:p>
      <w:pPr>
        <w:spacing w:before="0" w:after="120"/>
      </w:pPr>
      <w:r>
        <w:rPr>
          <w:b/>
        </w:rPr>
        <w:t xml:space="preserve">Source: </w:t>
      </w:r>
      <w:r>
        <w:t>AAAS: Science: Table of Contents</w:t>
      </w:r>
      <w:r>
        <w:t xml:space="preserve">    </w:t>
      </w:r>
      <w:r>
        <w:rPr>
          <w:b/>
        </w:rPr>
        <w:t xml:space="preserve">Pub date: </w:t>
      </w:r>
      <w:r>
        <w:t>2026-03-26 07:00:00+00:00</w:t>
      </w:r>
      <w:r>
        <w:t xml:space="preserve">    </w:t>
      </w:r>
      <w:r>
        <w:rPr>
          <w:b/>
        </w:rPr>
        <w:t xml:space="preserve">DOI: </w:t>
      </w:r>
      <w:hyperlink r:id="rId1057">
        <w:r>
          <w:rPr>
            <w:color w:val="1155CC"/>
            <w:u w:val="single"/>
          </w:rPr>
          <w:t>10.1126/science.adz0777</w:t>
        </w:r>
      </w:hyperlink>
    </w:p>
    <w:p>
      <w:pPr>
        <w:spacing w:before="0" w:after="120"/>
      </w:pPr>
      <w:r>
        <w:rPr>
          <w:b/>
        </w:rPr>
        <w:t xml:space="preserve">Notes: </w:t>
      </w:r>
      <w:r>
        <w:t>abstract_source=crossref</w:t>
      </w:r>
    </w:p>
    <w:p>
      <w:pPr>
        <w:spacing w:before="0" w:after="80" w:lineRule="auto" w:line="276"/>
      </w:pPr>
      <w:r>
        <w:rPr>
          <w:b/>
        </w:rPr>
        <w:t xml:space="preserve">摘要（ZH）: </w:t>
      </w:r>
      <w:r>
        <w:t>气候变化迫使物种迅速适应以避免灭绝。为了直接观察快速适应和灭绝，我们在西欧、地中海、黎凡特和北美的30个地点进行了同步进化实验，使用拟南芥（Arabidopsis thaliana）。对约70,000株存活植物进行的全基因组池化测序揭示了在相似气候中可重复的等位基因频率变化，但在对比气候中则出现不同的变化，表明进化适应。我们识别了与气候适应相关的遗传变异，包括涉及从热应激感知到春季开花时间等过程的基因。进化趋势在不同环境中通常是可预测的，但变化多样。在较温暖的气候中，进化</w:t>
      </w:r>
    </w:p>
    <w:p>
      <w:pPr>
        <w:spacing w:before="0" w:after="200" w:lineRule="auto" w:line="276"/>
      </w:pPr>
      <w:r>
        <w:rPr>
          <w:b/>
        </w:rPr>
        <w:t xml:space="preserve">Abstract (EN): </w:t>
      </w:r>
      <w:r>
        <w:t>Climate change forces species to adapt rapidly to avoid extinction. To directly observe rapid adaptation and extinction, we conducted synchronized evolution experiments with</w:t>
      </w:r>
      <w:r>
        <w:t xml:space="preserve"> </w:t>
      </w:r>
      <w:r>
        <w:t>Arabidopsis thaliana</w:t>
      </w:r>
      <w:r>
        <w:t xml:space="preserve"> </w:t>
      </w:r>
      <w:r>
        <w:t>in 30 locations across Western Europe, the Mediterranean, the Levant, and North America. Whole-genome pooled sequencing of ~70,000 surviving plants revealed repeatable allele frequency shifts in similar climates but divergent shifts across contrasting ones, indicating evolutionary adaptation. We identified genetic variants linked to climate adaptation, including genes involved in processes ranging from thermal-stress sensing to spring-flowering timing. Evolutionary trends were often predictable, but variable, across environments. In warmer climates, evolutionary predictability correlated with population survival over 5 years, whereas erratic changes preceded extinction. These results show that rapid climate adaptation is possible, but understanding its limits will be crucial for biodiversity forecasting.</w:t>
      </w:r>
    </w:p>
    <w:p>
      <w:pPr>
        <w:spacing w:before="120" w:after="120"/>
      </w:pPr>
      <w:r>
        <w:rPr>
          <w:sz w:val="18"/>
        </w:rPr>
        <w:t>——————————————————————————————————————————————————————————————————————</w:t>
      </w:r>
    </w:p>
    <w:p>
      <w:pPr>
        <w:spacing w:before="160" w:after="40" w:line="240" w:lineRule="auto"/>
      </w:pPr>
      <w:r>
        <w:rPr>
          <w:b/>
        </w:rPr>
        <w:t xml:space="preserve">[450] </w:t>
      </w:r>
      <w:hyperlink r:id="rId1058">
        <w:r>
          <w:rPr>
            <w:color w:val="1155CC"/>
            <w:u w:val="single"/>
          </w:rPr>
          <w:t>用于哺乳动物细胞中转录组存储的遗传编码装置</w:t>
        </w:r>
      </w:hyperlink>
    </w:p>
    <w:p>
      <w:pPr>
        <w:spacing w:before="0" w:after="80"/>
      </w:pPr>
      <w:r>
        <w:rPr>
          <w:i/>
          <w:sz w:val="20"/>
        </w:rPr>
        <w:t>EN: A genetically encoded device for transcriptome storage in mammalian cells</w:t>
      </w:r>
    </w:p>
    <w:p>
      <w:pPr>
        <w:spacing w:before="0" w:after="120"/>
      </w:pPr>
      <w:r>
        <w:rPr>
          <w:b/>
        </w:rPr>
        <w:t xml:space="preserve">Source: </w:t>
      </w:r>
      <w:r>
        <w:t>AAAS: Science: Table of Contents</w:t>
      </w:r>
      <w:r>
        <w:t xml:space="preserve">    </w:t>
      </w:r>
      <w:r>
        <w:rPr>
          <w:b/>
        </w:rPr>
        <w:t xml:space="preserve">Pub date: </w:t>
      </w:r>
      <w:r>
        <w:t>2026-03-26 07:00:00+00:00</w:t>
      </w:r>
      <w:r>
        <w:t xml:space="preserve">    </w:t>
      </w:r>
      <w:r>
        <w:rPr>
          <w:b/>
        </w:rPr>
        <w:t xml:space="preserve">DOI: </w:t>
      </w:r>
      <w:hyperlink r:id="rId1059">
        <w:r>
          <w:rPr>
            <w:color w:val="1155CC"/>
            <w:u w:val="single"/>
          </w:rPr>
          <w:t>10.1126/science.adz9353</w:t>
        </w:r>
      </w:hyperlink>
    </w:p>
    <w:p>
      <w:pPr>
        <w:spacing w:before="0" w:after="120"/>
      </w:pPr>
      <w:r>
        <w:rPr>
          <w:b/>
        </w:rPr>
        <w:t xml:space="preserve">Notes: </w:t>
      </w:r>
      <w:r>
        <w:t>abstract_source=crossref</w:t>
      </w:r>
    </w:p>
    <w:p>
      <w:pPr>
        <w:spacing w:before="0" w:after="80" w:lineRule="auto" w:line="276"/>
      </w:pPr>
      <w:r>
        <w:rPr>
          <w:b/>
        </w:rPr>
        <w:t xml:space="preserve">摘要（ZH）: </w:t>
      </w:r>
      <w:r>
        <w:t>理解细胞如何随时间做出决策需要能够将过去的分子状态与未来的表型结果联系起来。我们提出了TimeVault，这是一种基因编码系统，可以在活体哺乳动物细胞中记录和存储转录组以供将来读取。TimeVault利用工程化的vault颗粒，通过聚腺苷[poly (A)]–结合蛋白捕获信使RNA。我们证明了TimeVaults存储的转录组在活细胞中稳定超过7天。TimeVault能够以最小的细胞扰动实现高保真度的转录组范围记录，捕捉瞬时的应激反应，并揭示在逃避表皮生长因子受体（EGFR）抑制的肺癌细胞中，药物天真持久状态下的基因表达变化。通过</w:t>
      </w:r>
    </w:p>
    <w:p>
      <w:pPr>
        <w:spacing w:before="0" w:after="200" w:lineRule="auto" w:line="276"/>
      </w:pPr>
      <w:r>
        <w:rPr>
          <w:b/>
        </w:rPr>
        <w:t xml:space="preserve">Abstract (EN): </w:t>
      </w:r>
      <w:r>
        <w:t>Understanding how cells make decisions over time requires the ability to link past molecular states to future phenotypic outcomes. We present TimeVault, a genetically encoded system that records and stores transcriptomes within living mammalian cells for future readout. TimeVault leverages engineered vault particles that capture messenger RNA through polyadenosine [poly (A)]–binding protein. We demonstrate that the transcriptome stored by TimeVaults is stable in living cells for more than 7 days. TimeVault enables high-fidelity transcriptome-wide recording with minimal cellular perturbation, capturing transient stress responses and revealing gene expression changes underlying drug-naïve persister states in lung cancer cells that evade epidermal growth factor receptor (EGFR) inhibition. By linking past and present cellular states, TimeVault provides a powerful tool for decoding how cells respond to stress, make fate decisions, and resist therapy.</w:t>
      </w:r>
    </w:p>
    <w:p>
      <w:pPr>
        <w:spacing w:before="120" w:after="120"/>
      </w:pPr>
      <w:r>
        <w:rPr>
          <w:sz w:val="18"/>
        </w:rPr>
        <w:t>——————————————————————————————————————————————————————————————————————</w:t>
      </w:r>
    </w:p>
    <w:p>
      <w:pPr>
        <w:spacing w:before="160" w:after="40" w:line="240" w:lineRule="auto"/>
      </w:pPr>
      <w:r>
        <w:rPr>
          <w:b/>
        </w:rPr>
        <w:t xml:space="preserve">[451] </w:t>
      </w:r>
      <w:hyperlink r:id="rId1060">
        <w:r>
          <w:rPr>
            <w:color w:val="1155CC"/>
            <w:u w:val="single"/>
          </w:rPr>
          <w:t>独特的DNA序列特征定义了炎症记忆的表观遗传长寿</w:t>
        </w:r>
      </w:hyperlink>
    </w:p>
    <w:p>
      <w:pPr>
        <w:spacing w:before="0" w:after="80"/>
      </w:pPr>
      <w:r>
        <w:rPr>
          <w:i/>
          <w:sz w:val="20"/>
        </w:rPr>
        <w:t>EN: Distinctive DNA sequence features define epigenetic longevity of inflammatory memory</w:t>
      </w:r>
    </w:p>
    <w:p>
      <w:pPr>
        <w:spacing w:before="0" w:after="120"/>
      </w:pPr>
      <w:r>
        <w:rPr>
          <w:b/>
        </w:rPr>
        <w:t xml:space="preserve">Source: </w:t>
      </w:r>
      <w:r>
        <w:t>AAAS: Science: Table of Contents</w:t>
      </w:r>
      <w:r>
        <w:t xml:space="preserve">    </w:t>
      </w:r>
      <w:r>
        <w:rPr>
          <w:b/>
        </w:rPr>
        <w:t xml:space="preserve">Pub date: </w:t>
      </w:r>
      <w:r>
        <w:t>2026-03-26 07:00:00+00:00</w:t>
      </w:r>
      <w:r>
        <w:t xml:space="preserve">    </w:t>
      </w:r>
      <w:r>
        <w:rPr>
          <w:b/>
        </w:rPr>
        <w:t xml:space="preserve">DOI: </w:t>
      </w:r>
      <w:hyperlink r:id="rId1061">
        <w:r>
          <w:rPr>
            <w:color w:val="1155CC"/>
            <w:u w:val="single"/>
          </w:rPr>
          <w:t>10.1126/science.adz6830</w:t>
        </w:r>
      </w:hyperlink>
    </w:p>
    <w:p>
      <w:pPr>
        <w:spacing w:before="0" w:after="120"/>
      </w:pPr>
      <w:r>
        <w:rPr>
          <w:b/>
        </w:rPr>
        <w:t xml:space="preserve">Notes: </w:t>
      </w:r>
      <w:r>
        <w:t>abstract_source=crossref</w:t>
      </w:r>
    </w:p>
    <w:p>
      <w:pPr>
        <w:spacing w:before="0" w:after="80" w:lineRule="auto" w:line="276"/>
      </w:pPr>
      <w:r>
        <w:rPr>
          <w:b/>
        </w:rPr>
        <w:t xml:space="preserve">摘要（ZH）: </w:t>
      </w:r>
      <w:r>
        <w:t>组织保留炎症的记忆，这增加了对未来各种攻击的敏感性。这些适应是否以及如何通过时间和细胞分裂得以维持仍然知之甚少。我们展示了在小鼠中，表皮干细胞储存了终生的、功能性的银屑病样皮肤炎症的表观遗传记录。应用深度学习研究这些染色质动态，我们发现CpG二核苷酸密度是记忆持久性的主要驱动因素。虽然对于炎症诱导的转录因子打开和建立记忆并不必要，但富含CpG的序列随后变得至关重要，通过整合DNA去甲基化、甲基化敏感的转录因子、序列固有的核小体不亲和性和</w:t>
      </w:r>
    </w:p>
    <w:p>
      <w:pPr>
        <w:spacing w:before="0" w:after="200" w:lineRule="auto" w:line="276"/>
      </w:pPr>
      <w:r>
        <w:rPr>
          <w:b/>
        </w:rPr>
        <w:t xml:space="preserve">Abstract (EN): </w:t>
      </w:r>
      <w:r>
        <w:t>Tissues harbor memories of inflammation, which heighten sensitivity to diverse future assaults. Whether and how these adaptations are sustained through time and cell division remain poorly understood. We show that in mice, epidermal stem cells store lifelong, functional epigenetic records of psoriasis-like skin flares. Applying deep learning to investigate these chromatin dynamics, we unearth CpG dinucleotide density as a major driver of memory persistence. Although unnecessary for inflammation-induced transcription factors to open and establish memories, CpG-enriched sequences thereafter become essential, reinforcing accessibility across cellular generations by integrating DNA demethylation, methylation-sensitive transcription factors, sequence-intrinsic nucleosome disaffinity, and the nucleosome-destabilizing histone variant H2A.Z. Thus, once activated by inflammation-induced transcription factors, DNA sequences orchestrate persistent poise, imparting long-lasting memory to stress-sensitive genes and profoundly affecting tissue fitness upon recall.</w:t>
      </w:r>
    </w:p>
    <w:p>
      <w:pPr>
        <w:spacing w:before="120" w:after="120"/>
      </w:pPr>
      <w:r>
        <w:rPr>
          <w:sz w:val="18"/>
        </w:rPr>
        <w:t>——————————————————————————————————————————————————————————————————————</w:t>
      </w:r>
    </w:p>
    <w:p>
      <w:pPr>
        <w:spacing w:before="160" w:after="40" w:line="240" w:lineRule="auto"/>
      </w:pPr>
      <w:r>
        <w:rPr>
          <w:b/>
        </w:rPr>
        <w:t xml:space="preserve">[452] </w:t>
      </w:r>
      <w:hyperlink r:id="rId1062">
        <w:r>
          <w:rPr>
            <w:color w:val="1155CC"/>
            <w:u w:val="single"/>
          </w:rPr>
          <w:t>天文学是一种奢侈吗？</w:t>
        </w:r>
      </w:hyperlink>
    </w:p>
    <w:p>
      <w:pPr>
        <w:spacing w:before="0" w:after="80"/>
      </w:pPr>
      <w:r>
        <w:rPr>
          <w:i/>
          <w:sz w:val="20"/>
        </w:rPr>
        <w:t>EN: Is astronomy a luxury?</w:t>
      </w:r>
    </w:p>
    <w:p>
      <w:pPr>
        <w:spacing w:before="0" w:after="120"/>
      </w:pPr>
      <w:r>
        <w:rPr>
          <w:b/>
        </w:rPr>
        <w:t xml:space="preserve">Source: </w:t>
      </w:r>
      <w:r>
        <w:t>AAAS: Science: Table of Contents</w:t>
      </w:r>
      <w:r>
        <w:t xml:space="preserve">    </w:t>
      </w:r>
      <w:r>
        <w:rPr>
          <w:b/>
        </w:rPr>
        <w:t xml:space="preserve">Pub date: </w:t>
      </w:r>
      <w:r>
        <w:t>2026-03-26 07:00:00+00:00</w:t>
      </w:r>
      <w:r>
        <w:t xml:space="preserve">    </w:t>
      </w:r>
      <w:r>
        <w:rPr>
          <w:b/>
        </w:rPr>
        <w:t xml:space="preserve">DOI: </w:t>
      </w:r>
      <w:hyperlink r:id="rId1063">
        <w:r>
          <w:rPr>
            <w:color w:val="1155CC"/>
            <w:u w:val="single"/>
          </w:rPr>
          <w:t>10.1126/science.aef4989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[453] </w:t>
      </w:r>
      <w:hyperlink r:id="rId1064">
        <w:r>
          <w:rPr>
            <w:color w:val="1155CC"/>
            <w:u w:val="single"/>
          </w:rPr>
          <w:t>谄媚的AI降低亲社会意图并促进依赖性</w:t>
        </w:r>
      </w:hyperlink>
    </w:p>
    <w:p>
      <w:pPr>
        <w:spacing w:before="0" w:after="80"/>
      </w:pPr>
      <w:r>
        <w:rPr>
          <w:i/>
          <w:sz w:val="20"/>
        </w:rPr>
        <w:t>EN: Sycophantic AI decreases prosocial intentions and promotes dependence</w:t>
      </w:r>
    </w:p>
    <w:p>
      <w:pPr>
        <w:spacing w:before="0" w:after="120"/>
      </w:pPr>
      <w:r>
        <w:rPr>
          <w:b/>
        </w:rPr>
        <w:t xml:space="preserve">Source: </w:t>
      </w:r>
      <w:r>
        <w:t>AAAS: Science: Table of Contents</w:t>
      </w:r>
      <w:r>
        <w:t xml:space="preserve">    </w:t>
      </w:r>
      <w:r>
        <w:rPr>
          <w:b/>
        </w:rPr>
        <w:t xml:space="preserve">Pub date: </w:t>
      </w:r>
      <w:r>
        <w:t>2026-03-26 07:00:00+00:00</w:t>
      </w:r>
      <w:r>
        <w:t xml:space="preserve">    </w:t>
      </w:r>
      <w:r>
        <w:rPr>
          <w:b/>
        </w:rPr>
        <w:t xml:space="preserve">DOI: </w:t>
      </w:r>
      <w:hyperlink r:id="rId1065">
        <w:r>
          <w:rPr>
            <w:color w:val="1155CC"/>
            <w:u w:val="single"/>
          </w:rPr>
          <w:t>10.1126/science.aec8352</w:t>
        </w:r>
      </w:hyperlink>
    </w:p>
    <w:p>
      <w:pPr>
        <w:spacing w:before="0" w:after="120"/>
      </w:pPr>
      <w:r>
        <w:rPr>
          <w:b/>
        </w:rPr>
        <w:t xml:space="preserve">Notes: </w:t>
      </w:r>
      <w:r>
        <w:t>abstract_source=crossref</w:t>
      </w:r>
    </w:p>
    <w:p>
      <w:pPr>
        <w:spacing w:before="0" w:after="80" w:lineRule="auto" w:line="276"/>
      </w:pPr>
      <w:r>
        <w:rPr>
          <w:b/>
        </w:rPr>
        <w:t xml:space="preserve">摘要（ZH）: </w:t>
      </w:r>
      <w:r>
        <w:t>尽管对谄媚——来自人工智能（AI）系统的过度同意或奉承——的担忧日益增加，但对其普遍性或后果知之甚少。我们表明谄媚是普遍存在且有害的。在11种最先进的模型中，AI比人类更频繁地肯定用户的行为，即使查询涉及欺骗、非法或其他危害。在三个预注册实验（N = 2405）中，即使与谄媚AI的单次互动也降低了参与者承担责任和修复人际冲突的意愿，同时增加了他们认为自己是对的信念。尽管扭曲了判断，谄媚模型仍然被信任和偏爱。这为谄媚的持续存在创造了反常的激励：</w:t>
      </w:r>
    </w:p>
    <w:p>
      <w:pPr>
        <w:spacing w:before="0" w:after="200" w:lineRule="auto" w:line="276"/>
      </w:pPr>
      <w:r>
        <w:rPr>
          <w:b/>
        </w:rPr>
        <w:t xml:space="preserve">Abstract (EN): </w:t>
      </w:r>
      <w:r>
        <w:t>Despite rising concerns about sycophancy—excessive agreement or flattery from artificial intelligence (AI) systems—little is known about its prevalence or consequences. We show that sycophancy is widespread and harmful. Across 11 state-of-the-art models, AI affirmed users’ actions 49% more often than humans, even when queries involved deception, illegality, or other harms. In three preregistered experiments (</w:t>
      </w:r>
      <w:r>
        <w:t xml:space="preserve"> </w:t>
      </w:r>
      <w:r>
        <w:t>N</w:t>
      </w:r>
      <w:r>
        <w:t xml:space="preserve"> </w:t>
      </w:r>
      <w:r>
        <w:t>= 2405), even a single interaction with sycophantic AI reduced participants’ willingness to take responsibility and repair interpersonal conflicts, while increasing their conviction that they were right. Despite distorting judgment, sycophantic models were trusted and preferred. This creates perverse incentives for sycophancy to persist: The very feature that causes harm also drives engagement. Our findings underscore the need for design, evaluation, and accountability mechanisms to protect user well-being.</w:t>
      </w:r>
    </w:p>
    <w:p>
      <w:pPr>
        <w:spacing w:before="120" w:after="120"/>
      </w:pPr>
      <w:r>
        <w:rPr>
          <w:sz w:val="18"/>
        </w:rPr>
        <w:t>——————————————————————————————————————————————————————————————————————</w:t>
      </w:r>
    </w:p>
    <w:p>
      <w:pPr>
        <w:spacing w:before="160" w:after="40" w:line="240" w:lineRule="auto"/>
      </w:pPr>
      <w:r>
        <w:rPr>
          <w:b/>
        </w:rPr>
        <w:t xml:space="preserve">[454] </w:t>
      </w:r>
      <w:hyperlink r:id="rId1066">
        <w:r>
          <w:rPr>
            <w:color w:val="1155CC"/>
            <w:u w:val="single"/>
          </w:rPr>
          <w:t>即使有栖息地保护，保护指标也预测未来遗传多样性的大量损失</w:t>
        </w:r>
      </w:hyperlink>
    </w:p>
    <w:p>
      <w:pPr>
        <w:spacing w:before="0" w:after="80"/>
      </w:pPr>
      <w:r>
        <w:rPr>
          <w:i/>
          <w:sz w:val="20"/>
        </w:rPr>
        <w:t>EN: Large future genetic diversity losses are predicted from conservation indicators even with habitat protection</w:t>
      </w:r>
    </w:p>
    <w:p>
      <w:pPr>
        <w:spacing w:before="0" w:after="120"/>
      </w:pPr>
      <w:r>
        <w:rPr>
          <w:b/>
        </w:rPr>
        <w:t xml:space="preserve">Source: </w:t>
      </w:r>
      <w:r>
        <w:t>Proceedings of the National Academy of Sciences: Keyword search for query</w:t>
      </w:r>
      <w:r>
        <w:t xml:space="preserve">    </w:t>
      </w:r>
      <w:r>
        <w:rPr>
          <w:b/>
        </w:rPr>
        <w:t xml:space="preserve">Pub date: </w:t>
      </w:r>
      <w:r>
        <w:t>2026-03-26 07:00:00+00:00</w:t>
      </w:r>
      <w:r>
        <w:t xml:space="preserve">    </w:t>
      </w:r>
      <w:r>
        <w:rPr>
          <w:b/>
        </w:rPr>
        <w:t xml:space="preserve">DOI: </w:t>
      </w:r>
      <w:hyperlink r:id="rId1067">
        <w:r>
          <w:rPr>
            <w:color w:val="1155CC"/>
            <w:u w:val="single"/>
          </w:rPr>
          <w:t>10.1073/pnas.2514371123</w:t>
        </w:r>
      </w:hyperlink>
    </w:p>
    <w:p>
      <w:pPr>
        <w:spacing w:before="0" w:after="120"/>
      </w:pPr>
      <w:r>
        <w:rPr>
          <w:b/>
        </w:rPr>
        <w:t xml:space="preserve">Notes: </w:t>
      </w:r>
      <w:r>
        <w:t>abstract_source=crossref</w:t>
      </w:r>
    </w:p>
    <w:p>
      <w:pPr>
        <w:spacing w:before="0" w:after="80" w:lineRule="auto" w:line="276"/>
      </w:pPr>
      <w:r>
        <w:rPr>
          <w:b/>
        </w:rPr>
        <w:t xml:space="preserve">摘要（ZH）: </w:t>
      </w:r>
      <w:r>
        <w:t>物种内的遗传多样性是进化适应的基础，最近已被纳入联合国全球生物多样性框架（GBF）的保护目标。然而，我们缺乏数学工具来估计跨物种的过去遗传多样性损失，或基于在保护政策中使用的人口统计代理来预测未来的损失。为填补这一空白，我们开发了一个时空框架，以预测在现实的栖息地变化情景下遗传多样性的动态，并用来自29种植物和动物的群体规模基因组数据进行校准。为了估计已经损失了多少遗传多样性，我们分析了过去五十年中4,611个物种的栖息地面积和种群规模损失，使用了来自生物多样性指数、红色名录和n的数据。</w:t>
      </w:r>
    </w:p>
    <w:p>
      <w:pPr>
        <w:spacing w:before="0" w:after="200" w:lineRule="auto" w:line="276"/>
      </w:pPr>
      <w:r>
        <w:rPr>
          <w:b/>
        </w:rPr>
        <w:t xml:space="preserve">Abstract (EN): </w:t>
      </w:r>
      <w:r>
        <w:t>Genetic diversity within species underpins evolutionary adaptation and has recently been included as a target for protection in the United Nations’ Global Biodiversity Framework (GBF). Yet, we lack mathematical tools to estimate past genetic diversity loss across species—or predict future losses—based on demographic proxies used in conversation policy. To fill this gap, we developed a spatiotemporal framework to predict the dynamics of genetic diversity under realistic habitat change scenarios, calibrated with population-scale genomic data from 29 plant and animal species. To estimate how much genetic diversity has already been lost, we analyzed habitat area and population size losses for 4,611 species from the last five decades, using data from the Living Planet Index, the Red List, and new GBF indicators. We estimate that species have already lost 1 to 13% of π genetic diversity. Furthermore, we predict that genetic diversity losses lag behind population and habitat area declines, such that an average of 6 to 45% of genetic diversity will be lost under different scenarios even if population sizes or habitats do not decline further. Our results highlight that safeguarding existing habitats is insufficient to maintain the genetic health of species, and that genetic monitoring from proxy indicators will only detect major genetic diversity losses after it is already too late.</w:t>
      </w:r>
    </w:p>
    <w:p>
      <w:pPr>
        <w:spacing w:before="120" w:after="120"/>
      </w:pPr>
      <w:r>
        <w:rPr>
          <w:sz w:val="18"/>
        </w:rPr>
        <w:t>——————————————————————————————————————————————————————————————————————</w:t>
      </w:r>
    </w:p>
    <w:p>
      <w:pPr>
        <w:spacing w:before="160" w:after="40" w:line="240" w:lineRule="auto"/>
      </w:pPr>
      <w:r>
        <w:rPr>
          <w:b/>
        </w:rPr>
        <w:t xml:space="preserve">[455] </w:t>
      </w:r>
      <w:hyperlink r:id="rId1068">
        <w:r>
          <w:rPr>
            <w:color w:val="1155CC"/>
            <w:u w:val="single"/>
          </w:rPr>
          <w:t>芽殖酵母端粒酶全酶的冷冻电子显微镜结构</w:t>
        </w:r>
      </w:hyperlink>
    </w:p>
    <w:p>
      <w:pPr>
        <w:spacing w:before="0" w:after="80"/>
      </w:pPr>
      <w:r>
        <w:rPr>
          <w:i/>
          <w:sz w:val="20"/>
        </w:rPr>
        <w:t>EN: Cryo–electron microscopy structure of the budding yeast telomerase holoenzyme</w:t>
      </w:r>
    </w:p>
    <w:p>
      <w:pPr>
        <w:spacing w:before="0" w:after="120"/>
      </w:pPr>
      <w:r>
        <w:rPr>
          <w:b/>
        </w:rPr>
        <w:t xml:space="preserve">Source: </w:t>
      </w:r>
      <w:r>
        <w:t>AAAS: Science: Table of Contents</w:t>
      </w:r>
      <w:r>
        <w:t xml:space="preserve">    </w:t>
      </w:r>
      <w:r>
        <w:rPr>
          <w:b/>
        </w:rPr>
        <w:t xml:space="preserve">Pub date: </w:t>
      </w:r>
      <w:r>
        <w:t>2026-03-26 07:00:00+00:00</w:t>
      </w:r>
      <w:r>
        <w:t xml:space="preserve">    </w:t>
      </w:r>
      <w:r>
        <w:rPr>
          <w:b/>
        </w:rPr>
        <w:t xml:space="preserve">DOI: </w:t>
      </w:r>
      <w:hyperlink r:id="rId1069">
        <w:r>
          <w:rPr>
            <w:color w:val="1155CC"/>
            <w:u w:val="single"/>
          </w:rPr>
          <w:t>10.1126/science.adz5344</w:t>
        </w:r>
      </w:hyperlink>
    </w:p>
    <w:p>
      <w:pPr>
        <w:spacing w:before="0" w:after="120"/>
      </w:pPr>
      <w:r>
        <w:rPr>
          <w:b/>
        </w:rPr>
        <w:t xml:space="preserve">Notes: </w:t>
      </w:r>
      <w:r>
        <w:t>abstract_source=crossref</w:t>
      </w:r>
    </w:p>
    <w:p>
      <w:pPr>
        <w:spacing w:before="0" w:after="80" w:lineRule="auto" w:line="276"/>
      </w:pPr>
      <w:r>
        <w:rPr>
          <w:b/>
        </w:rPr>
        <w:t xml:space="preserve">摘要（ZH）: </w:t>
      </w:r>
      <w:r>
        <w:t>端粒酶是一种逆转录酶，在染色体末端合成端粒重复序列，保护基因组完整性。我们展示了芽殖酵母端粒酶的冷冻电子显微镜结构，该结构与其纤毛虫和脊椎动物的对应物有显著差异。结构揭示了由端粒酶RNA TLC1、三个越来越短的端粒（Est）蛋白Est1、Est2和Est3以及Pop1/Pop6/Pop7复合物（Pop1/6/7）形成的稳定核心。TLC1、Est3和Pop1/6/7在复合物组装中起关键作用。我们在端粒酶逆转录酶（TERT）亚基Est2中鉴定出一个锌指（ZnF）结构域，这对于端粒酶功能至关重要。结构预测表明来自不同物种的TERT中存在ZnF。这些发现提供了对fu的见解。</w:t>
      </w:r>
    </w:p>
    <w:p>
      <w:pPr>
        <w:spacing w:before="0" w:after="200" w:lineRule="auto" w:line="276"/>
      </w:pPr>
      <w:r>
        <w:rPr>
          <w:b/>
        </w:rPr>
        <w:t xml:space="preserve">Abstract (EN): </w:t>
      </w:r>
      <w:r>
        <w:t>Telomerase is a reverse transcriptase that synthesizes telomeric repeats at chromosome ends, safeguarding genome integrity. We present the cryo–electron microscopy structure of the budding yeast telomerase, which exhibits substantial divergence from its ciliate and vertebrate counterparts. The structure reveals a stable core formed by telomerase RNA TLC1; the three ever shorter telomere (Est) proteins, Est1, Est2 and Est3; and the Pop1/Pop6/Pop7 complex (Pop1/6/7). TLC1, Est3, and Pop1/6/7 serve critical roles in complex assembly. We identified a zinc finger (ZnF) motif in the telomerase reverse transcriptase (TERT) subunit Est2 that is crucial for telomerase function. Structure prediction suggests the presence of ZnFs in TERT from diverse species. These findings offer insights into the functional organization of yeast telomerase and underscore the evolutionary diversity of telomerase holoenzymes.</w:t>
      </w:r>
    </w:p>
    <w:p>
      <w:pPr>
        <w:spacing w:before="120" w:after="120"/>
      </w:pPr>
      <w:r>
        <w:rPr>
          <w:sz w:val="18"/>
        </w:rPr>
        <w:t>——————————————————————————————————————————————————————————————————————</w:t>
      </w:r>
    </w:p>
    <w:p>
      <w:pPr>
        <w:spacing w:before="160" w:after="40" w:line="240" w:lineRule="auto"/>
      </w:pPr>
      <w:r>
        <w:rPr>
          <w:b/>
        </w:rPr>
        <w:t xml:space="preserve">[456] </w:t>
      </w:r>
      <w:hyperlink r:id="rId1070">
        <w:r>
          <w:rPr>
            <w:color w:val="1155CC"/>
            <w:u w:val="single"/>
          </w:rPr>
          <w:t>母体Krüppel样因子2 (KLF2)+ CD4 T细胞促进生育和胎儿耐受</w:t>
        </w:r>
      </w:hyperlink>
    </w:p>
    <w:p>
      <w:pPr>
        <w:spacing w:before="0" w:after="80"/>
      </w:pPr>
      <w:r>
        <w:rPr>
          <w:i/>
          <w:sz w:val="20"/>
        </w:rPr>
        <w:t>EN: Maternal Krüppel-like factor 2 (KLF2)+ CD4 T cells promote fertility and fetal tolerance</w:t>
      </w:r>
    </w:p>
    <w:p>
      <w:pPr>
        <w:spacing w:before="0" w:after="120"/>
      </w:pPr>
      <w:r>
        <w:rPr>
          <w:b/>
        </w:rPr>
        <w:t xml:space="preserve">Source: </w:t>
      </w:r>
      <w:r>
        <w:t>Proceedings of the National Academy of Sciences: Keyword search for query</w:t>
      </w:r>
      <w:r>
        <w:t xml:space="preserve">    </w:t>
      </w:r>
      <w:r>
        <w:rPr>
          <w:b/>
        </w:rPr>
        <w:t xml:space="preserve">Pub date: </w:t>
      </w:r>
      <w:r>
        <w:t>2026-03-26 07:00:00+00:00</w:t>
      </w:r>
      <w:r>
        <w:t xml:space="preserve">    </w:t>
      </w:r>
      <w:r>
        <w:rPr>
          <w:b/>
        </w:rPr>
        <w:t xml:space="preserve">DOI: </w:t>
      </w:r>
      <w:hyperlink r:id="rId1071">
        <w:r>
          <w:rPr>
            <w:color w:val="1155CC"/>
            <w:u w:val="single"/>
          </w:rPr>
          <w:t>10.1073/pnas.2519393123</w:t>
        </w:r>
      </w:hyperlink>
    </w:p>
    <w:p>
      <w:pPr>
        <w:spacing w:before="0" w:after="120"/>
      </w:pPr>
      <w:r>
        <w:rPr>
          <w:b/>
        </w:rPr>
        <w:t xml:space="preserve">Notes: </w:t>
      </w:r>
      <w:r>
        <w:t>abstract_source=crossref</w:t>
      </w:r>
    </w:p>
    <w:p>
      <w:pPr>
        <w:spacing w:before="0" w:after="80" w:lineRule="auto" w:line="276"/>
      </w:pPr>
      <w:r>
        <w:rPr>
          <w:b/>
        </w:rPr>
        <w:t xml:space="preserve">摘要（ZH）: </w:t>
      </w:r>
      <w:r>
        <w:t>怀孕需要扩大的母体耐受性以半同种异体胎儿表达的抗原，以防止胎儿流失和其他妊娠并发症。我们对这种生物学必需品如何运作的理解仍不确定。在这里，我们展示了怀孕促进了具有胎儿特异性的抗原经验Krüppel样因子2（KLF2）+ CD4 T细胞的扩展，这些母体细胞在最佳生育力和防止胎儿吸收中起着至关重要的作用。从怀孕的母鼠中纯化的抗原经验KLF2+ CD4细胞准备产生IL10，并在共培养中抑制响应T细胞增殖。具有T细胞中KLF2条件性丧失的小鼠在与基因不一致的雄性交配后怀孕效率降低，但在与同基因雄性交配后则不然。</w:t>
      </w:r>
    </w:p>
    <w:p>
      <w:pPr>
        <w:spacing w:before="0" w:after="200" w:lineRule="auto" w:line="276"/>
      </w:pPr>
      <w:r>
        <w:rPr>
          <w:b/>
        </w:rPr>
        <w:t xml:space="preserve">Abstract (EN): </w:t>
      </w:r>
      <w:r>
        <w:t>Pregnancy requires expanded maternal tolerance to semiallogeneic fetal-expressed antigens to protect against fetal loss and other pregnancy complications. Our understanding of how this biological imperative works remains uncertain. Here we show pregnancy primes expansion of antigen-experienced Krüppel-like factor 2 (KLF2)+ CD4 T cells with fetal specificity, and that these maternal cells play an essential role in optimal fertility and protecting against fetal resorption. Antigen-experienced KLF2+ CD4 cells purified from pregnant dams are poised for IL10 production and suppress responder T cell proliferation in coculture. Mice with conditional loss of KLF2 in T cells become pregnant less efficiently after allogeneic mating with genetically discordant males, but not after syngeneic mating with genetically identical males. Impaired fertility is associated with diminished and variable early pregnancy progesterone levels, whereas progression from mating to pregnancy is restored with exogenous progesterone. To bypass fertility defects, complementary experiments show that initiating induced KLF2 deletion in CD4 T cells midgestation causes fetal resorption associated with expansion of activated fetal-specific CD8 effector T cells across maternal tissues, particularly in the uterine draining lymph node and at the maternal–fetal interface. Reciprocally, these phenotypes are overturned with CD8 T cell depletion or in mice reconstituted with CD4 cells from wild-type donors which upregulate KLF2 expression in pregnant recipients. These findings demonstrate that maternal KLF2+ CD4 T cells promote fetal tolerance and fertility, particularly during allogeneic pregnancy.</w:t>
      </w:r>
    </w:p>
    <w:p>
      <w:pPr>
        <w:spacing w:before="120" w:after="120"/>
      </w:pPr>
      <w:r>
        <w:rPr>
          <w:sz w:val="18"/>
        </w:rPr>
        <w:t>——————————————————————————————————————————————————————————————————————</w:t>
      </w:r>
    </w:p>
    <w:p>
      <w:pPr>
        <w:spacing w:before="160" w:after="40" w:line="240" w:lineRule="auto"/>
      </w:pPr>
      <w:r>
        <w:rPr>
          <w:b/>
        </w:rPr>
        <w:t xml:space="preserve">[457] </w:t>
      </w:r>
      <w:hyperlink r:id="rId1072">
        <w:r>
          <w:rPr>
            <w:color w:val="1155CC"/>
            <w:u w:val="single"/>
          </w:rPr>
          <w:t>来自鼠SMA肌肉的纤维脂肪生成前体细胞本质上是脂肪生成的</w:t>
        </w:r>
      </w:hyperlink>
    </w:p>
    <w:p>
      <w:pPr>
        <w:spacing w:before="0" w:after="80"/>
      </w:pPr>
      <w:r>
        <w:rPr>
          <w:i/>
          <w:sz w:val="20"/>
        </w:rPr>
        <w:t>EN: Fibro-adipogenic progenitor cells from murine SMA muscles are intrinsically adipogenic</w:t>
      </w:r>
    </w:p>
    <w:p>
      <w:pPr>
        <w:spacing w:before="0" w:after="120"/>
      </w:pPr>
      <w:r>
        <w:rPr>
          <w:b/>
        </w:rPr>
        <w:t xml:space="preserve">Source: </w:t>
      </w:r>
      <w:r>
        <w:t>Proceedings of the National Academy of Sciences: Keyword search for query</w:t>
      </w:r>
      <w:r>
        <w:t xml:space="preserve">    </w:t>
      </w:r>
      <w:r>
        <w:rPr>
          <w:b/>
        </w:rPr>
        <w:t xml:space="preserve">Pub date: </w:t>
      </w:r>
      <w:r>
        <w:t>2026-03-26 07:00:00+00:00</w:t>
      </w:r>
      <w:r>
        <w:t xml:space="preserve">    </w:t>
      </w:r>
      <w:r>
        <w:rPr>
          <w:b/>
        </w:rPr>
        <w:t xml:space="preserve">DOI: </w:t>
      </w:r>
      <w:hyperlink r:id="rId1073">
        <w:r>
          <w:rPr>
            <w:color w:val="1155CC"/>
            <w:u w:val="single"/>
          </w:rPr>
          <w:t>10.1073/pnas.2525423123</w:t>
        </w:r>
      </w:hyperlink>
    </w:p>
    <w:p>
      <w:pPr>
        <w:spacing w:before="0" w:after="120"/>
      </w:pPr>
      <w:r>
        <w:rPr>
          <w:b/>
        </w:rPr>
        <w:t xml:space="preserve">Notes: </w:t>
      </w:r>
      <w:r>
        <w:t>abstract_source=crossref</w:t>
      </w:r>
    </w:p>
    <w:p>
      <w:pPr>
        <w:spacing w:before="0" w:after="80" w:lineRule="auto" w:line="276"/>
      </w:pPr>
      <w:r>
        <w:rPr>
          <w:b/>
        </w:rPr>
        <w:t xml:space="preserve">摘要（ZH）: </w:t>
      </w:r>
      <w:r>
        <w:t>脊髓性肌萎缩症（SMA）是一种由SMN1基因突变引起的神经退行性疾病。虽然传统上被视为一种神经源性疾病，但SMA患者表现出骨骼肌再生能力差和脂肪纤维化浸润增加。成纤维细胞-脂肪生成前体细胞（FAPs）是参与肌肉重塑的间充质前体细胞，并且是脂肪和纤维化形成的基础。由于FAPs在再生过程中短暂表达Smn1，因此在成年C/C SMA和对照小鼠的肌肉中检查了FAPs，以确定Smn活性降低是否改变了它们的特性。我们在BaCl2诱导损伤后对FAPs进行了无偏筛查，使用原位细胞</w:t>
      </w:r>
    </w:p>
    <w:p>
      <w:pPr>
        <w:spacing w:before="0" w:after="200" w:lineRule="auto" w:line="276"/>
      </w:pPr>
      <w:r>
        <w:rPr>
          <w:b/>
        </w:rPr>
        <w:t xml:space="preserve">Abstract (EN): </w:t>
      </w:r>
      <w:r>
        <w:t>Spinal muscular atrophy (SMA) is a neurodegenerative disorder caused by mutations in the</w:t>
      </w:r>
      <w:r>
        <w:t xml:space="preserve"> </w:t>
      </w:r>
      <w:r>
        <w:t>SMN1</w:t>
      </w:r>
      <w:r>
        <w:t xml:space="preserve"> </w:t>
      </w:r>
      <w:r>
        <w:t>gene. Although classically viewed as a neurogenic disease, SMA patients exhibit poor skeletal muscle regeneration and increased fatty-fibrotic infiltration. Fibro-adipogenic progenitors (FAPs) are mesenchymal precursor cells that contribute to muscle remodeling and underlie fat and fibrosis formation. Because FAPs transiently express</w:t>
      </w:r>
      <w:r>
        <w:t xml:space="preserve"> </w:t>
      </w:r>
      <w:r>
        <w:t>Smn1</w:t>
      </w:r>
      <w:r>
        <w:t xml:space="preserve"> </w:t>
      </w:r>
      <w:r>
        <w:t>during regeneration, FAPs were examined in muscles from adult C/C SMA and control mice to determine if reduced Smn activity altered their properties. We performed a nonbiased screen of FAPs following BaCl</w:t>
      </w:r>
      <w:r>
        <w:rPr>
          <w:vertAlign w:val="subscript"/>
        </w:rPr>
        <w:t>2</w:t>
      </w:r>
      <w:r>
        <w:t>-induced injury using an in situ cell surface proteomic strategy that probed the cellular membrane and environment of FAPs in early regeneration. Proteomic profiling revealed early adipogenic priming in SMA tissues, with increased levels of perilipin-4 and adipocyte lipid-binding proteins. Significantly more adipocytes accumulated in C/C SMA muscles after glycerol injection versus controls. Further, SMA FAPs produced more fat than control FAPs when transplanted into glycerol injured muscles lacking FAPs. RNA sequencing of FAPs isolated after BaCl</w:t>
      </w:r>
      <w:r>
        <w:rPr>
          <w:vertAlign w:val="subscript"/>
        </w:rPr>
        <w:t>2</w:t>
      </w:r>
      <w:r>
        <w:t>or glycerol injury identified transcriptional enrichment of lipid biosynthesis and dysregulated lipid metabolism in SMA FAPs. Primary FAPs isolated from C/C SMA muscles mirrored heightened adipocyte formation, which was normalized by increasing Smn activity with Risdiplam. Conversely, adipogenesis of primary FAPs from control muscles was enhanced when subjected to siRNA</w:t>
      </w:r>
      <w:r>
        <w:t xml:space="preserve"> </w:t>
      </w:r>
      <w:r>
        <w:t>Smn1</w:t>
      </w:r>
      <w:r>
        <w:t xml:space="preserve"> </w:t>
      </w:r>
      <w:r>
        <w:t>knockdown. Together, these findings demonstrate that reduced Smn activity potentiates intrinsic adipogenic bias in FAPs that may contribute to pathological fat deposition in SMA muscle.</w:t>
      </w:r>
    </w:p>
    <w:p>
      <w:pPr>
        <w:spacing w:before="120" w:after="120"/>
      </w:pPr>
      <w:r>
        <w:rPr>
          <w:sz w:val="18"/>
        </w:rPr>
        <w:t>——————————————————————————————————————————————————————————————————————</w:t>
      </w:r>
    </w:p>
    <w:p>
      <w:pPr>
        <w:spacing w:before="160" w:after="40" w:line="240" w:lineRule="auto"/>
      </w:pPr>
      <w:r>
        <w:rPr>
          <w:b/>
        </w:rPr>
        <w:t xml:space="preserve">[458] </w:t>
      </w:r>
      <w:hyperlink r:id="rId1074">
        <w:r>
          <w:rPr>
            <w:color w:val="1155CC"/>
            <w:u w:val="single"/>
          </w:rPr>
          <w:t>历史魁北克的迁移行为的多代和性别对称传递</w:t>
        </w:r>
      </w:hyperlink>
    </w:p>
    <w:p>
      <w:pPr>
        <w:spacing w:before="0" w:after="80"/>
      </w:pPr>
      <w:r>
        <w:rPr>
          <w:i/>
          <w:sz w:val="20"/>
        </w:rPr>
        <w:t>EN: Multigenerational and gender-symmetric transmission of migration behaviors in historical Quebec</w:t>
      </w:r>
    </w:p>
    <w:p>
      <w:pPr>
        <w:spacing w:before="0" w:after="120"/>
      </w:pPr>
      <w:r>
        <w:rPr>
          <w:b/>
        </w:rPr>
        <w:t xml:space="preserve">Source: </w:t>
      </w:r>
      <w:r>
        <w:t>Proceedings of the National Academy of Sciences: Keyword search for query</w:t>
      </w:r>
      <w:r>
        <w:t xml:space="preserve">    </w:t>
      </w:r>
      <w:r>
        <w:rPr>
          <w:b/>
        </w:rPr>
        <w:t xml:space="preserve">Pub date: </w:t>
      </w:r>
      <w:r>
        <w:t>2026-03-26 07:00:00+00:00</w:t>
      </w:r>
      <w:r>
        <w:t xml:space="preserve">    </w:t>
      </w:r>
      <w:r>
        <w:rPr>
          <w:b/>
        </w:rPr>
        <w:t xml:space="preserve">DOI: </w:t>
      </w:r>
      <w:hyperlink r:id="rId1075">
        <w:r>
          <w:rPr>
            <w:color w:val="1155CC"/>
            <w:u w:val="single"/>
          </w:rPr>
          <w:t>10.1073/pnas.2522792123</w:t>
        </w:r>
      </w:hyperlink>
    </w:p>
    <w:p>
      <w:pPr>
        <w:spacing w:before="0" w:after="120"/>
      </w:pPr>
      <w:r>
        <w:rPr>
          <w:b/>
        </w:rPr>
        <w:t xml:space="preserve">Notes: </w:t>
      </w:r>
      <w:r>
        <w:t>abstract_source=crossref</w:t>
      </w:r>
    </w:p>
    <w:p>
      <w:pPr>
        <w:spacing w:before="0" w:after="80" w:lineRule="auto" w:line="276"/>
      </w:pPr>
      <w:r>
        <w:rPr>
          <w:b/>
        </w:rPr>
        <w:t xml:space="preserve">摘要（ZH）: </w:t>
      </w:r>
      <w:r>
        <w:t>迁移决策嵌入在社会和家庭轨迹中，这些轨迹逃避了传统数据来源，传统数据来源往往孤立地观察个体。家谱微数据现在使得可以在长时间范围内追踪这些动态。本文记录了前几代人的迁移历史如何影响未来的内部迁移行为，利用跨越两个多世纪和多个世代的丰富历史微数据，在整个人口规模上（魁北克，加拿大；1621–1861）。由于文化规范在整个生命过程中保留了女性的娘家姓，因此可以像男性一样详尽地组装女性的家谱。使用从这些链接的生命数据重建的居住轨迹，研究表明已婚夫妇的流动性取决于双方</w:t>
      </w:r>
    </w:p>
    <w:p>
      <w:pPr>
        <w:spacing w:before="0" w:after="200" w:lineRule="auto" w:line="276"/>
      </w:pPr>
      <w:r>
        <w:rPr>
          <w:b/>
        </w:rPr>
        <w:t xml:space="preserve">Abstract (EN): </w:t>
      </w:r>
      <w:r>
        <w:t>Migration decisions are embedded in social and family trajectories that escape traditional data sources, which tend to observe individuals in isolation. Genealogical microdata now make it possible to trace these dynamics over long time horizons. This paper documents how prior generations’ migration histories shape future internal migration behavior, leveraging rich historical microdata spanning over two centuries and multiple generations at the scale of an entire population (Quebec, Canada; 1621–1861). As the cultural norm preserved women’s maiden names throughout the life course, genealogies could be assembled as exhaustively for women as for men. Using residential trajectories reconstructed from these linked vital data, the study shows that the mobility of married couples depends on both spouses’ parents’ and grandparents’ migration histories. Descendants of migratory people are substantially more likely than their peers from sedentary families to migrate themselves, the effect of the grandparental generation being about half that of the parental generation. These effects compound such that couples with multiple migratory ascendants are even more likely to migrate. Moreover, husbands’ and wives’ migration backgrounds are equally predictive of their joint mobility decisions, suggesting a substantial role of women in shaping couples’ mobility and challenging the conventional assumption that migration decisions were historically made by men. These results reveal deep family history as an underexplored axis of migrant selection. The long-lasting influence of family should be integrated in migration theories.</w:t>
      </w:r>
    </w:p>
    <w:p>
      <w:pPr>
        <w:spacing w:before="120" w:after="120"/>
      </w:pPr>
      <w:r>
        <w:rPr>
          <w:sz w:val="18"/>
        </w:rPr>
        <w:t>——————————————————————————————————————————————————————————————————————</w:t>
      </w:r>
    </w:p>
    <w:p>
      <w:pPr>
        <w:spacing w:before="160" w:after="40" w:line="240" w:lineRule="auto"/>
      </w:pPr>
      <w:r>
        <w:rPr>
          <w:b/>
        </w:rPr>
        <w:t xml:space="preserve">[459] </w:t>
      </w:r>
      <w:hyperlink r:id="rId1076">
        <w:r>
          <w:rPr>
            <w:color w:val="1155CC"/>
            <w:u w:val="single"/>
          </w:rPr>
          <w:t>染色质可及性调节年龄依赖性核机械传导</w:t>
        </w:r>
      </w:hyperlink>
    </w:p>
    <w:p>
      <w:pPr>
        <w:spacing w:before="0" w:after="80"/>
      </w:pPr>
      <w:r>
        <w:rPr>
          <w:i/>
          <w:sz w:val="20"/>
        </w:rPr>
        <w:t>EN: Chromatin accessibility regulates age-dependent nuclear mechanotransduction</w:t>
      </w:r>
    </w:p>
    <w:p>
      <w:pPr>
        <w:spacing w:before="0" w:after="120"/>
      </w:pPr>
      <w:r>
        <w:rPr>
          <w:b/>
        </w:rPr>
        <w:t xml:space="preserve">Source: </w:t>
      </w:r>
      <w:r>
        <w:t>Proceedings of the National Academy of Sciences: Keyword search for query</w:t>
      </w:r>
      <w:r>
        <w:t xml:space="preserve">    </w:t>
      </w:r>
      <w:r>
        <w:rPr>
          <w:b/>
        </w:rPr>
        <w:t xml:space="preserve">Pub date: </w:t>
      </w:r>
      <w:r>
        <w:t>2026-03-26 07:00:00+00:00</w:t>
      </w:r>
      <w:r>
        <w:t xml:space="preserve">    </w:t>
      </w:r>
      <w:r>
        <w:rPr>
          <w:b/>
        </w:rPr>
        <w:t xml:space="preserve">DOI: </w:t>
      </w:r>
      <w:hyperlink r:id="rId1077">
        <w:r>
          <w:rPr>
            <w:color w:val="1155CC"/>
            <w:u w:val="single"/>
          </w:rPr>
          <w:t>10.1073/pnas.2522217123</w:t>
        </w:r>
      </w:hyperlink>
    </w:p>
    <w:p>
      <w:pPr>
        <w:spacing w:before="0" w:after="120"/>
      </w:pPr>
      <w:r>
        <w:rPr>
          <w:b/>
        </w:rPr>
        <w:t xml:space="preserve">Notes: </w:t>
      </w:r>
      <w:r>
        <w:t>abstract_source=crossref</w:t>
      </w:r>
    </w:p>
    <w:p>
      <w:pPr>
        <w:spacing w:before="0" w:after="80" w:lineRule="auto" w:line="276"/>
      </w:pPr>
      <w:r>
        <w:rPr>
          <w:b/>
        </w:rPr>
        <w:t xml:space="preserve">摘要（ZH）: </w:t>
      </w:r>
      <w:r>
        <w:t>环境线索整合到细胞程序中对于细胞功能至关重要。然而，由于细胞老化，这种整合如何被调节仍不清楚。我们提出3D染色质组织过滤这些信号，并研究了人类真皮成纤维细胞中与年龄相关的染色质变化如何影响对机械张力和TGF-β的反应。年轻的成纤维细胞在对组合刺激的反应中表现出协同的基因表达增强，而这种反应在老化细胞中明显减弱或不同。这些不同的结果与染色质可及性显著的年龄相关差异相关。我们确定了AP-1复合物和其他具有年龄特异性活性的转录因子在重塑染色质和协调这些不同的机制中起关键作用。</w:t>
      </w:r>
    </w:p>
    <w:p>
      <w:pPr>
        <w:spacing w:before="0" w:after="200" w:lineRule="auto" w:line="276"/>
      </w:pPr>
      <w:r>
        <w:rPr>
          <w:b/>
        </w:rPr>
        <w:t xml:space="preserve">Abstract (EN): </w:t>
      </w:r>
      <w:r>
        <w:t>The integration of environmental cues into cellular programs is crucial for cell function. Yet, how this integration is modulated due to cellular aging remains unclear. We propose that the 3D chromatin organization filters these signals and investigated how age-related chromatin changes in human dermal fibroblasts affect responses to mechanical tension and TGF-β. Young fibroblasts exhibited synergistic gene expression enhancement in response to combined stimuli, a response that was markedly blunted or divergent in aged cells. These distinct outcomes correlated with significant age-related differences in chromatin accessibility. We identified the AP-1 complex and other transcription factors with age-specific activity as pivotal in remodeling chromatin and orchestrating these divergent mechanochemical responses during cellular aging. We validated that disrupting AP-1 activity inhibits fibroblast activation by preventing JUNB recruitment to the transcription machinery. Our findings establish chromatin as a key integrator of mechanochemical signals and characterize the age-related alterations to this integration that modify the cellular responsiveness of aged cells, highlighting AP-1 and its network as potential therapeutic targets against age-related decline.</w:t>
      </w:r>
    </w:p>
    <w:p>
      <w:pPr>
        <w:spacing w:before="120" w:after="120"/>
      </w:pPr>
      <w:r>
        <w:rPr>
          <w:sz w:val="18"/>
        </w:rPr>
        <w:t>——————————————————————————————————————————————————————————————————————</w:t>
      </w:r>
    </w:p>
    <w:p>
      <w:pPr>
        <w:spacing w:before="160" w:after="40" w:line="240" w:lineRule="auto"/>
      </w:pPr>
      <w:r>
        <w:rPr>
          <w:b/>
        </w:rPr>
        <w:t xml:space="preserve">[460] </w:t>
      </w:r>
      <w:hyperlink r:id="rId1078">
        <w:r>
          <w:rPr>
            <w:color w:val="1155CC"/>
            <w:u w:val="single"/>
          </w:rPr>
          <w:t>Liaño-Pons等的更正，PRDX6和GSTP1的联合靶向作为神经母细胞瘤治疗的潜在分化策略</w:t>
        </w:r>
      </w:hyperlink>
    </w:p>
    <w:p>
      <w:pPr>
        <w:spacing w:before="0" w:after="80"/>
      </w:pPr>
      <w:r>
        <w:rPr>
          <w:i/>
          <w:sz w:val="20"/>
        </w:rPr>
        <w:t>EN: Correction for Liaño-Pons et al., Combined targeting of PRDX6 and GSTP1 as a potential differentiation strategy for neuroblastoma treatment</w:t>
      </w:r>
    </w:p>
    <w:p>
      <w:pPr>
        <w:spacing w:before="0" w:after="120"/>
      </w:pPr>
      <w:r>
        <w:rPr>
          <w:b/>
        </w:rPr>
        <w:t xml:space="preserve">Source: </w:t>
      </w:r>
      <w:r>
        <w:t>Proceedings of the National Academy of Sciences: Keyword search for query</w:t>
      </w:r>
      <w:r>
        <w:t xml:space="preserve">    </w:t>
      </w:r>
      <w:r>
        <w:rPr>
          <w:b/>
        </w:rPr>
        <w:t xml:space="preserve">Pub date: </w:t>
      </w:r>
      <w:r>
        <w:t>2026-03-26 07:00:00+00:00</w:t>
      </w:r>
      <w:r>
        <w:t xml:space="preserve">    </w:t>
      </w:r>
      <w:r>
        <w:rPr>
          <w:b/>
        </w:rPr>
        <w:t xml:space="preserve">DOI: </w:t>
      </w:r>
      <w:hyperlink r:id="rId1079">
        <w:r>
          <w:rPr>
            <w:color w:val="1155CC"/>
            <w:u w:val="single"/>
          </w:rPr>
          <w:t>10.1073/pnas.2605456123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[461] </w:t>
      </w:r>
      <w:hyperlink r:id="rId1080">
        <w:r>
          <w:rPr>
            <w:color w:val="1155CC"/>
            <w:u w:val="single"/>
          </w:rPr>
          <w:t>VAMP8功能揭示了内吞回收与内吞作用之间的紧密联系</w:t>
        </w:r>
      </w:hyperlink>
    </w:p>
    <w:p>
      <w:pPr>
        <w:spacing w:before="0" w:after="80"/>
      </w:pPr>
      <w:r>
        <w:rPr>
          <w:i/>
          <w:sz w:val="20"/>
        </w:rPr>
        <w:t>EN: VAMP8 function reveals tight linkage between endocytic recycling and endocytosis</w:t>
      </w:r>
    </w:p>
    <w:p>
      <w:pPr>
        <w:spacing w:before="0" w:after="120"/>
      </w:pPr>
      <w:r>
        <w:rPr>
          <w:b/>
        </w:rPr>
        <w:t xml:space="preserve">Source: </w:t>
      </w:r>
      <w:r>
        <w:t>Proceedings of the National Academy of Sciences: Keyword search for query</w:t>
      </w:r>
      <w:r>
        <w:t xml:space="preserve">    </w:t>
      </w:r>
      <w:r>
        <w:rPr>
          <w:b/>
        </w:rPr>
        <w:t xml:space="preserve">Pub date: </w:t>
      </w:r>
      <w:r>
        <w:t>2026-03-26 07:00:00+00:00</w:t>
      </w:r>
      <w:r>
        <w:t xml:space="preserve">    </w:t>
      </w:r>
      <w:r>
        <w:rPr>
          <w:b/>
        </w:rPr>
        <w:t xml:space="preserve">DOI: </w:t>
      </w:r>
      <w:hyperlink r:id="rId1081">
        <w:r>
          <w:rPr>
            <w:color w:val="1155CC"/>
            <w:u w:val="single"/>
          </w:rPr>
          <w:t>10.1073/pnas.2602991123</w:t>
        </w:r>
      </w:hyperlink>
    </w:p>
    <w:p>
      <w:pPr>
        <w:spacing w:before="0" w:after="120"/>
      </w:pPr>
      <w:r>
        <w:rPr>
          <w:b/>
        </w:rPr>
        <w:t xml:space="preserve">Notes: </w:t>
      </w:r>
      <w:r>
        <w:t>abstract_source=crossref</w:t>
      </w:r>
    </w:p>
    <w:p>
      <w:pPr>
        <w:spacing w:before="0" w:after="80" w:lineRule="auto" w:line="276"/>
      </w:pPr>
      <w:r>
        <w:rPr>
          <w:b/>
        </w:rPr>
        <w:t xml:space="preserve">摘要（ZH）: </w:t>
      </w:r>
      <w:r>
        <w:t>网格蛋白介导的内吞作用（CME）是一个多阶段过程，涉及网格蛋白包被小窝（CCPs）的启动和稳定，这些小窝内陷并最终从质膜上脱离形成网格蛋白包被囊泡（CCVs）。鉴于可溶性N-乙基马来酰亚胺敏感因子附着受体（SNARE）蛋白对于下游囊泡靶向和融合事件至关重要，它们被招募到新生的CCVs中被认为是CME进展的前提条件。然而，哪些SNARE蛋白以及它们如何调节CME仍需探索。在此，我们展示了通过siRNA介导的R-SNARE，囊泡相关膜蛋白8（VAMP8）的敲低会损害CCP的启动、稳定和内陷，并强烈抑制CME。从机制上讲，VAMP8的招募到C</w:t>
      </w:r>
    </w:p>
    <w:p>
      <w:pPr>
        <w:spacing w:before="0" w:after="200" w:lineRule="auto" w:line="276"/>
      </w:pPr>
      <w:r>
        <w:rPr>
          <w:b/>
        </w:rPr>
        <w:t xml:space="preserve">Abstract (EN): </w:t>
      </w:r>
      <w:r>
        <w:t>Clathrin-mediated endocytosis (CME) is a multistage process that involves the initiation and stabilization of clathrin-coated pits (CCPs) that invaginate and finally detach from the plasma membrane to form clathrin-coated vesicles (CCVs). Given that Soluble N-ethylmaleimide-sensitive factor attachment receptor (SNARE) proteins are essential for downstream vesicle targeting and fusion events, their recruitment into nascent CCVs has been suggested to be a prerequisite for CME progression. However, which and how SNARE proteins regulate CME remains to be explored. Here, we showed that siRNA-mediated knockdown of the R-SNARE, vesicle-associated membrane protein 8 (VAMP8) impairs CCP initiation, stabilization, and invagination and strongly inhibits CME. Mechanistically, recruitment of VAMP8 to CCVs is not required for CME. Instead, depletion of VAMP8 inhibits recycling of endocytic cargoes and as exemplified here by transferrin receptor, skews their trafficking toward lysosomal degradation. VAMP8 depletion therefore indirectly impairs CCV formation and inhibits CME by depleting endocytic cargo. Overall, our study provides insights into the crosstalk between endocytosis and endocytic recycling of CME cargo and demonstrates the critical role for cargo recruitment in stabilizing nascent CCPs to regulate CME.</w:t>
      </w:r>
    </w:p>
    <w:p>
      <w:pPr>
        <w:spacing w:before="120" w:after="120"/>
      </w:pPr>
      <w:r>
        <w:rPr>
          <w:sz w:val="18"/>
        </w:rPr>
        <w:t>——————————————————————————————————————————————————————————————————————</w:t>
      </w:r>
    </w:p>
    <w:p>
      <w:pPr>
        <w:spacing w:before="160" w:after="40" w:line="240" w:lineRule="auto"/>
      </w:pPr>
      <w:r>
        <w:rPr>
          <w:b/>
        </w:rPr>
        <w:t xml:space="preserve">[462] </w:t>
      </w:r>
      <w:hyperlink r:id="rId1082">
        <w:r>
          <w:rPr>
            <w:color w:val="1155CC"/>
            <w:u w:val="single"/>
          </w:rPr>
          <w:t>如何复兴美国的科学</w:t>
        </w:r>
      </w:hyperlink>
    </w:p>
    <w:p>
      <w:pPr>
        <w:spacing w:before="0" w:after="80"/>
      </w:pPr>
      <w:r>
        <w:rPr>
          <w:i/>
          <w:sz w:val="20"/>
        </w:rPr>
        <w:t>EN: How to revive science in America</w:t>
      </w:r>
    </w:p>
    <w:p>
      <w:pPr>
        <w:spacing w:before="0" w:after="120"/>
      </w:pPr>
      <w:r>
        <w:rPr>
          <w:b/>
        </w:rPr>
        <w:t xml:space="preserve">Source: </w:t>
      </w:r>
      <w:r>
        <w:t>Proceedings of the National Academy of Sciences: Keyword search for query</w:t>
      </w:r>
      <w:r>
        <w:t xml:space="preserve">    </w:t>
      </w:r>
      <w:r>
        <w:rPr>
          <w:b/>
        </w:rPr>
        <w:t xml:space="preserve">Pub date: </w:t>
      </w:r>
      <w:r>
        <w:t>2026-03-26 07:00:00+00:00</w:t>
      </w:r>
      <w:r>
        <w:t xml:space="preserve">    </w:t>
      </w:r>
      <w:r>
        <w:rPr>
          <w:b/>
        </w:rPr>
        <w:t xml:space="preserve">DOI: </w:t>
      </w:r>
      <w:hyperlink r:id="rId1083">
        <w:r>
          <w:rPr>
            <w:color w:val="1155CC"/>
            <w:u w:val="single"/>
          </w:rPr>
          <w:t>10.1073/pnas.2537854123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[463] </w:t>
      </w:r>
      <w:hyperlink r:id="rId1084">
        <w:r>
          <w:rPr>
            <w:color w:val="1155CC"/>
            <w:u w:val="single"/>
          </w:rPr>
          <w:t>在工程应变场中受控传播孤子弹</w:t>
        </w:r>
      </w:hyperlink>
    </w:p>
    <w:p>
      <w:pPr>
        <w:spacing w:before="0" w:after="80"/>
      </w:pPr>
      <w:r>
        <w:rPr>
          <w:i/>
          <w:sz w:val="20"/>
        </w:rPr>
        <w:t>EN: Controlled propagation of soliton bullets in an engineered strain field</w:t>
      </w:r>
    </w:p>
    <w:p>
      <w:pPr>
        <w:spacing w:before="0" w:after="120"/>
      </w:pPr>
      <w:r>
        <w:rPr>
          <w:b/>
        </w:rPr>
        <w:t xml:space="preserve">Source: </w:t>
      </w:r>
      <w:r>
        <w:t>Proceedings of the National Academy of Sciences: Keyword search for query</w:t>
      </w:r>
      <w:r>
        <w:t xml:space="preserve">    </w:t>
      </w:r>
      <w:r>
        <w:rPr>
          <w:b/>
        </w:rPr>
        <w:t xml:space="preserve">Pub date: </w:t>
      </w:r>
      <w:r>
        <w:t>2026-03-26 07:00:00+00:00</w:t>
      </w:r>
      <w:r>
        <w:t xml:space="preserve">    </w:t>
      </w:r>
      <w:r>
        <w:rPr>
          <w:b/>
        </w:rPr>
        <w:t xml:space="preserve">DOI: </w:t>
      </w:r>
      <w:hyperlink r:id="rId1085">
        <w:r>
          <w:rPr>
            <w:color w:val="1155CC"/>
            <w:u w:val="single"/>
          </w:rPr>
          <w:t>10.1073/pnas.2518064123</w:t>
        </w:r>
      </w:hyperlink>
    </w:p>
    <w:p>
      <w:pPr>
        <w:spacing w:before="0" w:after="120"/>
      </w:pPr>
      <w:r>
        <w:rPr>
          <w:b/>
        </w:rPr>
        <w:t xml:space="preserve">Notes: </w:t>
      </w:r>
      <w:r>
        <w:t>abstract_source=crossref</w:t>
      </w:r>
    </w:p>
    <w:p>
      <w:pPr>
        <w:spacing w:before="0" w:after="80" w:lineRule="auto" w:line="276"/>
      </w:pPr>
      <w:r>
        <w:rPr>
          <w:b/>
        </w:rPr>
        <w:t xml:space="preserve">摘要（ZH）: </w:t>
      </w:r>
      <w:r>
        <w:t>预测和控制材料中非线性响应的传播对于多个领域至关重要，从量子光学中单电子的操控到准脆性材料的裂纹传播和失效的理解。孤子是由于非线性反馈机制而传播和持续的高度局部化的应变模式，可以在高频交流电场下的液晶（LC）薄膜中产生。在先前使用均匀取向的LC薄膜的工作中，孤子弹头在一个预设方向上传播，垂直于LC指向器的远场取向。在此，我们展示了LC在不对称表面之间的限制和应变的引入可以提供一种多功能机制来调节传播方向</w:t>
      </w:r>
    </w:p>
    <w:p>
      <w:pPr>
        <w:spacing w:before="0" w:after="200" w:lineRule="auto" w:line="276"/>
      </w:pPr>
      <w:r>
        <w:rPr>
          <w:b/>
        </w:rPr>
        <w:t xml:space="preserve">Abstract (EN): </w:t>
      </w:r>
      <w:r>
        <w:t>Predicting and controlling the propagation of nonlinear responses in materials is critical to a range of fields, from the manipulation of single electrons in quantum optics to the understanding of crack propagation and failure of quasi-brittle materials. Solitons, which are highly localized strain patterns that propagate and persist due to nonlinear feedback mechanisms, can be produced in liquid crystal (LC) films under high-frequency AC electric fields. In previous work using uniformly oriented films of LC, soliton bullets propagated in one preset direction perpendicular to the far-field orientation of the LC director. Here, we show that confinement of the LC between asymmetric surfaces and the introduction of strain can provide a versatile mechanism to modulate the propagation direction of solitons. Specifically, we find that soliton bullets propagate along two oblique axes, where the angle can be dynamically modulated with the electric field frequency. The origins of this behavior are understood through theory and simulations, where the forces driving soliton motion are analyzed. Importantly, asymmetric flexoelectric torques lead to frequency-dependent oblique trajectories in the presence of hybrid LC anchoring, with numerical simulations predicting asynchronous out-of-plane fluctuations that are verified in experiments. Overall, our results highlight the interplay between the nonlinear action of external fields and the far-field strain on soliton propagation. They also show that confinement can be used to control the direction of propagation of nonlinear signals and demonstrate how LCs can be used as model systems to test and predict the effects of nonlinear excitations in new material designs.</w:t>
      </w:r>
    </w:p>
    <w:p>
      <w:pPr>
        <w:spacing w:before="120" w:after="120"/>
      </w:pPr>
      <w:r>
        <w:rPr>
          <w:sz w:val="18"/>
        </w:rPr>
        <w:t>——————————————————————————————————————————————————————————————————————</w:t>
      </w:r>
    </w:p>
    <w:p>
      <w:pPr>
        <w:spacing w:before="160" w:after="40" w:line="240" w:lineRule="auto"/>
      </w:pPr>
      <w:r>
        <w:rPr>
          <w:b/>
        </w:rPr>
        <w:t xml:space="preserve">[464] </w:t>
      </w:r>
      <w:hyperlink r:id="rId1086">
        <w:r>
          <w:rPr>
            <w:color w:val="1155CC"/>
            <w:u w:val="single"/>
          </w:rPr>
          <w:t>活跃且灵活的微结构中出现的类生命行为</w:t>
        </w:r>
      </w:hyperlink>
    </w:p>
    <w:p>
      <w:pPr>
        <w:spacing w:before="0" w:after="80"/>
      </w:pPr>
      <w:r>
        <w:rPr>
          <w:i/>
          <w:sz w:val="20"/>
        </w:rPr>
        <w:t>EN: Life-like behavior emerging in active and flexible microstructures</w:t>
      </w:r>
    </w:p>
    <w:p>
      <w:pPr>
        <w:spacing w:before="0" w:after="120"/>
      </w:pPr>
      <w:r>
        <w:rPr>
          <w:b/>
        </w:rPr>
        <w:t xml:space="preserve">Source: </w:t>
      </w:r>
      <w:r>
        <w:t>Proceedings of the National Academy of Sciences: Keyword search for query</w:t>
      </w:r>
      <w:r>
        <w:t xml:space="preserve">    </w:t>
      </w:r>
      <w:r>
        <w:rPr>
          <w:b/>
        </w:rPr>
        <w:t xml:space="preserve">Pub date: </w:t>
      </w:r>
      <w:r>
        <w:t>2026-03-26 07:00:00+00:00</w:t>
      </w:r>
      <w:r>
        <w:t xml:space="preserve">    </w:t>
      </w:r>
      <w:r>
        <w:rPr>
          <w:b/>
        </w:rPr>
        <w:t xml:space="preserve">DOI: </w:t>
      </w:r>
      <w:hyperlink r:id="rId1087">
        <w:r>
          <w:rPr>
            <w:color w:val="1155CC"/>
            <w:u w:val="single"/>
          </w:rPr>
          <w:t>10.1073/pnas.2531743123</w:t>
        </w:r>
      </w:hyperlink>
    </w:p>
    <w:p>
      <w:pPr>
        <w:spacing w:before="0" w:after="120"/>
      </w:pPr>
      <w:r>
        <w:rPr>
          <w:b/>
        </w:rPr>
        <w:t xml:space="preserve">Notes: </w:t>
      </w:r>
      <w:r>
        <w:t>abstract_source=crossref</w:t>
      </w:r>
    </w:p>
    <w:p>
      <w:pPr>
        <w:spacing w:before="0" w:after="80" w:lineRule="auto" w:line="276"/>
      </w:pPr>
      <w:r>
        <w:rPr>
          <w:b/>
        </w:rPr>
        <w:t xml:space="preserve">摘要（ZH）: </w:t>
      </w:r>
      <w:r>
        <w:t>许多生物体利用形状和活动之间的相互作用来产生运动并适应环境。将这种机械反馈嵌入到合成的微米级机器人中可以消除对传感器、软件和执行器的需求。然而，目前的主动微米级系统并不具备能够自主感知和响应环境的柔性体。在此，我们通过3D微打印连接各向异性微米级单元并使用交流场激活它们，实验实现了主动和柔性结构。我们证明了这种最小设计整合了活动和形状之间的机械反馈，产生了丰富的运动模式——包括铁路和波状运动、旋转和拍打。它进一步</w:t>
      </w:r>
    </w:p>
    <w:p>
      <w:pPr>
        <w:spacing w:before="0" w:after="200" w:lineRule="auto" w:line="276"/>
      </w:pPr>
      <w:r>
        <w:rPr>
          <w:b/>
        </w:rPr>
        <w:t xml:space="preserve">Abstract (EN): </w:t>
      </w:r>
      <w:r>
        <w:t>Many organisms leverage an interplay between shape and activity to generate motion and adapt to their environment. Embedding such mechanical feedback into synthetic micrometer-sized robots could eliminate the need for sensors, software, and actuators. Current active micrometer-scale systems, however, do not possess a flexible body with which they can autonomously sense and react to their environment. Here, we experimentally realize active and flexible structures by concatenating anisotropic micrometer-sized units using 3D microprinting and activating them using AC fields. We demonstrate that this minimal design integrates mechanical feedback between activity and shape, resulting in a rich array of modes of motion—including railway and undulatory locomotion, rotation, and beating. It furthermore gives rise to emergent sense-response abilities, which enable autonomous reorientation, navigation, and collision avoidance. Our approach offers a versatile platform for designing biomimetic model systems and autonomously operating microrobots with embodied intelligence.</w:t>
      </w:r>
    </w:p>
    <w:p>
      <w:pPr>
        <w:spacing w:before="120" w:after="120"/>
      </w:pPr>
      <w:r>
        <w:rPr>
          <w:sz w:val="18"/>
        </w:rPr>
        <w:t>——————————————————————————————————————————————————————————————————————</w:t>
      </w:r>
    </w:p>
    <w:p>
      <w:pPr>
        <w:spacing w:before="160" w:after="40" w:line="240" w:lineRule="auto"/>
      </w:pPr>
      <w:r>
        <w:rPr>
          <w:b/>
        </w:rPr>
        <w:t xml:space="preserve">[465] </w:t>
      </w:r>
      <w:hyperlink r:id="rId1088">
        <w:r>
          <w:rPr>
            <w:color w:val="1155CC"/>
            <w:u w:val="single"/>
          </w:rPr>
          <w:t>使用微尺度探针对大脑穿透力学和血管破裂的超灵敏测量</w:t>
        </w:r>
      </w:hyperlink>
    </w:p>
    <w:p>
      <w:pPr>
        <w:spacing w:before="0" w:after="80"/>
      </w:pPr>
      <w:r>
        <w:rPr>
          <w:i/>
          <w:sz w:val="20"/>
        </w:rPr>
        <w:t>EN: Ultrasensitive measurement of brain penetration mechanics and blood vessel rupture with microscale probes</w:t>
      </w:r>
    </w:p>
    <w:p>
      <w:pPr>
        <w:spacing w:before="0" w:after="120"/>
      </w:pPr>
      <w:r>
        <w:rPr>
          <w:b/>
        </w:rPr>
        <w:t xml:space="preserve">Source: </w:t>
      </w:r>
      <w:r>
        <w:t>Proceedings of the National Academy of Sciences: Keyword search for query</w:t>
      </w:r>
      <w:r>
        <w:t xml:space="preserve">    </w:t>
      </w:r>
      <w:r>
        <w:rPr>
          <w:b/>
        </w:rPr>
        <w:t xml:space="preserve">Pub date: </w:t>
      </w:r>
      <w:r>
        <w:t>2026-03-26 07:00:00+00:00</w:t>
      </w:r>
      <w:r>
        <w:t xml:space="preserve">    </w:t>
      </w:r>
      <w:r>
        <w:rPr>
          <w:b/>
        </w:rPr>
        <w:t xml:space="preserve">DOI: </w:t>
      </w:r>
      <w:hyperlink r:id="rId1089">
        <w:r>
          <w:rPr>
            <w:color w:val="1155CC"/>
            <w:u w:val="single"/>
          </w:rPr>
          <w:t>10.1073/pnas.2529147123</w:t>
        </w:r>
      </w:hyperlink>
    </w:p>
    <w:p>
      <w:pPr>
        <w:spacing w:before="0" w:after="120"/>
      </w:pPr>
      <w:r>
        <w:rPr>
          <w:b/>
        </w:rPr>
        <w:t xml:space="preserve">Notes: </w:t>
      </w:r>
      <w:r>
        <w:t>abstract_source=crossref</w:t>
      </w:r>
    </w:p>
    <w:p>
      <w:pPr>
        <w:spacing w:before="0" w:after="80" w:lineRule="auto" w:line="276"/>
      </w:pPr>
      <w:r>
        <w:rPr>
          <w:b/>
        </w:rPr>
        <w:t xml:space="preserve">摘要（ZH）: </w:t>
      </w:r>
      <w:r>
        <w:t>微尺度电极，尺寸在10到100 µm之间，因其高通道数和空间分辨率，正迅速成为神经科学和脑机接口的关键工具。然而，这种尺度的探针如何插入脑组织的机械细节仍然大多未知。在此，我们对一系列微电极探针的插入进行了定量测量，结合实时显微镜观察，研究了直径（7.5到100 µm和矩形Neuropixels）和尖端几何形状（平面、倾斜和电化学锐化）对插入力和压缩力学的影响。这些结果阐明了尖端几何形状、表面力和直径的机械缩放的作用。令人惊讶的是，穿过pia后的插入力与距离无关。</w:t>
      </w:r>
    </w:p>
    <w:p>
      <w:pPr>
        <w:spacing w:before="0" w:after="200" w:lineRule="auto" w:line="276"/>
      </w:pPr>
      <w:r>
        <w:rPr>
          <w:b/>
        </w:rPr>
        <w:t xml:space="preserve">Abstract (EN): </w:t>
      </w:r>
      <w:r>
        <w:t>Microscale electrodes, on the order of 10 to 100 µm, are rapidly becoming critical tools for neuroscience and brain–machine interfaces for their high channel counts and spatial resolution, yet the mechanical details of how probes at this scale insert into brain tissue are largely unknown. Here, we performed quantitative measurements of the force and compression mechanics together with real-time microscopy for in vivo insertion of a systematic series of microelectrode probes as a function of diameter (7.5 to 100 µm and rectangular Neuropixels) and tip geometry (flat, angled, and electrochemically sharpened). These results elucidated the role of tip geometry, surface forces, and mechanical scaling with diameter. Surprisingly, the insertion force postpia penetration was constant with distance and did not depend on tip shape. Real-time microscopy revealed that at small enough lengthscales (&amp;lt;25 µm), blood vessel rupture and bleeding during implantation could be entirely avoided. This appears to occur via vessel displacement, avoiding capture on the probe surface which led to elongation and tearing for larger probes. We propose a three-zone model to account for the probe size dependence of bleeding, and provide mechanistic guidance for probe design.</w:t>
      </w:r>
    </w:p>
    <w:p>
      <w:pPr>
        <w:spacing w:before="120" w:after="120"/>
      </w:pPr>
      <w:r>
        <w:rPr>
          <w:sz w:val="18"/>
        </w:rPr>
        <w:t>——————————————————————————————————————————————————————————————————————</w:t>
      </w:r>
    </w:p>
    <w:p>
      <w:pPr>
        <w:spacing w:before="160" w:after="40" w:line="240" w:lineRule="auto"/>
      </w:pPr>
      <w:r>
        <w:rPr>
          <w:b/>
        </w:rPr>
        <w:t xml:space="preserve">[466] </w:t>
      </w:r>
      <w:hyperlink r:id="rId1090">
        <w:r>
          <w:rPr>
            <w:color w:val="1155CC"/>
            <w:u w:val="single"/>
          </w:rPr>
          <w:t>靶向ANGPTL4/NRP1/ABL1/RAD51轴通过损害DNA损伤修复逆转头颈癌的顺铂耐药性</w:t>
        </w:r>
      </w:hyperlink>
    </w:p>
    <w:p>
      <w:pPr>
        <w:spacing w:before="0" w:after="80"/>
      </w:pPr>
      <w:r>
        <w:rPr>
          <w:i/>
          <w:sz w:val="20"/>
        </w:rPr>
        <w:t>EN: Targeting the ANGPTL4/NRP1/ABL1/RAD51 axis reverses cisplatin resistance by impairing DNA damage repair in head and neck cancer</w:t>
      </w:r>
    </w:p>
    <w:p>
      <w:pPr>
        <w:spacing w:before="0" w:after="120"/>
      </w:pPr>
      <w:r>
        <w:rPr>
          <w:b/>
        </w:rPr>
        <w:t xml:space="preserve">Source: </w:t>
      </w:r>
      <w:r>
        <w:t>Proceedings of the National Academy of Sciences: Keyword search for query</w:t>
      </w:r>
      <w:r>
        <w:t xml:space="preserve">    </w:t>
      </w:r>
      <w:r>
        <w:rPr>
          <w:b/>
        </w:rPr>
        <w:t xml:space="preserve">Pub date: </w:t>
      </w:r>
      <w:r>
        <w:t>2026-03-26 07:00:00+00:00</w:t>
      </w:r>
      <w:r>
        <w:t xml:space="preserve">    </w:t>
      </w:r>
      <w:r>
        <w:rPr>
          <w:b/>
        </w:rPr>
        <w:t xml:space="preserve">DOI: </w:t>
      </w:r>
      <w:hyperlink r:id="rId1091">
        <w:r>
          <w:rPr>
            <w:color w:val="1155CC"/>
            <w:u w:val="single"/>
          </w:rPr>
          <w:t>10.1073/pnas.2510265123</w:t>
        </w:r>
      </w:hyperlink>
    </w:p>
    <w:p>
      <w:pPr>
        <w:spacing w:before="0" w:after="120"/>
      </w:pPr>
      <w:r>
        <w:rPr>
          <w:b/>
        </w:rPr>
        <w:t xml:space="preserve">Notes: </w:t>
      </w:r>
      <w:r>
        <w:t>abstract_source=crossref</w:t>
      </w:r>
    </w:p>
    <w:p>
      <w:pPr>
        <w:spacing w:before="0" w:after="80" w:lineRule="auto" w:line="276"/>
      </w:pPr>
      <w:r>
        <w:rPr>
          <w:b/>
        </w:rPr>
        <w:t xml:space="preserve">摘要（ZH）: </w:t>
      </w:r>
      <w:r>
        <w:t>药物化学抗性仍然是癌症患者治疗失败的主要原因。在全球第七大常见癌症头颈部鳞状细胞癌（HNSCC）中，顺铂化疗仍然是晚期肿瘤的金标准，但常常面临响应性丧失和复发的缺点。我们之前显示，代谢和血管生成因子血管生成素样蛋白4（ANGPTL4）是口腔不典型增生和HNSCC的分子生物标志物。我们还发现，通过与神经纤维蛋白1（NRP1）的相互作用，ANGPTL4激活了促进HNSCC发展的增殖和迁移途径。使用HNSCC异种移植、患者肿瘤衍生的类器官、肿瘤球体和HNSCC细胞系CAL27、HN13和HN4，我们提供了ANGPTL4在发展中的作用的证据。</w:t>
      </w:r>
    </w:p>
    <w:p>
      <w:pPr>
        <w:spacing w:before="0" w:after="200" w:lineRule="auto" w:line="276"/>
      </w:pPr>
      <w:r>
        <w:rPr>
          <w:b/>
        </w:rPr>
        <w:t xml:space="preserve">Abstract (EN): </w:t>
      </w:r>
      <w:r>
        <w:t>Drug chemoresistance remains a major reason of treatment failure in cancer patients. In head and neck squamous cell carcinoma (HNSCC), the seventh most common cancer worldwide, cisplatin chemotherapy remains the gold standard for advanced tumors but often faces loss of responsiveness and the drawback of relapse. We previously showed that the metabolic and angiogenic factor angiopoietin-like 4 (ANGPTL4) is a molecular biomarker of oral dysplasia and HNSCC. We also found that through interaction with Neuropilin 1 (NRP1), ANGPTL4 activates proliferative and migratory pathways that contribute to HNSCC development. Using HNSCC xenografts, patient tumor-derived organoids, tumor spheroids, and HNSCC cell lines, CAL27, HN13, and HN4, here we provide evidence of the role of ANGPTL4 in the development of platinum-based chemoresistance in HNSCC through the promotion of DNA damage response (DDR) and homologous recombination (HR). ANGPTL4 enhanced these mechanisms by promoting phosphorylation of RAD51 recombinase in Tyr</w:t>
      </w:r>
      <w:r>
        <w:t xml:space="preserve"> </w:t>
      </w:r>
      <w:r>
        <w:t>315/54</w:t>
      </w:r>
      <w:r>
        <w:t xml:space="preserve"> </w:t>
      </w:r>
      <w:r>
        <w:t>through an NRP1/ABL1-dependent mechanism. Pharmacologic inhibition of NRP1 or ABL1 reversed ANGPTL4-mediated DDR and HR, and increased HNSCC cell death in combination with cisplatin, in vitro and in vivo. Our results reveal a role for ANGPTL4 in RAD51-dependent DNA repair and suggest that ANGPTL4/NRP1/ABL1/RAD51 may serve as an alternative therapeutic target for HNSCC.</w:t>
      </w:r>
    </w:p>
    <w:p>
      <w:pPr>
        <w:spacing w:before="120" w:after="120"/>
      </w:pPr>
      <w:r>
        <w:rPr>
          <w:sz w:val="18"/>
        </w:rPr>
        <w:t>——————————————————————————————————————————————————————————————————————</w:t>
      </w:r>
    </w:p>
    <w:p>
      <w:pPr>
        <w:spacing w:before="160" w:after="40" w:line="240" w:lineRule="auto"/>
      </w:pPr>
      <w:r>
        <w:rPr>
          <w:b/>
        </w:rPr>
        <w:t xml:space="preserve">[467] </w:t>
      </w:r>
      <w:hyperlink r:id="rId1092">
        <w:r>
          <w:rPr>
            <w:color w:val="1155CC"/>
            <w:u w:val="single"/>
          </w:rPr>
          <w:t>VIBES：一种整合宿主内和宿主间动态的多尺度建模方法在流行病中的应用</w:t>
        </w:r>
      </w:hyperlink>
    </w:p>
    <w:p>
      <w:pPr>
        <w:spacing w:before="0" w:after="80"/>
      </w:pPr>
      <w:r>
        <w:rPr>
          <w:i/>
          <w:sz w:val="20"/>
        </w:rPr>
        <w:t>EN: VIBES: A multiscale modeling approach integrating within-host and between-hosts dynamics in epidemics</w:t>
      </w:r>
    </w:p>
    <w:p>
      <w:pPr>
        <w:spacing w:before="0" w:after="120"/>
      </w:pPr>
      <w:r>
        <w:rPr>
          <w:b/>
        </w:rPr>
        <w:t xml:space="preserve">Source: </w:t>
      </w:r>
      <w:r>
        <w:t>Proceedings of the National Academy of Sciences: Keyword search for query</w:t>
      </w:r>
      <w:r>
        <w:t xml:space="preserve">    </w:t>
      </w:r>
      <w:r>
        <w:rPr>
          <w:b/>
        </w:rPr>
        <w:t xml:space="preserve">Pub date: </w:t>
      </w:r>
      <w:r>
        <w:t>2026-03-26 07:00:00+00:00</w:t>
      </w:r>
      <w:r>
        <w:t xml:space="preserve">    </w:t>
      </w:r>
      <w:r>
        <w:rPr>
          <w:b/>
        </w:rPr>
        <w:t xml:space="preserve">DOI: </w:t>
      </w:r>
      <w:hyperlink r:id="rId1093">
        <w:r>
          <w:rPr>
            <w:color w:val="1155CC"/>
            <w:u w:val="single"/>
          </w:rPr>
          <w:t>10.1073/pnas.2523055123</w:t>
        </w:r>
      </w:hyperlink>
    </w:p>
    <w:p>
      <w:pPr>
        <w:spacing w:before="0" w:after="120"/>
      </w:pPr>
      <w:r>
        <w:rPr>
          <w:b/>
        </w:rPr>
        <w:t xml:space="preserve">Notes: </w:t>
      </w:r>
      <w:r>
        <w:t>abstract_source=crossref</w:t>
      </w:r>
    </w:p>
    <w:p>
      <w:pPr>
        <w:spacing w:before="0" w:after="80" w:lineRule="auto" w:line="276"/>
      </w:pPr>
      <w:r>
        <w:rPr>
          <w:b/>
        </w:rPr>
        <w:t xml:space="preserve">摘要（ZH）: </w:t>
      </w:r>
      <w:r>
        <w:t>传染病传播是一个由宿主内（生物）和宿主间（社会）驱动因素组成的多尺度过程，将它们彼此分离是流行病学中的一个核心挑战。在此，我们介绍了VIBES，一个多尺度建模框架，明确整合了基于患者级数据的病毒动力学与基于数据驱动的社会接触网络上的群体级传播。以SARS-CoV-2为案例研究，我们分析了三个新出现的流行病特性，即代际时间、序列间隔和无症状传播。首先，我们建立了一个纯生物学基线，因此独立于再生数（R），从宿主内模型估计出症状个体的代际时间为6.3天。</w:t>
      </w:r>
    </w:p>
    <w:p>
      <w:pPr>
        <w:spacing w:before="0" w:after="200" w:lineRule="auto" w:line="276"/>
      </w:pPr>
      <w:r>
        <w:rPr>
          <w:b/>
        </w:rPr>
        <w:t xml:space="preserve">Abstract (EN): </w:t>
      </w:r>
      <w:r>
        <w:t>Infectious disease spread is a multiscale process composed of within-host (biological) and between-host (social) drivers and disentangling them from each other is a central challenge in epidemiology. Here, we introduce VIBES, a multiscale modeling framework that explicitly integrates viral dynamics based on patient-level data with population-level transmission on a data-driven network of social contacts. Using SARS-CoV-2 as a case study, we analyze three emergent epidemic properties, namely the generation time, serial interval, and presymptomatic transmission. First, we established a purely biological baseline, thus independent of the reproduction number (</w:t>
      </w:r>
      <w:r>
        <w:t xml:space="preserve"> </w:t>
      </w:r>
      <w:r>
        <w:t>R</w:t>
      </w:r>
      <w:r>
        <w:t xml:space="preserve"> </w:t>
      </w:r>
      <w:r>
        <w:t>), from the within-host model, estimating a generation time of 6.3 d for symptomatic individuals and 43.1% presymptomatic transmission. Then, using the full model incorporating social contacts, we found a shorter generation time (5.4 d at</w:t>
      </w:r>
      <w:r>
        <w:t xml:space="preserve"> </w:t>
      </w:r>
      <w:r>
        <w:t>R</w:t>
      </w:r>
      <w:r>
        <w:t xml:space="preserve"> </w:t>
      </w:r>
      <w:r>
        <w:t>= 3.0) and an increase in presymptomatic transmission (52.8% at</w:t>
      </w:r>
      <w:r>
        <w:t xml:space="preserve"> </w:t>
      </w:r>
      <w:r>
        <w:t>R</w:t>
      </w:r>
      <w:r>
        <w:t xml:space="preserve"> </w:t>
      </w:r>
      <w:r>
        <w:t>= 3.0), disentangling the impact of social drivers from a purely biological baseline. We further show that as pathogen transmissibility increases (</w:t>
      </w:r>
      <w:r>
        <w:t xml:space="preserve"> </w:t>
      </w:r>
      <w:r>
        <w:t>R</w:t>
      </w:r>
      <w:r>
        <w:t xml:space="preserve"> </w:t>
      </w:r>
      <w:r>
        <w:t>from 1.3 to 6), competition among infectious individuals shortens the generation time and serial interval by up to 21% and 13%, respectively. Conversely, a social intervention, like isolation, increases the proportion of presymptomatic transmission by about 30%. Our framework also estimates metrics that are challenging to obtain empirically, such as the generation time for asymptomatic individuals (5.6 d; 95%CI: 5.1 to 6.0 at</w:t>
      </w:r>
      <w:r>
        <w:t xml:space="preserve"> </w:t>
      </w:r>
      <w:r>
        <w:t>R</w:t>
      </w:r>
      <w:r>
        <w:t xml:space="preserve"> </w:t>
      </w:r>
      <w:r>
        <w:t>= 1.3). Our findings establish multiscale modeling as a powerful tool for mechanistically quantifying how pathogen biology and human social behavior shape epidemic dynamics as well as for assessing public health interventions.</w:t>
      </w:r>
    </w:p>
    <w:p>
      <w:pPr>
        <w:spacing w:before="120" w:after="120"/>
      </w:pPr>
      <w:r>
        <w:rPr>
          <w:sz w:val="18"/>
        </w:rPr>
        <w:t>——————————————————————————————————————————————————————————————————————</w:t>
      </w:r>
    </w:p>
    <w:p>
      <w:pPr>
        <w:spacing w:before="160" w:after="40" w:line="240" w:lineRule="auto"/>
      </w:pPr>
      <w:r>
        <w:rPr>
          <w:b/>
        </w:rPr>
        <w:t xml:space="preserve">[468] </w:t>
      </w:r>
      <w:hyperlink r:id="rId1094">
        <w:r>
          <w:rPr>
            <w:color w:val="1155CC"/>
            <w:u w:val="single"/>
          </w:rPr>
          <w:t>水的机器学习模型的能量景观统计和热力学</w:t>
        </w:r>
      </w:hyperlink>
    </w:p>
    <w:p>
      <w:pPr>
        <w:spacing w:before="0" w:after="80"/>
      </w:pPr>
      <w:r>
        <w:rPr>
          <w:i/>
          <w:sz w:val="20"/>
        </w:rPr>
        <w:t>EN: Energy landscape statistics and thermodynamics of a machine-learned model of water</w:t>
      </w:r>
    </w:p>
    <w:p>
      <w:pPr>
        <w:spacing w:before="0" w:after="120"/>
      </w:pPr>
      <w:r>
        <w:rPr>
          <w:b/>
        </w:rPr>
        <w:t xml:space="preserve">Source: </w:t>
      </w:r>
      <w:r>
        <w:t>Proceedings of the National Academy of Sciences: Keyword search for query</w:t>
      </w:r>
      <w:r>
        <w:t xml:space="preserve">    </w:t>
      </w:r>
      <w:r>
        <w:rPr>
          <w:b/>
        </w:rPr>
        <w:t xml:space="preserve">Pub date: </w:t>
      </w:r>
      <w:r>
        <w:t>2026-03-26 07:00:00+00:00</w:t>
      </w:r>
      <w:r>
        <w:t xml:space="preserve">    </w:t>
      </w:r>
      <w:r>
        <w:rPr>
          <w:b/>
        </w:rPr>
        <w:t xml:space="preserve">DOI: </w:t>
      </w:r>
      <w:hyperlink r:id="rId1095">
        <w:r>
          <w:rPr>
            <w:color w:val="1155CC"/>
            <w:u w:val="single"/>
          </w:rPr>
          <w:t>10.1073/pnas.2534303123</w:t>
        </w:r>
      </w:hyperlink>
    </w:p>
    <w:p>
      <w:pPr>
        <w:spacing w:before="0" w:after="120"/>
      </w:pPr>
      <w:r>
        <w:rPr>
          <w:b/>
        </w:rPr>
        <w:t xml:space="preserve">Notes: </w:t>
      </w:r>
      <w:r>
        <w:t>abstract_source=crossref</w:t>
      </w:r>
    </w:p>
    <w:p>
      <w:pPr>
        <w:spacing w:before="0" w:after="80" w:lineRule="auto" w:line="276"/>
      </w:pPr>
      <w:r>
        <w:rPr>
          <w:b/>
        </w:rPr>
        <w:t xml:space="preserve">摘要（ZH）: </w:t>
      </w:r>
      <w:r>
        <w:t>水的异常热力学行为源于复杂的氢键网络的存在，这些网络对多体相互作用高度敏感，几十年来一直挑战分子建模。正在进行的机器学习革命为以可承受的计算成本进行量子精确的液体结构计算打开了可能性。除了高保真地再现水的热力学性质外，这些模拟还为理论模型提供了严格的基准，并为更深入的物理理解提供了一条途径。我们使用最近开发的机器学习深度势多体极化水模型，展示了过冷水的自由能可以通过势能景观形式准确建模。得到的状态方程p</w:t>
      </w:r>
    </w:p>
    <w:p>
      <w:pPr>
        <w:spacing w:before="0" w:after="200" w:lineRule="auto" w:line="276"/>
      </w:pPr>
      <w:r>
        <w:rPr>
          <w:b/>
        </w:rPr>
        <w:t xml:space="preserve">Abstract (EN): </w:t>
      </w:r>
      <w:r>
        <w:t>Water’s anomalous thermodynamic behavior arises from the presence of intricate hydrogen-bond networks that are highly sensitive to many-body interactions, challenging molecular modeling for decades. The ongoing machine learning revolution has opened the possibility of performing quantum-accurate liquid-structure calculations at affordable computational cost. Beyond reproducing water’s thermodynamic properties with high fidelity, such simulations provide a stringent benchmark for theoretical models and a route to deeper physical understanding. We use the recently developed machine-learned Deep Potential Many-Body Polarizable water model to show that the free energy of supercooled water can be accurately modeled with the potential energy landscape formalism. The resulting equation of state predicts the presence of a liquid–liquid critical point in excellent agreement with recent estimates. Together with previous studies based on empirical classical water potentials, it confirms that the potential energy landscape of water is Gaussian, providing a unifying framework for extracting thermodynamic behavior across model complexity, from empirical force fields to quantum-trained neural network models.</w:t>
      </w:r>
    </w:p>
    <w:p>
      <w:pPr>
        <w:spacing w:before="120" w:after="120"/>
      </w:pPr>
      <w:r>
        <w:rPr>
          <w:sz w:val="18"/>
        </w:rPr>
        <w:t>——————————————————————————————————————————————————————————————————————</w:t>
      </w:r>
    </w:p>
    <w:p>
      <w:pPr>
        <w:spacing w:before="160" w:after="40" w:line="240" w:lineRule="auto"/>
      </w:pPr>
      <w:r>
        <w:rPr>
          <w:b/>
        </w:rPr>
        <w:t xml:space="preserve">[469] </w:t>
      </w:r>
      <w:hyperlink r:id="rId1096">
        <w:r>
          <w:rPr>
            <w:color w:val="1155CC"/>
            <w:u w:val="single"/>
          </w:rPr>
          <w:t>用于外源感应和细胞命运控制的导电水凝胶</w:t>
        </w:r>
      </w:hyperlink>
    </w:p>
    <w:p>
      <w:pPr>
        <w:spacing w:before="0" w:after="80"/>
      </w:pPr>
      <w:r>
        <w:rPr>
          <w:i/>
          <w:sz w:val="20"/>
        </w:rPr>
        <w:t>EN: Conductive Hydrogels for Exogenous Sensing and Cell Fate Control</w:t>
      </w:r>
    </w:p>
    <w:p>
      <w:pPr>
        <w:spacing w:before="0" w:after="120"/>
      </w:pPr>
      <w:r>
        <w:rPr>
          <w:b/>
        </w:rPr>
        <w:t xml:space="preserve">Source: </w:t>
      </w:r>
      <w:r>
        <w:t>Wiley: Advanced Materials: Table of Contents</w:t>
      </w:r>
      <w:r>
        <w:t xml:space="preserve">    </w:t>
      </w:r>
      <w:r>
        <w:rPr>
          <w:b/>
        </w:rPr>
        <w:t xml:space="preserve">Pub date: </w:t>
      </w:r>
      <w:r>
        <w:t>2026-03-26 07:34:09+00:00</w:t>
      </w:r>
      <w:r>
        <w:t xml:space="preserve">    </w:t>
      </w:r>
      <w:r>
        <w:rPr>
          <w:b/>
        </w:rPr>
        <w:t xml:space="preserve">DOI: </w:t>
      </w:r>
      <w:hyperlink r:id="rId1097">
        <w:r>
          <w:rPr>
            <w:color w:val="1155CC"/>
            <w:u w:val="single"/>
          </w:rPr>
          <w:t>10.1002/adma.72866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下一代将生命系统与计算机连接的技术将需要基于生物学构建的材料，这种方法可能解决稳定和多模式信息交换中的持久挑战。在此，我们提出了一种半合成水凝胶，旨在模拟天然细胞外基质（ECM）的关键特征，同时提供电可调功能。我们在柔软的水凝胶网络（PEDOT:sGAGh）中设计了硫酸化糖胺聚糖（sGAGs）与半导体有机聚合物（聚（3,4-乙烯二氧噻吩），PEDOT）之间的相互作用。我们展示了对材料纳米结构、电化学行为和生物分子相互作用的控制。特别是，PEDOT:sGAGh对生物活性蛋白质表现出亲和力，包括生长因子</w:t>
      </w:r>
    </w:p>
    <w:p>
      <w:pPr>
        <w:spacing w:before="0" w:after="200" w:lineRule="auto" w:line="276"/>
      </w:pPr>
      <w:r>
        <w:rPr>
          <w:b/>
        </w:rPr>
        <w:t xml:space="preserve">Abstract (EN): </w:t>
      </w:r>
      <w:r>
        <w:t>Next generation technologies linking living systems to computers will require materials built on biology, an approach that may address persistent challenges in stable and multimodal information exchange. Here, we present a semi‐synthetic hydrogel, designed to emulate key features of native extracellular matrix (ECM) while offering electrically tunable functionality. We engineer interactions between sulfated glycosaminoglycans (sGAGs) and a semiconducting organic polymer (poly(3,4‐ethylenedioxythiophene), PEDOT) within a soft hydrogel network (PEDOT:sGAGh). We demonstrate control over the material's nanoarchitecture, electrochemical behavior, and biomolecular interactions. In particular, PEDOT:sGAGh exhibits affinity for bioactive proteins, including growth factors, and allows their release or retention to be modulated by low‐voltage stimulation. This enables electrical control over macromolecular cues for cell differentiation, a capability not found in natural ECM or conventional conductive hydrogels. These functions are achieved with ultra‐low PEDOT content (≈1 wt.%), preserving the hydrogel's tissue‐like softness and high water content. The PEDOT:sGAGh material can be integrated as a bioactive coating on electrodes, or into 3D organic electrochemical transistors (OECTs). Our results position PEDOT:sGAGh as a versatile platform for realizing biohybrid circuits that bridge molecular signaling and solid‐state electronics, thus paving the way for brain‐machine interfaces that operate beyond purely electrical modes of interaction.</w:t>
      </w:r>
    </w:p>
    <w:p>
      <w:pPr>
        <w:spacing w:before="120" w:after="120"/>
      </w:pPr>
      <w:r>
        <w:rPr>
          <w:sz w:val="18"/>
        </w:rPr>
        <w:t>——————————————————————————————————————————————————————————————————————</w:t>
      </w:r>
    </w:p>
    <w:p>
      <w:pPr>
        <w:spacing w:before="160" w:after="40" w:line="240" w:lineRule="auto"/>
      </w:pPr>
      <w:r>
        <w:rPr>
          <w:b/>
        </w:rPr>
        <w:t xml:space="preserve">[470] </w:t>
      </w:r>
      <w:hyperlink r:id="rId1098">
        <w:r>
          <w:rPr>
            <w:color w:val="1155CC"/>
            <w:u w:val="single"/>
          </w:rPr>
          <w:t>[ASAP] α-1,3-葡聚糖驱动的烟曲霉疫苗株孢子细胞壁重塑改变了先天免疫识别</w:t>
        </w:r>
      </w:hyperlink>
    </w:p>
    <w:p>
      <w:pPr>
        <w:spacing w:before="0" w:after="80"/>
      </w:pPr>
      <w:r>
        <w:rPr>
          <w:i/>
          <w:sz w:val="20"/>
        </w:rPr>
        <w:t>EN: [ASAP] α-1,3-Glucan-Driven Remodeling of the Conidial Cell Wall in an Aspergillus fumigatus Vaccine Strain Alters Innate Immune Recognition</w:t>
      </w:r>
    </w:p>
    <w:p>
      <w:pPr>
        <w:spacing w:before="0" w:after="120"/>
      </w:pPr>
      <w:r>
        <w:rPr>
          <w:b/>
        </w:rPr>
        <w:t xml:space="preserve">Source: </w:t>
      </w:r>
      <w:r>
        <w:t>Journal of the American Chemical Society: Latest Articles (ACS Publications)</w:t>
      </w:r>
      <w:r>
        <w:t xml:space="preserve">    </w:t>
      </w:r>
      <w:r>
        <w:rPr>
          <w:b/>
        </w:rPr>
        <w:t xml:space="preserve">Pub date: </w:t>
      </w:r>
      <w:r>
        <w:t>2026-03-26 08:22:01+00:00</w:t>
      </w:r>
      <w:r>
        <w:t xml:space="preserve">    </w:t>
      </w:r>
      <w:r>
        <w:rPr>
          <w:b/>
        </w:rPr>
        <w:t xml:space="preserve">DOI: </w:t>
      </w:r>
      <w:hyperlink r:id="rId1099">
        <w:r>
          <w:rPr>
            <w:color w:val="1155CC"/>
            <w:u w:val="single"/>
          </w:rPr>
          <w:t>10.1021/jacs.6c00915</w:t>
        </w:r>
      </w:hyperlink>
    </w:p>
    <w:p>
      <w:pPr>
        <w:spacing w:before="0" w:after="120"/>
      </w:pPr>
      <w:r>
        <w:rPr>
          <w:b/>
        </w:rPr>
        <w:t xml:space="preserve">Notes: </w:t>
      </w:r>
      <w:r>
        <w:t>abstract_source=pubmed</w:t>
      </w:r>
    </w:p>
    <w:p>
      <w:pPr>
        <w:spacing w:before="0" w:after="80" w:lineRule="auto" w:line="276"/>
      </w:pPr>
      <w:r>
        <w:rPr>
          <w:b/>
        </w:rPr>
        <w:t xml:space="preserve">摘要（ZH）: </w:t>
      </w:r>
      <w:r>
        <w:t>曲霉菌是免疫功能低下患者侵袭性曲霉病的主要原因，目前的抗真菌疗法因毒性、耐药性和缺乏持久保护而受到限制，并且没有可用的疫苗。缺乏甾醇葡萄糖苷酶编码基因（sglA）的突变体已成为诱导保护性免疫反应的候选者，但这种表型的结构基础仍不清楚。在此，我们使用细胞固态NMR光谱比较ΔsglA和其野生型对应物的分生孢子细胞壁的组织。ΔsglA分生孢子细胞壁显示出广泛的重塑，包括增加的α-1,3-葡聚糖含量和结构多态性，加强了与β-葡聚糖的相互作用，减少了水合，并限制了分子运动，</w:t>
      </w:r>
    </w:p>
    <w:p>
      <w:pPr>
        <w:spacing w:before="0" w:after="200" w:lineRule="auto" w:line="276"/>
      </w:pPr>
      <w:r>
        <w:rPr>
          <w:b/>
        </w:rPr>
        <w:t xml:space="preserve">Abstract (EN): </w:t>
      </w:r>
      <w:r>
        <w:t>Aspergillus fumigatus is a major cause of invasive aspergillosis in immunocompromised patients, where current antifungal therapies are limited by toxicity, drug resistance, and lack of durable protection, and no vaccines are available. A mutant lacking the sterylglucosidase-encoding gene (sglA) has emerged as a candidate that induces protective immune responses, but the structural basis for this phenotype remains unclear. Here, we use cellular solid-state NMR spectroscopy to compare the organization of the conidial cell wall in ΔsglA and its wild-type counterpart. The ΔsglA conidial cell wall displays extensive remodeling, including increased α-1,3-glucan content and structural polymorphism, strengthened interactions with β-glucans, reduced hydration, and restricted molecular motion, together consolidating a more rigid scaffold with limited β-glucan accessibility. These structural changes are associated with altered neutrophil responses and a shift in innate immune signaling. This work links cell-wall reorganization to altered immune recognition in this vaccine candidate, with implications for future immunotherapeutic strategies.</w:t>
      </w:r>
    </w:p>
    <w:p>
      <w:pPr>
        <w:spacing w:before="120" w:after="120"/>
      </w:pPr>
      <w:r>
        <w:rPr>
          <w:sz w:val="18"/>
        </w:rPr>
        <w:t>——————————————————————————————————————————————————————————————————————</w:t>
      </w:r>
    </w:p>
    <w:p>
      <w:pPr>
        <w:spacing w:before="160" w:after="40" w:line="240" w:lineRule="auto"/>
      </w:pPr>
      <w:r>
        <w:rPr>
          <w:b/>
        </w:rPr>
        <w:t xml:space="preserve">[471] </w:t>
      </w:r>
      <w:hyperlink r:id="rId1100">
        <w:r>
          <w:rPr>
            <w:color w:val="1155CC"/>
            <w:u w:val="single"/>
          </w:rPr>
          <w:t>[ASAP] 分子工程化SERS平台结合微湍流增强电流体动力学用于肺癌ctDNA的多重分析</w:t>
        </w:r>
      </w:hyperlink>
    </w:p>
    <w:p>
      <w:pPr>
        <w:spacing w:before="0" w:after="80"/>
      </w:pPr>
      <w:r>
        <w:rPr>
          <w:i/>
          <w:sz w:val="20"/>
        </w:rPr>
        <w:t>EN: [ASAP] Molecularly Engineered SERS Platform with Microturbulence-Enhanced Electrohydrodynamics for Multiplexed Profiling of Lung Cancer ctDNA</w:t>
      </w:r>
    </w:p>
    <w:p>
      <w:pPr>
        <w:spacing w:before="0" w:after="120"/>
      </w:pPr>
      <w:r>
        <w:rPr>
          <w:b/>
        </w:rPr>
        <w:t xml:space="preserve">Source: </w:t>
      </w:r>
      <w:r>
        <w:t>Journal of the American Chemical Society: Latest Articles (ACS Publications)</w:t>
      </w:r>
      <w:r>
        <w:t xml:space="preserve">    </w:t>
      </w:r>
      <w:r>
        <w:rPr>
          <w:b/>
        </w:rPr>
        <w:t xml:space="preserve">Pub date: </w:t>
      </w:r>
      <w:r>
        <w:t>2026-03-26 10:02:46+00:00</w:t>
      </w:r>
      <w:r>
        <w:t xml:space="preserve">    </w:t>
      </w:r>
      <w:r>
        <w:rPr>
          <w:b/>
        </w:rPr>
        <w:t xml:space="preserve">DOI: </w:t>
      </w:r>
      <w:hyperlink r:id="rId1101">
        <w:r>
          <w:rPr>
            <w:color w:val="1155CC"/>
            <w:u w:val="single"/>
          </w:rPr>
          <w:t>10.1021/jacs.6c01526</w:t>
        </w:r>
      </w:hyperlink>
    </w:p>
    <w:p>
      <w:pPr>
        <w:spacing w:before="0" w:after="120"/>
      </w:pPr>
      <w:r>
        <w:rPr>
          <w:b/>
        </w:rPr>
        <w:t xml:space="preserve">Notes: </w:t>
      </w:r>
      <w:r>
        <w:t>abstract_source=pubmed</w:t>
      </w:r>
    </w:p>
    <w:p>
      <w:pPr>
        <w:spacing w:before="0" w:after="80" w:lineRule="auto" w:line="276"/>
      </w:pPr>
      <w:r>
        <w:rPr>
          <w:b/>
        </w:rPr>
        <w:t xml:space="preserve">摘要（ZH）: </w:t>
      </w:r>
      <w:r>
        <w:t>多重循环肿瘤DNA（ctDNA）的精确分析受到解决单核苷酸变异（SNVs）及其微量丰度的挑战的阻碍。在此，我们提出了一个集成的SERS平台，该平台结合了合理分子工程的纳米标签与新型微湍流电流体界面，用于肺癌ctDNA的多重SNV级分析。特别是，SERS纳米标签结合了（1）一个de novo异构拉曼报告库，通过分子对称性和电子效应系统地调整振动特征，（2）中空超支化Cu2O/CuO@Ag异质结构，旨在抑制载流子复合以最大化电磁-化学信号增强，以及（3）合理设计的dCas9-sgRNA单元，赋予单核苷酸分辨率。</w:t>
      </w:r>
    </w:p>
    <w:p>
      <w:pPr>
        <w:spacing w:before="0" w:after="200" w:lineRule="auto" w:line="276"/>
      </w:pPr>
      <w:r>
        <w:rPr>
          <w:b/>
        </w:rPr>
        <w:t xml:space="preserve">Abstract (EN): </w:t>
      </w:r>
      <w:r>
        <w:t>Precise profiling of multiple circulating tumor DNA (ctDNA) is hindered by the challenge of resolving single-nucleotide variants (SNVs) and their trace abundance. Herein, we present an integrated SERS platform that combines rationally molecularly engineered nanotags with a novel microturbulent electrofluidic interface for multiplexed SNV-level profiling of lung cancer ctDNAs. In particular, the SERS nanotags incorporate (1) a de novo isomeric Raman reporter library that systematically tailors vibrational signatures through molecular symmetry and electronic effects, (2) hollow hyperbranched Cu2O/CuO@Ag heterostructures engineered to suppress carrier recombination for maximized electromagnetic-chemical signal enhancement, and (3) rationally designed dCas9-sgRNA units that confer single-nucleotide discrimination. To overcome diffusion-limited mass transport and further boost the signal, we fabricated nanopebble-structured asymmetric microelectrodes on aluminum foil. Unlike a conventional smooth interface, this unique topography induces powerful microturbulence-enhanced electrohydrodynamics (mt-EHD) that disrupts the interfacial depletion layer to accelerate target delivery while simultaneously offering high-density "hot spots" within interpebble gaps for secondary Raman signal amplification. This integrated system achieved the simultaneous quantification of six ctDNA mutations in 131 clinical samples. By leveraging machine learning algorithms, the platform enables accurate diagnosis, prognostic stratification, and dynamic treatment monitoring, establishing an integrated chemical-electrofluidic strategy for precision liquid biopsy.</w:t>
      </w:r>
    </w:p>
    <w:p>
      <w:pPr>
        <w:spacing w:before="120" w:after="120"/>
      </w:pPr>
      <w:r>
        <w:rPr>
          <w:sz w:val="18"/>
        </w:rPr>
        <w:t>——————————————————————————————————————————————————————————————————————</w:t>
      </w:r>
    </w:p>
    <w:p>
      <w:pPr>
        <w:spacing w:before="160" w:after="40" w:line="240" w:lineRule="auto"/>
      </w:pPr>
      <w:r>
        <w:rPr>
          <w:b/>
        </w:rPr>
        <w:t xml:space="preserve">[472] </w:t>
      </w:r>
      <w:hyperlink r:id="rId1102">
        <w:r>
          <w:rPr>
            <w:color w:val="1155CC"/>
            <w:u w:val="single"/>
          </w:rPr>
          <w:t>[ASAP] 通过后组装配体/金属修饰实现多芳香族亚纳米管的腔体收缩和手性化</w:t>
        </w:r>
      </w:hyperlink>
    </w:p>
    <w:p>
      <w:pPr>
        <w:spacing w:before="0" w:after="80"/>
      </w:pPr>
      <w:r>
        <w:rPr>
          <w:i/>
          <w:sz w:val="20"/>
        </w:rPr>
        <w:t>EN: [ASAP] Cavity Constriction and Chiralization of Polyaromatic Subnanotubes via Post-assembly Ligand/Metal Modification</w:t>
      </w:r>
    </w:p>
    <w:p>
      <w:pPr>
        <w:spacing w:before="0" w:after="120"/>
      </w:pPr>
      <w:r>
        <w:rPr>
          <w:b/>
        </w:rPr>
        <w:t xml:space="preserve">Source: </w:t>
      </w:r>
      <w:r>
        <w:t>Journal of the American Chemical Society: Latest Articles (ACS Publications)</w:t>
      </w:r>
      <w:r>
        <w:t xml:space="preserve">    </w:t>
      </w:r>
      <w:r>
        <w:rPr>
          <w:b/>
        </w:rPr>
        <w:t xml:space="preserve">Pub date: </w:t>
      </w:r>
      <w:r>
        <w:t>2026-03-26 10:03:29+00:00</w:t>
      </w:r>
      <w:r>
        <w:t xml:space="preserve">    </w:t>
      </w:r>
      <w:r>
        <w:rPr>
          <w:b/>
        </w:rPr>
        <w:t xml:space="preserve">DOI: </w:t>
      </w:r>
      <w:hyperlink r:id="rId1103">
        <w:r>
          <w:rPr>
            <w:color w:val="1155CC"/>
            <w:u w:val="single"/>
          </w:rPr>
          <w:t>10.1021/jacs.6c02007</w:t>
        </w:r>
      </w:hyperlink>
    </w:p>
    <w:p>
      <w:pPr>
        <w:spacing w:before="0" w:after="120"/>
      </w:pPr>
      <w:r>
        <w:rPr>
          <w:b/>
        </w:rPr>
        <w:t xml:space="preserve">Notes: </w:t>
      </w:r>
      <w:r>
        <w:t>abstract_source=pubmed</w:t>
      </w:r>
    </w:p>
    <w:p>
      <w:pPr>
        <w:spacing w:before="0" w:after="80" w:lineRule="auto" w:line="276"/>
      </w:pPr>
      <w:r>
        <w:rPr>
          <w:b/>
        </w:rPr>
        <w:t xml:space="preserve">摘要（ZH）: </w:t>
      </w:r>
      <w:r>
        <w:t>配位驱动的管状和笼状结构的后期修饰是一种有前途的方法，可以调整和改变其空腔功能，但由于金属-配体键在修饰条件下的固有不稳定性，仍然困难。在此，我们报告了一种具有亚纳米尺寸空腔的多芳香管，由三个金属铰链和三个多芳香配体组成，两者都可以在组装后进行修饰。新的亚纳米管由PtCl2盐和嵌入蒽的双吡啶配体制备，通过配体与O2的对称修饰可逆地转化为收缩的亚纳米管。使用类似的水相管，一分子棒状香豆素染料被亚纳米空腔结合在水中，并且它们的发射特性被</w:t>
      </w:r>
    </w:p>
    <w:p>
      <w:pPr>
        <w:spacing w:before="0" w:after="200" w:lineRule="auto" w:line="276"/>
      </w:pPr>
      <w:r>
        <w:rPr>
          <w:b/>
        </w:rPr>
        <w:t xml:space="preserve">Abstract (EN): </w:t>
      </w:r>
      <w:r>
        <w:t>Late-stage modification of coordination-driven tubular and cage-like structures is a promising method to tune and alter their cavity functions yet remains difficult owing to the intrinsic instability of metal-ligand bonds against the modification conditions. Here we report polyaromatic tubes with a subnanometer-sized cavity, composed of three metal hinges and three polyaromatic ligands, both of which are modifiable in a post-assembly fashion. The new subnanotube, prepared from PtCl2 salts and the anthracene-embedded bispyridine ligands, is reversibly converted into a constricted subnanotube by the symmetrical modification of the ligands with O2. Using an analogous aqueous tube, one molecule of rod-like coumarin dyes is bound by the subnanocavity in water, and their emission properties are largely enhanced (up to 4-fold) through the ligand modification. On the other hand, the asymmetrical modification of the metal hinges with chiral ammonium groups generates a cryptochiral subnanotube while retaining the polyaromatic cavity. The resultant tube also binds the coumarin dye in water to induce its chiroptical properties as strong CD and CPL activities (up to |gabs| = 2 × 10-3 and |glum| = 3 × 10-3). Two-directional post-assembly multi-modifications are demonstrated unprecedentedly, using polyaromatic subnanotubes, for the development of multi-functional host-guest systems.</w:t>
      </w:r>
    </w:p>
    <w:p>
      <w:pPr>
        <w:spacing w:before="120" w:after="120"/>
      </w:pPr>
      <w:r>
        <w:rPr>
          <w:sz w:val="18"/>
        </w:rPr>
        <w:t>——————————————————————————————————————————————————————————————————————</w:t>
      </w:r>
    </w:p>
    <w:p>
      <w:pPr>
        <w:spacing w:before="160" w:after="40" w:line="240" w:lineRule="auto"/>
      </w:pPr>
      <w:r>
        <w:rPr>
          <w:b/>
        </w:rPr>
        <w:t xml:space="preserve">[473] </w:t>
      </w:r>
      <w:hyperlink r:id="rId1104">
        <w:r>
          <w:rPr>
            <w:color w:val="1155CC"/>
            <w:u w:val="single"/>
          </w:rPr>
          <w:t>[ASAP] 应变驱动的开环复分解聚合反应</w:t>
        </w:r>
      </w:hyperlink>
    </w:p>
    <w:p>
      <w:pPr>
        <w:spacing w:before="0" w:after="80"/>
      </w:pPr>
      <w:r>
        <w:rPr>
          <w:i/>
          <w:sz w:val="20"/>
        </w:rPr>
        <w:t>EN: [ASAP] Strain-Driven Ring-Opening Metathesis Polymerization</w:t>
      </w:r>
    </w:p>
    <w:p>
      <w:pPr>
        <w:spacing w:before="0" w:after="120"/>
      </w:pPr>
      <w:r>
        <w:rPr>
          <w:b/>
        </w:rPr>
        <w:t xml:space="preserve">Source: </w:t>
      </w:r>
      <w:r>
        <w:t>Chemical Reviews: Latest Articles (ACS Publications)</w:t>
      </w:r>
      <w:r>
        <w:t xml:space="preserve">    </w:t>
      </w:r>
      <w:r>
        <w:rPr>
          <w:b/>
        </w:rPr>
        <w:t xml:space="preserve">Pub date: </w:t>
      </w:r>
      <w:r>
        <w:t>2026-03-26 11:49:17+00:00</w:t>
      </w:r>
      <w:r>
        <w:t xml:space="preserve">    </w:t>
      </w:r>
      <w:r>
        <w:rPr>
          <w:b/>
        </w:rPr>
        <w:t xml:space="preserve">DOI: </w:t>
      </w:r>
      <w:hyperlink r:id="rId1105">
        <w:r>
          <w:rPr>
            <w:color w:val="1155CC"/>
            <w:u w:val="single"/>
          </w:rPr>
          <w:t>10.1021/acs.chemrev.5c00974</w:t>
        </w:r>
      </w:hyperlink>
    </w:p>
    <w:p>
      <w:pPr>
        <w:spacing w:before="0" w:after="120"/>
      </w:pPr>
      <w:r>
        <w:rPr>
          <w:b/>
        </w:rPr>
        <w:t xml:space="preserve">Notes: </w:t>
      </w:r>
      <w:r>
        <w:t>abstract_source=pubmed</w:t>
      </w:r>
    </w:p>
    <w:p>
      <w:pPr>
        <w:spacing w:before="0" w:after="80" w:lineRule="auto" w:line="276"/>
      </w:pPr>
      <w:r>
        <w:rPr>
          <w:b/>
        </w:rPr>
        <w:t xml:space="preserve">摘要（ZH）: </w:t>
      </w:r>
      <w:r>
        <w:t>开环复分解聚合（ROMP）已从烯烃复分解的扩展发展成为合成精密大分子的强大模块化平台。在本综述中，我们探讨了应变驱动的ROMP的演变和当前格局，从历史和机制基础开始。重点关注环应变的概念——其理论基础、热力学后果以及对聚合能力的实际影响。我们批判性地审视了ΔH、ΔS和计算工具在指导单体选择和设计中的作用，并对包括环丙烯、环丁烯、环戊烯、大环和桥环系统在内的关键单体类别进行了表格比较。本综述旨在将基础理解与新机遇相结合。</w:t>
      </w:r>
    </w:p>
    <w:p>
      <w:pPr>
        <w:spacing w:before="0" w:after="200" w:lineRule="auto" w:line="276"/>
      </w:pPr>
      <w:r>
        <w:rPr>
          <w:b/>
        </w:rPr>
        <w:t xml:space="preserve">Abstract (EN): </w:t>
      </w:r>
      <w:r>
        <w:t>Ring-opening metathesis polymerization (ROMP) has grown from an extension of olefin metathesis into a powerful, modular platform for synthesizing precision macromolecules. In this review, we explore the evolution and current landscape of strain-driven ROMP, beginning with historical and mechanistic foundations. A central focus is placed on the concept of ring strain─its theoretical basis, thermodynamic consequences, and practical implications for polymerizability. We critically examine the roles of ΔH, ΔS, and computational tools in guiding monomer selection and design, with tabulated comparisons across key monomer classes including cyclopropenes, cyclobutenes, cyclopentenes, larger rings, and bridged-ring systems. This review aims to bridge foundational understanding with new opportunities, guiding both experienced practitioners and newcomers in advancing the frontiers of ROMP.</w:t>
      </w:r>
    </w:p>
    <w:p>
      <w:pPr>
        <w:spacing w:before="120" w:after="120"/>
      </w:pPr>
      <w:r>
        <w:rPr>
          <w:sz w:val="18"/>
        </w:rPr>
        <w:t>——————————————————————————————————————————————————————————————————————</w:t>
      </w:r>
    </w:p>
    <w:p>
      <w:pPr>
        <w:spacing w:before="160" w:after="40" w:line="240" w:lineRule="auto"/>
      </w:pPr>
      <w:r>
        <w:rPr>
          <w:b/>
        </w:rPr>
        <w:t xml:space="preserve">[474] </w:t>
      </w:r>
      <w:hyperlink r:id="rId1106">
        <w:r>
          <w:rPr>
            <w:color w:val="1155CC"/>
            <w:u w:val="single"/>
          </w:rPr>
          <w:t>[ASAP] 解析单分子化学反应中的质子隧穿</w:t>
        </w:r>
      </w:hyperlink>
    </w:p>
    <w:p>
      <w:pPr>
        <w:spacing w:before="0" w:after="80"/>
      </w:pPr>
      <w:r>
        <w:rPr>
          <w:i/>
          <w:sz w:val="20"/>
        </w:rPr>
        <w:t>EN: [ASAP] Deciphering Proton Tunneling in Single-Molecule Chemical Reactions</w:t>
      </w:r>
    </w:p>
    <w:p>
      <w:pPr>
        <w:spacing w:before="0" w:after="120"/>
      </w:pPr>
      <w:r>
        <w:rPr>
          <w:b/>
        </w:rPr>
        <w:t xml:space="preserve">Source: </w:t>
      </w:r>
      <w:r>
        <w:t>Journal of the American Chemical Society: Latest Articles (ACS Publications)</w:t>
      </w:r>
      <w:r>
        <w:t xml:space="preserve">    </w:t>
      </w:r>
      <w:r>
        <w:rPr>
          <w:b/>
        </w:rPr>
        <w:t xml:space="preserve">Pub date: </w:t>
      </w:r>
      <w:r>
        <w:t>2026-03-26 11:57:30+00:00</w:t>
      </w:r>
      <w:r>
        <w:t xml:space="preserve">    </w:t>
      </w:r>
      <w:r>
        <w:rPr>
          <w:b/>
        </w:rPr>
        <w:t xml:space="preserve">DOI: </w:t>
      </w:r>
      <w:hyperlink r:id="rId1107">
        <w:r>
          <w:rPr>
            <w:color w:val="1155CC"/>
            <w:u w:val="single"/>
          </w:rPr>
          <w:t>10.1021/jacs.6c01107</w:t>
        </w:r>
      </w:hyperlink>
    </w:p>
    <w:p>
      <w:pPr>
        <w:spacing w:before="0" w:after="120"/>
      </w:pPr>
      <w:r>
        <w:rPr>
          <w:b/>
        </w:rPr>
        <w:t xml:space="preserve">Notes: </w:t>
      </w:r>
      <w:r>
        <w:t>abstract_source=pubmed</w:t>
      </w:r>
    </w:p>
    <w:p>
      <w:pPr>
        <w:spacing w:before="0" w:after="80" w:lineRule="auto" w:line="276"/>
      </w:pPr>
      <w:r>
        <w:rPr>
          <w:b/>
        </w:rPr>
        <w:t xml:space="preserve">摘要（ZH）: </w:t>
      </w:r>
      <w:r>
        <w:t>质子隧穿作为一种基本的量子力学隧穿效应，在质子耦合电子转移（PCET）反应中深刻决定了催化途径，但由于在环境条件下解读其贡献的挑战，长期以来被忽视。通过推进芯片上的电化学机械可控断裂结方法，我们固定了一个苯并噻二唑分子，通过电导跟踪监测发生在该分子催化剂上的PCET反应。通过重复数千次分子结悬浮，我们通过将电导演变与拉曼光谱相关联，从数千个PCET反应周期中统计识别出四个关键PCET中间体，从而提取每个速率常数、动力学同位素效应。</w:t>
      </w:r>
    </w:p>
    <w:p>
      <w:pPr>
        <w:spacing w:before="0" w:after="200" w:lineRule="auto" w:line="276"/>
      </w:pPr>
      <w:r>
        <w:rPr>
          <w:b/>
        </w:rPr>
        <w:t xml:space="preserve">Abstract (EN): </w:t>
      </w:r>
      <w:r>
        <w:t>Proton tunneling, a fundamental quantum mechanical tunneling effect, profoundly determines catalytic pathways in proton-coupled electron transfer (PCET) reactions, yet it has long been overlooked because of the challenge in deciphering its contribution under ambient conditions. Advancing the on-chip electrochemical mechanically controllable break junction approach, we immobilized a single benzothiadiazole molecule to monitor the PCET reaction that occurred on this molecular catalyst via conductance tracking. Through repeated thousands of molecular junction suspensions, we statistically identified four key PCET intermediates from thousands of PCET reaction cycles by correlating the conductance evolution with Raman spectroscopy, thereby extracting each rate constant, the Kinetic Isotope Effect of elementary steps, and the evolution probabilities of each PCET pathway. Further temperature-dependent kinetic experiments revealed an efficient tunneling-mediated route over the classical thermodynamic pathway, which is further supported by the analysis of the microscopic PCET kinetics. The population of the tunneling route increased from 13% to 42% under varied conditions, indicating a tunable modulation of the reaction at room temperature. Our single-molecule method establishes a general mechanistic platform for quantifying reaction mechanisms in room-temperature multistep electrocatalysis. It provides the opportunity to evaluate the promotion of proton tunneling. This advancement can guide the development of energy-efficient electrocatalytic systems that leverage quantum tunneling.</w:t>
      </w:r>
    </w:p>
    <w:p>
      <w:pPr>
        <w:spacing w:before="120" w:after="120"/>
      </w:pPr>
      <w:r>
        <w:rPr>
          <w:sz w:val="18"/>
        </w:rPr>
        <w:t>——————————————————————————————————————————————————————————————————————</w:t>
      </w:r>
    </w:p>
    <w:p>
      <w:pPr>
        <w:spacing w:before="160" w:after="40" w:line="240" w:lineRule="auto"/>
      </w:pPr>
      <w:r>
        <w:rPr>
          <w:b/>
        </w:rPr>
        <w:t xml:space="preserve">[475] </w:t>
      </w:r>
      <w:hyperlink r:id="rId1108">
        <w:r>
          <w:rPr>
            <w:color w:val="1155CC"/>
            <w:u w:val="single"/>
          </w:rPr>
          <w:t>[ASAP] 程序化氧化引导的(±)-Anisatin, (±)-Neoanisatin, (±)-Majusanols A和B的全合成</w:t>
        </w:r>
      </w:hyperlink>
    </w:p>
    <w:p>
      <w:pPr>
        <w:spacing w:before="0" w:after="80"/>
      </w:pPr>
      <w:r>
        <w:rPr>
          <w:i/>
          <w:sz w:val="20"/>
        </w:rPr>
        <w:t>EN: [ASAP] Programmed Oxidation-Guided Divergent Total Syntheses of (±)-Anisatin, (±)-Neoanisatin, (±)-Majusanols A and B</w:t>
      </w:r>
    </w:p>
    <w:p>
      <w:pPr>
        <w:spacing w:before="0" w:after="120"/>
      </w:pPr>
      <w:r>
        <w:rPr>
          <w:b/>
        </w:rPr>
        <w:t xml:space="preserve">Source: </w:t>
      </w:r>
      <w:r>
        <w:t>Journal of the American Chemical Society: Latest Articles (ACS Publications)</w:t>
      </w:r>
      <w:r>
        <w:t xml:space="preserve">    </w:t>
      </w:r>
      <w:r>
        <w:rPr>
          <w:b/>
        </w:rPr>
        <w:t xml:space="preserve">Pub date: </w:t>
      </w:r>
      <w:r>
        <w:t>2026-03-26 12:16:31+00:00</w:t>
      </w:r>
      <w:r>
        <w:t xml:space="preserve">    </w:t>
      </w:r>
      <w:r>
        <w:rPr>
          <w:b/>
        </w:rPr>
        <w:t xml:space="preserve">DOI: </w:t>
      </w:r>
      <w:hyperlink r:id="rId1109">
        <w:r>
          <w:rPr>
            <w:color w:val="1155CC"/>
            <w:u w:val="single"/>
          </w:rPr>
          <w:t>10.1021/jacs.6c02820</w:t>
        </w:r>
      </w:hyperlink>
    </w:p>
    <w:p>
      <w:pPr>
        <w:spacing w:before="0" w:after="120"/>
      </w:pPr>
      <w:r>
        <w:rPr>
          <w:b/>
        </w:rPr>
        <w:t xml:space="preserve">Notes: </w:t>
      </w:r>
      <w:r>
        <w:t>abstract_source=pubmed</w:t>
      </w:r>
    </w:p>
    <w:p>
      <w:pPr>
        <w:spacing w:before="0" w:after="80" w:lineRule="auto" w:line="276"/>
      </w:pPr>
      <w:r>
        <w:rPr>
          <w:b/>
        </w:rPr>
        <w:t xml:space="preserve">摘要（ZH）: </w:t>
      </w:r>
      <w:r>
        <w:t>复杂、高度氧化的萜烯的合成仍然是一个核心挑战，特别是当氧化态决定骨架结构时。我们建立了一种程序化氧化策略，优先考虑氧的安装在骨架构建中的作用。这一逻辑实现了新茴香素（20步）、马朱桑醇A（18步）和马朱桑醇B（19步）的首次全合成，并提供了一条显著缩短的茴香素合成路线（20步对比之前的40步和43步合成）。我们的工作为高效和分歧合成骨架多样、密集氧化分子提供了一种可推广的设计原则。</w:t>
      </w:r>
    </w:p>
    <w:p>
      <w:pPr>
        <w:spacing w:before="0" w:after="200" w:lineRule="auto" w:line="276"/>
      </w:pPr>
      <w:r>
        <w:rPr>
          <w:b/>
        </w:rPr>
        <w:t xml:space="preserve">Abstract (EN): </w:t>
      </w:r>
      <w:r>
        <w:t>The synthesis of complex, highly oxidized terpenes remains a central challenge, particularly when oxidation state dictates skeletal architecture. We establish a programmed oxidation strategy that prioritizes oxygen installation by its role in skeletal construction. This logic enabled the first total syntheses of neoanisatin (20 steps), majusanol A (18 steps), and majusanol B (19 steps), and delivered a significantly shorter route to anisatin (20 steps vs prior 40- and 43-step syntheses). Our work provides a generalizable design principle for the efficient and divergent synthesis of skeletally diverse, densely oxidized molecules.</w:t>
      </w:r>
    </w:p>
    <w:p>
      <w:pPr>
        <w:spacing w:before="120" w:after="120"/>
      </w:pPr>
      <w:r>
        <w:rPr>
          <w:sz w:val="18"/>
        </w:rPr>
        <w:t>——————————————————————————————————————————————————————————————————————</w:t>
      </w:r>
    </w:p>
    <w:p>
      <w:pPr>
        <w:spacing w:before="160" w:after="40" w:line="240" w:lineRule="auto"/>
      </w:pPr>
      <w:r>
        <w:rPr>
          <w:b/>
        </w:rPr>
        <w:t xml:space="preserve">[476] </w:t>
      </w:r>
      <w:hyperlink r:id="rId1110">
        <w:r>
          <w:rPr>
            <w:color w:val="1155CC"/>
            <w:u w:val="single"/>
          </w:rPr>
          <w:t>[ASAP] 用于生物系统中自旋相关自由基对的时间分辨研究的荧光显微镜平台</w:t>
        </w:r>
      </w:hyperlink>
    </w:p>
    <w:p>
      <w:pPr>
        <w:spacing w:before="0" w:after="80"/>
      </w:pPr>
      <w:r>
        <w:rPr>
          <w:i/>
          <w:sz w:val="20"/>
        </w:rPr>
        <w:t>EN: [ASAP] A Fluorescence Microscopy Platform for Time-Resolved Studies of Spin-Correlated Radical Pairs in Biological Systems</w:t>
      </w:r>
    </w:p>
    <w:p>
      <w:pPr>
        <w:spacing w:before="0" w:after="120"/>
      </w:pPr>
      <w:r>
        <w:rPr>
          <w:b/>
        </w:rPr>
        <w:t xml:space="preserve">Source: </w:t>
      </w:r>
      <w:r>
        <w:t>Journal of the American Chemical Society: Latest Articles (ACS Publications)</w:t>
      </w:r>
      <w:r>
        <w:t xml:space="preserve">    </w:t>
      </w:r>
      <w:r>
        <w:rPr>
          <w:b/>
        </w:rPr>
        <w:t xml:space="preserve">Pub date: </w:t>
      </w:r>
      <w:r>
        <w:t>2026-03-26 13:00:12+00:00</w:t>
      </w:r>
      <w:r>
        <w:t xml:space="preserve">    </w:t>
      </w:r>
      <w:r>
        <w:rPr>
          <w:b/>
        </w:rPr>
        <w:t xml:space="preserve">DOI: </w:t>
      </w:r>
      <w:hyperlink r:id="rId1111">
        <w:r>
          <w:rPr>
            <w:color w:val="1155CC"/>
            <w:u w:val="single"/>
          </w:rPr>
          <w:t>10.1021/jacs.5c21177</w:t>
        </w:r>
      </w:hyperlink>
    </w:p>
    <w:p>
      <w:pPr>
        <w:spacing w:before="0" w:after="120"/>
      </w:pPr>
      <w:r>
        <w:rPr>
          <w:b/>
        </w:rPr>
        <w:t xml:space="preserve">Notes: </w:t>
      </w:r>
      <w:r>
        <w:t>abstract_source=pubmed</w:t>
      </w:r>
    </w:p>
    <w:p>
      <w:pPr>
        <w:spacing w:before="0" w:after="80" w:lineRule="auto" w:line="276"/>
      </w:pPr>
      <w:r>
        <w:rPr>
          <w:b/>
        </w:rPr>
        <w:t xml:space="preserve">摘要（ZH）: </w:t>
      </w:r>
      <w:r>
        <w:t>在生物学中，自旋相关自由基对的重要性日益受到认可，它们在弱磁场的生物效应和新兴的基于量子自旋的生物医学应用中发挥作用。荧光显微镜提供了足够的灵敏度来研究活细胞中自由基对反应的磁场效应，但传统技术无法直接解析其动态，因为大多数生物相关的自由基对是非发光的。此外，荧光信号的磁场响应受到光激发强度的强烈影响，使得跨实验室的解释和可重复性变得困难。为克服这些挑战，我们引入了两种新颖的显微技术：单色泵浦探针（PP）和泵浦场探针（PFP）</w:t>
      </w:r>
    </w:p>
    <w:p>
      <w:pPr>
        <w:spacing w:before="0" w:after="200" w:lineRule="auto" w:line="276"/>
      </w:pPr>
      <w:r>
        <w:rPr>
          <w:b/>
        </w:rPr>
        <w:t xml:space="preserve">Abstract (EN): </w:t>
      </w:r>
      <w:r>
        <w:t>The importance of spin-correlated radical pairs in biology is increasingly recognized, with roles in biological effects of weak magnetic fields and emerging quantum spin-based biomedical applications. Fluorescence microscopy provides sufficient sensitivity to study magnetic field effects on radical pair reactions in living cells, but conventional techniques cannot directly resolve their dynamics because most biologically relevant radical pairs are nonemissive. Additionally, the magnetic field response of the fluorescence signal is strongly influenced by the intensity of photoexcitation, making interpretation and reproducibility across laboratories difficult. To overcome these challenges, we introduce two novel microscopy techniques: single-color pump-probe (PP) and pump-field-probe (PFP) fluorescence. Here, we derive a mathematical framework linking PP and PFP signals to radical-pair kinetics and magnetic-field-dependent spin evolution and validate it through experiments on well-characterized flavin-based magnetic field sensitive photochemistry under cell-like conditions. These measurements demonstrate highly sensitive access to transient intermediates and dark-state kinetics, discriminate spectroscopically silent long-lived intermediates, disentangle multi component radical pair spin effects, and are confirmed by spin dynamics simulations. These approaches offer a sensitive and broadly applicable platform for quantifying and visualizing the quantum spin dynamics of radical pair reactions in biological systems.</w:t>
      </w:r>
    </w:p>
    <w:p>
      <w:pPr>
        <w:spacing w:before="120" w:after="120"/>
      </w:pPr>
      <w:r>
        <w:rPr>
          <w:sz w:val="18"/>
        </w:rPr>
        <w:t>——————————————————————————————————————————————————————————————————————</w:t>
      </w:r>
    </w:p>
    <w:p>
      <w:pPr>
        <w:spacing w:before="160" w:after="40" w:line="240" w:lineRule="auto"/>
      </w:pPr>
      <w:r>
        <w:rPr>
          <w:b/>
        </w:rPr>
        <w:t xml:space="preserve">[477] </w:t>
      </w:r>
      <w:hyperlink r:id="rId1112">
        <w:r>
          <w:rPr>
            <w:color w:val="1155CC"/>
            <w:u w:val="single"/>
          </w:rPr>
          <w:t>[ASAP] 高水稳定性铀酰基团簇金属有机框架用于热适应性闪烁体</w:t>
        </w:r>
      </w:hyperlink>
    </w:p>
    <w:p>
      <w:pPr>
        <w:spacing w:before="0" w:after="80"/>
      </w:pPr>
      <w:r>
        <w:rPr>
          <w:i/>
          <w:sz w:val="20"/>
        </w:rPr>
        <w:t>EN: [ASAP] Highly Water-Stable Uranyl-Cluster Based Metal–Organic Framework for Thermal Adaptive Scintillator</w:t>
      </w:r>
    </w:p>
    <w:p>
      <w:pPr>
        <w:spacing w:before="0" w:after="120"/>
      </w:pPr>
      <w:r>
        <w:rPr>
          <w:b/>
        </w:rPr>
        <w:t xml:space="preserve">Source: </w:t>
      </w:r>
      <w:r>
        <w:t>Journal of the American Chemical Society: Latest Articles (ACS Publications)</w:t>
      </w:r>
      <w:r>
        <w:t xml:space="preserve">    </w:t>
      </w:r>
      <w:r>
        <w:rPr>
          <w:b/>
        </w:rPr>
        <w:t xml:space="preserve">Pub date: </w:t>
      </w:r>
      <w:r>
        <w:t>2026-03-26 13:01:02+00:00</w:t>
      </w:r>
      <w:r>
        <w:t xml:space="preserve">    </w:t>
      </w:r>
      <w:r>
        <w:rPr>
          <w:b/>
        </w:rPr>
        <w:t xml:space="preserve">DOI: </w:t>
      </w:r>
      <w:hyperlink r:id="rId1113">
        <w:r>
          <w:rPr>
            <w:color w:val="1155CC"/>
            <w:u w:val="single"/>
          </w:rPr>
          <w:t>10.1021/jacs.5c22949</w:t>
        </w:r>
      </w:hyperlink>
    </w:p>
    <w:p>
      <w:pPr>
        <w:spacing w:before="0" w:after="120"/>
      </w:pPr>
      <w:r>
        <w:rPr>
          <w:b/>
        </w:rPr>
        <w:t xml:space="preserve">Notes: </w:t>
      </w:r>
      <w:r>
        <w:t>abstract_source=pubmed</w:t>
      </w:r>
    </w:p>
    <w:p>
      <w:pPr>
        <w:spacing w:before="0" w:after="80" w:lineRule="auto" w:line="276"/>
      </w:pPr>
      <w:r>
        <w:rPr>
          <w:b/>
        </w:rPr>
        <w:t xml:space="preserve">摘要（ZH）: </w:t>
      </w:r>
      <w:r>
        <w:t>近年来，基于铀的金属有机框架（MOFs）因其可访问的5f轨道和U原子的多样配位几何结构，以及MOFs固有的可调性和功能性而受到特别关注。在此，我们报告了一种二维MOF（UO-TTP），其特征是四核铀酰簇结构和独特的热适应性闪烁特性。UO-TTP表现出宽吸收带，并可以通过多种途径激发，从X射线到单/双光子激发。在室温下，UO-TTP表现出以550 nm为中心的连续发射峰，源自具有混合CT特征的激发三重态，具有约20 ms的长衰减寿命。然而，在低温下，发射光谱分裂为指状峰，寿命</w:t>
      </w:r>
    </w:p>
    <w:p>
      <w:pPr>
        <w:spacing w:before="0" w:after="200" w:lineRule="auto" w:line="276"/>
      </w:pPr>
      <w:r>
        <w:rPr>
          <w:b/>
        </w:rPr>
        <w:t xml:space="preserve">Abstract (EN): </w:t>
      </w:r>
      <w:r>
        <w:t>In recent years, uranium-based metal-organic frameworks (MOFs) have garnered particular attention due to the accessible 5f orbitals and diverse coordination geometries of the U atom, as well as the tunability and functionality inherent to MOFs. Herein, we report a 2D-MOF (UO-TTP) featuring a tetranuclear uranyl cluster structure and unique thermal adaptive scintillating characters. UO-TTP exhibits a broad absorption band and can be excited through multiple pathways, from X-ray to one/two-photon excitation. At room temperature, UO-TTP exhibits a continuous emission peak centered at 550 nm, originating from the excited triplet states with hybrid CT characteristics and a long decay lifetime of ∼20 ms. However, at low temperatures, the emission spectra split into finger-type peaks, with lifetimes unexpectedly shortened to microsecond level. This thermal adaptive emission switch was also detected by X-ray excited luminescence (XEL) for the first time. Moreover, UO-TTP shows outstanding stability, with no significant weakening of its luminescence even after soaked in water, and manifests itself as a qualified scintillator in terms of linear response, detection limit, and stability. Based on the excellent optical properties of UO-TTP, we innovatively explored the application of this uranium-organic framework (UOF) in temperature-time dual-correlated information encryption and X-ray imaging under hot water conditions. This work not only reveals the uniqueness and advantages of luminescent UOFs, but also paves the way for in-depth research into actinide chemistry.</w:t>
      </w:r>
    </w:p>
    <w:p>
      <w:pPr>
        <w:spacing w:before="120" w:after="120"/>
      </w:pPr>
      <w:r>
        <w:rPr>
          <w:sz w:val="18"/>
        </w:rPr>
        <w:t>——————————————————————————————————————————————————————————————————————</w:t>
      </w:r>
    </w:p>
    <w:p>
      <w:pPr>
        <w:spacing w:before="160" w:after="40" w:line="240" w:lineRule="auto"/>
      </w:pPr>
      <w:r>
        <w:rPr>
          <w:b/>
        </w:rPr>
        <w:t xml:space="preserve">[478] </w:t>
      </w:r>
      <w:hyperlink r:id="rId1114">
        <w:r>
          <w:rPr>
            <w:color w:val="1155CC"/>
            <w:u w:val="single"/>
          </w:rPr>
          <w:t>[ASAP] 探索环阿塔烷阳离子的景观：合成Fortunefuroic Acid I, Parkeol, 25,26,27-Trinor-3α-hydroxy-17,13-friedolanosta-8,12-dien-23-one和Spirochensilide A</w:t>
        </w:r>
      </w:hyperlink>
    </w:p>
    <w:p>
      <w:pPr>
        <w:spacing w:before="0" w:after="80"/>
      </w:pPr>
      <w:r>
        <w:rPr>
          <w:i/>
          <w:sz w:val="20"/>
        </w:rPr>
        <w:t>EN: [ASAP] Navigating the Landscape of Cycloartanyl Cations: Synthesis of Fortunefuroic Acid I, Parkeol, 25,26,27-Trinor-3α-hydroxy-17,13-friedolanosta-8,12-dien-23-one, and Spirochensilide A</w:t>
      </w:r>
    </w:p>
    <w:p>
      <w:pPr>
        <w:spacing w:before="0" w:after="120"/>
      </w:pPr>
      <w:r>
        <w:rPr>
          <w:b/>
        </w:rPr>
        <w:t xml:space="preserve">Source: </w:t>
      </w:r>
      <w:r>
        <w:t>Journal of the American Chemical Society: Latest Articles (ACS Publications)</w:t>
      </w:r>
      <w:r>
        <w:t xml:space="preserve">    </w:t>
      </w:r>
      <w:r>
        <w:rPr>
          <w:b/>
        </w:rPr>
        <w:t xml:space="preserve">Pub date: </w:t>
      </w:r>
      <w:r>
        <w:t>2026-03-26 13:02:02+00:00</w:t>
      </w:r>
      <w:r>
        <w:t xml:space="preserve">    </w:t>
      </w:r>
      <w:r>
        <w:rPr>
          <w:b/>
        </w:rPr>
        <w:t xml:space="preserve">DOI: </w:t>
      </w:r>
      <w:hyperlink r:id="rId1115">
        <w:r>
          <w:rPr>
            <w:color w:val="1155CC"/>
            <w:u w:val="single"/>
          </w:rPr>
          <w:t>10.1021/jacs.5c22292</w:t>
        </w:r>
      </w:hyperlink>
    </w:p>
    <w:p>
      <w:pPr>
        <w:spacing w:before="0" w:after="120"/>
      </w:pPr>
      <w:r>
        <w:rPr>
          <w:b/>
        </w:rPr>
        <w:t xml:space="preserve">Notes: </w:t>
      </w:r>
      <w:r>
        <w:t>abstract_source=pubmed</w:t>
      </w:r>
    </w:p>
    <w:p>
      <w:pPr>
        <w:spacing w:before="0" w:after="80" w:lineRule="auto" w:line="276"/>
      </w:pPr>
      <w:r>
        <w:rPr>
          <w:b/>
        </w:rPr>
        <w:t xml:space="preserve">摘要（ZH）: </w:t>
      </w:r>
      <w:r>
        <w:t>对于植物来源的三萜类天然产物的半合成，获得环阿尔特醇或其衍生物是必需的。我们在此描述了一种从可再生原料γ-谷维素中获得的稳健方法，并通过可区分的反应性进行分离。通过使用自由基-极性交叉或极性激活模式，我们选择性地获得不同的碳正离子并阐明其在重排中的命运。结果是，报告了一种化学工具箱，用于模块化和逐步骨架重排，以获得与母体环阿尔特烷逐渐分化的天然产物。使用此工具箱，选择性地获得并通过短途径转化为植物代谢物的帕克醇-、17,13-弗里多环阿尔特烷-、17,13-弗里多帕克醇-以及17,13-和17,14-弗里多兰斯坦系统</w:t>
      </w:r>
    </w:p>
    <w:p>
      <w:pPr>
        <w:spacing w:before="0" w:after="200" w:lineRule="auto" w:line="276"/>
      </w:pPr>
      <w:r>
        <w:rPr>
          <w:b/>
        </w:rPr>
        <w:t xml:space="preserve">Abstract (EN): </w:t>
      </w:r>
      <w:r>
        <w:t>For the semisynthesis of plant-derived triterpenoid natural products, access to cycloartenol or a derivative is mandatory. We here describe a robust access from the renewable feedstock γ-oryzanol and isolation by differentiable reactivity. Using either radical-polar crossover or polar modes of activation, we then selectively access different carbenium ions and elucidate their fate in rearrangements. As a result, a chemical toolbox for the modular and stepwise skeletal rearrangement to access natural products with increasing levels of divergence from the parent cycloartane is reported. Using this toolbox, parkeol-, 17,13-friedocycloartane-, 17,13-friedoparkeol-, as well as 17,13- and 17,14-friedolanostane systems are selectively obtained and transformed via short routes to the plant metabolites parkeol (3), fortunefuroic acid I (4), 25,26,27-trinor-3α-hydroxy-17,13-friedolanosta-8,12-dien-23-one ("sibiricanone", 5), and spirochensilide A (6). Probing the innate reactivity of cycloartanyl cations and corroborating the experimental results with DFT calculations sheds light on the potential biogenesis of these and related plant metabolites and, thus, can account for the occurrence of 17,14-friedolanostanes in plants.</w:t>
      </w:r>
    </w:p>
    <w:p>
      <w:pPr>
        <w:spacing w:before="120" w:after="120"/>
      </w:pPr>
      <w:r>
        <w:rPr>
          <w:sz w:val="18"/>
        </w:rPr>
        <w:t>——————————————————————————————————————————————————————————————————————</w:t>
      </w:r>
    </w:p>
    <w:p>
      <w:pPr>
        <w:spacing w:before="160" w:after="40" w:line="240" w:lineRule="auto"/>
      </w:pPr>
      <w:r>
        <w:rPr>
          <w:b/>
        </w:rPr>
        <w:t xml:space="preserve">[479] </w:t>
      </w:r>
      <w:hyperlink r:id="rId1116">
        <w:r>
          <w:rPr>
            <w:color w:val="1155CC"/>
            <w:u w:val="single"/>
          </w:rPr>
          <w:t>[ASAP] 用于选择性氢化硝基芳烃的非均相锰催化剂</w:t>
        </w:r>
      </w:hyperlink>
    </w:p>
    <w:p>
      <w:pPr>
        <w:spacing w:before="0" w:after="80"/>
      </w:pPr>
      <w:r>
        <w:rPr>
          <w:i/>
          <w:sz w:val="20"/>
        </w:rPr>
        <w:t>EN: [ASAP] A Heterogeneous Manganese Catalyst for the Selective Hydrogenation of Nitroarenes</w:t>
      </w:r>
    </w:p>
    <w:p>
      <w:pPr>
        <w:spacing w:before="0" w:after="120"/>
      </w:pPr>
      <w:r>
        <w:rPr>
          <w:b/>
        </w:rPr>
        <w:t xml:space="preserve">Source: </w:t>
      </w:r>
      <w:r>
        <w:t>Journal of the American Chemical Society: Latest Articles (ACS Publications)</w:t>
      </w:r>
      <w:r>
        <w:t xml:space="preserve">    </w:t>
      </w:r>
      <w:r>
        <w:rPr>
          <w:b/>
        </w:rPr>
        <w:t xml:space="preserve">Pub date: </w:t>
      </w:r>
      <w:r>
        <w:t>2026-03-26 19:20:40+00:00</w:t>
      </w:r>
      <w:r>
        <w:t xml:space="preserve">    </w:t>
      </w:r>
      <w:r>
        <w:rPr>
          <w:b/>
        </w:rPr>
        <w:t xml:space="preserve">DOI: </w:t>
      </w:r>
      <w:hyperlink r:id="rId1117">
        <w:r>
          <w:rPr>
            <w:color w:val="1155CC"/>
            <w:u w:val="single"/>
          </w:rPr>
          <w:t>10.1021/jacs.5c19788</w:t>
        </w:r>
      </w:hyperlink>
    </w:p>
    <w:p>
      <w:pPr>
        <w:spacing w:before="0" w:after="120"/>
      </w:pPr>
      <w:r>
        <w:rPr>
          <w:b/>
        </w:rPr>
        <w:t xml:space="preserve">Notes: </w:t>
      </w:r>
      <w:r>
        <w:t>abstract_source=pubmed</w:t>
      </w:r>
    </w:p>
    <w:p>
      <w:pPr>
        <w:spacing w:before="0" w:after="80" w:lineRule="auto" w:line="276"/>
      </w:pPr>
      <w:r>
        <w:rPr>
          <w:b/>
        </w:rPr>
        <w:t xml:space="preserve">摘要（ZH）: </w:t>
      </w:r>
      <w:r>
        <w:t>硝基芳烃的催化加氢是有机化学中的基本过程，允许高效和清洁地合成有价值的胺。最近，地球丰富的金属在这一领域引起了相当大的兴趣。令人惊讶的是，尽管在多相催化方面已有一个多世纪的发展，在本研究中，我们首次描述了一种特定的基于锰的单原子催化剂，该催化剂允许选择性加氢各种硝基芳烃。相应的胺以高选择性获得，特别是对于硝基苯乙烯。在加氢过程中，发现添加H2O可以促进Mn1-N-C/Al2O3的活性。机理控制实验表明，氢的异裂活化可能是一个促成因素。</w:t>
      </w:r>
    </w:p>
    <w:p>
      <w:pPr>
        <w:spacing w:before="0" w:after="200" w:lineRule="auto" w:line="276"/>
      </w:pPr>
      <w:r>
        <w:rPr>
          <w:b/>
        </w:rPr>
        <w:t xml:space="preserve">Abstract (EN): </w:t>
      </w:r>
      <w:r>
        <w:t>Catalytic hydrogenations of nitroarenes are fundamental processes in organic chemistry, allowing for atom-efficient and clean synthesis of valuable amines. Recently, earth-abundant metals have attracted considerable interest in this field. Surprisingly, despite more than a century of developments in heterogeneous catalysis, in the present study, we describe for the first time a specific manganese-based single-atom catalyst that allows the selective hydrogenation of various nitroarenes. The corresponding amines were obtained with a high selectivity, especially for nitrostyrene. In the hydrogenation process, the addition of H2O was found to promote the activity of Mn1-N-C/Al2O3. Mechanistic control experiments indicated that the heterolytic activation of hydrogen may be a contributing factor. This work provides an effective approach for the design of completely new Mn-based heterogeneous hydrogenation catalysts.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dvanced.onlinelibrary.wiley.com/doi/10.1002/adma.202518393?af=R" TargetMode="External"/><Relationship Id="rId10" Type="http://schemas.openxmlformats.org/officeDocument/2006/relationships/hyperlink" Target="https://doi.org/10.1002/adma.202518393" TargetMode="External"/><Relationship Id="rId11" Type="http://schemas.openxmlformats.org/officeDocument/2006/relationships/hyperlink" Target="http://dx.doi.org/10.1021/jacs.6c00205" TargetMode="External"/><Relationship Id="rId12" Type="http://schemas.openxmlformats.org/officeDocument/2006/relationships/hyperlink" Target="https://doi.org/10.1021/jacs.6c00205" TargetMode="External"/><Relationship Id="rId13" Type="http://schemas.openxmlformats.org/officeDocument/2006/relationships/hyperlink" Target="https://www.sciencedirect.com/science/article/pii/S0306261926003375?dgcid=rss_sd_all" TargetMode="External"/><Relationship Id="rId14" Type="http://schemas.openxmlformats.org/officeDocument/2006/relationships/hyperlink" Target="https://www.nature.com/articles/s41563-026-02541-6" TargetMode="External"/><Relationship Id="rId15" Type="http://schemas.openxmlformats.org/officeDocument/2006/relationships/hyperlink" Target="https://doi.org/10.1038/s41563-026-02541-6" TargetMode="External"/><Relationship Id="rId16" Type="http://schemas.openxmlformats.org/officeDocument/2006/relationships/hyperlink" Target="https://www.nature.com/articles/s41893-026-01792-0" TargetMode="External"/><Relationship Id="rId17" Type="http://schemas.openxmlformats.org/officeDocument/2006/relationships/hyperlink" Target="https://doi.org/10.1038/s41893-026-01792-0" TargetMode="External"/><Relationship Id="rId18" Type="http://schemas.openxmlformats.org/officeDocument/2006/relationships/hyperlink" Target="https://www.nature.com/articles/s41560-026-02011-y" TargetMode="External"/><Relationship Id="rId19" Type="http://schemas.openxmlformats.org/officeDocument/2006/relationships/hyperlink" Target="https://doi.org/10.1038/s41560-026-02011-y" TargetMode="External"/><Relationship Id="rId20" Type="http://schemas.openxmlformats.org/officeDocument/2006/relationships/hyperlink" Target="http://dx.doi.org/10.1021/acsenergylett.6c00075" TargetMode="External"/><Relationship Id="rId21" Type="http://schemas.openxmlformats.org/officeDocument/2006/relationships/hyperlink" Target="https://doi.org/10.1021/acsenergylett.6c00075" TargetMode="External"/><Relationship Id="rId22" Type="http://schemas.openxmlformats.org/officeDocument/2006/relationships/hyperlink" Target="https://advanced.onlinelibrary.wiley.com/doi/10.1002/adma.202523640?af=R" TargetMode="External"/><Relationship Id="rId23" Type="http://schemas.openxmlformats.org/officeDocument/2006/relationships/hyperlink" Target="https://doi.org/10.1002/adma.202523640" TargetMode="External"/><Relationship Id="rId24" Type="http://schemas.openxmlformats.org/officeDocument/2006/relationships/hyperlink" Target="https://www.cell.com/joule/fulltext/S2542-4351(26)00075-9?rss=yes" TargetMode="External"/><Relationship Id="rId25" Type="http://schemas.openxmlformats.org/officeDocument/2006/relationships/hyperlink" Target="https://doi.org/10.1016/j.joule.2026.102391" TargetMode="External"/><Relationship Id="rId26" Type="http://schemas.openxmlformats.org/officeDocument/2006/relationships/hyperlink" Target="https://onlinelibrary.wiley.com/doi/10.1002/anie.7703450?af=R" TargetMode="External"/><Relationship Id="rId27" Type="http://schemas.openxmlformats.org/officeDocument/2006/relationships/hyperlink" Target="https://doi.org/10.1002/anie.7703450" TargetMode="External"/><Relationship Id="rId28" Type="http://schemas.openxmlformats.org/officeDocument/2006/relationships/hyperlink" Target="https://www.pnas.org/doi/abs/10.1073/pnas.2534717123?mi=eymic2&amp;af=R&amp;access=on&amp;content=articlesChapters&amp;publication=pnas&amp;sortBy=Earliest&amp;target=default" TargetMode="External"/><Relationship Id="rId29" Type="http://schemas.openxmlformats.org/officeDocument/2006/relationships/hyperlink" Target="https://doi.org/10.1073/pnas.2534717123" TargetMode="External"/><Relationship Id="rId30" Type="http://schemas.openxmlformats.org/officeDocument/2006/relationships/hyperlink" Target="http://dx.doi.org/10.1021/acsenergylett.5c04261" TargetMode="External"/><Relationship Id="rId31" Type="http://schemas.openxmlformats.org/officeDocument/2006/relationships/hyperlink" Target="https://doi.org/10.1021/acsenergylett.5c04261" TargetMode="External"/><Relationship Id="rId32" Type="http://schemas.openxmlformats.org/officeDocument/2006/relationships/hyperlink" Target="https://www.nature.com/articles/s41560-026-02027-4" TargetMode="External"/><Relationship Id="rId33" Type="http://schemas.openxmlformats.org/officeDocument/2006/relationships/hyperlink" Target="https://doi.org/10.1038/s41560-026-02027-4" TargetMode="External"/><Relationship Id="rId34" Type="http://schemas.openxmlformats.org/officeDocument/2006/relationships/hyperlink" Target="https://www.nature.com/articles/s41560-026-02041-6" TargetMode="External"/><Relationship Id="rId35" Type="http://schemas.openxmlformats.org/officeDocument/2006/relationships/hyperlink" Target="https://doi.org/10.1038/s41560-026-02041-6" TargetMode="External"/><Relationship Id="rId36" Type="http://schemas.openxmlformats.org/officeDocument/2006/relationships/hyperlink" Target="https://advanced.onlinelibrary.wiley.com/doi/10.1002/aenm.70765?af=R" TargetMode="External"/><Relationship Id="rId37" Type="http://schemas.openxmlformats.org/officeDocument/2006/relationships/hyperlink" Target="https://doi.org/10.1002/aenm.70765" TargetMode="External"/><Relationship Id="rId38" Type="http://schemas.openxmlformats.org/officeDocument/2006/relationships/hyperlink" Target="http://dx.doi.org/10.1021/jacs.6c00044" TargetMode="External"/><Relationship Id="rId39" Type="http://schemas.openxmlformats.org/officeDocument/2006/relationships/hyperlink" Target="https://doi.org/10.1021/jacs.6c00044" TargetMode="External"/><Relationship Id="rId40" Type="http://schemas.openxmlformats.org/officeDocument/2006/relationships/hyperlink" Target="https://www.cell.com/joule/fulltext/S2542-4351(26)00063-2?rss=yes" TargetMode="External"/><Relationship Id="rId41" Type="http://schemas.openxmlformats.org/officeDocument/2006/relationships/hyperlink" Target="https://doi.org/10.1016/j.joule.2026.102379" TargetMode="External"/><Relationship Id="rId42" Type="http://schemas.openxmlformats.org/officeDocument/2006/relationships/hyperlink" Target="https://onlinelibrary.wiley.com/doi/10.1002/anie.5296449?af=R" TargetMode="External"/><Relationship Id="rId43" Type="http://schemas.openxmlformats.org/officeDocument/2006/relationships/hyperlink" Target="https://doi.org/10.1002/anie.5296449" TargetMode="External"/><Relationship Id="rId44" Type="http://schemas.openxmlformats.org/officeDocument/2006/relationships/hyperlink" Target="http://dx.doi.org/10.1021/jacs.6c01719" TargetMode="External"/><Relationship Id="rId45" Type="http://schemas.openxmlformats.org/officeDocument/2006/relationships/hyperlink" Target="https://doi.org/10.1021/jacs.6c01719" TargetMode="External"/><Relationship Id="rId46" Type="http://schemas.openxmlformats.org/officeDocument/2006/relationships/hyperlink" Target="http://dx.doi.org/10.1021/acsenergylett.6c00236" TargetMode="External"/><Relationship Id="rId47" Type="http://schemas.openxmlformats.org/officeDocument/2006/relationships/hyperlink" Target="https://doi.org/10.1021/acsenergylett.6c00236" TargetMode="External"/><Relationship Id="rId48" Type="http://schemas.openxmlformats.org/officeDocument/2006/relationships/hyperlink" Target="https://advanced.onlinelibrary.wiley.com/doi/10.1002/adma.72860?af=R" TargetMode="External"/><Relationship Id="rId49" Type="http://schemas.openxmlformats.org/officeDocument/2006/relationships/hyperlink" Target="https://doi.org/10.1002/adma.72860" TargetMode="External"/><Relationship Id="rId50" Type="http://schemas.openxmlformats.org/officeDocument/2006/relationships/hyperlink" Target="https://advanced.onlinelibrary.wiley.com/doi/10.1002/aenm.70864?af=R" TargetMode="External"/><Relationship Id="rId51" Type="http://schemas.openxmlformats.org/officeDocument/2006/relationships/hyperlink" Target="https://doi.org/10.1002/aenm.70864" TargetMode="External"/><Relationship Id="rId52" Type="http://schemas.openxmlformats.org/officeDocument/2006/relationships/hyperlink" Target="https://advanced.onlinelibrary.wiley.com/doi/10.1002/aenm.70862?af=R" TargetMode="External"/><Relationship Id="rId53" Type="http://schemas.openxmlformats.org/officeDocument/2006/relationships/hyperlink" Target="https://doi.org/10.1002/aenm.70862" TargetMode="External"/><Relationship Id="rId54" Type="http://schemas.openxmlformats.org/officeDocument/2006/relationships/hyperlink" Target="http://dx.doi.org/10.1021/jacs.6c03092" TargetMode="External"/><Relationship Id="rId55" Type="http://schemas.openxmlformats.org/officeDocument/2006/relationships/hyperlink" Target="https://doi.org/10.1021/jacs.6c03092" TargetMode="External"/><Relationship Id="rId56" Type="http://schemas.openxmlformats.org/officeDocument/2006/relationships/hyperlink" Target="https://advanced.onlinelibrary.wiley.com/doi/10.1002/adma.202508780?af=R" TargetMode="External"/><Relationship Id="rId57" Type="http://schemas.openxmlformats.org/officeDocument/2006/relationships/hyperlink" Target="https://doi.org/10.1002/adma.202508780" TargetMode="External"/><Relationship Id="rId58" Type="http://schemas.openxmlformats.org/officeDocument/2006/relationships/hyperlink" Target="https://advanced.onlinelibrary.wiley.com/doi/10.1002/adma.72906?af=R" TargetMode="External"/><Relationship Id="rId59" Type="http://schemas.openxmlformats.org/officeDocument/2006/relationships/hyperlink" Target="https://doi.org/10.1002/adma.72906" TargetMode="External"/><Relationship Id="rId60" Type="http://schemas.openxmlformats.org/officeDocument/2006/relationships/hyperlink" Target="http://dx.doi.org/10.1021/acsenergylett.6c00132" TargetMode="External"/><Relationship Id="rId61" Type="http://schemas.openxmlformats.org/officeDocument/2006/relationships/hyperlink" Target="https://doi.org/10.1021/acsenergylett.6c00132" TargetMode="External"/><Relationship Id="rId62" Type="http://schemas.openxmlformats.org/officeDocument/2006/relationships/hyperlink" Target="https://onlinelibrary.wiley.com/doi/10.1002/anie.8818196?af=R" TargetMode="External"/><Relationship Id="rId63" Type="http://schemas.openxmlformats.org/officeDocument/2006/relationships/hyperlink" Target="https://doi.org/10.1002/anie.8818196" TargetMode="External"/><Relationship Id="rId64" Type="http://schemas.openxmlformats.org/officeDocument/2006/relationships/hyperlink" Target="https://advanced.onlinelibrary.wiley.com/doi/10.1002/aenm.70869?af=R" TargetMode="External"/><Relationship Id="rId65" Type="http://schemas.openxmlformats.org/officeDocument/2006/relationships/hyperlink" Target="https://doi.org/10.1002/aenm.70869" TargetMode="External"/><Relationship Id="rId66" Type="http://schemas.openxmlformats.org/officeDocument/2006/relationships/hyperlink" Target="https://advanced.onlinelibrary.wiley.com/doi/10.1002/adma.202520465?af=R" TargetMode="External"/><Relationship Id="rId67" Type="http://schemas.openxmlformats.org/officeDocument/2006/relationships/hyperlink" Target="https://doi.org/10.1002/adma.202520465" TargetMode="External"/><Relationship Id="rId68" Type="http://schemas.openxmlformats.org/officeDocument/2006/relationships/hyperlink" Target="https://advanced.onlinelibrary.wiley.com/doi/10.1002/aenm.70868?af=R" TargetMode="External"/><Relationship Id="rId69" Type="http://schemas.openxmlformats.org/officeDocument/2006/relationships/hyperlink" Target="https://doi.org/10.1002/aenm.70868" TargetMode="External"/><Relationship Id="rId70" Type="http://schemas.openxmlformats.org/officeDocument/2006/relationships/hyperlink" Target="http://dx.doi.org/10.1021/acsenergylett.5c03652" TargetMode="External"/><Relationship Id="rId71" Type="http://schemas.openxmlformats.org/officeDocument/2006/relationships/hyperlink" Target="https://doi.org/10.1021/acsenergylett.5c03652" TargetMode="External"/><Relationship Id="rId72" Type="http://schemas.openxmlformats.org/officeDocument/2006/relationships/hyperlink" Target="https://www.sciencedirect.com/science/article/pii/S0306261926004010?dgcid=rss_sd_all" TargetMode="External"/><Relationship Id="rId73" Type="http://schemas.openxmlformats.org/officeDocument/2006/relationships/hyperlink" Target="https://advanced.onlinelibrary.wiley.com/doi/10.1002/adma.202523361?af=R" TargetMode="External"/><Relationship Id="rId74" Type="http://schemas.openxmlformats.org/officeDocument/2006/relationships/hyperlink" Target="https://doi.org/10.1002/adma.202523361" TargetMode="External"/><Relationship Id="rId75" Type="http://schemas.openxmlformats.org/officeDocument/2006/relationships/hyperlink" Target="http://pubs.rsc.org/en/Content/ArticleLanding/2026/EE/D5EE06846K" TargetMode="External"/><Relationship Id="rId76" Type="http://schemas.openxmlformats.org/officeDocument/2006/relationships/hyperlink" Target="https://advanced.onlinelibrary.wiley.com/doi/10.1002/aenm.202506774?af=R" TargetMode="External"/><Relationship Id="rId77" Type="http://schemas.openxmlformats.org/officeDocument/2006/relationships/hyperlink" Target="https://doi.org/10.1002/aenm.202506774" TargetMode="External"/><Relationship Id="rId78" Type="http://schemas.openxmlformats.org/officeDocument/2006/relationships/hyperlink" Target="https://www.sciencedirect.com/science/article/pii/S0306261926003417?dgcid=rss_sd_all" TargetMode="External"/><Relationship Id="rId79" Type="http://schemas.openxmlformats.org/officeDocument/2006/relationships/hyperlink" Target="https://www.cell.com/matter/fulltext/S2590-2385(26)00062-7?rss=yes" TargetMode="External"/><Relationship Id="rId80" Type="http://schemas.openxmlformats.org/officeDocument/2006/relationships/hyperlink" Target="https://doi.org/10.1016/j.matt.2026.102699" TargetMode="External"/><Relationship Id="rId81" Type="http://schemas.openxmlformats.org/officeDocument/2006/relationships/hyperlink" Target="https://advanced.onlinelibrary.wiley.com/doi/10.1002/adma.72848?af=R" TargetMode="External"/><Relationship Id="rId82" Type="http://schemas.openxmlformats.org/officeDocument/2006/relationships/hyperlink" Target="https://doi.org/10.1002/adma.72848" TargetMode="External"/><Relationship Id="rId83" Type="http://schemas.openxmlformats.org/officeDocument/2006/relationships/hyperlink" Target="https://advanced.onlinelibrary.wiley.com/doi/10.1002/aenm.202506780?af=R" TargetMode="External"/><Relationship Id="rId84" Type="http://schemas.openxmlformats.org/officeDocument/2006/relationships/hyperlink" Target="https://doi.org/10.1002/aenm.202506780" TargetMode="External"/><Relationship Id="rId85" Type="http://schemas.openxmlformats.org/officeDocument/2006/relationships/hyperlink" Target="https://advanced.onlinelibrary.wiley.com/doi/10.1002/aenm.202505635?af=R" TargetMode="External"/><Relationship Id="rId86" Type="http://schemas.openxmlformats.org/officeDocument/2006/relationships/hyperlink" Target="https://doi.org/10.1002/aenm.202505635" TargetMode="External"/><Relationship Id="rId87" Type="http://schemas.openxmlformats.org/officeDocument/2006/relationships/hyperlink" Target="https://onlinelibrary.wiley.com/doi/10.1002/anie.9686588?af=R" TargetMode="External"/><Relationship Id="rId88" Type="http://schemas.openxmlformats.org/officeDocument/2006/relationships/hyperlink" Target="https://doi.org/10.1002/anie.9686588" TargetMode="External"/><Relationship Id="rId89" Type="http://schemas.openxmlformats.org/officeDocument/2006/relationships/hyperlink" Target="https://advanced.onlinelibrary.wiley.com/doi/10.1002/aenm.70866?af=R" TargetMode="External"/><Relationship Id="rId90" Type="http://schemas.openxmlformats.org/officeDocument/2006/relationships/hyperlink" Target="https://doi.org/10.1002/aenm.70866" TargetMode="External"/><Relationship Id="rId91" Type="http://schemas.openxmlformats.org/officeDocument/2006/relationships/hyperlink" Target="https://advanced.onlinelibrary.wiley.com/doi/10.1002/adma.72888?af=R" TargetMode="External"/><Relationship Id="rId92" Type="http://schemas.openxmlformats.org/officeDocument/2006/relationships/hyperlink" Target="https://doi.org/10.1002/adma.72888" TargetMode="External"/><Relationship Id="rId93" Type="http://schemas.openxmlformats.org/officeDocument/2006/relationships/hyperlink" Target="https://advanced.onlinelibrary.wiley.com/doi/10.1002/adma.72904?af=R" TargetMode="External"/><Relationship Id="rId94" Type="http://schemas.openxmlformats.org/officeDocument/2006/relationships/hyperlink" Target="https://doi.org/10.1002/adma.72904" TargetMode="External"/><Relationship Id="rId95" Type="http://schemas.openxmlformats.org/officeDocument/2006/relationships/hyperlink" Target="https://academic.oup.com/nsr/advance-article/doi/10.1093/nsr/nwag187/8540294?rss=1" TargetMode="External"/><Relationship Id="rId96" Type="http://schemas.openxmlformats.org/officeDocument/2006/relationships/hyperlink" Target="https://doi.org/10.1093/nsr/nwag187" TargetMode="External"/><Relationship Id="rId97" Type="http://schemas.openxmlformats.org/officeDocument/2006/relationships/hyperlink" Target="http://pubs.rsc.org/en/Content/ArticleLanding/2026/EE/D6EE00760K" TargetMode="External"/><Relationship Id="rId98" Type="http://schemas.openxmlformats.org/officeDocument/2006/relationships/hyperlink" Target="https://www.cell.com/joule/fulltext/S2542-4351(26)00039-5?rss=yes" TargetMode="External"/><Relationship Id="rId99" Type="http://schemas.openxmlformats.org/officeDocument/2006/relationships/hyperlink" Target="https://doi.org/10.1016/j.joule.2026.102355" TargetMode="External"/><Relationship Id="rId100" Type="http://schemas.openxmlformats.org/officeDocument/2006/relationships/hyperlink" Target="https://www.cell.com/joule/fulltext/S2542-4351(26)00040-1?rss=yes" TargetMode="External"/><Relationship Id="rId101" Type="http://schemas.openxmlformats.org/officeDocument/2006/relationships/hyperlink" Target="https://doi.org/10.1016/j.joule.2026.102356" TargetMode="External"/><Relationship Id="rId102" Type="http://schemas.openxmlformats.org/officeDocument/2006/relationships/hyperlink" Target="https://advanced.onlinelibrary.wiley.com/doi/10.1002/aenm.70861?af=R" TargetMode="External"/><Relationship Id="rId103" Type="http://schemas.openxmlformats.org/officeDocument/2006/relationships/hyperlink" Target="https://doi.org/10.1002/aenm.70861" TargetMode="External"/><Relationship Id="rId104" Type="http://schemas.openxmlformats.org/officeDocument/2006/relationships/hyperlink" Target="http://dx.doi.org/10.1021/acsenergylett.6c00462" TargetMode="External"/><Relationship Id="rId105" Type="http://schemas.openxmlformats.org/officeDocument/2006/relationships/hyperlink" Target="https://doi.org/10.1021/acsenergylett.6c00462" TargetMode="External"/><Relationship Id="rId106" Type="http://schemas.openxmlformats.org/officeDocument/2006/relationships/hyperlink" Target="https://www.nature.com/articles/s41586-026-10279-z" TargetMode="External"/><Relationship Id="rId107" Type="http://schemas.openxmlformats.org/officeDocument/2006/relationships/hyperlink" Target="https://doi.org/10.1038/s41586-026-10279-z" TargetMode="External"/><Relationship Id="rId108" Type="http://schemas.openxmlformats.org/officeDocument/2006/relationships/hyperlink" Target="https://www.cell.com/joule/fulltext/S2542-4351(26)00038-3?rss=yes" TargetMode="External"/><Relationship Id="rId109" Type="http://schemas.openxmlformats.org/officeDocument/2006/relationships/hyperlink" Target="https://doi.org/10.1016/j.joule.2026.102354" TargetMode="External"/><Relationship Id="rId110" Type="http://schemas.openxmlformats.org/officeDocument/2006/relationships/hyperlink" Target="https://advanced.onlinelibrary.wiley.com/doi/10.1002/adma.72683?af=R" TargetMode="External"/><Relationship Id="rId111" Type="http://schemas.openxmlformats.org/officeDocument/2006/relationships/hyperlink" Target="https://doi.org/10.1002/adma.72683" TargetMode="External"/><Relationship Id="rId112" Type="http://schemas.openxmlformats.org/officeDocument/2006/relationships/hyperlink" Target="https://advanced.onlinelibrary.wiley.com/doi/10.1002/aenm.70855?af=R" TargetMode="External"/><Relationship Id="rId113" Type="http://schemas.openxmlformats.org/officeDocument/2006/relationships/hyperlink" Target="https://doi.org/10.1002/aenm.70855" TargetMode="External"/><Relationship Id="rId114" Type="http://schemas.openxmlformats.org/officeDocument/2006/relationships/hyperlink" Target="https://www.sciencedirect.com/science/article/pii/S0306261926003946?dgcid=rss_sd_all" TargetMode="External"/><Relationship Id="rId115" Type="http://schemas.openxmlformats.org/officeDocument/2006/relationships/hyperlink" Target="https://www.sciencedirect.com/science/article/pii/S0306261926003557?dgcid=rss_sd_all" TargetMode="External"/><Relationship Id="rId116" Type="http://schemas.openxmlformats.org/officeDocument/2006/relationships/hyperlink" Target="https://www.sciencedirect.com/science/article/pii/S0306261926003880?dgcid=rss_sd_all" TargetMode="External"/><Relationship Id="rId117" Type="http://schemas.openxmlformats.org/officeDocument/2006/relationships/hyperlink" Target="https://www.sciencedirect.com/science/article/pii/S0306261926003545?dgcid=rss_sd_all" TargetMode="External"/><Relationship Id="rId118" Type="http://schemas.openxmlformats.org/officeDocument/2006/relationships/hyperlink" Target="https://www.cell.com/joule/fulltext/S2542-4351(26)00037-1?rss=yes" TargetMode="External"/><Relationship Id="rId119" Type="http://schemas.openxmlformats.org/officeDocument/2006/relationships/hyperlink" Target="https://doi.org/10.1016/j.joule.2026.102353" TargetMode="External"/><Relationship Id="rId120" Type="http://schemas.openxmlformats.org/officeDocument/2006/relationships/hyperlink" Target="https://www.cell.com/joule/fulltext/S2542-4351(26)00034-6?rss=yes" TargetMode="External"/><Relationship Id="rId121" Type="http://schemas.openxmlformats.org/officeDocument/2006/relationships/hyperlink" Target="https://doi.org/10.1016/j.joule.2026.102350" TargetMode="External"/><Relationship Id="rId122" Type="http://schemas.openxmlformats.org/officeDocument/2006/relationships/hyperlink" Target="https://www.sciencedirect.com/science/article/pii/S0306261926003119?dgcid=rss_sd_all" TargetMode="External"/><Relationship Id="rId123" Type="http://schemas.openxmlformats.org/officeDocument/2006/relationships/hyperlink" Target="https://www.nature.com/articles/s44359-026-00158-1" TargetMode="External"/><Relationship Id="rId124" Type="http://schemas.openxmlformats.org/officeDocument/2006/relationships/hyperlink" Target="https://doi.org/10.1038/s44359-026-00158-1" TargetMode="External"/><Relationship Id="rId125" Type="http://schemas.openxmlformats.org/officeDocument/2006/relationships/hyperlink" Target="https://www.cell.com/joule/fulltext/S2542-4351(26)00046-2?rss=yes" TargetMode="External"/><Relationship Id="rId126" Type="http://schemas.openxmlformats.org/officeDocument/2006/relationships/hyperlink" Target="https://doi.org/10.1016/j.joule.2026.102362" TargetMode="External"/><Relationship Id="rId127" Type="http://schemas.openxmlformats.org/officeDocument/2006/relationships/hyperlink" Target="http://pubs.rsc.org/en/Content/ArticleLanding/2026/EE/D5EE06850A" TargetMode="External"/><Relationship Id="rId128" Type="http://schemas.openxmlformats.org/officeDocument/2006/relationships/hyperlink" Target="https://www.sciencedirect.com/science/article/pii/S0306261926003363?dgcid=rss_sd_all" TargetMode="External"/><Relationship Id="rId129" Type="http://schemas.openxmlformats.org/officeDocument/2006/relationships/hyperlink" Target="https://www.sciencedirect.com/science/article/pii/S0306261926003752?dgcid=rss_sd_all" TargetMode="External"/><Relationship Id="rId130" Type="http://schemas.openxmlformats.org/officeDocument/2006/relationships/hyperlink" Target="https://www.sciencedirect.com/science/article/pii/S0306261926002849?dgcid=rss_sd_all" TargetMode="External"/><Relationship Id="rId131" Type="http://schemas.openxmlformats.org/officeDocument/2006/relationships/hyperlink" Target="https://www.sciencedirect.com/science/article/pii/S0306261926003685?dgcid=rss_sd_all" TargetMode="External"/><Relationship Id="rId132" Type="http://schemas.openxmlformats.org/officeDocument/2006/relationships/hyperlink" Target="http://dx.doi.org/10.1021/jacs.6c01832" TargetMode="External"/><Relationship Id="rId133" Type="http://schemas.openxmlformats.org/officeDocument/2006/relationships/hyperlink" Target="https://doi.org/10.1021/jacs.6c01832" TargetMode="External"/><Relationship Id="rId134" Type="http://schemas.openxmlformats.org/officeDocument/2006/relationships/hyperlink" Target="https://www.science.org/doi/abs/10.1126/sciadv.aec0728?af=R" TargetMode="External"/><Relationship Id="rId135" Type="http://schemas.openxmlformats.org/officeDocument/2006/relationships/hyperlink" Target="https://doi.org/10.1126/sciadv.aec0728" TargetMode="External"/><Relationship Id="rId136" Type="http://schemas.openxmlformats.org/officeDocument/2006/relationships/hyperlink" Target="https://www.sciencedirect.com/science/article/pii/S0306261926004058?dgcid=rss_sd_all" TargetMode="External"/><Relationship Id="rId137" Type="http://schemas.openxmlformats.org/officeDocument/2006/relationships/hyperlink" Target="https://www.sciencedirect.com/science/article/pii/S0306261926003818?dgcid=rss_sd_all" TargetMode="External"/><Relationship Id="rId138" Type="http://schemas.openxmlformats.org/officeDocument/2006/relationships/hyperlink" Target="https://www.nature.com/articles/s41560-026-02023-8" TargetMode="External"/><Relationship Id="rId139" Type="http://schemas.openxmlformats.org/officeDocument/2006/relationships/hyperlink" Target="https://doi.org/10.1038/s41560-026-02023-8" TargetMode="External"/><Relationship Id="rId140" Type="http://schemas.openxmlformats.org/officeDocument/2006/relationships/hyperlink" Target="https://www.pnas.org/doi/abs/10.1073/pnas.2520144123?mi=eymic2&amp;af=R&amp;access=on&amp;content=articlesChapters&amp;publication=pnas&amp;sortBy=Earliest&amp;target=default" TargetMode="External"/><Relationship Id="rId141" Type="http://schemas.openxmlformats.org/officeDocument/2006/relationships/hyperlink" Target="https://doi.org/10.1073/pnas.2520144123" TargetMode="External"/><Relationship Id="rId142" Type="http://schemas.openxmlformats.org/officeDocument/2006/relationships/hyperlink" Target="https://www.sciencedirect.com/science/article/pii/S0306261926003673?dgcid=rss_sd_all" TargetMode="External"/><Relationship Id="rId143" Type="http://schemas.openxmlformats.org/officeDocument/2006/relationships/hyperlink" Target="https://www.sciencedirect.com/science/article/pii/S0306261926003326?dgcid=rss_sd_all" TargetMode="External"/><Relationship Id="rId144" Type="http://schemas.openxmlformats.org/officeDocument/2006/relationships/hyperlink" Target="https://www.sciencedirect.com/science/article/pii/S0306261926003843?dgcid=rss_sd_all" TargetMode="External"/><Relationship Id="rId145" Type="http://schemas.openxmlformats.org/officeDocument/2006/relationships/hyperlink" Target="https://www.sciencedirect.com/science/article/pii/S0301421526001850?dgcid=rss_sd_all" TargetMode="External"/><Relationship Id="rId146" Type="http://schemas.openxmlformats.org/officeDocument/2006/relationships/hyperlink" Target="https://www.sciencedirect.com/science/article/pii/S0306261926003521?dgcid=rss_sd_all" TargetMode="External"/><Relationship Id="rId147" Type="http://schemas.openxmlformats.org/officeDocument/2006/relationships/hyperlink" Target="https://www.sciencedirect.com/science/article/pii/S0306261926002850?dgcid=rss_sd_all" TargetMode="External"/><Relationship Id="rId148" Type="http://schemas.openxmlformats.org/officeDocument/2006/relationships/hyperlink" Target="https://www.nature.com/articles/s41557-026-02104-x" TargetMode="External"/><Relationship Id="rId149" Type="http://schemas.openxmlformats.org/officeDocument/2006/relationships/hyperlink" Target="https://doi.org/10.1038/s41557-026-02104-x" TargetMode="External"/><Relationship Id="rId150" Type="http://schemas.openxmlformats.org/officeDocument/2006/relationships/hyperlink" Target="https://advanced.onlinelibrary.wiley.com/doi/10.1002/aenm.202506788?af=R" TargetMode="External"/><Relationship Id="rId151" Type="http://schemas.openxmlformats.org/officeDocument/2006/relationships/hyperlink" Target="https://doi.org/10.1002/aenm.202506788" TargetMode="External"/><Relationship Id="rId152" Type="http://schemas.openxmlformats.org/officeDocument/2006/relationships/hyperlink" Target="https://advanced.onlinelibrary.wiley.com/doi/10.1002/aenm.70852?af=R" TargetMode="External"/><Relationship Id="rId153" Type="http://schemas.openxmlformats.org/officeDocument/2006/relationships/hyperlink" Target="https://doi.org/10.1002/aenm.70852" TargetMode="External"/><Relationship Id="rId154" Type="http://schemas.openxmlformats.org/officeDocument/2006/relationships/hyperlink" Target="https://onlinelibrary.wiley.com/doi/10.1002/anie.9797893?af=R" TargetMode="External"/><Relationship Id="rId155" Type="http://schemas.openxmlformats.org/officeDocument/2006/relationships/hyperlink" Target="https://doi.org/10.1002/anie.9797893" TargetMode="External"/><Relationship Id="rId156" Type="http://schemas.openxmlformats.org/officeDocument/2006/relationships/hyperlink" Target="https://onlinelibrary.wiley.com/doi/10.1002/anie.4198910?af=R" TargetMode="External"/><Relationship Id="rId157" Type="http://schemas.openxmlformats.org/officeDocument/2006/relationships/hyperlink" Target="https://doi.org/10.1002/anie.4198910" TargetMode="External"/><Relationship Id="rId158" Type="http://schemas.openxmlformats.org/officeDocument/2006/relationships/hyperlink" Target="https://www.sciencedirect.com/science/article/pii/S030626192600406X?dgcid=rss_sd_all" TargetMode="External"/><Relationship Id="rId159" Type="http://schemas.openxmlformats.org/officeDocument/2006/relationships/hyperlink" Target="https://www.sciencedirect.com/science/article/pii/S030626192600156X?dgcid=rss_sd_all" TargetMode="External"/><Relationship Id="rId160" Type="http://schemas.openxmlformats.org/officeDocument/2006/relationships/hyperlink" Target="http://dx.doi.org/10.1021/jacs.6c01046" TargetMode="External"/><Relationship Id="rId161" Type="http://schemas.openxmlformats.org/officeDocument/2006/relationships/hyperlink" Target="https://doi.org/10.1021/jacs.6c01046" TargetMode="External"/><Relationship Id="rId162" Type="http://schemas.openxmlformats.org/officeDocument/2006/relationships/hyperlink" Target="http://dx.doi.org/10.1021/jacs.6c01767" TargetMode="External"/><Relationship Id="rId163" Type="http://schemas.openxmlformats.org/officeDocument/2006/relationships/hyperlink" Target="https://doi.org/10.1021/jacs.6c01767" TargetMode="External"/><Relationship Id="rId164" Type="http://schemas.openxmlformats.org/officeDocument/2006/relationships/hyperlink" Target="http://dx.doi.org/10.1021/jacs.5c21735" TargetMode="External"/><Relationship Id="rId165" Type="http://schemas.openxmlformats.org/officeDocument/2006/relationships/hyperlink" Target="https://doi.org/10.1021/jacs.5c21735" TargetMode="External"/><Relationship Id="rId166" Type="http://schemas.openxmlformats.org/officeDocument/2006/relationships/hyperlink" Target="http://pubs.rsc.org/en/Content/ArticleLanding/2026/EE/D5EE07747H" TargetMode="External"/><Relationship Id="rId167" Type="http://schemas.openxmlformats.org/officeDocument/2006/relationships/hyperlink" Target="https://www.sciencedirect.com/science/article/pii/S0306261926003788?dgcid=rss_sd_all" TargetMode="External"/><Relationship Id="rId168" Type="http://schemas.openxmlformats.org/officeDocument/2006/relationships/hyperlink" Target="https://www.sciencedirect.com/science/article/pii/S0301421526001473?dgcid=rss_sd_all" TargetMode="External"/><Relationship Id="rId169" Type="http://schemas.openxmlformats.org/officeDocument/2006/relationships/hyperlink" Target="https://www.sciencedirect.com/science/article/pii/S0306261926003971?dgcid=rss_sd_all" TargetMode="External"/><Relationship Id="rId170" Type="http://schemas.openxmlformats.org/officeDocument/2006/relationships/hyperlink" Target="http://pubs.rsc.org/en/Content/ArticleLanding/2026/CS/D5CS00621J" TargetMode="External"/><Relationship Id="rId171" Type="http://schemas.openxmlformats.org/officeDocument/2006/relationships/hyperlink" Target="https://advanced.onlinelibrary.wiley.com/doi/10.1002/aenm.70870?af=R" TargetMode="External"/><Relationship Id="rId172" Type="http://schemas.openxmlformats.org/officeDocument/2006/relationships/hyperlink" Target="https://doi.org/10.1002/aenm.70870" TargetMode="External"/><Relationship Id="rId173" Type="http://schemas.openxmlformats.org/officeDocument/2006/relationships/hyperlink" Target="http://dx.doi.org/10.1021/jacs.5c20653" TargetMode="External"/><Relationship Id="rId174" Type="http://schemas.openxmlformats.org/officeDocument/2006/relationships/hyperlink" Target="https://doi.org/10.1021/jacs.5c20653" TargetMode="External"/><Relationship Id="rId175" Type="http://schemas.openxmlformats.org/officeDocument/2006/relationships/hyperlink" Target="https://onlinelibrary.wiley.com/doi/10.1002/anie.4625459?af=R" TargetMode="External"/><Relationship Id="rId176" Type="http://schemas.openxmlformats.org/officeDocument/2006/relationships/hyperlink" Target="https://doi.org/10.1002/anie.4625459" TargetMode="External"/><Relationship Id="rId177" Type="http://schemas.openxmlformats.org/officeDocument/2006/relationships/hyperlink" Target="https://www.nature.com/articles/d41586-026-00635-4" TargetMode="External"/><Relationship Id="rId178" Type="http://schemas.openxmlformats.org/officeDocument/2006/relationships/hyperlink" Target="https://doi.org/10.1038/d41586-026-00635-4" TargetMode="External"/><Relationship Id="rId179" Type="http://schemas.openxmlformats.org/officeDocument/2006/relationships/hyperlink" Target="https://www.nature.com/articles/s41586-026-10130-5" TargetMode="External"/><Relationship Id="rId180" Type="http://schemas.openxmlformats.org/officeDocument/2006/relationships/hyperlink" Target="https://doi.org/10.1038/s41586-026-10130-5" TargetMode="External"/><Relationship Id="rId181" Type="http://schemas.openxmlformats.org/officeDocument/2006/relationships/hyperlink" Target="https://www.cell.com/joule/fulltext/S2542-4351(26)00041-3?rss=yes" TargetMode="External"/><Relationship Id="rId182" Type="http://schemas.openxmlformats.org/officeDocument/2006/relationships/hyperlink" Target="https://doi.org/10.1016/j.joule.2026.102357" TargetMode="External"/><Relationship Id="rId183" Type="http://schemas.openxmlformats.org/officeDocument/2006/relationships/hyperlink" Target="https://www.sciencedirect.com/science/article/pii/S0306261926003429?dgcid=rss_sd_all" TargetMode="External"/><Relationship Id="rId184" Type="http://schemas.openxmlformats.org/officeDocument/2006/relationships/hyperlink" Target="https://www.cell.com/joule/fulltext/S2542-4351(26)00068-1?rss=yes" TargetMode="External"/><Relationship Id="rId185" Type="http://schemas.openxmlformats.org/officeDocument/2006/relationships/hyperlink" Target="https://doi.org/10.1016/j.joule.2026.102384" TargetMode="External"/><Relationship Id="rId186" Type="http://schemas.openxmlformats.org/officeDocument/2006/relationships/hyperlink" Target="https://onlinelibrary.wiley.com/doi/10.1002/anie.202525215?af=R" TargetMode="External"/><Relationship Id="rId187" Type="http://schemas.openxmlformats.org/officeDocument/2006/relationships/hyperlink" Target="https://doi.org/10.1002/anie.202525215" TargetMode="External"/><Relationship Id="rId188" Type="http://schemas.openxmlformats.org/officeDocument/2006/relationships/hyperlink" Target="https://www.cell.com/chem/fulltext/S2451-9294(26)00071-9?rss=yes" TargetMode="External"/><Relationship Id="rId189" Type="http://schemas.openxmlformats.org/officeDocument/2006/relationships/hyperlink" Target="https://doi.org/10.1016/j.chempr.2026.103005" TargetMode="External"/><Relationship Id="rId190" Type="http://schemas.openxmlformats.org/officeDocument/2006/relationships/hyperlink" Target="http://dx.doi.org/10.1021/jacs.5c21380" TargetMode="External"/><Relationship Id="rId191" Type="http://schemas.openxmlformats.org/officeDocument/2006/relationships/hyperlink" Target="https://doi.org/10.1021/jacs.5c21380" TargetMode="External"/><Relationship Id="rId192" Type="http://schemas.openxmlformats.org/officeDocument/2006/relationships/hyperlink" Target="http://dx.doi.org/10.1021/jacs.6c02456" TargetMode="External"/><Relationship Id="rId193" Type="http://schemas.openxmlformats.org/officeDocument/2006/relationships/hyperlink" Target="https://doi.org/10.1021/jacs.6c02456" TargetMode="External"/><Relationship Id="rId194" Type="http://schemas.openxmlformats.org/officeDocument/2006/relationships/hyperlink" Target="https://www.sciencedirect.com/science/article/pii/S0306261926003867?dgcid=rss_sd_all" TargetMode="External"/><Relationship Id="rId195" Type="http://schemas.openxmlformats.org/officeDocument/2006/relationships/hyperlink" Target="https://www.nature.com/articles/s41467-026-70843-z" TargetMode="External"/><Relationship Id="rId196" Type="http://schemas.openxmlformats.org/officeDocument/2006/relationships/hyperlink" Target="https://doi.org/10.1038/s41467-026-70843-z" TargetMode="External"/><Relationship Id="rId197" Type="http://schemas.openxmlformats.org/officeDocument/2006/relationships/hyperlink" Target="https://www.nature.com/articles/s41467-026-71013-x" TargetMode="External"/><Relationship Id="rId198" Type="http://schemas.openxmlformats.org/officeDocument/2006/relationships/hyperlink" Target="https://doi.org/10.1038/s41467-026-71013-x" TargetMode="External"/><Relationship Id="rId199" Type="http://schemas.openxmlformats.org/officeDocument/2006/relationships/hyperlink" Target="https://www.nature.com/articles/s41467-026-70968-1" TargetMode="External"/><Relationship Id="rId200" Type="http://schemas.openxmlformats.org/officeDocument/2006/relationships/hyperlink" Target="https://doi.org/10.1038/s41467-026-70968-1" TargetMode="External"/><Relationship Id="rId201" Type="http://schemas.openxmlformats.org/officeDocument/2006/relationships/hyperlink" Target="https://www.nature.com/articles/s41467-026-71028-4" TargetMode="External"/><Relationship Id="rId202" Type="http://schemas.openxmlformats.org/officeDocument/2006/relationships/hyperlink" Target="https://doi.org/10.1038/s41467-026-71028-4" TargetMode="External"/><Relationship Id="rId203" Type="http://schemas.openxmlformats.org/officeDocument/2006/relationships/hyperlink" Target="https://www.sciencedirect.com/science/article/pii/S0306261926003582?dgcid=rss_sd_all" TargetMode="External"/><Relationship Id="rId204" Type="http://schemas.openxmlformats.org/officeDocument/2006/relationships/hyperlink" Target="https://www.nature.com/articles/s41467-026-70999-8" TargetMode="External"/><Relationship Id="rId205" Type="http://schemas.openxmlformats.org/officeDocument/2006/relationships/hyperlink" Target="https://doi.org/10.1038/s41467-026-70999-8" TargetMode="External"/><Relationship Id="rId206" Type="http://schemas.openxmlformats.org/officeDocument/2006/relationships/hyperlink" Target="https://www.sciencedirect.com/science/article/pii/S0306261926003764?dgcid=rss_sd_all" TargetMode="External"/><Relationship Id="rId207" Type="http://schemas.openxmlformats.org/officeDocument/2006/relationships/hyperlink" Target="https://www.sciencedirect.com/science/article/pii/S0306261926003314?dgcid=rss_sd_all" TargetMode="External"/><Relationship Id="rId208" Type="http://schemas.openxmlformats.org/officeDocument/2006/relationships/hyperlink" Target="https://www.sciencedirect.com/science/article/pii/S0306261926003715?dgcid=rss_sd_all" TargetMode="External"/><Relationship Id="rId209" Type="http://schemas.openxmlformats.org/officeDocument/2006/relationships/hyperlink" Target="https://www.nature.com/articles/s41467-026-70510-3" TargetMode="External"/><Relationship Id="rId210" Type="http://schemas.openxmlformats.org/officeDocument/2006/relationships/hyperlink" Target="https://doi.org/10.1038/s41467-026-70510-3" TargetMode="External"/><Relationship Id="rId211" Type="http://schemas.openxmlformats.org/officeDocument/2006/relationships/hyperlink" Target="https://www.nature.com/articles/s41467-026-70918-x" TargetMode="External"/><Relationship Id="rId212" Type="http://schemas.openxmlformats.org/officeDocument/2006/relationships/hyperlink" Target="https://doi.org/10.1038/s41467-026-70918-x" TargetMode="External"/><Relationship Id="rId213" Type="http://schemas.openxmlformats.org/officeDocument/2006/relationships/hyperlink" Target="https://www.sciencedirect.com/science/article/pii/S0301421526001540?dgcid=rss_sd_all" TargetMode="External"/><Relationship Id="rId214" Type="http://schemas.openxmlformats.org/officeDocument/2006/relationships/hyperlink" Target="https://www.nature.com/articles/s41467-026-70786-5" TargetMode="External"/><Relationship Id="rId215" Type="http://schemas.openxmlformats.org/officeDocument/2006/relationships/hyperlink" Target="https://doi.org/10.1038/s41467-026-70786-5" TargetMode="External"/><Relationship Id="rId216" Type="http://schemas.openxmlformats.org/officeDocument/2006/relationships/hyperlink" Target="https://advanced.onlinelibrary.wiley.com/doi/10.1002/adma.202523140?af=R" TargetMode="External"/><Relationship Id="rId217" Type="http://schemas.openxmlformats.org/officeDocument/2006/relationships/hyperlink" Target="https://doi.org/10.1002/adma.202523140" TargetMode="External"/><Relationship Id="rId218" Type="http://schemas.openxmlformats.org/officeDocument/2006/relationships/hyperlink" Target="https://advanced.onlinelibrary.wiley.com/doi/10.1002/adma.72845?af=R" TargetMode="External"/><Relationship Id="rId219" Type="http://schemas.openxmlformats.org/officeDocument/2006/relationships/hyperlink" Target="https://doi.org/10.1002/adma.72845" TargetMode="External"/><Relationship Id="rId220" Type="http://schemas.openxmlformats.org/officeDocument/2006/relationships/hyperlink" Target="https://advanced.onlinelibrary.wiley.com/doi/10.1002/adma.202523021?af=R" TargetMode="External"/><Relationship Id="rId221" Type="http://schemas.openxmlformats.org/officeDocument/2006/relationships/hyperlink" Target="https://doi.org/10.1002/adma.202523021" TargetMode="External"/><Relationship Id="rId222" Type="http://schemas.openxmlformats.org/officeDocument/2006/relationships/hyperlink" Target="https://advanced.onlinelibrary.wiley.com/doi/10.1002/adma.202523597?af=R" TargetMode="External"/><Relationship Id="rId223" Type="http://schemas.openxmlformats.org/officeDocument/2006/relationships/hyperlink" Target="https://doi.org/10.1002/adma.202523597" TargetMode="External"/><Relationship Id="rId224" Type="http://schemas.openxmlformats.org/officeDocument/2006/relationships/hyperlink" Target="https://advanced.onlinelibrary.wiley.com/doi/10.1002/adma.202519387?af=R" TargetMode="External"/><Relationship Id="rId225" Type="http://schemas.openxmlformats.org/officeDocument/2006/relationships/hyperlink" Target="https://doi.org/10.1002/adma.202519387" TargetMode="External"/><Relationship Id="rId226" Type="http://schemas.openxmlformats.org/officeDocument/2006/relationships/hyperlink" Target="https://advanced.onlinelibrary.wiley.com/doi/10.1002/adma.72867?af=R" TargetMode="External"/><Relationship Id="rId227" Type="http://schemas.openxmlformats.org/officeDocument/2006/relationships/hyperlink" Target="https://doi.org/10.1002/adma.72867" TargetMode="External"/><Relationship Id="rId228" Type="http://schemas.openxmlformats.org/officeDocument/2006/relationships/hyperlink" Target="https://www.sciencedirect.com/science/article/pii/S0306261926003107?dgcid=rss_sd_all" TargetMode="External"/><Relationship Id="rId229" Type="http://schemas.openxmlformats.org/officeDocument/2006/relationships/hyperlink" Target="https://www.sciencedirect.com/science/article/pii/S0306261926002990?dgcid=rss_sd_all" TargetMode="External"/><Relationship Id="rId230" Type="http://schemas.openxmlformats.org/officeDocument/2006/relationships/hyperlink" Target="https://www.sciencedirect.com/science/article/pii/S0306261926003855?dgcid=rss_sd_all" TargetMode="External"/><Relationship Id="rId231" Type="http://schemas.openxmlformats.org/officeDocument/2006/relationships/hyperlink" Target="https://www.sciencedirect.com/science/article/pii/S0306261926003144?dgcid=rss_sd_all" TargetMode="External"/><Relationship Id="rId232" Type="http://schemas.openxmlformats.org/officeDocument/2006/relationships/hyperlink" Target="https://www.sciencedirect.com/science/article/pii/S0306261926003053?dgcid=rss_sd_all" TargetMode="External"/><Relationship Id="rId233" Type="http://schemas.openxmlformats.org/officeDocument/2006/relationships/hyperlink" Target="https://www.sciencedirect.com/science/article/pii/S0301421526001643?dgcid=rss_sd_all" TargetMode="External"/><Relationship Id="rId234" Type="http://schemas.openxmlformats.org/officeDocument/2006/relationships/hyperlink" Target="https://www.sciencedirect.com/science/article/pii/S0301421526001813?dgcid=rss_sd_all" TargetMode="External"/><Relationship Id="rId235" Type="http://schemas.openxmlformats.org/officeDocument/2006/relationships/hyperlink" Target="https://www.sciencedirect.com/science/article/pii/S0301421526001953?dgcid=rss_sd_all" TargetMode="External"/><Relationship Id="rId236" Type="http://schemas.openxmlformats.org/officeDocument/2006/relationships/hyperlink" Target="https://www.sciencedirect.com/science/article/pii/S0306261926003703?dgcid=rss_sd_all" TargetMode="External"/><Relationship Id="rId237" Type="http://schemas.openxmlformats.org/officeDocument/2006/relationships/hyperlink" Target="https://www.sciencedirect.com/science/article/pii/S0306261926003776?dgcid=rss_sd_all" TargetMode="External"/><Relationship Id="rId238" Type="http://schemas.openxmlformats.org/officeDocument/2006/relationships/hyperlink" Target="https://www.sciencedirect.com/science/article/pii/S0306261926003697?dgcid=rss_sd_all" TargetMode="External"/><Relationship Id="rId239" Type="http://schemas.openxmlformats.org/officeDocument/2006/relationships/hyperlink" Target="https://www.sciencedirect.com/science/article/pii/S0301421526001898?dgcid=rss_sd_all" TargetMode="External"/><Relationship Id="rId240" Type="http://schemas.openxmlformats.org/officeDocument/2006/relationships/hyperlink" Target="http://dx.doi.org/10.1021/acs.chemrev.5c00993" TargetMode="External"/><Relationship Id="rId241" Type="http://schemas.openxmlformats.org/officeDocument/2006/relationships/hyperlink" Target="https://doi.org/10.1021/acs.chemrev.5c00993" TargetMode="External"/><Relationship Id="rId242" Type="http://schemas.openxmlformats.org/officeDocument/2006/relationships/hyperlink" Target="http://dx.doi.org/10.1021/jacs.5c22730" TargetMode="External"/><Relationship Id="rId243" Type="http://schemas.openxmlformats.org/officeDocument/2006/relationships/hyperlink" Target="https://doi.org/10.1021/jacs.5c22730" TargetMode="External"/><Relationship Id="rId244" Type="http://schemas.openxmlformats.org/officeDocument/2006/relationships/hyperlink" Target="http://dx.doi.org/10.1021/jacs.5c21249" TargetMode="External"/><Relationship Id="rId245" Type="http://schemas.openxmlformats.org/officeDocument/2006/relationships/hyperlink" Target="https://doi.org/10.1021/jacs.5c21249" TargetMode="External"/><Relationship Id="rId246" Type="http://schemas.openxmlformats.org/officeDocument/2006/relationships/hyperlink" Target="https://www.nature.com/articles/s41563-026-02553-2" TargetMode="External"/><Relationship Id="rId247" Type="http://schemas.openxmlformats.org/officeDocument/2006/relationships/hyperlink" Target="https://doi.org/10.1038/s41563-026-02553-2" TargetMode="External"/><Relationship Id="rId248" Type="http://schemas.openxmlformats.org/officeDocument/2006/relationships/hyperlink" Target="https://www.nature.com/articles/s41557-026-02082-0" TargetMode="External"/><Relationship Id="rId249" Type="http://schemas.openxmlformats.org/officeDocument/2006/relationships/hyperlink" Target="https://doi.org/10.1038/s41557-026-02082-0" TargetMode="External"/><Relationship Id="rId250" Type="http://schemas.openxmlformats.org/officeDocument/2006/relationships/hyperlink" Target="https://www.nature.com/articles/d41586-026-00884-3" TargetMode="External"/><Relationship Id="rId251" Type="http://schemas.openxmlformats.org/officeDocument/2006/relationships/hyperlink" Target="https://doi.org/10.1038/d41586-026-00884-3" TargetMode="External"/><Relationship Id="rId252" Type="http://schemas.openxmlformats.org/officeDocument/2006/relationships/hyperlink" Target="https://www.nature.com/articles/d41586-026-00957-3" TargetMode="External"/><Relationship Id="rId253" Type="http://schemas.openxmlformats.org/officeDocument/2006/relationships/hyperlink" Target="https://doi.org/10.1038/d41586-026-00957-3" TargetMode="External"/><Relationship Id="rId254" Type="http://schemas.openxmlformats.org/officeDocument/2006/relationships/hyperlink" Target="https://www.nature.com/articles/d41586-026-00882-5" TargetMode="External"/><Relationship Id="rId255" Type="http://schemas.openxmlformats.org/officeDocument/2006/relationships/hyperlink" Target="https://doi.org/10.1038/d41586-026-00882-5" TargetMode="External"/><Relationship Id="rId256" Type="http://schemas.openxmlformats.org/officeDocument/2006/relationships/hyperlink" Target="https://www.nature.com/articles/d41586-026-00946-6" TargetMode="External"/><Relationship Id="rId257" Type="http://schemas.openxmlformats.org/officeDocument/2006/relationships/hyperlink" Target="https://doi.org/10.1038/d41586-026-00946-6" TargetMode="External"/><Relationship Id="rId258" Type="http://schemas.openxmlformats.org/officeDocument/2006/relationships/hyperlink" Target="https://www.nature.com/articles/d41586-026-00802-7" TargetMode="External"/><Relationship Id="rId259" Type="http://schemas.openxmlformats.org/officeDocument/2006/relationships/hyperlink" Target="https://doi.org/10.1038/d41586-026-00802-7" TargetMode="External"/><Relationship Id="rId260" Type="http://schemas.openxmlformats.org/officeDocument/2006/relationships/hyperlink" Target="https://www.nature.com/articles/d41586-026-00880-7" TargetMode="External"/><Relationship Id="rId261" Type="http://schemas.openxmlformats.org/officeDocument/2006/relationships/hyperlink" Target="https://doi.org/10.1038/d41586-026-00880-7" TargetMode="External"/><Relationship Id="rId262" Type="http://schemas.openxmlformats.org/officeDocument/2006/relationships/hyperlink" Target="https://academic.oup.com/nsr/advance-article/doi/10.1093/nsr/nwag184/8537784?rss=1" TargetMode="External"/><Relationship Id="rId263" Type="http://schemas.openxmlformats.org/officeDocument/2006/relationships/hyperlink" Target="https://doi.org/10.1093/nsr/nwag184" TargetMode="External"/><Relationship Id="rId264" Type="http://schemas.openxmlformats.org/officeDocument/2006/relationships/hyperlink" Target="https://www.nature.com/articles/s41563-026-02549-y" TargetMode="External"/><Relationship Id="rId265" Type="http://schemas.openxmlformats.org/officeDocument/2006/relationships/hyperlink" Target="https://doi.org/10.1038/s41563-026-02549-y" TargetMode="External"/><Relationship Id="rId266" Type="http://schemas.openxmlformats.org/officeDocument/2006/relationships/hyperlink" Target="https://www.nature.com/articles/d41586-026-00434-x" TargetMode="External"/><Relationship Id="rId267" Type="http://schemas.openxmlformats.org/officeDocument/2006/relationships/hyperlink" Target="https://doi.org/10.1038/d41586-026-00434-x" TargetMode="External"/><Relationship Id="rId268" Type="http://schemas.openxmlformats.org/officeDocument/2006/relationships/hyperlink" Target="https://www.nature.com/articles/s41563-026-02548-z" TargetMode="External"/><Relationship Id="rId269" Type="http://schemas.openxmlformats.org/officeDocument/2006/relationships/hyperlink" Target="https://doi.org/10.1038/s41563-026-02548-z" TargetMode="External"/><Relationship Id="rId270" Type="http://schemas.openxmlformats.org/officeDocument/2006/relationships/hyperlink" Target="https://www.nature.com/articles/d41586-026-00881-6" TargetMode="External"/><Relationship Id="rId271" Type="http://schemas.openxmlformats.org/officeDocument/2006/relationships/hyperlink" Target="https://doi.org/10.1038/d41586-026-00881-6" TargetMode="External"/><Relationship Id="rId272" Type="http://schemas.openxmlformats.org/officeDocument/2006/relationships/hyperlink" Target="https://www.nature.com/articles/s41928-026-01603-6" TargetMode="External"/><Relationship Id="rId273" Type="http://schemas.openxmlformats.org/officeDocument/2006/relationships/hyperlink" Target="https://doi.org/10.1038/s41928-026-01603-6" TargetMode="External"/><Relationship Id="rId274" Type="http://schemas.openxmlformats.org/officeDocument/2006/relationships/hyperlink" Target="https://www.nature.com/articles/s41928-026-01571-x" TargetMode="External"/><Relationship Id="rId275" Type="http://schemas.openxmlformats.org/officeDocument/2006/relationships/hyperlink" Target="https://doi.org/10.1038/s41928-026-01571-x" TargetMode="External"/><Relationship Id="rId276" Type="http://schemas.openxmlformats.org/officeDocument/2006/relationships/hyperlink" Target="https://www.nature.com/articles/s41928-026-01590-8" TargetMode="External"/><Relationship Id="rId277" Type="http://schemas.openxmlformats.org/officeDocument/2006/relationships/hyperlink" Target="https://doi.org/10.1038/s41928-026-01590-8" TargetMode="External"/><Relationship Id="rId278" Type="http://schemas.openxmlformats.org/officeDocument/2006/relationships/hyperlink" Target="https://www.cell.com/matter/fulltext/S2590-2385(26)00042-1?rss=yes" TargetMode="External"/><Relationship Id="rId279" Type="http://schemas.openxmlformats.org/officeDocument/2006/relationships/hyperlink" Target="https://doi.org/10.1016/j.matt.2026.102679" TargetMode="External"/><Relationship Id="rId280" Type="http://schemas.openxmlformats.org/officeDocument/2006/relationships/hyperlink" Target="https://academic.oup.com/nsr/advance-article/doi/10.1093/nsr/nwag182/8537775?rss=1" TargetMode="External"/><Relationship Id="rId281" Type="http://schemas.openxmlformats.org/officeDocument/2006/relationships/hyperlink" Target="https://doi.org/10.1093/nsr/nwag182" TargetMode="External"/><Relationship Id="rId282" Type="http://schemas.openxmlformats.org/officeDocument/2006/relationships/hyperlink" Target="https://www.nature.com/articles/s41565-026-02140-1" TargetMode="External"/><Relationship Id="rId283" Type="http://schemas.openxmlformats.org/officeDocument/2006/relationships/hyperlink" Target="https://doi.org/10.1038/s41565-026-02140-1" TargetMode="External"/><Relationship Id="rId284" Type="http://schemas.openxmlformats.org/officeDocument/2006/relationships/hyperlink" Target="https://www.nature.com/articles/s41565-026-02134-z" TargetMode="External"/><Relationship Id="rId285" Type="http://schemas.openxmlformats.org/officeDocument/2006/relationships/hyperlink" Target="https://doi.org/10.1038/s41565-026-02134-z" TargetMode="External"/><Relationship Id="rId286" Type="http://schemas.openxmlformats.org/officeDocument/2006/relationships/hyperlink" Target="https://www.nature.com/articles/s41560-026-02025-6" TargetMode="External"/><Relationship Id="rId287" Type="http://schemas.openxmlformats.org/officeDocument/2006/relationships/hyperlink" Target="https://doi.org/10.1038/s41560-026-02025-6" TargetMode="External"/><Relationship Id="rId288" Type="http://schemas.openxmlformats.org/officeDocument/2006/relationships/hyperlink" Target="https://www.cell.com/matter/fulltext/S2590-2385(26)00060-3?rss=yes" TargetMode="External"/><Relationship Id="rId289" Type="http://schemas.openxmlformats.org/officeDocument/2006/relationships/hyperlink" Target="https://doi.org/10.1016/j.matt.2026.102697" TargetMode="External"/><Relationship Id="rId290" Type="http://schemas.openxmlformats.org/officeDocument/2006/relationships/hyperlink" Target="https://advanced.onlinelibrary.wiley.com/doi/10.1002/adma.202522965?af=R" TargetMode="External"/><Relationship Id="rId291" Type="http://schemas.openxmlformats.org/officeDocument/2006/relationships/hyperlink" Target="https://doi.org/10.1002/adma.202522965" TargetMode="External"/><Relationship Id="rId292" Type="http://schemas.openxmlformats.org/officeDocument/2006/relationships/hyperlink" Target="https://advanced.onlinelibrary.wiley.com/doi/10.1002/adma.72878?af=R" TargetMode="External"/><Relationship Id="rId293" Type="http://schemas.openxmlformats.org/officeDocument/2006/relationships/hyperlink" Target="https://doi.org/10.1002/adma.72878" TargetMode="External"/><Relationship Id="rId294" Type="http://schemas.openxmlformats.org/officeDocument/2006/relationships/hyperlink" Target="https://advanced.onlinelibrary.wiley.com/doi/10.1002/adma.202523102?af=R" TargetMode="External"/><Relationship Id="rId295" Type="http://schemas.openxmlformats.org/officeDocument/2006/relationships/hyperlink" Target="https://doi.org/10.1002/adma.202523102" TargetMode="External"/><Relationship Id="rId296" Type="http://schemas.openxmlformats.org/officeDocument/2006/relationships/hyperlink" Target="https://advanced.onlinelibrary.wiley.com/doi/10.1002/adma.202515947?af=R" TargetMode="External"/><Relationship Id="rId297" Type="http://schemas.openxmlformats.org/officeDocument/2006/relationships/hyperlink" Target="https://doi.org/10.1002/adma.202515947" TargetMode="External"/><Relationship Id="rId298" Type="http://schemas.openxmlformats.org/officeDocument/2006/relationships/hyperlink" Target="https://advanced.onlinelibrary.wiley.com/doi/10.1002/adma.72890?af=R" TargetMode="External"/><Relationship Id="rId299" Type="http://schemas.openxmlformats.org/officeDocument/2006/relationships/hyperlink" Target="https://doi.org/10.1002/adma.72890" TargetMode="External"/><Relationship Id="rId300" Type="http://schemas.openxmlformats.org/officeDocument/2006/relationships/hyperlink" Target="https://advanced.onlinelibrary.wiley.com/doi/10.1002/adma.202519334?af=R" TargetMode="External"/><Relationship Id="rId301" Type="http://schemas.openxmlformats.org/officeDocument/2006/relationships/hyperlink" Target="https://doi.org/10.1002/adma.202519334" TargetMode="External"/><Relationship Id="rId302" Type="http://schemas.openxmlformats.org/officeDocument/2006/relationships/hyperlink" Target="https://advanced.onlinelibrary.wiley.com/doi/10.1002/adma.72833?af=R" TargetMode="External"/><Relationship Id="rId303" Type="http://schemas.openxmlformats.org/officeDocument/2006/relationships/hyperlink" Target="https://doi.org/10.1002/adma.72833" TargetMode="External"/><Relationship Id="rId304" Type="http://schemas.openxmlformats.org/officeDocument/2006/relationships/hyperlink" Target="https://advanced.onlinelibrary.wiley.com/doi/10.1002/aenm.70863?af=R" TargetMode="External"/><Relationship Id="rId305" Type="http://schemas.openxmlformats.org/officeDocument/2006/relationships/hyperlink" Target="https://doi.org/10.1002/aenm.70863" TargetMode="External"/><Relationship Id="rId306" Type="http://schemas.openxmlformats.org/officeDocument/2006/relationships/hyperlink" Target="https://www.pnas.org/doi/abs/10.1073/pnas.2603894123?mi=eymic2&amp;af=R&amp;access=on&amp;content=articlesChapters&amp;publication=pnas&amp;sortBy=Earliest&amp;target=default" TargetMode="External"/><Relationship Id="rId307" Type="http://schemas.openxmlformats.org/officeDocument/2006/relationships/hyperlink" Target="https://doi.org/10.1073/pnas.2603894123" TargetMode="External"/><Relationship Id="rId308" Type="http://schemas.openxmlformats.org/officeDocument/2006/relationships/hyperlink" Target="https://www.pnas.org/doi/abs/10.1073/pnas.2602952123?mi=eymic2&amp;af=R&amp;access=on&amp;content=articlesChapters&amp;publication=pnas&amp;sortBy=Earliest&amp;target=default" TargetMode="External"/><Relationship Id="rId309" Type="http://schemas.openxmlformats.org/officeDocument/2006/relationships/hyperlink" Target="https://doi.org/10.1073/pnas.2602952123" TargetMode="External"/><Relationship Id="rId310" Type="http://schemas.openxmlformats.org/officeDocument/2006/relationships/hyperlink" Target="https://www.pnas.org/doi/abs/10.1073/pnas.2602460123?mi=eymic2&amp;af=R&amp;access=on&amp;content=articlesChapters&amp;publication=pnas&amp;sortBy=Earliest&amp;target=default" TargetMode="External"/><Relationship Id="rId311" Type="http://schemas.openxmlformats.org/officeDocument/2006/relationships/hyperlink" Target="https://doi.org/10.1073/pnas.2602460123" TargetMode="External"/><Relationship Id="rId312" Type="http://schemas.openxmlformats.org/officeDocument/2006/relationships/hyperlink" Target="https://www.pnas.org/doi/abs/10.1073/pnas.2526787123?mi=eymic2&amp;af=R&amp;access=on&amp;content=articlesChapters&amp;publication=pnas&amp;sortBy=Earliest&amp;target=default" TargetMode="External"/><Relationship Id="rId313" Type="http://schemas.openxmlformats.org/officeDocument/2006/relationships/hyperlink" Target="https://doi.org/10.1073/pnas.2526787123" TargetMode="External"/><Relationship Id="rId314" Type="http://schemas.openxmlformats.org/officeDocument/2006/relationships/hyperlink" Target="https://www.pnas.org/doi/abs/10.1073/pnas.2530832123?mi=eymic2&amp;af=R&amp;access=on&amp;content=articlesChapters&amp;publication=pnas&amp;sortBy=Earliest&amp;target=default" TargetMode="External"/><Relationship Id="rId315" Type="http://schemas.openxmlformats.org/officeDocument/2006/relationships/hyperlink" Target="https://doi.org/10.1073/pnas.2530832123" TargetMode="External"/><Relationship Id="rId316" Type="http://schemas.openxmlformats.org/officeDocument/2006/relationships/hyperlink" Target="https://www.pnas.org/doi/abs/10.1073/pnas.2537053123?mi=eymic2&amp;af=R&amp;access=on&amp;content=articlesChapters&amp;publication=pnas&amp;sortBy=Earliest&amp;target=default" TargetMode="External"/><Relationship Id="rId317" Type="http://schemas.openxmlformats.org/officeDocument/2006/relationships/hyperlink" Target="https://doi.org/10.1073/pnas.2537053123" TargetMode="External"/><Relationship Id="rId318" Type="http://schemas.openxmlformats.org/officeDocument/2006/relationships/hyperlink" Target="https://www.pnas.org/doi/abs/10.1073/pnas.2534122123?mi=eymic2&amp;af=R&amp;access=on&amp;content=articlesChapters&amp;publication=pnas&amp;sortBy=Earliest&amp;target=default" TargetMode="External"/><Relationship Id="rId319" Type="http://schemas.openxmlformats.org/officeDocument/2006/relationships/hyperlink" Target="https://doi.org/10.1073/pnas.2534122123" TargetMode="External"/><Relationship Id="rId320" Type="http://schemas.openxmlformats.org/officeDocument/2006/relationships/hyperlink" Target="https://www.pnas.org/doi/abs/10.1073/pnas.2533700123?mi=eymic2&amp;af=R&amp;access=on&amp;content=articlesChapters&amp;publication=pnas&amp;sortBy=Earliest&amp;target=default" TargetMode="External"/><Relationship Id="rId321" Type="http://schemas.openxmlformats.org/officeDocument/2006/relationships/hyperlink" Target="https://doi.org/10.1073/pnas.2533700123" TargetMode="External"/><Relationship Id="rId322" Type="http://schemas.openxmlformats.org/officeDocument/2006/relationships/hyperlink" Target="https://www.pnas.org/doi/abs/10.1073/pnas.2530834123?mi=eymic2&amp;af=R&amp;access=on&amp;content=articlesChapters&amp;publication=pnas&amp;sortBy=Earliest&amp;target=default" TargetMode="External"/><Relationship Id="rId323" Type="http://schemas.openxmlformats.org/officeDocument/2006/relationships/hyperlink" Target="https://doi.org/10.1073/pnas.2530834123" TargetMode="External"/><Relationship Id="rId324" Type="http://schemas.openxmlformats.org/officeDocument/2006/relationships/hyperlink" Target="https://www.pnas.org/doi/abs/10.1073/pnas.2527755123?mi=eymic2&amp;af=R&amp;access=on&amp;content=articlesChapters&amp;publication=pnas&amp;sortBy=Earliest&amp;target=default" TargetMode="External"/><Relationship Id="rId325" Type="http://schemas.openxmlformats.org/officeDocument/2006/relationships/hyperlink" Target="https://doi.org/10.1073/pnas.2527755123" TargetMode="External"/><Relationship Id="rId326" Type="http://schemas.openxmlformats.org/officeDocument/2006/relationships/hyperlink" Target="https://www.pnas.org/doi/abs/10.1073/pnas.2528398123?mi=eymic2&amp;af=R&amp;access=on&amp;content=articlesChapters&amp;publication=pnas&amp;sortBy=Earliest&amp;target=default" TargetMode="External"/><Relationship Id="rId327" Type="http://schemas.openxmlformats.org/officeDocument/2006/relationships/hyperlink" Target="https://doi.org/10.1073/pnas.2528398123" TargetMode="External"/><Relationship Id="rId328" Type="http://schemas.openxmlformats.org/officeDocument/2006/relationships/hyperlink" Target="https://www.pnas.org/doi/abs/10.1073/pnas.2606104123?mi=eymic2&amp;af=R&amp;access=on&amp;content=articlesChapters&amp;publication=pnas&amp;sortBy=Earliest&amp;target=default" TargetMode="External"/><Relationship Id="rId329" Type="http://schemas.openxmlformats.org/officeDocument/2006/relationships/hyperlink" Target="https://doi.org/10.1073/pnas.2606104123" TargetMode="External"/><Relationship Id="rId330" Type="http://schemas.openxmlformats.org/officeDocument/2006/relationships/hyperlink" Target="https://www.pnas.org/doi/abs/10.1073/pnas.2600926123?mi=eymic2&amp;af=R&amp;access=on&amp;content=articlesChapters&amp;publication=pnas&amp;sortBy=Earliest&amp;target=default" TargetMode="External"/><Relationship Id="rId331" Type="http://schemas.openxmlformats.org/officeDocument/2006/relationships/hyperlink" Target="https://doi.org/10.1073/pnas.2600926123" TargetMode="External"/><Relationship Id="rId332" Type="http://schemas.openxmlformats.org/officeDocument/2006/relationships/hyperlink" Target="https://www.pnas.org/doi/abs/10.1073/pnas.2523152123?mi=eymic2&amp;af=R&amp;access=on&amp;content=articlesChapters&amp;publication=pnas&amp;sortBy=Earliest&amp;target=default" TargetMode="External"/><Relationship Id="rId333" Type="http://schemas.openxmlformats.org/officeDocument/2006/relationships/hyperlink" Target="https://doi.org/10.1073/pnas.2523152123" TargetMode="External"/><Relationship Id="rId334" Type="http://schemas.openxmlformats.org/officeDocument/2006/relationships/hyperlink" Target="https://www.pnas.org/doi/abs/10.1073/pnas.2520565123?mi=eymic2&amp;af=R&amp;access=on&amp;content=articlesChapters&amp;publication=pnas&amp;sortBy=Earliest&amp;target=default" TargetMode="External"/><Relationship Id="rId335" Type="http://schemas.openxmlformats.org/officeDocument/2006/relationships/hyperlink" Target="https://doi.org/10.1073/pnas.2520565123" TargetMode="External"/><Relationship Id="rId336" Type="http://schemas.openxmlformats.org/officeDocument/2006/relationships/hyperlink" Target="https://www.pnas.org/doi/abs/10.1073/pnas.2608062123?mi=eymic2&amp;af=R&amp;access=on&amp;content=articlesChapters&amp;publication=pnas&amp;sortBy=Earliest&amp;target=default" TargetMode="External"/><Relationship Id="rId337" Type="http://schemas.openxmlformats.org/officeDocument/2006/relationships/hyperlink" Target="https://doi.org/10.1073/pnas.2608062123" TargetMode="External"/><Relationship Id="rId338" Type="http://schemas.openxmlformats.org/officeDocument/2006/relationships/hyperlink" Target="https://www.pnas.org/doi/abs/10.1073/pnas.2525676123?mi=eymic2&amp;af=R&amp;access=on&amp;content=articlesChapters&amp;publication=pnas&amp;sortBy=Earliest&amp;target=default" TargetMode="External"/><Relationship Id="rId339" Type="http://schemas.openxmlformats.org/officeDocument/2006/relationships/hyperlink" Target="https://doi.org/10.1073/pnas.2525676123" TargetMode="External"/><Relationship Id="rId340" Type="http://schemas.openxmlformats.org/officeDocument/2006/relationships/hyperlink" Target="https://www.pnas.org/doi/abs/10.1073/pnas.2604050123?mi=eymic2&amp;af=R&amp;access=on&amp;content=articlesChapters&amp;publication=pnas&amp;sortBy=Earliest&amp;target=default" TargetMode="External"/><Relationship Id="rId341" Type="http://schemas.openxmlformats.org/officeDocument/2006/relationships/hyperlink" Target="https://doi.org/10.1073/pnas.2604050123" TargetMode="External"/><Relationship Id="rId342" Type="http://schemas.openxmlformats.org/officeDocument/2006/relationships/hyperlink" Target="https://www.pnas.org/doi/abs/10.1073/pnas.2427242123?mi=eymic2&amp;af=R&amp;access=on&amp;content=articlesChapters&amp;publication=pnas&amp;sortBy=Earliest&amp;target=default" TargetMode="External"/><Relationship Id="rId343" Type="http://schemas.openxmlformats.org/officeDocument/2006/relationships/hyperlink" Target="https://doi.org/10.1073/pnas.2427242123" TargetMode="External"/><Relationship Id="rId344" Type="http://schemas.openxmlformats.org/officeDocument/2006/relationships/hyperlink" Target="https://www.pnas.org/doi/abs/10.1073/pnas.2504045123?mi=eymic2&amp;af=R&amp;access=on&amp;content=articlesChapters&amp;publication=pnas&amp;sortBy=Earliest&amp;target=default" TargetMode="External"/><Relationship Id="rId345" Type="http://schemas.openxmlformats.org/officeDocument/2006/relationships/hyperlink" Target="https://doi.org/10.1073/pnas.2504045123" TargetMode="External"/><Relationship Id="rId346" Type="http://schemas.openxmlformats.org/officeDocument/2006/relationships/hyperlink" Target="https://www.pnas.org/doi/abs/10.1073/pnas.2607878123?mi=eymic2&amp;af=R&amp;access=on&amp;content=articlesChapters&amp;publication=pnas&amp;sortBy=Earliest&amp;target=default" TargetMode="External"/><Relationship Id="rId347" Type="http://schemas.openxmlformats.org/officeDocument/2006/relationships/hyperlink" Target="https://doi.org/10.1073/pnas.2607878123" TargetMode="External"/><Relationship Id="rId348" Type="http://schemas.openxmlformats.org/officeDocument/2006/relationships/hyperlink" Target="https://www.pnas.org/doi/abs/10.1073/pnas.2514066123?mi=eymic2&amp;af=R&amp;access=on&amp;content=articlesChapters&amp;publication=pnas&amp;sortBy=Earliest&amp;target=default" TargetMode="External"/><Relationship Id="rId349" Type="http://schemas.openxmlformats.org/officeDocument/2006/relationships/hyperlink" Target="https://doi.org/10.1073/pnas.2514066123" TargetMode="External"/><Relationship Id="rId350" Type="http://schemas.openxmlformats.org/officeDocument/2006/relationships/hyperlink" Target="https://www.pnas.org/doi/abs/10.1073/pnas.2514681123?mi=eymic2&amp;af=R&amp;access=on&amp;content=articlesChapters&amp;publication=pnas&amp;sortBy=Earliest&amp;target=default" TargetMode="External"/><Relationship Id="rId351" Type="http://schemas.openxmlformats.org/officeDocument/2006/relationships/hyperlink" Target="https://doi.org/10.1073/pnas.2514681123" TargetMode="External"/><Relationship Id="rId352" Type="http://schemas.openxmlformats.org/officeDocument/2006/relationships/hyperlink" Target="https://www.pnas.org/doi/abs/10.1073/pnas.2515413123?mi=eymic2&amp;af=R&amp;access=on&amp;content=articlesChapters&amp;publication=pnas&amp;sortBy=Earliest&amp;target=default" TargetMode="External"/><Relationship Id="rId353" Type="http://schemas.openxmlformats.org/officeDocument/2006/relationships/hyperlink" Target="https://doi.org/10.1073/pnas.2515413123" TargetMode="External"/><Relationship Id="rId354" Type="http://schemas.openxmlformats.org/officeDocument/2006/relationships/hyperlink" Target="https://www.pnas.org/doi/abs/10.1073/pnas.2515805123?mi=eymic2&amp;af=R&amp;access=on&amp;content=articlesChapters&amp;publication=pnas&amp;sortBy=Earliest&amp;target=default" TargetMode="External"/><Relationship Id="rId355" Type="http://schemas.openxmlformats.org/officeDocument/2006/relationships/hyperlink" Target="https://doi.org/10.1073/pnas.2515805123" TargetMode="External"/><Relationship Id="rId356" Type="http://schemas.openxmlformats.org/officeDocument/2006/relationships/hyperlink" Target="https://www.pnas.org/doi/abs/10.1073/pnas.2518687123?mi=eymic2&amp;af=R&amp;access=on&amp;content=articlesChapters&amp;publication=pnas&amp;sortBy=Earliest&amp;target=default" TargetMode="External"/><Relationship Id="rId357" Type="http://schemas.openxmlformats.org/officeDocument/2006/relationships/hyperlink" Target="https://doi.org/10.1073/pnas.2518687123" TargetMode="External"/><Relationship Id="rId358" Type="http://schemas.openxmlformats.org/officeDocument/2006/relationships/hyperlink" Target="https://www.pnas.org/doi/abs/10.1073/pnas.2511296123?mi=eymic2&amp;af=R&amp;access=on&amp;content=articlesChapters&amp;publication=pnas&amp;sortBy=Earliest&amp;target=default" TargetMode="External"/><Relationship Id="rId359" Type="http://schemas.openxmlformats.org/officeDocument/2006/relationships/hyperlink" Target="https://doi.org/10.1073/pnas.2511296123" TargetMode="External"/><Relationship Id="rId360" Type="http://schemas.openxmlformats.org/officeDocument/2006/relationships/hyperlink" Target="http://dx.doi.org/10.1021/jacs.5c18512" TargetMode="External"/><Relationship Id="rId361" Type="http://schemas.openxmlformats.org/officeDocument/2006/relationships/hyperlink" Target="https://doi.org/10.1021/jacs.5c18512" TargetMode="External"/><Relationship Id="rId362" Type="http://schemas.openxmlformats.org/officeDocument/2006/relationships/hyperlink" Target="http://dx.doi.org/10.1021/acsenergylett.6c00031" TargetMode="External"/><Relationship Id="rId363" Type="http://schemas.openxmlformats.org/officeDocument/2006/relationships/hyperlink" Target="https://doi.org/10.1021/acsenergylett.6c00031" TargetMode="External"/><Relationship Id="rId364" Type="http://schemas.openxmlformats.org/officeDocument/2006/relationships/hyperlink" Target="http://dx.doi.org/10.1021/jacs.6c04784" TargetMode="External"/><Relationship Id="rId365" Type="http://schemas.openxmlformats.org/officeDocument/2006/relationships/hyperlink" Target="https://doi.org/10.1021/jacs.6c04784" TargetMode="External"/><Relationship Id="rId366" Type="http://schemas.openxmlformats.org/officeDocument/2006/relationships/hyperlink" Target="http://dx.doi.org/10.1021/jacs.5c22993" TargetMode="External"/><Relationship Id="rId367" Type="http://schemas.openxmlformats.org/officeDocument/2006/relationships/hyperlink" Target="https://doi.org/10.1021/jacs.5c22993" TargetMode="External"/><Relationship Id="rId368" Type="http://schemas.openxmlformats.org/officeDocument/2006/relationships/hyperlink" Target="http://dx.doi.org/10.1021/jacs.6c01240" TargetMode="External"/><Relationship Id="rId369" Type="http://schemas.openxmlformats.org/officeDocument/2006/relationships/hyperlink" Target="https://doi.org/10.1021/jacs.6c01240" TargetMode="External"/><Relationship Id="rId370" Type="http://schemas.openxmlformats.org/officeDocument/2006/relationships/hyperlink" Target="http://dx.doi.org/10.1021/acs.chemrev.5c00837" TargetMode="External"/><Relationship Id="rId371" Type="http://schemas.openxmlformats.org/officeDocument/2006/relationships/hyperlink" Target="https://doi.org/10.1021/acs.chemrev.5c00837" TargetMode="External"/><Relationship Id="rId372" Type="http://schemas.openxmlformats.org/officeDocument/2006/relationships/hyperlink" Target="http://dx.doi.org/10.1021/jacs.5c20798" TargetMode="External"/><Relationship Id="rId373" Type="http://schemas.openxmlformats.org/officeDocument/2006/relationships/hyperlink" Target="https://doi.org/10.1021/jacs.5c20798" TargetMode="External"/><Relationship Id="rId374" Type="http://schemas.openxmlformats.org/officeDocument/2006/relationships/hyperlink" Target="http://dx.doi.org/10.1021/jacs.5c21648" TargetMode="External"/><Relationship Id="rId375" Type="http://schemas.openxmlformats.org/officeDocument/2006/relationships/hyperlink" Target="https://doi.org/10.1021/jacs.5c21648" TargetMode="External"/><Relationship Id="rId376" Type="http://schemas.openxmlformats.org/officeDocument/2006/relationships/hyperlink" Target="https://onlinelibrary.wiley.com/doi/10.1002/anie.5315152?af=R" TargetMode="External"/><Relationship Id="rId377" Type="http://schemas.openxmlformats.org/officeDocument/2006/relationships/hyperlink" Target="https://doi.org/10.1002/anie.5315152" TargetMode="External"/><Relationship Id="rId378" Type="http://schemas.openxmlformats.org/officeDocument/2006/relationships/hyperlink" Target="https://advanced.onlinelibrary.wiley.com/doi/10.1002/adma.202520941?af=R" TargetMode="External"/><Relationship Id="rId379" Type="http://schemas.openxmlformats.org/officeDocument/2006/relationships/hyperlink" Target="https://doi.org/10.1002/adma.202520941" TargetMode="External"/><Relationship Id="rId380" Type="http://schemas.openxmlformats.org/officeDocument/2006/relationships/hyperlink" Target="https://onlinelibrary.wiley.com/doi/10.1002/anie.3791425?af=R" TargetMode="External"/><Relationship Id="rId381" Type="http://schemas.openxmlformats.org/officeDocument/2006/relationships/hyperlink" Target="https://doi.org/10.1002/anie.3791425" TargetMode="External"/><Relationship Id="rId382" Type="http://schemas.openxmlformats.org/officeDocument/2006/relationships/hyperlink" Target="https://advanced.onlinelibrary.wiley.com/doi/10.1002/adma.202519564?af=R" TargetMode="External"/><Relationship Id="rId383" Type="http://schemas.openxmlformats.org/officeDocument/2006/relationships/hyperlink" Target="https://doi.org/10.1002/adma.202519564" TargetMode="External"/><Relationship Id="rId384" Type="http://schemas.openxmlformats.org/officeDocument/2006/relationships/hyperlink" Target="https://onlinelibrary.wiley.com/doi/10.1002/anie.4205687?af=R" TargetMode="External"/><Relationship Id="rId385" Type="http://schemas.openxmlformats.org/officeDocument/2006/relationships/hyperlink" Target="https://doi.org/10.1002/anie.4205687" TargetMode="External"/><Relationship Id="rId386" Type="http://schemas.openxmlformats.org/officeDocument/2006/relationships/hyperlink" Target="https://advanced.onlinelibrary.wiley.com/doi/10.1002/adma.202523249?af=R" TargetMode="External"/><Relationship Id="rId387" Type="http://schemas.openxmlformats.org/officeDocument/2006/relationships/hyperlink" Target="https://doi.org/10.1002/adma.202523249" TargetMode="External"/><Relationship Id="rId388" Type="http://schemas.openxmlformats.org/officeDocument/2006/relationships/hyperlink" Target="https://onlinelibrary.wiley.com/doi/10.1002/anie.3482686?af=R" TargetMode="External"/><Relationship Id="rId389" Type="http://schemas.openxmlformats.org/officeDocument/2006/relationships/hyperlink" Target="https://doi.org/10.1002/anie.3482686" TargetMode="External"/><Relationship Id="rId390" Type="http://schemas.openxmlformats.org/officeDocument/2006/relationships/hyperlink" Target="https://onlinelibrary.wiley.com/doi/10.1002/anie.2490607?af=R" TargetMode="External"/><Relationship Id="rId391" Type="http://schemas.openxmlformats.org/officeDocument/2006/relationships/hyperlink" Target="https://doi.org/10.1002/anie.2490607" TargetMode="External"/><Relationship Id="rId392" Type="http://schemas.openxmlformats.org/officeDocument/2006/relationships/hyperlink" Target="https://onlinelibrary.wiley.com/doi/10.1002/anie.4716874?af=R" TargetMode="External"/><Relationship Id="rId393" Type="http://schemas.openxmlformats.org/officeDocument/2006/relationships/hyperlink" Target="https://doi.org/10.1002/anie.4716874" TargetMode="External"/><Relationship Id="rId394" Type="http://schemas.openxmlformats.org/officeDocument/2006/relationships/hyperlink" Target="https://onlinelibrary.wiley.com/doi/10.1002/anie.2026-m2702061800?af=R" TargetMode="External"/><Relationship Id="rId395" Type="http://schemas.openxmlformats.org/officeDocument/2006/relationships/hyperlink" Target="https://doi.org/10.1002/anie.2026-m2702061800" TargetMode="External"/><Relationship Id="rId396" Type="http://schemas.openxmlformats.org/officeDocument/2006/relationships/hyperlink" Target="http://dx.doi.org/10.1021/jacs.5c21559" TargetMode="External"/><Relationship Id="rId397" Type="http://schemas.openxmlformats.org/officeDocument/2006/relationships/hyperlink" Target="https://doi.org/10.1021/jacs.5c21559" TargetMode="External"/><Relationship Id="rId398" Type="http://schemas.openxmlformats.org/officeDocument/2006/relationships/hyperlink" Target="http://dx.doi.org/10.1021/jacs.6c00261" TargetMode="External"/><Relationship Id="rId399" Type="http://schemas.openxmlformats.org/officeDocument/2006/relationships/hyperlink" Target="https://doi.org/10.1021/jacs.6c00261" TargetMode="External"/><Relationship Id="rId400" Type="http://schemas.openxmlformats.org/officeDocument/2006/relationships/hyperlink" Target="http://dx.doi.org/10.1021/jacs.5c22587" TargetMode="External"/><Relationship Id="rId401" Type="http://schemas.openxmlformats.org/officeDocument/2006/relationships/hyperlink" Target="https://doi.org/10.1021/jacs.5c22587" TargetMode="External"/><Relationship Id="rId402" Type="http://schemas.openxmlformats.org/officeDocument/2006/relationships/hyperlink" Target="http://dx.doi.org/10.1021/jacs.6c00542" TargetMode="External"/><Relationship Id="rId403" Type="http://schemas.openxmlformats.org/officeDocument/2006/relationships/hyperlink" Target="https://doi.org/10.1021/jacs.6c00542" TargetMode="External"/><Relationship Id="rId404" Type="http://schemas.openxmlformats.org/officeDocument/2006/relationships/hyperlink" Target="https://onlinelibrary.wiley.com/doi/10.1002/anie.4150982?af=R" TargetMode="External"/><Relationship Id="rId405" Type="http://schemas.openxmlformats.org/officeDocument/2006/relationships/hyperlink" Target="https://doi.org/10.1002/anie.4150982" TargetMode="External"/><Relationship Id="rId406" Type="http://schemas.openxmlformats.org/officeDocument/2006/relationships/hyperlink" Target="https://onlinelibrary.wiley.com/doi/10.1002/anie.6657773?af=R" TargetMode="External"/><Relationship Id="rId407" Type="http://schemas.openxmlformats.org/officeDocument/2006/relationships/hyperlink" Target="https://doi.org/10.1002/anie.6657773" TargetMode="External"/><Relationship Id="rId408" Type="http://schemas.openxmlformats.org/officeDocument/2006/relationships/hyperlink" Target="https://onlinelibrary.wiley.com/doi/10.1002/anie.202524346?af=R" TargetMode="External"/><Relationship Id="rId409" Type="http://schemas.openxmlformats.org/officeDocument/2006/relationships/hyperlink" Target="https://doi.org/10.1002/anie.202524346" TargetMode="External"/><Relationship Id="rId410" Type="http://schemas.openxmlformats.org/officeDocument/2006/relationships/hyperlink" Target="http://dx.doi.org/10.1021/jacs.5c18079" TargetMode="External"/><Relationship Id="rId411" Type="http://schemas.openxmlformats.org/officeDocument/2006/relationships/hyperlink" Target="https://doi.org/10.1021/jacs.5c18079" TargetMode="External"/><Relationship Id="rId412" Type="http://schemas.openxmlformats.org/officeDocument/2006/relationships/hyperlink" Target="http://dx.doi.org/10.1021/jacs.5c22947" TargetMode="External"/><Relationship Id="rId413" Type="http://schemas.openxmlformats.org/officeDocument/2006/relationships/hyperlink" Target="https://doi.org/10.1021/jacs.5c22947" TargetMode="External"/><Relationship Id="rId414" Type="http://schemas.openxmlformats.org/officeDocument/2006/relationships/hyperlink" Target="http://dx.doi.org/10.1021/jacs.6c03697" TargetMode="External"/><Relationship Id="rId415" Type="http://schemas.openxmlformats.org/officeDocument/2006/relationships/hyperlink" Target="https://doi.org/10.1021/jacs.6c03697" TargetMode="External"/><Relationship Id="rId416" Type="http://schemas.openxmlformats.org/officeDocument/2006/relationships/hyperlink" Target="https://www.nature.com/articles/d41586-026-00950-w" TargetMode="External"/><Relationship Id="rId417" Type="http://schemas.openxmlformats.org/officeDocument/2006/relationships/hyperlink" Target="https://doi.org/10.1038/d41586-026-00950-w" TargetMode="External"/><Relationship Id="rId418" Type="http://schemas.openxmlformats.org/officeDocument/2006/relationships/hyperlink" Target="https://www.nature.com/articles/d41586-026-00892-3" TargetMode="External"/><Relationship Id="rId419" Type="http://schemas.openxmlformats.org/officeDocument/2006/relationships/hyperlink" Target="https://doi.org/10.1038/d41586-026-00892-3" TargetMode="External"/><Relationship Id="rId420" Type="http://schemas.openxmlformats.org/officeDocument/2006/relationships/hyperlink" Target="https://www.nature.com/articles/d41586-026-00883-4" TargetMode="External"/><Relationship Id="rId421" Type="http://schemas.openxmlformats.org/officeDocument/2006/relationships/hyperlink" Target="https://doi.org/10.1038/d41586-026-00883-4" TargetMode="External"/><Relationship Id="rId422" Type="http://schemas.openxmlformats.org/officeDocument/2006/relationships/hyperlink" Target="https://www.nature.com/articles/d41586-026-00879-0" TargetMode="External"/><Relationship Id="rId423" Type="http://schemas.openxmlformats.org/officeDocument/2006/relationships/hyperlink" Target="https://doi.org/10.1038/d41586-026-00879-0" TargetMode="External"/><Relationship Id="rId424" Type="http://schemas.openxmlformats.org/officeDocument/2006/relationships/hyperlink" Target="https://academic.oup.com/nsr/advance-article/doi/10.1093/nsr/nwag178/8539750?rss=1" TargetMode="External"/><Relationship Id="rId425" Type="http://schemas.openxmlformats.org/officeDocument/2006/relationships/hyperlink" Target="https://doi.org/10.1093/nsr/nwag178" TargetMode="External"/><Relationship Id="rId426" Type="http://schemas.openxmlformats.org/officeDocument/2006/relationships/hyperlink" Target="https://academic.oup.com/nsr/advance-article/doi/10.1093/nsr/nwag183/8539748?rss=1" TargetMode="External"/><Relationship Id="rId427" Type="http://schemas.openxmlformats.org/officeDocument/2006/relationships/hyperlink" Target="https://doi.org/10.1093/nsr/nwag183" TargetMode="External"/><Relationship Id="rId428" Type="http://schemas.openxmlformats.org/officeDocument/2006/relationships/hyperlink" Target="https://academic.oup.com/nsr/advance-article/doi/10.1093/nsr/nwag181/8539739?rss=1" TargetMode="External"/><Relationship Id="rId429" Type="http://schemas.openxmlformats.org/officeDocument/2006/relationships/hyperlink" Target="https://doi.org/10.1093/nsr/nwag181" TargetMode="External"/><Relationship Id="rId430" Type="http://schemas.openxmlformats.org/officeDocument/2006/relationships/hyperlink" Target="https://www.nature.com/articles/s41557-026-02103-y" TargetMode="External"/><Relationship Id="rId431" Type="http://schemas.openxmlformats.org/officeDocument/2006/relationships/hyperlink" Target="https://doi.org/10.1038/s41557-026-02103-y" TargetMode="External"/><Relationship Id="rId432" Type="http://schemas.openxmlformats.org/officeDocument/2006/relationships/hyperlink" Target="https://www.nature.com/articles/d41586-026-00941-x" TargetMode="External"/><Relationship Id="rId433" Type="http://schemas.openxmlformats.org/officeDocument/2006/relationships/hyperlink" Target="https://doi.org/10.1038/d41586-026-00941-x" TargetMode="External"/><Relationship Id="rId434" Type="http://schemas.openxmlformats.org/officeDocument/2006/relationships/hyperlink" Target="https://www.nature.com/articles/d41586-026-00940-y" TargetMode="External"/><Relationship Id="rId435" Type="http://schemas.openxmlformats.org/officeDocument/2006/relationships/hyperlink" Target="https://doi.org/10.1038/d41586-026-00940-y" TargetMode="External"/><Relationship Id="rId436" Type="http://schemas.openxmlformats.org/officeDocument/2006/relationships/hyperlink" Target="https://www.nature.com/articles/d41586-026-00942-w" TargetMode="External"/><Relationship Id="rId437" Type="http://schemas.openxmlformats.org/officeDocument/2006/relationships/hyperlink" Target="https://doi.org/10.1038/d41586-026-00942-w" TargetMode="External"/><Relationship Id="rId438" Type="http://schemas.openxmlformats.org/officeDocument/2006/relationships/hyperlink" Target="https://www.nature.com/articles/s41586-026-10403-z" TargetMode="External"/><Relationship Id="rId439" Type="http://schemas.openxmlformats.org/officeDocument/2006/relationships/hyperlink" Target="https://doi.org/10.1038/s41586-026-10403-z" TargetMode="External"/><Relationship Id="rId440" Type="http://schemas.openxmlformats.org/officeDocument/2006/relationships/hyperlink" Target="https://www.nature.com/articles/d41586-026-00945-7" TargetMode="External"/><Relationship Id="rId441" Type="http://schemas.openxmlformats.org/officeDocument/2006/relationships/hyperlink" Target="https://doi.org/10.1038/d41586-026-00945-7" TargetMode="External"/><Relationship Id="rId442" Type="http://schemas.openxmlformats.org/officeDocument/2006/relationships/hyperlink" Target="https://www.nature.com/articles/d41586-026-00943-9" TargetMode="External"/><Relationship Id="rId443" Type="http://schemas.openxmlformats.org/officeDocument/2006/relationships/hyperlink" Target="https://doi.org/10.1038/d41586-026-00943-9" TargetMode="External"/><Relationship Id="rId444" Type="http://schemas.openxmlformats.org/officeDocument/2006/relationships/hyperlink" Target="https://www.nature.com/articles/d41586-026-00963-5" TargetMode="External"/><Relationship Id="rId445" Type="http://schemas.openxmlformats.org/officeDocument/2006/relationships/hyperlink" Target="https://doi.org/10.1038/d41586-026-00963-5" TargetMode="External"/><Relationship Id="rId446" Type="http://schemas.openxmlformats.org/officeDocument/2006/relationships/hyperlink" Target="https://www.nature.com/articles/d41586-026-00644-3" TargetMode="External"/><Relationship Id="rId447" Type="http://schemas.openxmlformats.org/officeDocument/2006/relationships/hyperlink" Target="https://doi.org/10.1038/d41586-026-00644-3" TargetMode="External"/><Relationship Id="rId448" Type="http://schemas.openxmlformats.org/officeDocument/2006/relationships/hyperlink" Target="https://www.nature.com/articles/d41586-026-00938-6" TargetMode="External"/><Relationship Id="rId449" Type="http://schemas.openxmlformats.org/officeDocument/2006/relationships/hyperlink" Target="https://doi.org/10.1038/d41586-026-00938-6" TargetMode="External"/><Relationship Id="rId450" Type="http://schemas.openxmlformats.org/officeDocument/2006/relationships/hyperlink" Target="https://www.cell.com/matter/fulltext/S2590-2385(26)00071-8?rss=yes" TargetMode="External"/><Relationship Id="rId451" Type="http://schemas.openxmlformats.org/officeDocument/2006/relationships/hyperlink" Target="https://doi.org/10.1016/j.matt.2026.102708" TargetMode="External"/><Relationship Id="rId452" Type="http://schemas.openxmlformats.org/officeDocument/2006/relationships/hyperlink" Target="https://www.cell.com/matter/fulltext/S2590-2385(26)00069-X?rss=yes" TargetMode="External"/><Relationship Id="rId453" Type="http://schemas.openxmlformats.org/officeDocument/2006/relationships/hyperlink" Target="https://doi.org/10.1016/j.matt.2026.102706" TargetMode="External"/><Relationship Id="rId454" Type="http://schemas.openxmlformats.org/officeDocument/2006/relationships/hyperlink" Target="https://www.cell.com/matter/fulltext/S2590-2385(26)00066-4?rss=yes" TargetMode="External"/><Relationship Id="rId455" Type="http://schemas.openxmlformats.org/officeDocument/2006/relationships/hyperlink" Target="https://doi.org/10.1016/j.matt.2026.102703" TargetMode="External"/><Relationship Id="rId456" Type="http://schemas.openxmlformats.org/officeDocument/2006/relationships/hyperlink" Target="https://www.cell.com/matter/fulltext/S2590-2385(26)00041-X?rss=yes" TargetMode="External"/><Relationship Id="rId457" Type="http://schemas.openxmlformats.org/officeDocument/2006/relationships/hyperlink" Target="https://doi.org/10.1016/j.matt.2026.102678" TargetMode="External"/><Relationship Id="rId458" Type="http://schemas.openxmlformats.org/officeDocument/2006/relationships/hyperlink" Target="https://www.cell.com/one-earth/fulltext/S2590-3322(26)00057-6?rss=yes" TargetMode="External"/><Relationship Id="rId459" Type="http://schemas.openxmlformats.org/officeDocument/2006/relationships/hyperlink" Target="https://doi.org/10.1016/j.oneear.2026.101656" TargetMode="External"/><Relationship Id="rId460" Type="http://schemas.openxmlformats.org/officeDocument/2006/relationships/hyperlink" Target="https://www.sciencedirect.com/science/article/pii/S0306261926003570?dgcid=rss_sd_all" TargetMode="External"/><Relationship Id="rId461" Type="http://schemas.openxmlformats.org/officeDocument/2006/relationships/hyperlink" Target="https://www.nature.com/articles/s44359-026-00157-2" TargetMode="External"/><Relationship Id="rId462" Type="http://schemas.openxmlformats.org/officeDocument/2006/relationships/hyperlink" Target="https://doi.org/10.1038/s44359-026-00157-2" TargetMode="External"/><Relationship Id="rId463" Type="http://schemas.openxmlformats.org/officeDocument/2006/relationships/hyperlink" Target="https://www.sciencedirect.com/science/article/pii/S0306261926003740?dgcid=rss_sd_all" TargetMode="External"/><Relationship Id="rId464" Type="http://schemas.openxmlformats.org/officeDocument/2006/relationships/hyperlink" Target="https://www.sciencedirect.com/science/article/pii/S0306261926003910?dgcid=rss_sd_all" TargetMode="External"/><Relationship Id="rId465" Type="http://schemas.openxmlformats.org/officeDocument/2006/relationships/hyperlink" Target="https://www.nature.com/articles/s41928-026-01593-5" TargetMode="External"/><Relationship Id="rId466" Type="http://schemas.openxmlformats.org/officeDocument/2006/relationships/hyperlink" Target="https://doi.org/10.1038/s41928-026-01593-5" TargetMode="External"/><Relationship Id="rId467" Type="http://schemas.openxmlformats.org/officeDocument/2006/relationships/hyperlink" Target="https://www.sciencedirect.com/science/article/pii/S030626192600334X?dgcid=rss_sd_all" TargetMode="External"/><Relationship Id="rId468" Type="http://schemas.openxmlformats.org/officeDocument/2006/relationships/hyperlink" Target="https://www.sciencedirect.com/science/article/pii/S030626192600396X?dgcid=rss_sd_all" TargetMode="External"/><Relationship Id="rId469" Type="http://schemas.openxmlformats.org/officeDocument/2006/relationships/hyperlink" Target="https://www.nature.com/articles/d41586-026-00932-y" TargetMode="External"/><Relationship Id="rId470" Type="http://schemas.openxmlformats.org/officeDocument/2006/relationships/hyperlink" Target="https://doi.org/10.1038/d41586-026-00932-y" TargetMode="External"/><Relationship Id="rId471" Type="http://schemas.openxmlformats.org/officeDocument/2006/relationships/hyperlink" Target="https://onlinelibrary.wiley.com/doi/10.1002/anie.8868255?af=R" TargetMode="External"/><Relationship Id="rId472" Type="http://schemas.openxmlformats.org/officeDocument/2006/relationships/hyperlink" Target="https://doi.org/10.1002/anie.8868255" TargetMode="External"/><Relationship Id="rId473" Type="http://schemas.openxmlformats.org/officeDocument/2006/relationships/hyperlink" Target="https://onlinelibrary.wiley.com/doi/10.1002/anie.4969685?af=R" TargetMode="External"/><Relationship Id="rId474" Type="http://schemas.openxmlformats.org/officeDocument/2006/relationships/hyperlink" Target="https://doi.org/10.1002/anie.4969685" TargetMode="External"/><Relationship Id="rId475" Type="http://schemas.openxmlformats.org/officeDocument/2006/relationships/hyperlink" Target="https://onlinelibrary.wiley.com/doi/10.1002/anie.9901177?af=R" TargetMode="External"/><Relationship Id="rId476" Type="http://schemas.openxmlformats.org/officeDocument/2006/relationships/hyperlink" Target="https://doi.org/10.1002/anie.9901177" TargetMode="External"/><Relationship Id="rId477" Type="http://schemas.openxmlformats.org/officeDocument/2006/relationships/hyperlink" Target="https://onlinelibrary.wiley.com/doi/10.1002/anie.202525681?af=R" TargetMode="External"/><Relationship Id="rId478" Type="http://schemas.openxmlformats.org/officeDocument/2006/relationships/hyperlink" Target="https://doi.org/10.1002/anie.202525681" TargetMode="External"/><Relationship Id="rId479" Type="http://schemas.openxmlformats.org/officeDocument/2006/relationships/hyperlink" Target="https://onlinelibrary.wiley.com/doi/10.1002/anie.7386489?af=R" TargetMode="External"/><Relationship Id="rId480" Type="http://schemas.openxmlformats.org/officeDocument/2006/relationships/hyperlink" Target="https://doi.org/10.1002/anie.7386489" TargetMode="External"/><Relationship Id="rId481" Type="http://schemas.openxmlformats.org/officeDocument/2006/relationships/hyperlink" Target="https://onlinelibrary.wiley.com/doi/10.1002/anie.202524811?af=R" TargetMode="External"/><Relationship Id="rId482" Type="http://schemas.openxmlformats.org/officeDocument/2006/relationships/hyperlink" Target="https://doi.org/10.1002/anie.202524811" TargetMode="External"/><Relationship Id="rId483" Type="http://schemas.openxmlformats.org/officeDocument/2006/relationships/hyperlink" Target="https://onlinelibrary.wiley.com/doi/10.1002/anie.2797925?af=R" TargetMode="External"/><Relationship Id="rId484" Type="http://schemas.openxmlformats.org/officeDocument/2006/relationships/hyperlink" Target="https://doi.org/10.1002/anie.2797925" TargetMode="External"/><Relationship Id="rId485" Type="http://schemas.openxmlformats.org/officeDocument/2006/relationships/hyperlink" Target="https://onlinelibrary.wiley.com/doi/10.1002/anie.6271309?af=R" TargetMode="External"/><Relationship Id="rId486" Type="http://schemas.openxmlformats.org/officeDocument/2006/relationships/hyperlink" Target="https://doi.org/10.1002/anie.6271309" TargetMode="External"/><Relationship Id="rId487" Type="http://schemas.openxmlformats.org/officeDocument/2006/relationships/hyperlink" Target="https://onlinelibrary.wiley.com/doi/10.1002/anie.202523888?af=R" TargetMode="External"/><Relationship Id="rId488" Type="http://schemas.openxmlformats.org/officeDocument/2006/relationships/hyperlink" Target="https://doi.org/10.1002/anie.202523888" TargetMode="External"/><Relationship Id="rId489" Type="http://schemas.openxmlformats.org/officeDocument/2006/relationships/hyperlink" Target="https://onlinelibrary.wiley.com/doi/10.1002/anie.1371160?af=R" TargetMode="External"/><Relationship Id="rId490" Type="http://schemas.openxmlformats.org/officeDocument/2006/relationships/hyperlink" Target="https://doi.org/10.1002/anie.1371160" TargetMode="External"/><Relationship Id="rId491" Type="http://schemas.openxmlformats.org/officeDocument/2006/relationships/hyperlink" Target="https://onlinelibrary.wiley.com/doi/10.1002/anie.1981919?af=R" TargetMode="External"/><Relationship Id="rId492" Type="http://schemas.openxmlformats.org/officeDocument/2006/relationships/hyperlink" Target="https://doi.org/10.1002/anie.1981919" TargetMode="External"/><Relationship Id="rId493" Type="http://schemas.openxmlformats.org/officeDocument/2006/relationships/hyperlink" Target="https://onlinelibrary.wiley.com/doi/10.1002/anie.4973244?af=R" TargetMode="External"/><Relationship Id="rId494" Type="http://schemas.openxmlformats.org/officeDocument/2006/relationships/hyperlink" Target="https://doi.org/10.1002/anie.4973244" TargetMode="External"/><Relationship Id="rId495" Type="http://schemas.openxmlformats.org/officeDocument/2006/relationships/hyperlink" Target="https://www.pnas.org/doi/abs/10.1073/pnas.2529493123?mi=eymic2&amp;af=R&amp;access=on&amp;content=articlesChapters&amp;publication=pnas&amp;sortBy=Earliest&amp;target=default" TargetMode="External"/><Relationship Id="rId496" Type="http://schemas.openxmlformats.org/officeDocument/2006/relationships/hyperlink" Target="https://doi.org/10.1073/pnas.2529493123" TargetMode="External"/><Relationship Id="rId497" Type="http://schemas.openxmlformats.org/officeDocument/2006/relationships/hyperlink" Target="https://www.pnas.org/doi/abs/10.1073/pnas.2514645123?mi=eymic2&amp;af=R&amp;access=on&amp;content=articlesChapters&amp;publication=pnas&amp;sortBy=Earliest&amp;target=default" TargetMode="External"/><Relationship Id="rId498" Type="http://schemas.openxmlformats.org/officeDocument/2006/relationships/hyperlink" Target="https://doi.org/10.1073/pnas.2514645123" TargetMode="External"/><Relationship Id="rId499" Type="http://schemas.openxmlformats.org/officeDocument/2006/relationships/hyperlink" Target="https://www.pnas.org/doi/abs/10.1073/pnas.2524661123?mi=eymic2&amp;af=R&amp;access=on&amp;content=articlesChapters&amp;publication=pnas&amp;sortBy=Earliest&amp;target=default" TargetMode="External"/><Relationship Id="rId500" Type="http://schemas.openxmlformats.org/officeDocument/2006/relationships/hyperlink" Target="https://doi.org/10.1073/pnas.2524661123" TargetMode="External"/><Relationship Id="rId501" Type="http://schemas.openxmlformats.org/officeDocument/2006/relationships/hyperlink" Target="https://www.pnas.org/doi/abs/10.1073/pnas.2525327123?mi=eymic2&amp;af=R&amp;access=on&amp;content=articlesChapters&amp;publication=pnas&amp;sortBy=Earliest&amp;target=default" TargetMode="External"/><Relationship Id="rId502" Type="http://schemas.openxmlformats.org/officeDocument/2006/relationships/hyperlink" Target="https://doi.org/10.1073/pnas.2525327123" TargetMode="External"/><Relationship Id="rId503" Type="http://schemas.openxmlformats.org/officeDocument/2006/relationships/hyperlink" Target="https://www.pnas.org/doi/abs/10.1073/pnas.2526550123?mi=eymic2&amp;af=R&amp;access=on&amp;content=articlesChapters&amp;publication=pnas&amp;sortBy=Earliest&amp;target=default" TargetMode="External"/><Relationship Id="rId504" Type="http://schemas.openxmlformats.org/officeDocument/2006/relationships/hyperlink" Target="https://doi.org/10.1073/pnas.2526550123" TargetMode="External"/><Relationship Id="rId505" Type="http://schemas.openxmlformats.org/officeDocument/2006/relationships/hyperlink" Target="https://www.pnas.org/doi/abs/10.1073/pnas.2528153123?mi=eymic2&amp;af=R&amp;access=on&amp;content=articlesChapters&amp;publication=pnas&amp;sortBy=Earliest&amp;target=default" TargetMode="External"/><Relationship Id="rId506" Type="http://schemas.openxmlformats.org/officeDocument/2006/relationships/hyperlink" Target="https://doi.org/10.1073/pnas.2528153123" TargetMode="External"/><Relationship Id="rId507" Type="http://schemas.openxmlformats.org/officeDocument/2006/relationships/hyperlink" Target="https://www.pnas.org/doi/abs/10.1073/pnas.2528407123?mi=eymic2&amp;af=R&amp;access=on&amp;content=articlesChapters&amp;publication=pnas&amp;sortBy=Earliest&amp;target=default" TargetMode="External"/><Relationship Id="rId508" Type="http://schemas.openxmlformats.org/officeDocument/2006/relationships/hyperlink" Target="https://doi.org/10.1073/pnas.2528407123" TargetMode="External"/><Relationship Id="rId509" Type="http://schemas.openxmlformats.org/officeDocument/2006/relationships/hyperlink" Target="https://www.pnas.org/doi/abs/10.1073/pnas.2532683123?mi=eymic2&amp;af=R&amp;access=on&amp;content=articlesChapters&amp;publication=pnas&amp;sortBy=Earliest&amp;target=default" TargetMode="External"/><Relationship Id="rId510" Type="http://schemas.openxmlformats.org/officeDocument/2006/relationships/hyperlink" Target="https://doi.org/10.1073/pnas.2532683123" TargetMode="External"/><Relationship Id="rId511" Type="http://schemas.openxmlformats.org/officeDocument/2006/relationships/hyperlink" Target="https://www.pnas.org/doi/abs/10.1073/pnas.2520352123?mi=eymic2&amp;af=R&amp;access=on&amp;content=articlesChapters&amp;publication=pnas&amp;sortBy=Earliest&amp;target=default" TargetMode="External"/><Relationship Id="rId512" Type="http://schemas.openxmlformats.org/officeDocument/2006/relationships/hyperlink" Target="https://doi.org/10.1073/pnas.2520352123" TargetMode="External"/><Relationship Id="rId513" Type="http://schemas.openxmlformats.org/officeDocument/2006/relationships/hyperlink" Target="https://www.pnas.org/doi/abs/10.1073/pnas.2535653123?mi=eymic2&amp;af=R&amp;access=on&amp;content=articlesChapters&amp;publication=pnas&amp;sortBy=Earliest&amp;target=default" TargetMode="External"/><Relationship Id="rId514" Type="http://schemas.openxmlformats.org/officeDocument/2006/relationships/hyperlink" Target="https://doi.org/10.1073/pnas.2535653123" TargetMode="External"/><Relationship Id="rId515" Type="http://schemas.openxmlformats.org/officeDocument/2006/relationships/hyperlink" Target="https://www.pnas.org/doi/abs/10.1073/pnas.2535665123?mi=eymic2&amp;af=R&amp;access=on&amp;content=articlesChapters&amp;publication=pnas&amp;sortBy=Earliest&amp;target=default" TargetMode="External"/><Relationship Id="rId516" Type="http://schemas.openxmlformats.org/officeDocument/2006/relationships/hyperlink" Target="https://doi.org/10.1073/pnas.2535665123" TargetMode="External"/><Relationship Id="rId517" Type="http://schemas.openxmlformats.org/officeDocument/2006/relationships/hyperlink" Target="https://www.pnas.org/doi/abs/10.1073/pnas.2537533123?mi=eymic2&amp;af=R&amp;access=on&amp;content=articlesChapters&amp;publication=pnas&amp;sortBy=Earliest&amp;target=default" TargetMode="External"/><Relationship Id="rId518" Type="http://schemas.openxmlformats.org/officeDocument/2006/relationships/hyperlink" Target="https://doi.org/10.1073/pnas.2537533123" TargetMode="External"/><Relationship Id="rId519" Type="http://schemas.openxmlformats.org/officeDocument/2006/relationships/hyperlink" Target="https://www.pnas.org/doi/abs/10.1073/pnas.2537571123?mi=eymic2&amp;af=R&amp;access=on&amp;content=articlesChapters&amp;publication=pnas&amp;sortBy=Earliest&amp;target=default" TargetMode="External"/><Relationship Id="rId520" Type="http://schemas.openxmlformats.org/officeDocument/2006/relationships/hyperlink" Target="https://doi.org/10.1073/pnas.2537571123" TargetMode="External"/><Relationship Id="rId521" Type="http://schemas.openxmlformats.org/officeDocument/2006/relationships/hyperlink" Target="https://www.pnas.org/doi/abs/10.1073/pnas.2602529123?mi=eymic2&amp;af=R&amp;access=on&amp;content=articlesChapters&amp;publication=pnas&amp;sortBy=Earliest&amp;target=default" TargetMode="External"/><Relationship Id="rId522" Type="http://schemas.openxmlformats.org/officeDocument/2006/relationships/hyperlink" Target="https://doi.org/10.1073/pnas.2602529123" TargetMode="External"/><Relationship Id="rId523" Type="http://schemas.openxmlformats.org/officeDocument/2006/relationships/hyperlink" Target="https://www.pnas.org/doi/abs/10.1073/iti1226123?mi=eymic2&amp;af=R&amp;access=on&amp;content=articlesChapters&amp;publication=pnas&amp;sortBy=Earliest&amp;target=default" TargetMode="External"/><Relationship Id="rId524" Type="http://schemas.openxmlformats.org/officeDocument/2006/relationships/hyperlink" Target="https://doi.org/10.1073/iti1226123" TargetMode="External"/><Relationship Id="rId525" Type="http://schemas.openxmlformats.org/officeDocument/2006/relationships/hyperlink" Target="https://www.pnas.org/doi/abs/10.1073/pnas.2608616123?mi=eymic2&amp;af=R&amp;access=on&amp;content=articlesChapters&amp;publication=pnas&amp;sortBy=Earliest&amp;target=default" TargetMode="External"/><Relationship Id="rId526" Type="http://schemas.openxmlformats.org/officeDocument/2006/relationships/hyperlink" Target="https://doi.org/10.1073/pnas.2608616123" TargetMode="External"/><Relationship Id="rId527" Type="http://schemas.openxmlformats.org/officeDocument/2006/relationships/hyperlink" Target="https://www.pnas.org/doi/abs/10.1073/pnas.2513459123?mi=eymic2&amp;af=R&amp;access=on&amp;content=articlesChapters&amp;publication=pnas&amp;sortBy=Earliest&amp;target=default" TargetMode="External"/><Relationship Id="rId528" Type="http://schemas.openxmlformats.org/officeDocument/2006/relationships/hyperlink" Target="https://doi.org/10.1073/pnas.2513459123" TargetMode="External"/><Relationship Id="rId529" Type="http://schemas.openxmlformats.org/officeDocument/2006/relationships/hyperlink" Target="https://www.pnas.org/doi/abs/10.1073/pnas.2523453123?mi=eymic2&amp;af=R&amp;access=on&amp;content=articlesChapters&amp;publication=pnas&amp;sortBy=Earliest&amp;target=default" TargetMode="External"/><Relationship Id="rId530" Type="http://schemas.openxmlformats.org/officeDocument/2006/relationships/hyperlink" Target="https://doi.org/10.1073/pnas.2523453123" TargetMode="External"/><Relationship Id="rId531" Type="http://schemas.openxmlformats.org/officeDocument/2006/relationships/hyperlink" Target="https://advanced.onlinelibrary.wiley.com/doi/10.1002/adma.202519211?af=R" TargetMode="External"/><Relationship Id="rId532" Type="http://schemas.openxmlformats.org/officeDocument/2006/relationships/hyperlink" Target="https://doi.org/10.1002/adma.202519211" TargetMode="External"/><Relationship Id="rId533" Type="http://schemas.openxmlformats.org/officeDocument/2006/relationships/hyperlink" Target="http://dx.doi.org/10.1021/jacs.5c18732" TargetMode="External"/><Relationship Id="rId534" Type="http://schemas.openxmlformats.org/officeDocument/2006/relationships/hyperlink" Target="https://doi.org/10.1021/jacs.5c18732" TargetMode="External"/><Relationship Id="rId535" Type="http://schemas.openxmlformats.org/officeDocument/2006/relationships/hyperlink" Target="http://dx.doi.org/10.1021/jacs.5c23283" TargetMode="External"/><Relationship Id="rId536" Type="http://schemas.openxmlformats.org/officeDocument/2006/relationships/hyperlink" Target="https://doi.org/10.1021/jacs.5c23283" TargetMode="External"/><Relationship Id="rId537" Type="http://schemas.openxmlformats.org/officeDocument/2006/relationships/hyperlink" Target="https://onlinelibrary.wiley.com/doi/10.1002/anie.202520817?af=R" TargetMode="External"/><Relationship Id="rId538" Type="http://schemas.openxmlformats.org/officeDocument/2006/relationships/hyperlink" Target="https://doi.org/10.1002/anie.202520817" TargetMode="External"/><Relationship Id="rId539" Type="http://schemas.openxmlformats.org/officeDocument/2006/relationships/hyperlink" Target="https://advanced.onlinelibrary.wiley.com/doi/10.1002/aenm.70851?af=R" TargetMode="External"/><Relationship Id="rId540" Type="http://schemas.openxmlformats.org/officeDocument/2006/relationships/hyperlink" Target="https://doi.org/10.1002/aenm.70851" TargetMode="External"/><Relationship Id="rId541" Type="http://schemas.openxmlformats.org/officeDocument/2006/relationships/hyperlink" Target="https://advanced.onlinelibrary.wiley.com/doi/10.1002/adma.202516347?af=R" TargetMode="External"/><Relationship Id="rId542" Type="http://schemas.openxmlformats.org/officeDocument/2006/relationships/hyperlink" Target="https://doi.org/10.1002/adma.202516347" TargetMode="External"/><Relationship Id="rId543" Type="http://schemas.openxmlformats.org/officeDocument/2006/relationships/hyperlink" Target="https://onlinelibrary.wiley.com/doi/10.1002/anie.9028210?af=R" TargetMode="External"/><Relationship Id="rId544" Type="http://schemas.openxmlformats.org/officeDocument/2006/relationships/hyperlink" Target="https://doi.org/10.1002/anie.9028210" TargetMode="External"/><Relationship Id="rId545" Type="http://schemas.openxmlformats.org/officeDocument/2006/relationships/hyperlink" Target="http://dx.doi.org/10.1021/acs.chemrev.5c00347" TargetMode="External"/><Relationship Id="rId546" Type="http://schemas.openxmlformats.org/officeDocument/2006/relationships/hyperlink" Target="https://doi.org/10.1021/acs.chemrev.5c00347" TargetMode="External"/><Relationship Id="rId547" Type="http://schemas.openxmlformats.org/officeDocument/2006/relationships/hyperlink" Target="https://onlinelibrary.wiley.com/doi/10.1002/anie.202514065?af=R" TargetMode="External"/><Relationship Id="rId548" Type="http://schemas.openxmlformats.org/officeDocument/2006/relationships/hyperlink" Target="https://doi.org/10.1002/anie.202514065" TargetMode="External"/><Relationship Id="rId549" Type="http://schemas.openxmlformats.org/officeDocument/2006/relationships/hyperlink" Target="http://dx.doi.org/10.1021/jacs.6c00080" TargetMode="External"/><Relationship Id="rId550" Type="http://schemas.openxmlformats.org/officeDocument/2006/relationships/hyperlink" Target="https://doi.org/10.1021/jacs.6c00080" TargetMode="External"/><Relationship Id="rId551" Type="http://schemas.openxmlformats.org/officeDocument/2006/relationships/hyperlink" Target="http://dx.doi.org/10.1021/acsenergylett.5c04174" TargetMode="External"/><Relationship Id="rId552" Type="http://schemas.openxmlformats.org/officeDocument/2006/relationships/hyperlink" Target="https://doi.org/10.1021/acsenergylett.5c04174" TargetMode="External"/><Relationship Id="rId553" Type="http://schemas.openxmlformats.org/officeDocument/2006/relationships/hyperlink" Target="https://advanced.onlinelibrary.wiley.com/doi/10.1002/adma.72889?af=R" TargetMode="External"/><Relationship Id="rId554" Type="http://schemas.openxmlformats.org/officeDocument/2006/relationships/hyperlink" Target="https://doi.org/10.1002/adma.72889" TargetMode="External"/><Relationship Id="rId555" Type="http://schemas.openxmlformats.org/officeDocument/2006/relationships/hyperlink" Target="http://dx.doi.org/10.1021/acsenergylett.5c04253" TargetMode="External"/><Relationship Id="rId556" Type="http://schemas.openxmlformats.org/officeDocument/2006/relationships/hyperlink" Target="https://doi.org/10.1021/acsenergylett.5c04253" TargetMode="External"/><Relationship Id="rId557" Type="http://schemas.openxmlformats.org/officeDocument/2006/relationships/hyperlink" Target="http://dx.doi.org/10.1021/acs.chemrev.5c00764" TargetMode="External"/><Relationship Id="rId558" Type="http://schemas.openxmlformats.org/officeDocument/2006/relationships/hyperlink" Target="https://doi.org/10.1021/acs.chemrev.5c00764" TargetMode="External"/><Relationship Id="rId559" Type="http://schemas.openxmlformats.org/officeDocument/2006/relationships/hyperlink" Target="http://dx.doi.org/10.1021/jacs.5c19973" TargetMode="External"/><Relationship Id="rId560" Type="http://schemas.openxmlformats.org/officeDocument/2006/relationships/hyperlink" Target="https://doi.org/10.1021/jacs.5c19973" TargetMode="External"/><Relationship Id="rId561" Type="http://schemas.openxmlformats.org/officeDocument/2006/relationships/hyperlink" Target="http://dx.doi.org/10.1021/jacs.6c01374" TargetMode="External"/><Relationship Id="rId562" Type="http://schemas.openxmlformats.org/officeDocument/2006/relationships/hyperlink" Target="https://doi.org/10.1021/jacs.6c01374" TargetMode="External"/><Relationship Id="rId563" Type="http://schemas.openxmlformats.org/officeDocument/2006/relationships/hyperlink" Target="http://dx.doi.org/10.1021/jacs.5c21710" TargetMode="External"/><Relationship Id="rId564" Type="http://schemas.openxmlformats.org/officeDocument/2006/relationships/hyperlink" Target="https://doi.org/10.1021/jacs.5c21710" TargetMode="External"/><Relationship Id="rId565" Type="http://schemas.openxmlformats.org/officeDocument/2006/relationships/hyperlink" Target="http://dx.doi.org/10.1021/jacs.6c02151" TargetMode="External"/><Relationship Id="rId566" Type="http://schemas.openxmlformats.org/officeDocument/2006/relationships/hyperlink" Target="https://doi.org/10.1021/jacs.6c02151" TargetMode="External"/><Relationship Id="rId567" Type="http://schemas.openxmlformats.org/officeDocument/2006/relationships/hyperlink" Target="http://dx.doi.org/10.1021/jacs.6c01182" TargetMode="External"/><Relationship Id="rId568" Type="http://schemas.openxmlformats.org/officeDocument/2006/relationships/hyperlink" Target="https://doi.org/10.1021/jacs.6c01182" TargetMode="External"/><Relationship Id="rId569" Type="http://schemas.openxmlformats.org/officeDocument/2006/relationships/hyperlink" Target="http://dx.doi.org/10.1021/jacs.5c19614" TargetMode="External"/><Relationship Id="rId570" Type="http://schemas.openxmlformats.org/officeDocument/2006/relationships/hyperlink" Target="https://doi.org/10.1021/jacs.5c19614" TargetMode="External"/><Relationship Id="rId571" Type="http://schemas.openxmlformats.org/officeDocument/2006/relationships/hyperlink" Target="http://dx.doi.org/10.1021/jacs.5c21425" TargetMode="External"/><Relationship Id="rId572" Type="http://schemas.openxmlformats.org/officeDocument/2006/relationships/hyperlink" Target="https://doi.org/10.1021/jacs.5c21425" TargetMode="External"/><Relationship Id="rId573" Type="http://schemas.openxmlformats.org/officeDocument/2006/relationships/hyperlink" Target="http://dx.doi.org/10.1021/jacs.5c21819" TargetMode="External"/><Relationship Id="rId574" Type="http://schemas.openxmlformats.org/officeDocument/2006/relationships/hyperlink" Target="https://doi.org/10.1021/jacs.5c21819" TargetMode="External"/><Relationship Id="rId575" Type="http://schemas.openxmlformats.org/officeDocument/2006/relationships/hyperlink" Target="http://dx.doi.org/10.1021/acs.chemrev.5c01095" TargetMode="External"/><Relationship Id="rId576" Type="http://schemas.openxmlformats.org/officeDocument/2006/relationships/hyperlink" Target="https://doi.org/10.1021/acs.chemrev.5c01095" TargetMode="External"/><Relationship Id="rId577" Type="http://schemas.openxmlformats.org/officeDocument/2006/relationships/hyperlink" Target="https://www.nature.com/articles/s41586-026-10288-y" TargetMode="External"/><Relationship Id="rId578" Type="http://schemas.openxmlformats.org/officeDocument/2006/relationships/hyperlink" Target="https://doi.org/10.1038/s41586-026-10288-y" TargetMode="External"/><Relationship Id="rId579" Type="http://schemas.openxmlformats.org/officeDocument/2006/relationships/hyperlink" Target="https://www.nature.com/articles/d41586-026-00900-6" TargetMode="External"/><Relationship Id="rId580" Type="http://schemas.openxmlformats.org/officeDocument/2006/relationships/hyperlink" Target="https://doi.org/10.1038/d41586-026-00900-6" TargetMode="External"/><Relationship Id="rId581" Type="http://schemas.openxmlformats.org/officeDocument/2006/relationships/hyperlink" Target="https://www.nature.com/articles/d41586-026-00427-w" TargetMode="External"/><Relationship Id="rId582" Type="http://schemas.openxmlformats.org/officeDocument/2006/relationships/hyperlink" Target="https://doi.org/10.1038/d41586-026-00427-w" TargetMode="External"/><Relationship Id="rId583" Type="http://schemas.openxmlformats.org/officeDocument/2006/relationships/hyperlink" Target="https://www.nature.com/articles/d41586-026-00952-8" TargetMode="External"/><Relationship Id="rId584" Type="http://schemas.openxmlformats.org/officeDocument/2006/relationships/hyperlink" Target="https://doi.org/10.1038/d41586-026-00952-8" TargetMode="External"/><Relationship Id="rId585" Type="http://schemas.openxmlformats.org/officeDocument/2006/relationships/hyperlink" Target="https://www.nature.com/articles/s41586-026-10273-5" TargetMode="External"/><Relationship Id="rId586" Type="http://schemas.openxmlformats.org/officeDocument/2006/relationships/hyperlink" Target="https://doi.org/10.1038/s41586-026-10273-5" TargetMode="External"/><Relationship Id="rId587" Type="http://schemas.openxmlformats.org/officeDocument/2006/relationships/hyperlink" Target="https://www.nature.com/articles/d41586-026-00638-1" TargetMode="External"/><Relationship Id="rId588" Type="http://schemas.openxmlformats.org/officeDocument/2006/relationships/hyperlink" Target="https://doi.org/10.1038/d41586-026-00638-1" TargetMode="External"/><Relationship Id="rId589" Type="http://schemas.openxmlformats.org/officeDocument/2006/relationships/hyperlink" Target="https://www.nature.com/articles/d41586-026-00878-1" TargetMode="External"/><Relationship Id="rId590" Type="http://schemas.openxmlformats.org/officeDocument/2006/relationships/hyperlink" Target="https://doi.org/10.1038/d41586-026-00878-1" TargetMode="External"/><Relationship Id="rId591" Type="http://schemas.openxmlformats.org/officeDocument/2006/relationships/hyperlink" Target="https://www.nature.com/articles/d41586-026-00614-9" TargetMode="External"/><Relationship Id="rId592" Type="http://schemas.openxmlformats.org/officeDocument/2006/relationships/hyperlink" Target="https://doi.org/10.1038/d41586-026-00614-9" TargetMode="External"/><Relationship Id="rId593" Type="http://schemas.openxmlformats.org/officeDocument/2006/relationships/hyperlink" Target="https://www.nature.com/articles/s41586-026-10292-2" TargetMode="External"/><Relationship Id="rId594" Type="http://schemas.openxmlformats.org/officeDocument/2006/relationships/hyperlink" Target="https://doi.org/10.1038/s41586-026-10292-2" TargetMode="External"/><Relationship Id="rId595" Type="http://schemas.openxmlformats.org/officeDocument/2006/relationships/hyperlink" Target="https://www.nature.com/articles/d41586-026-00640-7" TargetMode="External"/><Relationship Id="rId596" Type="http://schemas.openxmlformats.org/officeDocument/2006/relationships/hyperlink" Target="https://doi.org/10.1038/d41586-026-00640-7" TargetMode="External"/><Relationship Id="rId597" Type="http://schemas.openxmlformats.org/officeDocument/2006/relationships/hyperlink" Target="https://www.nature.com/articles/d41586-026-00425-y" TargetMode="External"/><Relationship Id="rId598" Type="http://schemas.openxmlformats.org/officeDocument/2006/relationships/hyperlink" Target="https://doi.org/10.1038/d41586-026-00425-y" TargetMode="External"/><Relationship Id="rId599" Type="http://schemas.openxmlformats.org/officeDocument/2006/relationships/hyperlink" Target="https://www.nature.com/articles/s41586-026-10276-2" TargetMode="External"/><Relationship Id="rId600" Type="http://schemas.openxmlformats.org/officeDocument/2006/relationships/hyperlink" Target="https://doi.org/10.1038/s41586-026-10276-2" TargetMode="External"/><Relationship Id="rId601" Type="http://schemas.openxmlformats.org/officeDocument/2006/relationships/hyperlink" Target="https://www.nature.com/articles/s41586-026-10267-3" TargetMode="External"/><Relationship Id="rId602" Type="http://schemas.openxmlformats.org/officeDocument/2006/relationships/hyperlink" Target="https://doi.org/10.1038/s41586-026-10267-3" TargetMode="External"/><Relationship Id="rId603" Type="http://schemas.openxmlformats.org/officeDocument/2006/relationships/hyperlink" Target="https://www.nature.com/articles/s41586-026-10306-z" TargetMode="External"/><Relationship Id="rId604" Type="http://schemas.openxmlformats.org/officeDocument/2006/relationships/hyperlink" Target="https://doi.org/10.1038/s41586-026-10306-z" TargetMode="External"/><Relationship Id="rId605" Type="http://schemas.openxmlformats.org/officeDocument/2006/relationships/hyperlink" Target="https://www.nature.com/articles/d41586-026-00924-y" TargetMode="External"/><Relationship Id="rId606" Type="http://schemas.openxmlformats.org/officeDocument/2006/relationships/hyperlink" Target="https://doi.org/10.1038/d41586-026-00924-y" TargetMode="External"/><Relationship Id="rId607" Type="http://schemas.openxmlformats.org/officeDocument/2006/relationships/hyperlink" Target="https://www.nature.com/articles/s41557-026-02089-7" TargetMode="External"/><Relationship Id="rId608" Type="http://schemas.openxmlformats.org/officeDocument/2006/relationships/hyperlink" Target="https://doi.org/10.1038/s41557-026-02089-7" TargetMode="External"/><Relationship Id="rId609" Type="http://schemas.openxmlformats.org/officeDocument/2006/relationships/hyperlink" Target="https://www.nature.com/articles/d41586-026-00426-x" TargetMode="External"/><Relationship Id="rId610" Type="http://schemas.openxmlformats.org/officeDocument/2006/relationships/hyperlink" Target="https://doi.org/10.1038/d41586-026-00426-x" TargetMode="External"/><Relationship Id="rId611" Type="http://schemas.openxmlformats.org/officeDocument/2006/relationships/hyperlink" Target="https://www.nature.com/articles/s41586-026-10255-7" TargetMode="External"/><Relationship Id="rId612" Type="http://schemas.openxmlformats.org/officeDocument/2006/relationships/hyperlink" Target="https://doi.org/10.1038/s41586-026-10255-7" TargetMode="External"/><Relationship Id="rId613" Type="http://schemas.openxmlformats.org/officeDocument/2006/relationships/hyperlink" Target="https://www.nature.com/articles/d41586-026-00986-y" TargetMode="External"/><Relationship Id="rId614" Type="http://schemas.openxmlformats.org/officeDocument/2006/relationships/hyperlink" Target="https://doi.org/10.1038/d41586-026-00986-y" TargetMode="External"/><Relationship Id="rId615" Type="http://schemas.openxmlformats.org/officeDocument/2006/relationships/hyperlink" Target="https://www.nature.com/articles/s41586-026-10221-3" TargetMode="External"/><Relationship Id="rId616" Type="http://schemas.openxmlformats.org/officeDocument/2006/relationships/hyperlink" Target="https://doi.org/10.1038/s41586-026-10221-3" TargetMode="External"/><Relationship Id="rId617" Type="http://schemas.openxmlformats.org/officeDocument/2006/relationships/hyperlink" Target="https://www.nature.com/articles/d41586-026-00975-1" TargetMode="External"/><Relationship Id="rId618" Type="http://schemas.openxmlformats.org/officeDocument/2006/relationships/hyperlink" Target="https://doi.org/10.1038/d41586-026-00975-1" TargetMode="External"/><Relationship Id="rId619" Type="http://schemas.openxmlformats.org/officeDocument/2006/relationships/hyperlink" Target="https://www.nature.com/articles/d41586-026-00424-z" TargetMode="External"/><Relationship Id="rId620" Type="http://schemas.openxmlformats.org/officeDocument/2006/relationships/hyperlink" Target="https://doi.org/10.1038/d41586-026-00424-z" TargetMode="External"/><Relationship Id="rId621" Type="http://schemas.openxmlformats.org/officeDocument/2006/relationships/hyperlink" Target="https://www.nature.com/articles/d41586-026-00919-9" TargetMode="External"/><Relationship Id="rId622" Type="http://schemas.openxmlformats.org/officeDocument/2006/relationships/hyperlink" Target="https://doi.org/10.1038/d41586-026-00919-9" TargetMode="External"/><Relationship Id="rId623" Type="http://schemas.openxmlformats.org/officeDocument/2006/relationships/hyperlink" Target="https://www.nature.com/articles/d41586-026-00933-x" TargetMode="External"/><Relationship Id="rId624" Type="http://schemas.openxmlformats.org/officeDocument/2006/relationships/hyperlink" Target="https://doi.org/10.1038/d41586-026-00933-x" TargetMode="External"/><Relationship Id="rId625" Type="http://schemas.openxmlformats.org/officeDocument/2006/relationships/hyperlink" Target="https://www.nature.com/articles/d41586-026-00639-0" TargetMode="External"/><Relationship Id="rId626" Type="http://schemas.openxmlformats.org/officeDocument/2006/relationships/hyperlink" Target="https://doi.org/10.1038/d41586-026-00639-0" TargetMode="External"/><Relationship Id="rId627" Type="http://schemas.openxmlformats.org/officeDocument/2006/relationships/hyperlink" Target="https://www.nature.com/articles/d41586-026-00893-2" TargetMode="External"/><Relationship Id="rId628" Type="http://schemas.openxmlformats.org/officeDocument/2006/relationships/hyperlink" Target="https://doi.org/10.1038/d41586-026-00893-2" TargetMode="External"/><Relationship Id="rId629" Type="http://schemas.openxmlformats.org/officeDocument/2006/relationships/hyperlink" Target="https://www.nature.com/articles/d41586-026-00935-9" TargetMode="External"/><Relationship Id="rId630" Type="http://schemas.openxmlformats.org/officeDocument/2006/relationships/hyperlink" Target="https://doi.org/10.1038/d41586-026-00935-9" TargetMode="External"/><Relationship Id="rId631" Type="http://schemas.openxmlformats.org/officeDocument/2006/relationships/hyperlink" Target="https://www.nature.com/articles/d41586-026-00921-1" TargetMode="External"/><Relationship Id="rId632" Type="http://schemas.openxmlformats.org/officeDocument/2006/relationships/hyperlink" Target="https://doi.org/10.1038/d41586-026-00921-1" TargetMode="External"/><Relationship Id="rId633" Type="http://schemas.openxmlformats.org/officeDocument/2006/relationships/hyperlink" Target="https://www.nature.com/articles/s41586-026-10170-x" TargetMode="External"/><Relationship Id="rId634" Type="http://schemas.openxmlformats.org/officeDocument/2006/relationships/hyperlink" Target="https://doi.org/10.1038/s41586-026-10170-x" TargetMode="External"/><Relationship Id="rId635" Type="http://schemas.openxmlformats.org/officeDocument/2006/relationships/hyperlink" Target="https://www.nature.com/articles/s41586-026-10209-z" TargetMode="External"/><Relationship Id="rId636" Type="http://schemas.openxmlformats.org/officeDocument/2006/relationships/hyperlink" Target="https://doi.org/10.1038/s41586-026-10209-z" TargetMode="External"/><Relationship Id="rId637" Type="http://schemas.openxmlformats.org/officeDocument/2006/relationships/hyperlink" Target="https://www.nature.com/articles/s41586-026-10336-7" TargetMode="External"/><Relationship Id="rId638" Type="http://schemas.openxmlformats.org/officeDocument/2006/relationships/hyperlink" Target="https://doi.org/10.1038/s41586-026-10336-7" TargetMode="External"/><Relationship Id="rId639" Type="http://schemas.openxmlformats.org/officeDocument/2006/relationships/hyperlink" Target="https://www.nature.com/articles/s41586-026-10291-3" TargetMode="External"/><Relationship Id="rId640" Type="http://schemas.openxmlformats.org/officeDocument/2006/relationships/hyperlink" Target="https://doi.org/10.1038/s41586-026-10291-3" TargetMode="External"/><Relationship Id="rId641" Type="http://schemas.openxmlformats.org/officeDocument/2006/relationships/hyperlink" Target="https://www.nature.com/articles/s41586-026-10272-6" TargetMode="External"/><Relationship Id="rId642" Type="http://schemas.openxmlformats.org/officeDocument/2006/relationships/hyperlink" Target="https://doi.org/10.1038/s41586-026-10272-6" TargetMode="External"/><Relationship Id="rId643" Type="http://schemas.openxmlformats.org/officeDocument/2006/relationships/hyperlink" Target="https://www.nature.com/articles/s41586-026-10300-5" TargetMode="External"/><Relationship Id="rId644" Type="http://schemas.openxmlformats.org/officeDocument/2006/relationships/hyperlink" Target="https://doi.org/10.1038/s41586-026-10300-5" TargetMode="External"/><Relationship Id="rId645" Type="http://schemas.openxmlformats.org/officeDocument/2006/relationships/hyperlink" Target="https://www.nature.com/articles/s41586-026-10317-w" TargetMode="External"/><Relationship Id="rId646" Type="http://schemas.openxmlformats.org/officeDocument/2006/relationships/hyperlink" Target="https://doi.org/10.1038/s41586-026-10317-w" TargetMode="External"/><Relationship Id="rId647" Type="http://schemas.openxmlformats.org/officeDocument/2006/relationships/hyperlink" Target="https://www.nature.com/articles/s41586-026-10265-5" TargetMode="External"/><Relationship Id="rId648" Type="http://schemas.openxmlformats.org/officeDocument/2006/relationships/hyperlink" Target="https://doi.org/10.1038/s41586-026-10265-5" TargetMode="External"/><Relationship Id="rId649" Type="http://schemas.openxmlformats.org/officeDocument/2006/relationships/hyperlink" Target="https://www.nature.com/articles/s41586-026-10258-4" TargetMode="External"/><Relationship Id="rId650" Type="http://schemas.openxmlformats.org/officeDocument/2006/relationships/hyperlink" Target="https://doi.org/10.1038/s41586-026-10258-4" TargetMode="External"/><Relationship Id="rId651" Type="http://schemas.openxmlformats.org/officeDocument/2006/relationships/hyperlink" Target="https://www.nature.com/articles/s41586-026-10281-5" TargetMode="External"/><Relationship Id="rId652" Type="http://schemas.openxmlformats.org/officeDocument/2006/relationships/hyperlink" Target="https://doi.org/10.1038/s41586-026-10281-5" TargetMode="External"/><Relationship Id="rId653" Type="http://schemas.openxmlformats.org/officeDocument/2006/relationships/hyperlink" Target="https://www.nature.com/articles/s41586-026-10237-9" TargetMode="External"/><Relationship Id="rId654" Type="http://schemas.openxmlformats.org/officeDocument/2006/relationships/hyperlink" Target="https://doi.org/10.1038/s41586-026-10237-9" TargetMode="External"/><Relationship Id="rId655" Type="http://schemas.openxmlformats.org/officeDocument/2006/relationships/hyperlink" Target="https://www.nature.com/articles/s41586-026-10219-x" TargetMode="External"/><Relationship Id="rId656" Type="http://schemas.openxmlformats.org/officeDocument/2006/relationships/hyperlink" Target="https://doi.org/10.1038/s41586-026-10219-x" TargetMode="External"/><Relationship Id="rId657" Type="http://schemas.openxmlformats.org/officeDocument/2006/relationships/hyperlink" Target="https://www.nature.com/articles/s41586-026-10112-7" TargetMode="External"/><Relationship Id="rId658" Type="http://schemas.openxmlformats.org/officeDocument/2006/relationships/hyperlink" Target="https://doi.org/10.1038/s41586-026-10112-7" TargetMode="External"/><Relationship Id="rId659" Type="http://schemas.openxmlformats.org/officeDocument/2006/relationships/hyperlink" Target="https://www.nature.com/articles/d41586-026-00934-w" TargetMode="External"/><Relationship Id="rId660" Type="http://schemas.openxmlformats.org/officeDocument/2006/relationships/hyperlink" Target="https://doi.org/10.1038/d41586-026-00934-w" TargetMode="External"/><Relationship Id="rId661" Type="http://schemas.openxmlformats.org/officeDocument/2006/relationships/hyperlink" Target="https://www.sciencedirect.com/science/article/pii/S0301421526002041?dgcid=rss_sd_all" TargetMode="External"/><Relationship Id="rId662" Type="http://schemas.openxmlformats.org/officeDocument/2006/relationships/hyperlink" Target="https://www.nature.com/articles/s41563-026-02557-y" TargetMode="External"/><Relationship Id="rId663" Type="http://schemas.openxmlformats.org/officeDocument/2006/relationships/hyperlink" Target="https://doi.org/10.1038/s41563-026-02557-y" TargetMode="External"/><Relationship Id="rId664" Type="http://schemas.openxmlformats.org/officeDocument/2006/relationships/hyperlink" Target="https://www.nature.com/articles/s41586-026-10278-0" TargetMode="External"/><Relationship Id="rId665" Type="http://schemas.openxmlformats.org/officeDocument/2006/relationships/hyperlink" Target="https://doi.org/10.1038/s41586-026-10278-0" TargetMode="External"/><Relationship Id="rId666" Type="http://schemas.openxmlformats.org/officeDocument/2006/relationships/hyperlink" Target="https://www.nature.com/articles/s41586-026-10270-8" TargetMode="External"/><Relationship Id="rId667" Type="http://schemas.openxmlformats.org/officeDocument/2006/relationships/hyperlink" Target="https://doi.org/10.1038/s41586-026-10270-8" TargetMode="External"/><Relationship Id="rId668" Type="http://schemas.openxmlformats.org/officeDocument/2006/relationships/hyperlink" Target="https://www.nature.com/articles/s41586-026-10266-4" TargetMode="External"/><Relationship Id="rId669" Type="http://schemas.openxmlformats.org/officeDocument/2006/relationships/hyperlink" Target="https://doi.org/10.1038/s41586-026-10266-4" TargetMode="External"/><Relationship Id="rId670" Type="http://schemas.openxmlformats.org/officeDocument/2006/relationships/hyperlink" Target="https://www.nature.com/articles/s41586-026-10231-1" TargetMode="External"/><Relationship Id="rId671" Type="http://schemas.openxmlformats.org/officeDocument/2006/relationships/hyperlink" Target="https://doi.org/10.1038/s41586-026-10231-1" TargetMode="External"/><Relationship Id="rId672" Type="http://schemas.openxmlformats.org/officeDocument/2006/relationships/hyperlink" Target="https://www.nature.com/articles/d41586-026-00976-0" TargetMode="External"/><Relationship Id="rId673" Type="http://schemas.openxmlformats.org/officeDocument/2006/relationships/hyperlink" Target="https://doi.org/10.1038/d41586-026-00976-0" TargetMode="External"/><Relationship Id="rId674" Type="http://schemas.openxmlformats.org/officeDocument/2006/relationships/hyperlink" Target="https://www.nature.com/articles/s41586-026-10355-4" TargetMode="External"/><Relationship Id="rId675" Type="http://schemas.openxmlformats.org/officeDocument/2006/relationships/hyperlink" Target="https://doi.org/10.1038/s41586-026-10355-4" TargetMode="External"/><Relationship Id="rId676" Type="http://schemas.openxmlformats.org/officeDocument/2006/relationships/hyperlink" Target="https://www.sciencedirect.com/science/article/pii/S030626192600382X?dgcid=rss_sd_all" TargetMode="External"/><Relationship Id="rId677" Type="http://schemas.openxmlformats.org/officeDocument/2006/relationships/hyperlink" Target="https://www.sciencedirect.com/science/article/pii/S0306261926003934?dgcid=rss_sd_all" TargetMode="External"/><Relationship Id="rId678" Type="http://schemas.openxmlformats.org/officeDocument/2006/relationships/hyperlink" Target="https://www.nature.com/articles/s44286-026-00376-1" TargetMode="External"/><Relationship Id="rId679" Type="http://schemas.openxmlformats.org/officeDocument/2006/relationships/hyperlink" Target="https://doi.org/10.1038/s44286-026-00376-1" TargetMode="External"/><Relationship Id="rId680" Type="http://schemas.openxmlformats.org/officeDocument/2006/relationships/hyperlink" Target="http://pubs.rsc.org/en/Content/ArticleLanding/2026/CS/D5CS01429H" TargetMode="External"/><Relationship Id="rId681" Type="http://schemas.openxmlformats.org/officeDocument/2006/relationships/hyperlink" Target="http://pubs.rsc.org/en/Content/ArticleLanding/2026/CS/D5CS00738K" TargetMode="External"/><Relationship Id="rId682" Type="http://schemas.openxmlformats.org/officeDocument/2006/relationships/hyperlink" Target="https://www.sciencedirect.com/science/article/pii/S0306261926003806?dgcid=rss_sd_all" TargetMode="External"/><Relationship Id="rId683" Type="http://schemas.openxmlformats.org/officeDocument/2006/relationships/hyperlink" Target="https://www.nature.com/articles/s44286-026-00368-1" TargetMode="External"/><Relationship Id="rId684" Type="http://schemas.openxmlformats.org/officeDocument/2006/relationships/hyperlink" Target="https://doi.org/10.1038/s44286-026-00368-1" TargetMode="External"/><Relationship Id="rId685" Type="http://schemas.openxmlformats.org/officeDocument/2006/relationships/hyperlink" Target="https://www.nature.com/articles/s44286-026-00379-y" TargetMode="External"/><Relationship Id="rId686" Type="http://schemas.openxmlformats.org/officeDocument/2006/relationships/hyperlink" Target="https://doi.org/10.1038/s44286-026-00379-y" TargetMode="External"/><Relationship Id="rId687" Type="http://schemas.openxmlformats.org/officeDocument/2006/relationships/hyperlink" Target="https://www.nature.com/articles/s44286-026-00374-3" TargetMode="External"/><Relationship Id="rId688" Type="http://schemas.openxmlformats.org/officeDocument/2006/relationships/hyperlink" Target="https://doi.org/10.1038/s44286-026-00374-3" TargetMode="External"/><Relationship Id="rId689" Type="http://schemas.openxmlformats.org/officeDocument/2006/relationships/hyperlink" Target="https://www.nature.com/articles/s41467-026-70762-z" TargetMode="External"/><Relationship Id="rId690" Type="http://schemas.openxmlformats.org/officeDocument/2006/relationships/hyperlink" Target="https://doi.org/10.1038/s41467-026-70762-z" TargetMode="External"/><Relationship Id="rId691" Type="http://schemas.openxmlformats.org/officeDocument/2006/relationships/hyperlink" Target="https://www.nature.com/articles/s44359-026-00156-3" TargetMode="External"/><Relationship Id="rId692" Type="http://schemas.openxmlformats.org/officeDocument/2006/relationships/hyperlink" Target="https://doi.org/10.1038/s44359-026-00156-3" TargetMode="External"/><Relationship Id="rId693" Type="http://schemas.openxmlformats.org/officeDocument/2006/relationships/hyperlink" Target="https://www.nature.com/articles/s41893-026-01800-3" TargetMode="External"/><Relationship Id="rId694" Type="http://schemas.openxmlformats.org/officeDocument/2006/relationships/hyperlink" Target="https://doi.org/10.1038/s41893-026-01800-3" TargetMode="External"/><Relationship Id="rId695" Type="http://schemas.openxmlformats.org/officeDocument/2006/relationships/hyperlink" Target="https://www.nature.com/articles/s44286-026-00364-5" TargetMode="External"/><Relationship Id="rId696" Type="http://schemas.openxmlformats.org/officeDocument/2006/relationships/hyperlink" Target="https://doi.org/10.1038/s44286-026-00364-5" TargetMode="External"/><Relationship Id="rId697" Type="http://schemas.openxmlformats.org/officeDocument/2006/relationships/hyperlink" Target="https://www.nature.com/articles/s41928-026-01606-3" TargetMode="External"/><Relationship Id="rId698" Type="http://schemas.openxmlformats.org/officeDocument/2006/relationships/hyperlink" Target="https://doi.org/10.1038/s41928-026-01606-3" TargetMode="External"/><Relationship Id="rId699" Type="http://schemas.openxmlformats.org/officeDocument/2006/relationships/hyperlink" Target="https://www.nature.com/articles/d41586-026-00378-2" TargetMode="External"/><Relationship Id="rId700" Type="http://schemas.openxmlformats.org/officeDocument/2006/relationships/hyperlink" Target="https://doi.org/10.1038/d41586-026-00378-2" TargetMode="External"/><Relationship Id="rId701" Type="http://schemas.openxmlformats.org/officeDocument/2006/relationships/hyperlink" Target="https://www.nature.com/articles/d41586-026-00804-5" TargetMode="External"/><Relationship Id="rId702" Type="http://schemas.openxmlformats.org/officeDocument/2006/relationships/hyperlink" Target="https://doi.org/10.1038/d41586-026-00804-5" TargetMode="External"/><Relationship Id="rId703" Type="http://schemas.openxmlformats.org/officeDocument/2006/relationships/hyperlink" Target="https://www.nature.com/articles/d41586-026-00637-2" TargetMode="External"/><Relationship Id="rId704" Type="http://schemas.openxmlformats.org/officeDocument/2006/relationships/hyperlink" Target="https://doi.org/10.1038/d41586-026-00637-2" TargetMode="External"/><Relationship Id="rId705" Type="http://schemas.openxmlformats.org/officeDocument/2006/relationships/hyperlink" Target="https://www.nature.com/articles/d41586-026-00899-w" TargetMode="External"/><Relationship Id="rId706" Type="http://schemas.openxmlformats.org/officeDocument/2006/relationships/hyperlink" Target="https://doi.org/10.1038/d41586-026-00899-w" TargetMode="External"/><Relationship Id="rId707" Type="http://schemas.openxmlformats.org/officeDocument/2006/relationships/hyperlink" Target="https://www.nature.com/articles/d41586-026-00423-0" TargetMode="External"/><Relationship Id="rId708" Type="http://schemas.openxmlformats.org/officeDocument/2006/relationships/hyperlink" Target="https://doi.org/10.1038/d41586-026-00423-0" TargetMode="External"/><Relationship Id="rId709" Type="http://schemas.openxmlformats.org/officeDocument/2006/relationships/hyperlink" Target="https://www.nature.com/articles/s41586-026-10264-6" TargetMode="External"/><Relationship Id="rId710" Type="http://schemas.openxmlformats.org/officeDocument/2006/relationships/hyperlink" Target="https://doi.org/10.1038/s41586-026-10264-6" TargetMode="External"/><Relationship Id="rId711" Type="http://schemas.openxmlformats.org/officeDocument/2006/relationships/hyperlink" Target="https://www.sciencedirect.com/science/article/pii/S0306261926003156?dgcid=rss_sd_all" TargetMode="External"/><Relationship Id="rId712" Type="http://schemas.openxmlformats.org/officeDocument/2006/relationships/hyperlink" Target="https://www.nature.com/articles/s41893-026-01789-9" TargetMode="External"/><Relationship Id="rId713" Type="http://schemas.openxmlformats.org/officeDocument/2006/relationships/hyperlink" Target="https://doi.org/10.1038/s41893-026-01789-9" TargetMode="External"/><Relationship Id="rId714" Type="http://schemas.openxmlformats.org/officeDocument/2006/relationships/hyperlink" Target="https://www.sciencedirect.com/science/article/pii/S0306261926003879?dgcid=rss_sd_all" TargetMode="External"/><Relationship Id="rId715" Type="http://schemas.openxmlformats.org/officeDocument/2006/relationships/hyperlink" Target="https://www.cell.com/matter/fulltext/S2590-2385(26)00073-1?rss=yes" TargetMode="External"/><Relationship Id="rId716" Type="http://schemas.openxmlformats.org/officeDocument/2006/relationships/hyperlink" Target="https://doi.org/10.1016/j.matt.2026.102710" TargetMode="External"/><Relationship Id="rId717" Type="http://schemas.openxmlformats.org/officeDocument/2006/relationships/hyperlink" Target="https://www.cell.com/matter/fulltext/S2590-2385(26)00072-X?rss=yes" TargetMode="External"/><Relationship Id="rId718" Type="http://schemas.openxmlformats.org/officeDocument/2006/relationships/hyperlink" Target="https://doi.org/10.1016/j.matt.2026.102709" TargetMode="External"/><Relationship Id="rId719" Type="http://schemas.openxmlformats.org/officeDocument/2006/relationships/hyperlink" Target="https://www.nature.com/articles/s41928-026-01605-4" TargetMode="External"/><Relationship Id="rId720" Type="http://schemas.openxmlformats.org/officeDocument/2006/relationships/hyperlink" Target="https://doi.org/10.1038/s41928-026-01605-4" TargetMode="External"/><Relationship Id="rId721" Type="http://schemas.openxmlformats.org/officeDocument/2006/relationships/hyperlink" Target="https://www.nature.com/articles/s41893-026-01776-0" TargetMode="External"/><Relationship Id="rId722" Type="http://schemas.openxmlformats.org/officeDocument/2006/relationships/hyperlink" Target="https://doi.org/10.1038/s41893-026-01776-0" TargetMode="External"/><Relationship Id="rId723" Type="http://schemas.openxmlformats.org/officeDocument/2006/relationships/hyperlink" Target="https://www.nature.com/articles/s41467-026-71192-7" TargetMode="External"/><Relationship Id="rId724" Type="http://schemas.openxmlformats.org/officeDocument/2006/relationships/hyperlink" Target="https://doi.org/10.1038/s41467-026-71192-7" TargetMode="External"/><Relationship Id="rId725" Type="http://schemas.openxmlformats.org/officeDocument/2006/relationships/hyperlink" Target="https://www.nature.com/articles/s41928-026-01594-4" TargetMode="External"/><Relationship Id="rId726" Type="http://schemas.openxmlformats.org/officeDocument/2006/relationships/hyperlink" Target="https://doi.org/10.1038/s41928-026-01594-4" TargetMode="External"/><Relationship Id="rId727" Type="http://schemas.openxmlformats.org/officeDocument/2006/relationships/hyperlink" Target="https://advanced.onlinelibrary.wiley.com/doi/10.1002/adma.72680?af=R" TargetMode="External"/><Relationship Id="rId728" Type="http://schemas.openxmlformats.org/officeDocument/2006/relationships/hyperlink" Target="https://doi.org/10.1002/adma.72680" TargetMode="External"/><Relationship Id="rId729" Type="http://schemas.openxmlformats.org/officeDocument/2006/relationships/hyperlink" Target="https://advanced.onlinelibrary.wiley.com/doi/10.1002/adma.72676?af=R" TargetMode="External"/><Relationship Id="rId730" Type="http://schemas.openxmlformats.org/officeDocument/2006/relationships/hyperlink" Target="https://doi.org/10.1002/adma.72676" TargetMode="External"/><Relationship Id="rId731" Type="http://schemas.openxmlformats.org/officeDocument/2006/relationships/hyperlink" Target="https://advanced.onlinelibrary.wiley.com/doi/10.1002/adma.72672?af=R" TargetMode="External"/><Relationship Id="rId732" Type="http://schemas.openxmlformats.org/officeDocument/2006/relationships/hyperlink" Target="https://doi.org/10.1002/adma.72672" TargetMode="External"/><Relationship Id="rId733" Type="http://schemas.openxmlformats.org/officeDocument/2006/relationships/hyperlink" Target="https://advanced.onlinelibrary.wiley.com/doi/10.1002/adma.72668?af=R" TargetMode="External"/><Relationship Id="rId734" Type="http://schemas.openxmlformats.org/officeDocument/2006/relationships/hyperlink" Target="https://doi.org/10.1002/adma.72668" TargetMode="External"/><Relationship Id="rId735" Type="http://schemas.openxmlformats.org/officeDocument/2006/relationships/hyperlink" Target="https://advanced.onlinelibrary.wiley.com/doi/10.1002/adma.72891?af=R" TargetMode="External"/><Relationship Id="rId736" Type="http://schemas.openxmlformats.org/officeDocument/2006/relationships/hyperlink" Target="https://doi.org/10.1002/adma.72891" TargetMode="External"/><Relationship Id="rId737" Type="http://schemas.openxmlformats.org/officeDocument/2006/relationships/hyperlink" Target="https://advanced.onlinelibrary.wiley.com/doi/10.1002/adma.202522710?af=R" TargetMode="External"/><Relationship Id="rId738" Type="http://schemas.openxmlformats.org/officeDocument/2006/relationships/hyperlink" Target="https://doi.org/10.1002/adma.202522710" TargetMode="External"/><Relationship Id="rId739" Type="http://schemas.openxmlformats.org/officeDocument/2006/relationships/hyperlink" Target="https://advanced.onlinelibrary.wiley.com/doi/10.1002/adma.202518561?af=R" TargetMode="External"/><Relationship Id="rId740" Type="http://schemas.openxmlformats.org/officeDocument/2006/relationships/hyperlink" Target="https://doi.org/10.1002/adma.202518561" TargetMode="External"/><Relationship Id="rId741" Type="http://schemas.openxmlformats.org/officeDocument/2006/relationships/hyperlink" Target="https://advanced.onlinelibrary.wiley.com/doi/10.1002/adma.72861?af=R" TargetMode="External"/><Relationship Id="rId742" Type="http://schemas.openxmlformats.org/officeDocument/2006/relationships/hyperlink" Target="https://doi.org/10.1002/adma.72861" TargetMode="External"/><Relationship Id="rId743" Type="http://schemas.openxmlformats.org/officeDocument/2006/relationships/hyperlink" Target="https://www.science.org/doi/abs/10.1126/sciadv.aeb9501?af=R" TargetMode="External"/><Relationship Id="rId744" Type="http://schemas.openxmlformats.org/officeDocument/2006/relationships/hyperlink" Target="https://doi.org/10.1126/sciadv.aeb9501" TargetMode="External"/><Relationship Id="rId745" Type="http://schemas.openxmlformats.org/officeDocument/2006/relationships/hyperlink" Target="https://www.science.org/doi/abs/10.1126/sciadv.aec0986?af=R" TargetMode="External"/><Relationship Id="rId746" Type="http://schemas.openxmlformats.org/officeDocument/2006/relationships/hyperlink" Target="https://doi.org/10.1126/sciadv.aec0986" TargetMode="External"/><Relationship Id="rId747" Type="http://schemas.openxmlformats.org/officeDocument/2006/relationships/hyperlink" Target="https://www.science.org/doi/abs/10.1126/sciadv.aec2328?af=R" TargetMode="External"/><Relationship Id="rId748" Type="http://schemas.openxmlformats.org/officeDocument/2006/relationships/hyperlink" Target="https://doi.org/10.1126/sciadv.aec2328" TargetMode="External"/><Relationship Id="rId749" Type="http://schemas.openxmlformats.org/officeDocument/2006/relationships/hyperlink" Target="https://www.science.org/doi/abs/10.1126/sciadv.aec7382?af=R" TargetMode="External"/><Relationship Id="rId750" Type="http://schemas.openxmlformats.org/officeDocument/2006/relationships/hyperlink" Target="https://doi.org/10.1126/sciadv.aec7382" TargetMode="External"/><Relationship Id="rId751" Type="http://schemas.openxmlformats.org/officeDocument/2006/relationships/hyperlink" Target="https://www.science.org/doi/abs/10.1126/sciadv.aec7620?af=R" TargetMode="External"/><Relationship Id="rId752" Type="http://schemas.openxmlformats.org/officeDocument/2006/relationships/hyperlink" Target="https://doi.org/10.1126/sciadv.aec7620" TargetMode="External"/><Relationship Id="rId753" Type="http://schemas.openxmlformats.org/officeDocument/2006/relationships/hyperlink" Target="https://www.science.org/doi/abs/10.1126/sciadv.aec9284?af=R" TargetMode="External"/><Relationship Id="rId754" Type="http://schemas.openxmlformats.org/officeDocument/2006/relationships/hyperlink" Target="https://doi.org/10.1126/sciadv.aec9284" TargetMode="External"/><Relationship Id="rId755" Type="http://schemas.openxmlformats.org/officeDocument/2006/relationships/hyperlink" Target="https://www.science.org/doi/abs/10.1126/sciadv.aee4346?af=R" TargetMode="External"/><Relationship Id="rId756" Type="http://schemas.openxmlformats.org/officeDocument/2006/relationships/hyperlink" Target="https://doi.org/10.1126/sciadv.aee4346" TargetMode="External"/><Relationship Id="rId757" Type="http://schemas.openxmlformats.org/officeDocument/2006/relationships/hyperlink" Target="https://www.science.org/doi/abs/10.1126/sciadv.adz9308?af=R" TargetMode="External"/><Relationship Id="rId758" Type="http://schemas.openxmlformats.org/officeDocument/2006/relationships/hyperlink" Target="https://doi.org/10.1126/sciadv.adz9308" TargetMode="External"/><Relationship Id="rId759" Type="http://schemas.openxmlformats.org/officeDocument/2006/relationships/hyperlink" Target="https://www.science.org/doi/abs/10.1126/sciadv.adz1854?af=R" TargetMode="External"/><Relationship Id="rId760" Type="http://schemas.openxmlformats.org/officeDocument/2006/relationships/hyperlink" Target="https://doi.org/10.1126/sciadv.adz1854" TargetMode="External"/><Relationship Id="rId761" Type="http://schemas.openxmlformats.org/officeDocument/2006/relationships/hyperlink" Target="https://www.science.org/doi/abs/10.1126/sciadv.aeb8145?af=R" TargetMode="External"/><Relationship Id="rId762" Type="http://schemas.openxmlformats.org/officeDocument/2006/relationships/hyperlink" Target="https://doi.org/10.1126/sciadv.aeb8145" TargetMode="External"/><Relationship Id="rId763" Type="http://schemas.openxmlformats.org/officeDocument/2006/relationships/hyperlink" Target="https://www.science.org/doi/abs/10.1126/sciadv.aec5757?af=R" TargetMode="External"/><Relationship Id="rId764" Type="http://schemas.openxmlformats.org/officeDocument/2006/relationships/hyperlink" Target="https://doi.org/10.1126/sciadv.aec5757" TargetMode="External"/><Relationship Id="rId765" Type="http://schemas.openxmlformats.org/officeDocument/2006/relationships/hyperlink" Target="https://www.science.org/doi/abs/10.1126/sciadv.aeg8830?af=R" TargetMode="External"/><Relationship Id="rId766" Type="http://schemas.openxmlformats.org/officeDocument/2006/relationships/hyperlink" Target="https://doi.org/10.1126/sciadv.aeg8830" TargetMode="External"/><Relationship Id="rId767" Type="http://schemas.openxmlformats.org/officeDocument/2006/relationships/hyperlink" Target="https://www.science.org/doi/abs/10.1126/sciadv.aeb2016?af=R" TargetMode="External"/><Relationship Id="rId768" Type="http://schemas.openxmlformats.org/officeDocument/2006/relationships/hyperlink" Target="https://doi.org/10.1126/sciadv.aeb2016" TargetMode="External"/><Relationship Id="rId769" Type="http://schemas.openxmlformats.org/officeDocument/2006/relationships/hyperlink" Target="https://www.science.org/doi/abs/10.1126/sciadv.aea8233?af=R" TargetMode="External"/><Relationship Id="rId770" Type="http://schemas.openxmlformats.org/officeDocument/2006/relationships/hyperlink" Target="https://doi.org/10.1126/sciadv.aea8233" TargetMode="External"/><Relationship Id="rId771" Type="http://schemas.openxmlformats.org/officeDocument/2006/relationships/hyperlink" Target="https://www.science.org/doi/abs/10.1126/sciadv.aea6436?af=R" TargetMode="External"/><Relationship Id="rId772" Type="http://schemas.openxmlformats.org/officeDocument/2006/relationships/hyperlink" Target="https://doi.org/10.1126/sciadv.aea6436" TargetMode="External"/><Relationship Id="rId773" Type="http://schemas.openxmlformats.org/officeDocument/2006/relationships/hyperlink" Target="https://www.science.org/doi/abs/10.1126/sciadv.aea6020?af=R" TargetMode="External"/><Relationship Id="rId774" Type="http://schemas.openxmlformats.org/officeDocument/2006/relationships/hyperlink" Target="https://doi.org/10.1126/sciadv.aea6020" TargetMode="External"/><Relationship Id="rId775" Type="http://schemas.openxmlformats.org/officeDocument/2006/relationships/hyperlink" Target="https://www.science.org/doi/abs/10.1126/sciadv.adz5711?af=R" TargetMode="External"/><Relationship Id="rId776" Type="http://schemas.openxmlformats.org/officeDocument/2006/relationships/hyperlink" Target="https://doi.org/10.1126/sciadv.adz5711" TargetMode="External"/><Relationship Id="rId777" Type="http://schemas.openxmlformats.org/officeDocument/2006/relationships/hyperlink" Target="https://www.science.org/doi/abs/10.1126/sciadv.adz1780?af=R" TargetMode="External"/><Relationship Id="rId778" Type="http://schemas.openxmlformats.org/officeDocument/2006/relationships/hyperlink" Target="https://doi.org/10.1126/sciadv.adz1780" TargetMode="External"/><Relationship Id="rId779" Type="http://schemas.openxmlformats.org/officeDocument/2006/relationships/hyperlink" Target="https://www.science.org/doi/abs/10.1126/sciadv.adv1908?af=R" TargetMode="External"/><Relationship Id="rId780" Type="http://schemas.openxmlformats.org/officeDocument/2006/relationships/hyperlink" Target="https://doi.org/10.1126/sciadv.adv1908" TargetMode="External"/><Relationship Id="rId781" Type="http://schemas.openxmlformats.org/officeDocument/2006/relationships/hyperlink" Target="https://www.science.org/doi/abs/10.1126/sciadv.ady7595?af=R" TargetMode="External"/><Relationship Id="rId782" Type="http://schemas.openxmlformats.org/officeDocument/2006/relationships/hyperlink" Target="https://doi.org/10.1126/sciadv.ady7595" TargetMode="External"/><Relationship Id="rId783" Type="http://schemas.openxmlformats.org/officeDocument/2006/relationships/hyperlink" Target="https://www.science.org/doi/abs/10.1126/sciadv.aeb2362?af=R" TargetMode="External"/><Relationship Id="rId784" Type="http://schemas.openxmlformats.org/officeDocument/2006/relationships/hyperlink" Target="https://doi.org/10.1126/sciadv.aeb2362" TargetMode="External"/><Relationship Id="rId785" Type="http://schemas.openxmlformats.org/officeDocument/2006/relationships/hyperlink" Target="https://www.science.org/doi/abs/10.1126/sciadv.aeb7840?af=R" TargetMode="External"/><Relationship Id="rId786" Type="http://schemas.openxmlformats.org/officeDocument/2006/relationships/hyperlink" Target="https://doi.org/10.1126/sciadv.aeb7840" TargetMode="External"/><Relationship Id="rId787" Type="http://schemas.openxmlformats.org/officeDocument/2006/relationships/hyperlink" Target="https://www.science.org/doi/abs/10.1126/sciadv.adz4427?af=R" TargetMode="External"/><Relationship Id="rId788" Type="http://schemas.openxmlformats.org/officeDocument/2006/relationships/hyperlink" Target="https://doi.org/10.1126/sciadv.adz4427" TargetMode="External"/><Relationship Id="rId789" Type="http://schemas.openxmlformats.org/officeDocument/2006/relationships/hyperlink" Target="https://www.science.org/doi/abs/10.1126/sciadv.aeb6737?af=R" TargetMode="External"/><Relationship Id="rId790" Type="http://schemas.openxmlformats.org/officeDocument/2006/relationships/hyperlink" Target="https://doi.org/10.1126/sciadv.aeb6737" TargetMode="External"/><Relationship Id="rId791" Type="http://schemas.openxmlformats.org/officeDocument/2006/relationships/hyperlink" Target="https://www.pnas.org/doi/abs/10.1073/pnas.2525213123?mi=eymic2&amp;af=R&amp;access=on&amp;content=articlesChapters&amp;publication=pnas&amp;sortBy=Earliest&amp;target=default" TargetMode="External"/><Relationship Id="rId792" Type="http://schemas.openxmlformats.org/officeDocument/2006/relationships/hyperlink" Target="https://doi.org/10.1073/pnas.2525213123" TargetMode="External"/><Relationship Id="rId793" Type="http://schemas.openxmlformats.org/officeDocument/2006/relationships/hyperlink" Target="https://www.science.org/doi/abs/10.1126/sciadv.aeb6464?af=R" TargetMode="External"/><Relationship Id="rId794" Type="http://schemas.openxmlformats.org/officeDocument/2006/relationships/hyperlink" Target="https://doi.org/10.1126/sciadv.aeb6464" TargetMode="External"/><Relationship Id="rId795" Type="http://schemas.openxmlformats.org/officeDocument/2006/relationships/hyperlink" Target="https://www.pnas.org/doi/abs/10.1073/pnas.2532775123?mi=eymic2&amp;af=R&amp;access=on&amp;content=articlesChapters&amp;publication=pnas&amp;sortBy=Earliest&amp;target=default" TargetMode="External"/><Relationship Id="rId796" Type="http://schemas.openxmlformats.org/officeDocument/2006/relationships/hyperlink" Target="https://doi.org/10.1073/pnas.2532775123" TargetMode="External"/><Relationship Id="rId797" Type="http://schemas.openxmlformats.org/officeDocument/2006/relationships/hyperlink" Target="https://www.science.org/doi/abs/10.1126/sciadv.aea2112?af=R" TargetMode="External"/><Relationship Id="rId798" Type="http://schemas.openxmlformats.org/officeDocument/2006/relationships/hyperlink" Target="https://doi.org/10.1126/sciadv.aea2112" TargetMode="External"/><Relationship Id="rId799" Type="http://schemas.openxmlformats.org/officeDocument/2006/relationships/hyperlink" Target="https://www.pnas.org/doi/abs/10.1073/pnas.2534915123?mi=eymic2&amp;af=R&amp;access=on&amp;content=articlesChapters&amp;publication=pnas&amp;sortBy=Earliest&amp;target=default" TargetMode="External"/><Relationship Id="rId800" Type="http://schemas.openxmlformats.org/officeDocument/2006/relationships/hyperlink" Target="https://doi.org/10.1073/pnas.2534915123" TargetMode="External"/><Relationship Id="rId801" Type="http://schemas.openxmlformats.org/officeDocument/2006/relationships/hyperlink" Target="https://www.pnas.org/doi/abs/10.1073/pnas.2535429123?mi=eymic2&amp;af=R&amp;access=on&amp;content=articlesChapters&amp;publication=pnas&amp;sortBy=Earliest&amp;target=default" TargetMode="External"/><Relationship Id="rId802" Type="http://schemas.openxmlformats.org/officeDocument/2006/relationships/hyperlink" Target="https://doi.org/10.1073/pnas.2535429123" TargetMode="External"/><Relationship Id="rId803" Type="http://schemas.openxmlformats.org/officeDocument/2006/relationships/hyperlink" Target="https://www.pnas.org/doi/abs/10.1073/pnas.2536554123?mi=eymic2&amp;af=R&amp;access=on&amp;content=articlesChapters&amp;publication=pnas&amp;sortBy=Earliest&amp;target=default" TargetMode="External"/><Relationship Id="rId804" Type="http://schemas.openxmlformats.org/officeDocument/2006/relationships/hyperlink" Target="https://doi.org/10.1073/pnas.2536554123" TargetMode="External"/><Relationship Id="rId805" Type="http://schemas.openxmlformats.org/officeDocument/2006/relationships/hyperlink" Target="https://www.pnas.org/doi/abs/10.1073/pnas.2534817123?mi=eymic2&amp;af=R&amp;access=on&amp;content=articlesChapters&amp;publication=pnas&amp;sortBy=Earliest&amp;target=default" TargetMode="External"/><Relationship Id="rId806" Type="http://schemas.openxmlformats.org/officeDocument/2006/relationships/hyperlink" Target="https://doi.org/10.1073/pnas.2534817123" TargetMode="External"/><Relationship Id="rId807" Type="http://schemas.openxmlformats.org/officeDocument/2006/relationships/hyperlink" Target="https://www.pnas.org/doi/abs/10.1073/pnas.2529586123?mi=eymic2&amp;af=R&amp;access=on&amp;content=articlesChapters&amp;publication=pnas&amp;sortBy=Earliest&amp;target=default" TargetMode="External"/><Relationship Id="rId808" Type="http://schemas.openxmlformats.org/officeDocument/2006/relationships/hyperlink" Target="https://doi.org/10.1073/pnas.2529586123" TargetMode="External"/><Relationship Id="rId809" Type="http://schemas.openxmlformats.org/officeDocument/2006/relationships/hyperlink" Target="https://www.pnas.org/doi/abs/10.1073/pnas.2525390123?mi=eymic2&amp;af=R&amp;access=on&amp;content=articlesChapters&amp;publication=pnas&amp;sortBy=Earliest&amp;target=default" TargetMode="External"/><Relationship Id="rId810" Type="http://schemas.openxmlformats.org/officeDocument/2006/relationships/hyperlink" Target="https://doi.org/10.1073/pnas.2525390123" TargetMode="External"/><Relationship Id="rId811" Type="http://schemas.openxmlformats.org/officeDocument/2006/relationships/hyperlink" Target="https://www.pnas.org/doi/abs/10.1073/pnas.2526916123?mi=eymic2&amp;af=R&amp;access=on&amp;content=articlesChapters&amp;publication=pnas&amp;sortBy=Earliest&amp;target=default" TargetMode="External"/><Relationship Id="rId812" Type="http://schemas.openxmlformats.org/officeDocument/2006/relationships/hyperlink" Target="https://doi.org/10.1073/pnas.2526916123" TargetMode="External"/><Relationship Id="rId813" Type="http://schemas.openxmlformats.org/officeDocument/2006/relationships/hyperlink" Target="https://www.pnas.org/doi/abs/10.1073/pnas.2530459123?mi=eymic2&amp;af=R&amp;access=on&amp;content=articlesChapters&amp;publication=pnas&amp;sortBy=Earliest&amp;target=default" TargetMode="External"/><Relationship Id="rId814" Type="http://schemas.openxmlformats.org/officeDocument/2006/relationships/hyperlink" Target="https://doi.org/10.1073/pnas.2530459123" TargetMode="External"/><Relationship Id="rId815" Type="http://schemas.openxmlformats.org/officeDocument/2006/relationships/hyperlink" Target="https://www.pnas.org/doi/abs/10.1073/pnas.2530957123?mi=eymic2&amp;af=R&amp;access=on&amp;content=articlesChapters&amp;publication=pnas&amp;sortBy=Earliest&amp;target=default" TargetMode="External"/><Relationship Id="rId816" Type="http://schemas.openxmlformats.org/officeDocument/2006/relationships/hyperlink" Target="https://doi.org/10.1073/pnas.2530957123" TargetMode="External"/><Relationship Id="rId817" Type="http://schemas.openxmlformats.org/officeDocument/2006/relationships/hyperlink" Target="https://www.pnas.org/doi/abs/10.1073/pnas.2524075123?mi=eymic2&amp;af=R&amp;access=on&amp;content=articlesChapters&amp;publication=pnas&amp;sortBy=Earliest&amp;target=default" TargetMode="External"/><Relationship Id="rId818" Type="http://schemas.openxmlformats.org/officeDocument/2006/relationships/hyperlink" Target="https://doi.org/10.1073/pnas.2524075123" TargetMode="External"/><Relationship Id="rId819" Type="http://schemas.openxmlformats.org/officeDocument/2006/relationships/hyperlink" Target="https://www.pnas.org/doi/abs/10.1073/pnas.2522090123?mi=eymic2&amp;af=R&amp;access=on&amp;content=articlesChapters&amp;publication=pnas&amp;sortBy=Earliest&amp;target=default" TargetMode="External"/><Relationship Id="rId820" Type="http://schemas.openxmlformats.org/officeDocument/2006/relationships/hyperlink" Target="https://doi.org/10.1073/pnas.2522090123" TargetMode="External"/><Relationship Id="rId821" Type="http://schemas.openxmlformats.org/officeDocument/2006/relationships/hyperlink" Target="https://www.pnas.org/doi/abs/10.1073/pnas.2520119123?mi=eymic2&amp;af=R&amp;access=on&amp;content=articlesChapters&amp;publication=pnas&amp;sortBy=Earliest&amp;target=default" TargetMode="External"/><Relationship Id="rId822" Type="http://schemas.openxmlformats.org/officeDocument/2006/relationships/hyperlink" Target="https://doi.org/10.1073/pnas.2520119123" TargetMode="External"/><Relationship Id="rId823" Type="http://schemas.openxmlformats.org/officeDocument/2006/relationships/hyperlink" Target="https://www.pnas.org/doi/abs/10.1073/pnas.2518463123?mi=eymic2&amp;af=R&amp;access=on&amp;content=articlesChapters&amp;publication=pnas&amp;sortBy=Earliest&amp;target=default" TargetMode="External"/><Relationship Id="rId824" Type="http://schemas.openxmlformats.org/officeDocument/2006/relationships/hyperlink" Target="https://doi.org/10.1073/pnas.2518463123" TargetMode="External"/><Relationship Id="rId825" Type="http://schemas.openxmlformats.org/officeDocument/2006/relationships/hyperlink" Target="https://www.pnas.org/doi/abs/10.1073/pnas.2518366123?mi=eymic2&amp;af=R&amp;access=on&amp;content=articlesChapters&amp;publication=pnas&amp;sortBy=Earliest&amp;target=default" TargetMode="External"/><Relationship Id="rId826" Type="http://schemas.openxmlformats.org/officeDocument/2006/relationships/hyperlink" Target="https://doi.org/10.1073/pnas.2518366123" TargetMode="External"/><Relationship Id="rId827" Type="http://schemas.openxmlformats.org/officeDocument/2006/relationships/hyperlink" Target="https://www.pnas.org/doi/abs/10.1073/pnas.2516011123?mi=eymic2&amp;af=R&amp;access=on&amp;content=articlesChapters&amp;publication=pnas&amp;sortBy=Earliest&amp;target=default" TargetMode="External"/><Relationship Id="rId828" Type="http://schemas.openxmlformats.org/officeDocument/2006/relationships/hyperlink" Target="https://doi.org/10.1073/pnas.2516011123" TargetMode="External"/><Relationship Id="rId829" Type="http://schemas.openxmlformats.org/officeDocument/2006/relationships/hyperlink" Target="https://www.pnas.org/doi/abs/10.1073/pnas.2514928123?mi=eymic2&amp;af=R&amp;access=on&amp;content=articlesChapters&amp;publication=pnas&amp;sortBy=Earliest&amp;target=default" TargetMode="External"/><Relationship Id="rId830" Type="http://schemas.openxmlformats.org/officeDocument/2006/relationships/hyperlink" Target="https://doi.org/10.1073/pnas.2514928123" TargetMode="External"/><Relationship Id="rId831" Type="http://schemas.openxmlformats.org/officeDocument/2006/relationships/hyperlink" Target="https://www.pnas.org/doi/abs/10.1073/pnas.2514753123?mi=eymic2&amp;af=R&amp;access=on&amp;content=articlesChapters&amp;publication=pnas&amp;sortBy=Earliest&amp;target=default" TargetMode="External"/><Relationship Id="rId832" Type="http://schemas.openxmlformats.org/officeDocument/2006/relationships/hyperlink" Target="https://doi.org/10.1073/pnas.2514753123" TargetMode="External"/><Relationship Id="rId833" Type="http://schemas.openxmlformats.org/officeDocument/2006/relationships/hyperlink" Target="https://www.pnas.org/doi/abs/10.1073/pnas.2513720123?mi=eymic2&amp;af=R&amp;access=on&amp;content=articlesChapters&amp;publication=pnas&amp;sortBy=Earliest&amp;target=default" TargetMode="External"/><Relationship Id="rId834" Type="http://schemas.openxmlformats.org/officeDocument/2006/relationships/hyperlink" Target="https://doi.org/10.1073/pnas.2513720123" TargetMode="External"/><Relationship Id="rId835" Type="http://schemas.openxmlformats.org/officeDocument/2006/relationships/hyperlink" Target="https://www.pnas.org/doi/abs/10.1073/pnas.2528466123?mi=eymic2&amp;af=R&amp;access=on&amp;content=articlesChapters&amp;publication=pnas&amp;sortBy=Earliest&amp;target=default" TargetMode="External"/><Relationship Id="rId836" Type="http://schemas.openxmlformats.org/officeDocument/2006/relationships/hyperlink" Target="https://doi.org/10.1073/pnas.2528466123" TargetMode="External"/><Relationship Id="rId837" Type="http://schemas.openxmlformats.org/officeDocument/2006/relationships/hyperlink" Target="https://www.science.org/doi/abs/10.1126/sciadv.aea1127?af=R" TargetMode="External"/><Relationship Id="rId838" Type="http://schemas.openxmlformats.org/officeDocument/2006/relationships/hyperlink" Target="https://doi.org/10.1126/sciadv.aea1127" TargetMode="External"/><Relationship Id="rId839" Type="http://schemas.openxmlformats.org/officeDocument/2006/relationships/hyperlink" Target="https://www.pnas.org/doi/abs/10.1073/pnas.2523864123?mi=eymic2&amp;af=R&amp;access=on&amp;content=articlesChapters&amp;publication=pnas&amp;sortBy=Earliest&amp;target=default" TargetMode="External"/><Relationship Id="rId840" Type="http://schemas.openxmlformats.org/officeDocument/2006/relationships/hyperlink" Target="https://doi.org/10.1073/pnas.2523864123" TargetMode="External"/><Relationship Id="rId841" Type="http://schemas.openxmlformats.org/officeDocument/2006/relationships/hyperlink" Target="https://www.science.org/doi/abs/10.1126/sciadv.aec9175?af=R" TargetMode="External"/><Relationship Id="rId842" Type="http://schemas.openxmlformats.org/officeDocument/2006/relationships/hyperlink" Target="https://doi.org/10.1126/sciadv.aec9175" TargetMode="External"/><Relationship Id="rId843" Type="http://schemas.openxmlformats.org/officeDocument/2006/relationships/hyperlink" Target="https://onlinelibrary.wiley.com/doi/10.1002/anie.7512063?af=R" TargetMode="External"/><Relationship Id="rId844" Type="http://schemas.openxmlformats.org/officeDocument/2006/relationships/hyperlink" Target="https://doi.org/10.1002/anie.7512063" TargetMode="External"/><Relationship Id="rId845" Type="http://schemas.openxmlformats.org/officeDocument/2006/relationships/hyperlink" Target="https://onlinelibrary.wiley.com/doi/10.1002/anie.8844432?af=R" TargetMode="External"/><Relationship Id="rId846" Type="http://schemas.openxmlformats.org/officeDocument/2006/relationships/hyperlink" Target="https://doi.org/10.1002/anie.8844432" TargetMode="External"/><Relationship Id="rId847" Type="http://schemas.openxmlformats.org/officeDocument/2006/relationships/hyperlink" Target="https://advanced.onlinelibrary.wiley.com/doi/10.1002/adma.72909?af=R" TargetMode="External"/><Relationship Id="rId848" Type="http://schemas.openxmlformats.org/officeDocument/2006/relationships/hyperlink" Target="https://doi.org/10.1002/adma.72909" TargetMode="External"/><Relationship Id="rId849" Type="http://schemas.openxmlformats.org/officeDocument/2006/relationships/hyperlink" Target="https://onlinelibrary.wiley.com/doi/10.1002/anie.3239137?af=R" TargetMode="External"/><Relationship Id="rId850" Type="http://schemas.openxmlformats.org/officeDocument/2006/relationships/hyperlink" Target="https://doi.org/10.1002/anie.3239137" TargetMode="External"/><Relationship Id="rId851" Type="http://schemas.openxmlformats.org/officeDocument/2006/relationships/hyperlink" Target="http://dx.doi.org/10.1021/jacs.6c01750" TargetMode="External"/><Relationship Id="rId852" Type="http://schemas.openxmlformats.org/officeDocument/2006/relationships/hyperlink" Target="https://doi.org/10.1021/jacs.6c01750" TargetMode="External"/><Relationship Id="rId853" Type="http://schemas.openxmlformats.org/officeDocument/2006/relationships/hyperlink" Target="http://dx.doi.org/10.1021/jacs.6c02935" TargetMode="External"/><Relationship Id="rId854" Type="http://schemas.openxmlformats.org/officeDocument/2006/relationships/hyperlink" Target="https://doi.org/10.1021/jacs.6c02935" TargetMode="External"/><Relationship Id="rId855" Type="http://schemas.openxmlformats.org/officeDocument/2006/relationships/hyperlink" Target="https://onlinelibrary.wiley.com/doi/10.1002/anie.202524421?af=R" TargetMode="External"/><Relationship Id="rId856" Type="http://schemas.openxmlformats.org/officeDocument/2006/relationships/hyperlink" Target="https://doi.org/10.1002/anie.202524421" TargetMode="External"/><Relationship Id="rId857" Type="http://schemas.openxmlformats.org/officeDocument/2006/relationships/hyperlink" Target="https://onlinelibrary.wiley.com/doi/10.1002/anie.1716058?af=R" TargetMode="External"/><Relationship Id="rId858" Type="http://schemas.openxmlformats.org/officeDocument/2006/relationships/hyperlink" Target="https://doi.org/10.1002/anie.1716058" TargetMode="External"/><Relationship Id="rId859" Type="http://schemas.openxmlformats.org/officeDocument/2006/relationships/hyperlink" Target="https://onlinelibrary.wiley.com/doi/10.1002/anie.202523977?af=R" TargetMode="External"/><Relationship Id="rId860" Type="http://schemas.openxmlformats.org/officeDocument/2006/relationships/hyperlink" Target="https://doi.org/10.1002/anie.202523977" TargetMode="External"/><Relationship Id="rId861" Type="http://schemas.openxmlformats.org/officeDocument/2006/relationships/hyperlink" Target="https://onlinelibrary.wiley.com/doi/10.1002/anie.5815007?af=R" TargetMode="External"/><Relationship Id="rId862" Type="http://schemas.openxmlformats.org/officeDocument/2006/relationships/hyperlink" Target="https://doi.org/10.1002/anie.5815007" TargetMode="External"/><Relationship Id="rId863" Type="http://schemas.openxmlformats.org/officeDocument/2006/relationships/hyperlink" Target="http://dx.doi.org/10.1021/jacs.5c20882" TargetMode="External"/><Relationship Id="rId864" Type="http://schemas.openxmlformats.org/officeDocument/2006/relationships/hyperlink" Target="https://doi.org/10.1021/jacs.5c20882" TargetMode="External"/><Relationship Id="rId865" Type="http://schemas.openxmlformats.org/officeDocument/2006/relationships/hyperlink" Target="https://advanced.onlinelibrary.wiley.com/doi/10.1002/adma.202518806?af=R" TargetMode="External"/><Relationship Id="rId866" Type="http://schemas.openxmlformats.org/officeDocument/2006/relationships/hyperlink" Target="https://doi.org/10.1002/adma.202518806" TargetMode="External"/><Relationship Id="rId867" Type="http://schemas.openxmlformats.org/officeDocument/2006/relationships/hyperlink" Target="https://advanced.onlinelibrary.wiley.com/doi/10.1002/adma.202519052?af=R" TargetMode="External"/><Relationship Id="rId868" Type="http://schemas.openxmlformats.org/officeDocument/2006/relationships/hyperlink" Target="https://doi.org/10.1002/adma.202519052" TargetMode="External"/><Relationship Id="rId869" Type="http://schemas.openxmlformats.org/officeDocument/2006/relationships/hyperlink" Target="http://dx.doi.org/10.1021/jacs.5c23332" TargetMode="External"/><Relationship Id="rId870" Type="http://schemas.openxmlformats.org/officeDocument/2006/relationships/hyperlink" Target="https://doi.org/10.1021/jacs.5c23332" TargetMode="External"/><Relationship Id="rId871" Type="http://schemas.openxmlformats.org/officeDocument/2006/relationships/hyperlink" Target="https://onlinelibrary.wiley.com/doi/10.1002/anie.202522578?af=R" TargetMode="External"/><Relationship Id="rId872" Type="http://schemas.openxmlformats.org/officeDocument/2006/relationships/hyperlink" Target="https://doi.org/10.1002/anie.202522578" TargetMode="External"/><Relationship Id="rId873" Type="http://schemas.openxmlformats.org/officeDocument/2006/relationships/hyperlink" Target="https://advanced.onlinelibrary.wiley.com/doi/10.1002/adma.72908?af=R" TargetMode="External"/><Relationship Id="rId874" Type="http://schemas.openxmlformats.org/officeDocument/2006/relationships/hyperlink" Target="https://doi.org/10.1002/adma.72908" TargetMode="External"/><Relationship Id="rId875" Type="http://schemas.openxmlformats.org/officeDocument/2006/relationships/hyperlink" Target="http://dx.doi.org/10.1021/jacs.6c00948" TargetMode="External"/><Relationship Id="rId876" Type="http://schemas.openxmlformats.org/officeDocument/2006/relationships/hyperlink" Target="https://doi.org/10.1021/jacs.6c00948" TargetMode="External"/><Relationship Id="rId877" Type="http://schemas.openxmlformats.org/officeDocument/2006/relationships/hyperlink" Target="http://dx.doi.org/10.1021/jacs.5c20500" TargetMode="External"/><Relationship Id="rId878" Type="http://schemas.openxmlformats.org/officeDocument/2006/relationships/hyperlink" Target="https://doi.org/10.1021/jacs.5c20500" TargetMode="External"/><Relationship Id="rId879" Type="http://schemas.openxmlformats.org/officeDocument/2006/relationships/hyperlink" Target="https://advanced.onlinelibrary.wiley.com/doi/10.1002/aenm.70770?af=R" TargetMode="External"/><Relationship Id="rId880" Type="http://schemas.openxmlformats.org/officeDocument/2006/relationships/hyperlink" Target="https://doi.org/10.1002/aenm.70770" TargetMode="External"/><Relationship Id="rId881" Type="http://schemas.openxmlformats.org/officeDocument/2006/relationships/hyperlink" Target="http://dx.doi.org/10.1021/jacs.6c00549" TargetMode="External"/><Relationship Id="rId882" Type="http://schemas.openxmlformats.org/officeDocument/2006/relationships/hyperlink" Target="https://doi.org/10.1021/jacs.6c00549" TargetMode="External"/><Relationship Id="rId883" Type="http://schemas.openxmlformats.org/officeDocument/2006/relationships/hyperlink" Target="http://dx.doi.org/10.1021/jacs.5c22377" TargetMode="External"/><Relationship Id="rId884" Type="http://schemas.openxmlformats.org/officeDocument/2006/relationships/hyperlink" Target="https://doi.org/10.1021/jacs.5c22377" TargetMode="External"/><Relationship Id="rId885" Type="http://schemas.openxmlformats.org/officeDocument/2006/relationships/hyperlink" Target="http://dx.doi.org/10.1021/jacs.5c22101" TargetMode="External"/><Relationship Id="rId886" Type="http://schemas.openxmlformats.org/officeDocument/2006/relationships/hyperlink" Target="https://doi.org/10.1021/jacs.5c22101" TargetMode="External"/><Relationship Id="rId887" Type="http://schemas.openxmlformats.org/officeDocument/2006/relationships/hyperlink" Target="http://dx.doi.org/10.1021/jacs.6c02560" TargetMode="External"/><Relationship Id="rId888" Type="http://schemas.openxmlformats.org/officeDocument/2006/relationships/hyperlink" Target="https://doi.org/10.1021/jacs.6c02560" TargetMode="External"/><Relationship Id="rId889" Type="http://schemas.openxmlformats.org/officeDocument/2006/relationships/hyperlink" Target="http://dx.doi.org/10.1021/jacs.5c23227" TargetMode="External"/><Relationship Id="rId890" Type="http://schemas.openxmlformats.org/officeDocument/2006/relationships/hyperlink" Target="https://doi.org/10.1021/jacs.5c23227" TargetMode="External"/><Relationship Id="rId891" Type="http://schemas.openxmlformats.org/officeDocument/2006/relationships/hyperlink" Target="https://www.cell.com/joule/fulltext/S2542-4351(26)00043-7?rss=yes" TargetMode="External"/><Relationship Id="rId892" Type="http://schemas.openxmlformats.org/officeDocument/2006/relationships/hyperlink" Target="https://doi.org/10.1016/j.joule.2026.102359" TargetMode="External"/><Relationship Id="rId893" Type="http://schemas.openxmlformats.org/officeDocument/2006/relationships/hyperlink" Target="https://academic.oup.com/nsr/advance-article/doi/10.1093/nsr/nwag190/8541855?rss=1" TargetMode="External"/><Relationship Id="rId894" Type="http://schemas.openxmlformats.org/officeDocument/2006/relationships/hyperlink" Target="https://doi.org/10.1093/nsr/nwag190" TargetMode="External"/><Relationship Id="rId895" Type="http://schemas.openxmlformats.org/officeDocument/2006/relationships/hyperlink" Target="https://academic.oup.com/nsr/advance-article/doi/10.1093/nsr/nwag191/8541869?rss=1" TargetMode="External"/><Relationship Id="rId896" Type="http://schemas.openxmlformats.org/officeDocument/2006/relationships/hyperlink" Target="https://doi.org/10.1093/nsr/nwag191" TargetMode="External"/><Relationship Id="rId897" Type="http://schemas.openxmlformats.org/officeDocument/2006/relationships/hyperlink" Target="https://www.nature.com/articles/d41586-026-00549-1" TargetMode="External"/><Relationship Id="rId898" Type="http://schemas.openxmlformats.org/officeDocument/2006/relationships/hyperlink" Target="https://doi.org/10.1038/d41586-026-00549-1" TargetMode="External"/><Relationship Id="rId899" Type="http://schemas.openxmlformats.org/officeDocument/2006/relationships/hyperlink" Target="https://www.cell.com/chem/fulltext/S2451-9294(26)00054-9?rss=yes" TargetMode="External"/><Relationship Id="rId900" Type="http://schemas.openxmlformats.org/officeDocument/2006/relationships/hyperlink" Target="https://doi.org/10.1016/j.chempr.2026.102988" TargetMode="External"/><Relationship Id="rId901" Type="http://schemas.openxmlformats.org/officeDocument/2006/relationships/hyperlink" Target="https://www.cell.com/chem/fulltext/S2451-9294(26)00052-5?rss=yes" TargetMode="External"/><Relationship Id="rId902" Type="http://schemas.openxmlformats.org/officeDocument/2006/relationships/hyperlink" Target="https://doi.org/10.1016/j.chempr.2026.102986" TargetMode="External"/><Relationship Id="rId903" Type="http://schemas.openxmlformats.org/officeDocument/2006/relationships/hyperlink" Target="https://www.cell.com/chem/fulltext/S2451-9294(26)00034-3?rss=yes" TargetMode="External"/><Relationship Id="rId904" Type="http://schemas.openxmlformats.org/officeDocument/2006/relationships/hyperlink" Target="https://doi.org/10.1016/j.chempr.2026.102968" TargetMode="External"/><Relationship Id="rId905" Type="http://schemas.openxmlformats.org/officeDocument/2006/relationships/hyperlink" Target="https://www.cell.com/chem/fulltext/S2451-9294(26)00033-1?rss=yes" TargetMode="External"/><Relationship Id="rId906" Type="http://schemas.openxmlformats.org/officeDocument/2006/relationships/hyperlink" Target="https://doi.org/10.1016/j.chempr.2026.102967" TargetMode="External"/><Relationship Id="rId907" Type="http://schemas.openxmlformats.org/officeDocument/2006/relationships/hyperlink" Target="https://www.cell.com/joule/fulltext/S2542-4351(26)00064-4?rss=yes" TargetMode="External"/><Relationship Id="rId908" Type="http://schemas.openxmlformats.org/officeDocument/2006/relationships/hyperlink" Target="https://doi.org/10.1016/j.joule.2026.102380" TargetMode="External"/><Relationship Id="rId909" Type="http://schemas.openxmlformats.org/officeDocument/2006/relationships/hyperlink" Target="https://www.nature.com/articles/s41560-025-01941-3" TargetMode="External"/><Relationship Id="rId910" Type="http://schemas.openxmlformats.org/officeDocument/2006/relationships/hyperlink" Target="https://doi.org/10.1038/s41560-025-01941-3" TargetMode="External"/><Relationship Id="rId911" Type="http://schemas.openxmlformats.org/officeDocument/2006/relationships/hyperlink" Target="https://www.cell.com/chem/fulltext/S2451-9294(26)00026-4?rss=yes" TargetMode="External"/><Relationship Id="rId912" Type="http://schemas.openxmlformats.org/officeDocument/2006/relationships/hyperlink" Target="https://doi.org/10.1016/j.chempr.2026.102960" TargetMode="External"/><Relationship Id="rId913" Type="http://schemas.openxmlformats.org/officeDocument/2006/relationships/hyperlink" Target="https://www.cell.com/joule/fulltext/S2542-4351(26)00061-9?rss=yes" TargetMode="External"/><Relationship Id="rId914" Type="http://schemas.openxmlformats.org/officeDocument/2006/relationships/hyperlink" Target="https://doi.org/10.1016/j.joule.2026.102377" TargetMode="External"/><Relationship Id="rId915" Type="http://schemas.openxmlformats.org/officeDocument/2006/relationships/hyperlink" Target="https://www.nature.com/articles/d41586-026-00977-z" TargetMode="External"/><Relationship Id="rId916" Type="http://schemas.openxmlformats.org/officeDocument/2006/relationships/hyperlink" Target="https://doi.org/10.1038/d41586-026-00977-z" TargetMode="External"/><Relationship Id="rId917" Type="http://schemas.openxmlformats.org/officeDocument/2006/relationships/hyperlink" Target="https://www.nature.com/articles/d41586-026-00979-x" TargetMode="External"/><Relationship Id="rId918" Type="http://schemas.openxmlformats.org/officeDocument/2006/relationships/hyperlink" Target="https://doi.org/10.1038/d41586-026-00979-x" TargetMode="External"/><Relationship Id="rId919" Type="http://schemas.openxmlformats.org/officeDocument/2006/relationships/hyperlink" Target="https://www.nature.com/articles/d41586-026-00867-4" TargetMode="External"/><Relationship Id="rId920" Type="http://schemas.openxmlformats.org/officeDocument/2006/relationships/hyperlink" Target="https://doi.org/10.1038/d41586-026-00867-4" TargetMode="External"/><Relationship Id="rId921" Type="http://schemas.openxmlformats.org/officeDocument/2006/relationships/hyperlink" Target="https://www.cell.com/chem/fulltext/S2451-9294(26)00022-7?rss=yes" TargetMode="External"/><Relationship Id="rId922" Type="http://schemas.openxmlformats.org/officeDocument/2006/relationships/hyperlink" Target="https://doi.org/10.1016/j.chempr.2026.102956" TargetMode="External"/><Relationship Id="rId923" Type="http://schemas.openxmlformats.org/officeDocument/2006/relationships/hyperlink" Target="https://academic.oup.com/nsr/advance-article/doi/10.1093/nsr/nwag192/8541871?rss=1" TargetMode="External"/><Relationship Id="rId924" Type="http://schemas.openxmlformats.org/officeDocument/2006/relationships/hyperlink" Target="https://doi.org/10.1093/nsr/nwag192" TargetMode="External"/><Relationship Id="rId925" Type="http://schemas.openxmlformats.org/officeDocument/2006/relationships/hyperlink" Target="https://www.cell.com/chem/fulltext/S2451-9294(26)00055-0?rss=yes" TargetMode="External"/><Relationship Id="rId926" Type="http://schemas.openxmlformats.org/officeDocument/2006/relationships/hyperlink" Target="https://doi.org/10.1016/j.chempr.2026.102989" TargetMode="External"/><Relationship Id="rId927" Type="http://schemas.openxmlformats.org/officeDocument/2006/relationships/hyperlink" Target="https://www.nature.com/articles/s41560-026-02029-2" TargetMode="External"/><Relationship Id="rId928" Type="http://schemas.openxmlformats.org/officeDocument/2006/relationships/hyperlink" Target="https://doi.org/10.1038/s41560-026-02029-2" TargetMode="External"/><Relationship Id="rId929" Type="http://schemas.openxmlformats.org/officeDocument/2006/relationships/hyperlink" Target="http://pubs.rsc.org/en/Content/ArticleLanding/2026/CS/D5CS01504A" TargetMode="External"/><Relationship Id="rId930" Type="http://schemas.openxmlformats.org/officeDocument/2006/relationships/hyperlink" Target="https://www.cell.com/chem/fulltext/S2451-9294(26)00059-8?rss=yes" TargetMode="External"/><Relationship Id="rId931" Type="http://schemas.openxmlformats.org/officeDocument/2006/relationships/hyperlink" Target="https://doi.org/10.1016/j.chempr.2026.102993" TargetMode="External"/><Relationship Id="rId932" Type="http://schemas.openxmlformats.org/officeDocument/2006/relationships/hyperlink" Target="https://www.nature.com/articles/s41563-026-02552-3" TargetMode="External"/><Relationship Id="rId933" Type="http://schemas.openxmlformats.org/officeDocument/2006/relationships/hyperlink" Target="https://doi.org/10.1038/s41563-026-02552-3" TargetMode="External"/><Relationship Id="rId934" Type="http://schemas.openxmlformats.org/officeDocument/2006/relationships/hyperlink" Target="https://www.nature.com/articles/s41893-026-01782-2" TargetMode="External"/><Relationship Id="rId935" Type="http://schemas.openxmlformats.org/officeDocument/2006/relationships/hyperlink" Target="https://doi.org/10.1038/s41893-026-01782-2" TargetMode="External"/><Relationship Id="rId936" Type="http://schemas.openxmlformats.org/officeDocument/2006/relationships/hyperlink" Target="https://www.nature.com/articles/s41467-026-71081-z" TargetMode="External"/><Relationship Id="rId937" Type="http://schemas.openxmlformats.org/officeDocument/2006/relationships/hyperlink" Target="https://doi.org/10.1038/s41467-026-71081-z" TargetMode="External"/><Relationship Id="rId938" Type="http://schemas.openxmlformats.org/officeDocument/2006/relationships/hyperlink" Target="https://www.nature.com/articles/s41467-026-70901-6" TargetMode="External"/><Relationship Id="rId939" Type="http://schemas.openxmlformats.org/officeDocument/2006/relationships/hyperlink" Target="https://doi.org/10.1038/s41467-026-70901-6" TargetMode="External"/><Relationship Id="rId940" Type="http://schemas.openxmlformats.org/officeDocument/2006/relationships/hyperlink" Target="https://www.nature.com/articles/s41467-026-71102-x" TargetMode="External"/><Relationship Id="rId941" Type="http://schemas.openxmlformats.org/officeDocument/2006/relationships/hyperlink" Target="https://doi.org/10.1038/s41467-026-71102-x" TargetMode="External"/><Relationship Id="rId942" Type="http://schemas.openxmlformats.org/officeDocument/2006/relationships/hyperlink" Target="https://www.nature.com/articles/s41467-026-70847-9" TargetMode="External"/><Relationship Id="rId943" Type="http://schemas.openxmlformats.org/officeDocument/2006/relationships/hyperlink" Target="https://doi.org/10.1038/s41467-026-70847-9" TargetMode="External"/><Relationship Id="rId944" Type="http://schemas.openxmlformats.org/officeDocument/2006/relationships/hyperlink" Target="https://www.nature.com/articles/s41560-025-01943-1" TargetMode="External"/><Relationship Id="rId945" Type="http://schemas.openxmlformats.org/officeDocument/2006/relationships/hyperlink" Target="https://doi.org/10.1038/s41560-025-01943-1" TargetMode="External"/><Relationship Id="rId946" Type="http://schemas.openxmlformats.org/officeDocument/2006/relationships/hyperlink" Target="https://www.nature.com/articles/s41560-025-01942-2" TargetMode="External"/><Relationship Id="rId947" Type="http://schemas.openxmlformats.org/officeDocument/2006/relationships/hyperlink" Target="https://doi.org/10.1038/s41560-025-01942-2" TargetMode="External"/><Relationship Id="rId948" Type="http://schemas.openxmlformats.org/officeDocument/2006/relationships/hyperlink" Target="https://www.nature.com/articles/s41563-026-02550-5" TargetMode="External"/><Relationship Id="rId949" Type="http://schemas.openxmlformats.org/officeDocument/2006/relationships/hyperlink" Target="https://doi.org/10.1038/s41563-026-02550-5" TargetMode="External"/><Relationship Id="rId950" Type="http://schemas.openxmlformats.org/officeDocument/2006/relationships/hyperlink" Target="http://pubs.rsc.org/en/Content/ArticleLanding/2026/EE/D4EE05115G" TargetMode="External"/><Relationship Id="rId951" Type="http://schemas.openxmlformats.org/officeDocument/2006/relationships/hyperlink" Target="https://www.nature.com/articles/s41560-025-01944-0" TargetMode="External"/><Relationship Id="rId952" Type="http://schemas.openxmlformats.org/officeDocument/2006/relationships/hyperlink" Target="https://doi.org/10.1038/s41560-025-01944-0" TargetMode="External"/><Relationship Id="rId953" Type="http://schemas.openxmlformats.org/officeDocument/2006/relationships/hyperlink" Target="https://www.cell.com/one-earth/fulltext/S2590-3322(26)00045-X?rss=yes" TargetMode="External"/><Relationship Id="rId954" Type="http://schemas.openxmlformats.org/officeDocument/2006/relationships/hyperlink" Target="https://doi.org/10.1016/j.oneear.2026.101644" TargetMode="External"/><Relationship Id="rId955" Type="http://schemas.openxmlformats.org/officeDocument/2006/relationships/hyperlink" Target="https://www.nature.com/articles/s41560-026-02030-9" TargetMode="External"/><Relationship Id="rId956" Type="http://schemas.openxmlformats.org/officeDocument/2006/relationships/hyperlink" Target="https://doi.org/10.1038/s41560-026-02030-9" TargetMode="External"/><Relationship Id="rId957" Type="http://schemas.openxmlformats.org/officeDocument/2006/relationships/hyperlink" Target="http://pubs.rsc.org/en/Content/ArticleLanding/2026/CS/D5CS01401H" TargetMode="External"/><Relationship Id="rId958" Type="http://schemas.openxmlformats.org/officeDocument/2006/relationships/hyperlink" Target="https://www.cell.com/matter/fulltext/S2590-2385(26)00063-9?rss=yes" TargetMode="External"/><Relationship Id="rId959" Type="http://schemas.openxmlformats.org/officeDocument/2006/relationships/hyperlink" Target="https://doi.org/10.1016/j.matt.2026.102700" TargetMode="External"/><Relationship Id="rId960" Type="http://schemas.openxmlformats.org/officeDocument/2006/relationships/hyperlink" Target="https://www.cell.com/chem/fulltext/S2451-9294(26)00094-X?rss=yes" TargetMode="External"/><Relationship Id="rId961" Type="http://schemas.openxmlformats.org/officeDocument/2006/relationships/hyperlink" Target="https://doi.org/10.1016/j.chempr.2026.103028" TargetMode="External"/><Relationship Id="rId962" Type="http://schemas.openxmlformats.org/officeDocument/2006/relationships/hyperlink" Target="https://www.cell.com/chem/fulltext/S2451-9294(26)00058-6?rss=yes" TargetMode="External"/><Relationship Id="rId963" Type="http://schemas.openxmlformats.org/officeDocument/2006/relationships/hyperlink" Target="https://doi.org/10.1016/j.chempr.2026.102992" TargetMode="External"/><Relationship Id="rId964" Type="http://schemas.openxmlformats.org/officeDocument/2006/relationships/hyperlink" Target="https://onlinelibrary.wiley.com/doi/10.1002/anie.202526128?af=R" TargetMode="External"/><Relationship Id="rId965" Type="http://schemas.openxmlformats.org/officeDocument/2006/relationships/hyperlink" Target="https://doi.org/10.1002/anie.202526128" TargetMode="External"/><Relationship Id="rId966" Type="http://schemas.openxmlformats.org/officeDocument/2006/relationships/hyperlink" Target="https://onlinelibrary.wiley.com/doi/10.1002/anie.8854134?af=R" TargetMode="External"/><Relationship Id="rId967" Type="http://schemas.openxmlformats.org/officeDocument/2006/relationships/hyperlink" Target="https://doi.org/10.1002/anie.8854134" TargetMode="External"/><Relationship Id="rId968" Type="http://schemas.openxmlformats.org/officeDocument/2006/relationships/hyperlink" Target="https://advanced.onlinelibrary.wiley.com/doi/10.1002/adma.202520241?af=R" TargetMode="External"/><Relationship Id="rId969" Type="http://schemas.openxmlformats.org/officeDocument/2006/relationships/hyperlink" Target="https://doi.org/10.1002/adma.202520241" TargetMode="External"/><Relationship Id="rId970" Type="http://schemas.openxmlformats.org/officeDocument/2006/relationships/hyperlink" Target="https://onlinelibrary.wiley.com/doi/10.1002/anie.8667223?af=R" TargetMode="External"/><Relationship Id="rId971" Type="http://schemas.openxmlformats.org/officeDocument/2006/relationships/hyperlink" Target="https://doi.org/10.1002/anie.8667223" TargetMode="External"/><Relationship Id="rId972" Type="http://schemas.openxmlformats.org/officeDocument/2006/relationships/hyperlink" Target="https://advanced.onlinelibrary.wiley.com/doi/10.1002/adma.202520018?af=R" TargetMode="External"/><Relationship Id="rId973" Type="http://schemas.openxmlformats.org/officeDocument/2006/relationships/hyperlink" Target="https://doi.org/10.1002/adma.202520018" TargetMode="External"/><Relationship Id="rId974" Type="http://schemas.openxmlformats.org/officeDocument/2006/relationships/hyperlink" Target="https://advanced.onlinelibrary.wiley.com/doi/10.1002/adma.72910?af=R" TargetMode="External"/><Relationship Id="rId975" Type="http://schemas.openxmlformats.org/officeDocument/2006/relationships/hyperlink" Target="https://doi.org/10.1002/adma.72910" TargetMode="External"/><Relationship Id="rId976" Type="http://schemas.openxmlformats.org/officeDocument/2006/relationships/hyperlink" Target="https://advanced.onlinelibrary.wiley.com/doi/10.1002/adma.72857?af=R" TargetMode="External"/><Relationship Id="rId977" Type="http://schemas.openxmlformats.org/officeDocument/2006/relationships/hyperlink" Target="https://doi.org/10.1002/adma.72857" TargetMode="External"/><Relationship Id="rId978" Type="http://schemas.openxmlformats.org/officeDocument/2006/relationships/hyperlink" Target="https://advanced.onlinelibrary.wiley.com/doi/10.1002/adma.72917?af=R" TargetMode="External"/><Relationship Id="rId979" Type="http://schemas.openxmlformats.org/officeDocument/2006/relationships/hyperlink" Target="https://doi.org/10.1002/adma.72917" TargetMode="External"/><Relationship Id="rId980" Type="http://schemas.openxmlformats.org/officeDocument/2006/relationships/hyperlink" Target="https://onlinelibrary.wiley.com/doi/10.1002/anie.8460951?af=R" TargetMode="External"/><Relationship Id="rId981" Type="http://schemas.openxmlformats.org/officeDocument/2006/relationships/hyperlink" Target="https://doi.org/10.1002/anie.8460951" TargetMode="External"/><Relationship Id="rId982" Type="http://schemas.openxmlformats.org/officeDocument/2006/relationships/hyperlink" Target="https://advanced.onlinelibrary.wiley.com/doi/10.1002/adma.202518751?af=R" TargetMode="External"/><Relationship Id="rId983" Type="http://schemas.openxmlformats.org/officeDocument/2006/relationships/hyperlink" Target="https://doi.org/10.1002/adma.202518751" TargetMode="External"/><Relationship Id="rId984" Type="http://schemas.openxmlformats.org/officeDocument/2006/relationships/hyperlink" Target="https://advanced.onlinelibrary.wiley.com/doi/10.1002/adma.202600004?af=R" TargetMode="External"/><Relationship Id="rId985" Type="http://schemas.openxmlformats.org/officeDocument/2006/relationships/hyperlink" Target="https://doi.org/10.1002/adma.202600004" TargetMode="External"/><Relationship Id="rId986" Type="http://schemas.openxmlformats.org/officeDocument/2006/relationships/hyperlink" Target="https://www.science.org/doi/abs/10.1126/science.aea2353?af=R" TargetMode="External"/><Relationship Id="rId987" Type="http://schemas.openxmlformats.org/officeDocument/2006/relationships/hyperlink" Target="https://doi.org/10.1126/science.aea2353" TargetMode="External"/><Relationship Id="rId988" Type="http://schemas.openxmlformats.org/officeDocument/2006/relationships/hyperlink" Target="https://www.science.org/doi/abs/10.1126/science.adn8744?af=R" TargetMode="External"/><Relationship Id="rId989" Type="http://schemas.openxmlformats.org/officeDocument/2006/relationships/hyperlink" Target="https://doi.org/10.1126/science.adn8744" TargetMode="External"/><Relationship Id="rId990" Type="http://schemas.openxmlformats.org/officeDocument/2006/relationships/hyperlink" Target="https://www.science.org/doi/abs/10.1126/science.adw9761?af=R" TargetMode="External"/><Relationship Id="rId991" Type="http://schemas.openxmlformats.org/officeDocument/2006/relationships/hyperlink" Target="https://doi.org/10.1126/science.adw9761" TargetMode="External"/><Relationship Id="rId992" Type="http://schemas.openxmlformats.org/officeDocument/2006/relationships/hyperlink" Target="https://www.science.org/doi/abs/10.1126/science.aeg6276?af=R" TargetMode="External"/><Relationship Id="rId993" Type="http://schemas.openxmlformats.org/officeDocument/2006/relationships/hyperlink" Target="https://doi.org/10.1126/science.aeg6276" TargetMode="External"/><Relationship Id="rId994" Type="http://schemas.openxmlformats.org/officeDocument/2006/relationships/hyperlink" Target="https://www.science.org/doi/abs/10.1126/science.aec1344?af=R" TargetMode="External"/><Relationship Id="rId995" Type="http://schemas.openxmlformats.org/officeDocument/2006/relationships/hyperlink" Target="https://doi.org/10.1126/science.aec1344" TargetMode="External"/><Relationship Id="rId996" Type="http://schemas.openxmlformats.org/officeDocument/2006/relationships/hyperlink" Target="https://www.science.org/doi/abs/10.1126/science.aef7086?af=R" TargetMode="External"/><Relationship Id="rId997" Type="http://schemas.openxmlformats.org/officeDocument/2006/relationships/hyperlink" Target="https://doi.org/10.1126/science.aef7086" TargetMode="External"/><Relationship Id="rId998" Type="http://schemas.openxmlformats.org/officeDocument/2006/relationships/hyperlink" Target="https://www.science.org/doi/abs/10.1126/science.aeg0560?af=R" TargetMode="External"/><Relationship Id="rId999" Type="http://schemas.openxmlformats.org/officeDocument/2006/relationships/hyperlink" Target="https://doi.org/10.1126/science.aeg0560" TargetMode="External"/><Relationship Id="rId1000" Type="http://schemas.openxmlformats.org/officeDocument/2006/relationships/hyperlink" Target="https://www.science.org/doi/abs/10.1126/science.aef0459?af=R" TargetMode="External"/><Relationship Id="rId1001" Type="http://schemas.openxmlformats.org/officeDocument/2006/relationships/hyperlink" Target="https://doi.org/10.1126/science.aef0459" TargetMode="External"/><Relationship Id="rId1002" Type="http://schemas.openxmlformats.org/officeDocument/2006/relationships/hyperlink" Target="https://www.science.org/doi/abs/10.1126/science.aeh4833?af=R" TargetMode="External"/><Relationship Id="rId1003" Type="http://schemas.openxmlformats.org/officeDocument/2006/relationships/hyperlink" Target="https://doi.org/10.1126/science.aeh4833" TargetMode="External"/><Relationship Id="rId1004" Type="http://schemas.openxmlformats.org/officeDocument/2006/relationships/hyperlink" Target="https://www.science.org/doi/abs/10.1126/science.aef7960?af=R" TargetMode="External"/><Relationship Id="rId1005" Type="http://schemas.openxmlformats.org/officeDocument/2006/relationships/hyperlink" Target="https://doi.org/10.1126/science.aef7960" TargetMode="External"/><Relationship Id="rId1006" Type="http://schemas.openxmlformats.org/officeDocument/2006/relationships/hyperlink" Target="https://www.science.org/doi/abs/10.1126/science.aeh4835?af=R" TargetMode="External"/><Relationship Id="rId1007" Type="http://schemas.openxmlformats.org/officeDocument/2006/relationships/hyperlink" Target="https://doi.org/10.1126/science.aeh4835" TargetMode="External"/><Relationship Id="rId1008" Type="http://schemas.openxmlformats.org/officeDocument/2006/relationships/hyperlink" Target="https://www.science.org/doi/abs/10.1126/science.aeh4465?af=R" TargetMode="External"/><Relationship Id="rId1009" Type="http://schemas.openxmlformats.org/officeDocument/2006/relationships/hyperlink" Target="https://doi.org/10.1126/science.aeh4465" TargetMode="External"/><Relationship Id="rId1010" Type="http://schemas.openxmlformats.org/officeDocument/2006/relationships/hyperlink" Target="https://www.science.org/doi/abs/10.1126/science.aeh4832?af=R" TargetMode="External"/><Relationship Id="rId1011" Type="http://schemas.openxmlformats.org/officeDocument/2006/relationships/hyperlink" Target="https://doi.org/10.1126/science.aeh4832" TargetMode="External"/><Relationship Id="rId1012" Type="http://schemas.openxmlformats.org/officeDocument/2006/relationships/hyperlink" Target="https://www.science.org/doi/abs/10.1126/science.ady9280?af=R" TargetMode="External"/><Relationship Id="rId1013" Type="http://schemas.openxmlformats.org/officeDocument/2006/relationships/hyperlink" Target="https://doi.org/10.1126/science.ady9280" TargetMode="External"/><Relationship Id="rId1014" Type="http://schemas.openxmlformats.org/officeDocument/2006/relationships/hyperlink" Target="https://www.science.org/doi/abs/10.1126/science.aeh4834?af=R" TargetMode="External"/><Relationship Id="rId1015" Type="http://schemas.openxmlformats.org/officeDocument/2006/relationships/hyperlink" Target="https://doi.org/10.1126/science.aeh4834" TargetMode="External"/><Relationship Id="rId1016" Type="http://schemas.openxmlformats.org/officeDocument/2006/relationships/hyperlink" Target="https://www.science.org/doi/abs/10.1126/science.aeb8634?af=R" TargetMode="External"/><Relationship Id="rId1017" Type="http://schemas.openxmlformats.org/officeDocument/2006/relationships/hyperlink" Target="https://doi.org/10.1126/science.aeb8634" TargetMode="External"/><Relationship Id="rId1018" Type="http://schemas.openxmlformats.org/officeDocument/2006/relationships/hyperlink" Target="https://www.science.org/doi/abs/10.1126/science.aeh4463?af=R" TargetMode="External"/><Relationship Id="rId1019" Type="http://schemas.openxmlformats.org/officeDocument/2006/relationships/hyperlink" Target="https://doi.org/10.1126/science.aeh4463" TargetMode="External"/><Relationship Id="rId1020" Type="http://schemas.openxmlformats.org/officeDocument/2006/relationships/hyperlink" Target="https://www.science.org/doi/abs/10.1126/science.aeh4837?af=R" TargetMode="External"/><Relationship Id="rId1021" Type="http://schemas.openxmlformats.org/officeDocument/2006/relationships/hyperlink" Target="https://doi.org/10.1126/science.aeh4837" TargetMode="External"/><Relationship Id="rId1022" Type="http://schemas.openxmlformats.org/officeDocument/2006/relationships/hyperlink" Target="https://www.science.org/doi/abs/10.1126/science.aeh4839?af=R" TargetMode="External"/><Relationship Id="rId1023" Type="http://schemas.openxmlformats.org/officeDocument/2006/relationships/hyperlink" Target="https://doi.org/10.1126/science.aeh4839" TargetMode="External"/><Relationship Id="rId1024" Type="http://schemas.openxmlformats.org/officeDocument/2006/relationships/hyperlink" Target="https://www.science.org/doi/abs/10.1126/science.aec0018?af=R" TargetMode="External"/><Relationship Id="rId1025" Type="http://schemas.openxmlformats.org/officeDocument/2006/relationships/hyperlink" Target="https://doi.org/10.1126/science.aec0018" TargetMode="External"/><Relationship Id="rId1026" Type="http://schemas.openxmlformats.org/officeDocument/2006/relationships/hyperlink" Target="https://www.science.org/doi/abs/10.1126/science.aeh3556?af=R" TargetMode="External"/><Relationship Id="rId1027" Type="http://schemas.openxmlformats.org/officeDocument/2006/relationships/hyperlink" Target="https://doi.org/10.1126/science.aeh3556" TargetMode="External"/><Relationship Id="rId1028" Type="http://schemas.openxmlformats.org/officeDocument/2006/relationships/hyperlink" Target="https://www.science.org/doi/abs/10.1126/science.aeh4838?af=R" TargetMode="External"/><Relationship Id="rId1029" Type="http://schemas.openxmlformats.org/officeDocument/2006/relationships/hyperlink" Target="https://doi.org/10.1126/science.aeh4838" TargetMode="External"/><Relationship Id="rId1030" Type="http://schemas.openxmlformats.org/officeDocument/2006/relationships/hyperlink" Target="https://www.science.org/doi/abs/10.1126/science.adz4102?af=R" TargetMode="External"/><Relationship Id="rId1031" Type="http://schemas.openxmlformats.org/officeDocument/2006/relationships/hyperlink" Target="https://doi.org/10.1126/science.adz4102" TargetMode="External"/><Relationship Id="rId1032" Type="http://schemas.openxmlformats.org/officeDocument/2006/relationships/hyperlink" Target="https://www.science.org/doi/abs/10.1126/science.aeg3891?af=R" TargetMode="External"/><Relationship Id="rId1033" Type="http://schemas.openxmlformats.org/officeDocument/2006/relationships/hyperlink" Target="https://doi.org/10.1126/science.aeg3891" TargetMode="External"/><Relationship Id="rId1034" Type="http://schemas.openxmlformats.org/officeDocument/2006/relationships/hyperlink" Target="https://www.science.org/doi/abs/10.1126/science.aeh4836?af=R" TargetMode="External"/><Relationship Id="rId1035" Type="http://schemas.openxmlformats.org/officeDocument/2006/relationships/hyperlink" Target="https://doi.org/10.1126/science.aeh4836" TargetMode="External"/><Relationship Id="rId1036" Type="http://schemas.openxmlformats.org/officeDocument/2006/relationships/hyperlink" Target="https://www.science.org/doi/abs/10.1126/science.aeg3100?af=R" TargetMode="External"/><Relationship Id="rId1037" Type="http://schemas.openxmlformats.org/officeDocument/2006/relationships/hyperlink" Target="https://doi.org/10.1126/science.aeg3100" TargetMode="External"/><Relationship Id="rId1038" Type="http://schemas.openxmlformats.org/officeDocument/2006/relationships/hyperlink" Target="https://www.science.org/doi/abs/10.1126/science.aef3474?af=R" TargetMode="External"/><Relationship Id="rId1039" Type="http://schemas.openxmlformats.org/officeDocument/2006/relationships/hyperlink" Target="https://doi.org/10.1126/science.aef3474" TargetMode="External"/><Relationship Id="rId1040" Type="http://schemas.openxmlformats.org/officeDocument/2006/relationships/hyperlink" Target="https://www.science.org/doi/abs/10.1126/science.aeh4464?af=R" TargetMode="External"/><Relationship Id="rId1041" Type="http://schemas.openxmlformats.org/officeDocument/2006/relationships/hyperlink" Target="https://doi.org/10.1126/science.aeh4464" TargetMode="External"/><Relationship Id="rId1042" Type="http://schemas.openxmlformats.org/officeDocument/2006/relationships/hyperlink" Target="https://www.science.org/doi/abs/10.1126/science.aeh3849?af=R" TargetMode="External"/><Relationship Id="rId1043" Type="http://schemas.openxmlformats.org/officeDocument/2006/relationships/hyperlink" Target="https://doi.org/10.1126/science.aeh3849" TargetMode="External"/><Relationship Id="rId1044" Type="http://schemas.openxmlformats.org/officeDocument/2006/relationships/hyperlink" Target="https://www.science.org/doi/abs/10.1126/science.aed3712?af=R" TargetMode="External"/><Relationship Id="rId1045" Type="http://schemas.openxmlformats.org/officeDocument/2006/relationships/hyperlink" Target="https://doi.org/10.1126/science.aed3712" TargetMode="External"/><Relationship Id="rId1046" Type="http://schemas.openxmlformats.org/officeDocument/2006/relationships/hyperlink" Target="https://www.science.org/doi/abs/10.1126/science.aec9923?af=R" TargetMode="External"/><Relationship Id="rId1047" Type="http://schemas.openxmlformats.org/officeDocument/2006/relationships/hyperlink" Target="https://doi.org/10.1126/science.aec9923" TargetMode="External"/><Relationship Id="rId1048" Type="http://schemas.openxmlformats.org/officeDocument/2006/relationships/hyperlink" Target="https://www.science.org/doi/abs/10.1126/science.aeg3145?af=R" TargetMode="External"/><Relationship Id="rId1049" Type="http://schemas.openxmlformats.org/officeDocument/2006/relationships/hyperlink" Target="https://doi.org/10.1126/science.aeg3145" TargetMode="External"/><Relationship Id="rId1050" Type="http://schemas.openxmlformats.org/officeDocument/2006/relationships/hyperlink" Target="https://www.science.org/doi/abs/10.1126/science.adv0134?af=R" TargetMode="External"/><Relationship Id="rId1051" Type="http://schemas.openxmlformats.org/officeDocument/2006/relationships/hyperlink" Target="https://doi.org/10.1126/science.adv0134" TargetMode="External"/><Relationship Id="rId1052" Type="http://schemas.openxmlformats.org/officeDocument/2006/relationships/hyperlink" Target="https://www.pnas.org/doi/abs/10.1073/pnas.2527861123?mi=eymic2&amp;af=R&amp;access=on&amp;content=articlesChapters&amp;publication=pnas&amp;sortBy=Earliest&amp;target=default" TargetMode="External"/><Relationship Id="rId1053" Type="http://schemas.openxmlformats.org/officeDocument/2006/relationships/hyperlink" Target="https://doi.org/10.1073/pnas.2527861123" TargetMode="External"/><Relationship Id="rId1054" Type="http://schemas.openxmlformats.org/officeDocument/2006/relationships/hyperlink" Target="https://www.science.org/doi/abs/10.1126/science.adu7265?af=R" TargetMode="External"/><Relationship Id="rId1055" Type="http://schemas.openxmlformats.org/officeDocument/2006/relationships/hyperlink" Target="https://doi.org/10.1126/science.adu7265" TargetMode="External"/><Relationship Id="rId1056" Type="http://schemas.openxmlformats.org/officeDocument/2006/relationships/hyperlink" Target="https://www.science.org/doi/abs/10.1126/science.adz0777?af=R" TargetMode="External"/><Relationship Id="rId1057" Type="http://schemas.openxmlformats.org/officeDocument/2006/relationships/hyperlink" Target="https://doi.org/10.1126/science.adz0777" TargetMode="External"/><Relationship Id="rId1058" Type="http://schemas.openxmlformats.org/officeDocument/2006/relationships/hyperlink" Target="https://www.science.org/doi/abs/10.1126/science.adz9353?af=R" TargetMode="External"/><Relationship Id="rId1059" Type="http://schemas.openxmlformats.org/officeDocument/2006/relationships/hyperlink" Target="https://doi.org/10.1126/science.adz9353" TargetMode="External"/><Relationship Id="rId1060" Type="http://schemas.openxmlformats.org/officeDocument/2006/relationships/hyperlink" Target="https://www.science.org/doi/abs/10.1126/science.adz6830?af=R" TargetMode="External"/><Relationship Id="rId1061" Type="http://schemas.openxmlformats.org/officeDocument/2006/relationships/hyperlink" Target="https://doi.org/10.1126/science.adz6830" TargetMode="External"/><Relationship Id="rId1062" Type="http://schemas.openxmlformats.org/officeDocument/2006/relationships/hyperlink" Target="https://www.science.org/doi/abs/10.1126/science.aef4989?af=R" TargetMode="External"/><Relationship Id="rId1063" Type="http://schemas.openxmlformats.org/officeDocument/2006/relationships/hyperlink" Target="https://doi.org/10.1126/science.aef4989" TargetMode="External"/><Relationship Id="rId1064" Type="http://schemas.openxmlformats.org/officeDocument/2006/relationships/hyperlink" Target="https://www.science.org/doi/abs/10.1126/science.aec8352?af=R" TargetMode="External"/><Relationship Id="rId1065" Type="http://schemas.openxmlformats.org/officeDocument/2006/relationships/hyperlink" Target="https://doi.org/10.1126/science.aec8352" TargetMode="External"/><Relationship Id="rId1066" Type="http://schemas.openxmlformats.org/officeDocument/2006/relationships/hyperlink" Target="https://www.pnas.org/doi/abs/10.1073/pnas.2514371123?mi=eymic2&amp;af=R&amp;access=on&amp;content=articlesChapters&amp;publication=pnas&amp;sortBy=Earliest&amp;target=default" TargetMode="External"/><Relationship Id="rId1067" Type="http://schemas.openxmlformats.org/officeDocument/2006/relationships/hyperlink" Target="https://doi.org/10.1073/pnas.2514371123" TargetMode="External"/><Relationship Id="rId1068" Type="http://schemas.openxmlformats.org/officeDocument/2006/relationships/hyperlink" Target="https://www.science.org/doi/abs/10.1126/science.adz5344?af=R" TargetMode="External"/><Relationship Id="rId1069" Type="http://schemas.openxmlformats.org/officeDocument/2006/relationships/hyperlink" Target="https://doi.org/10.1126/science.adz5344" TargetMode="External"/><Relationship Id="rId1070" Type="http://schemas.openxmlformats.org/officeDocument/2006/relationships/hyperlink" Target="https://www.pnas.org/doi/abs/10.1073/pnas.2519393123?mi=eymic2&amp;af=R&amp;access=on&amp;content=articlesChapters&amp;publication=pnas&amp;sortBy=Earliest&amp;target=default" TargetMode="External"/><Relationship Id="rId1071" Type="http://schemas.openxmlformats.org/officeDocument/2006/relationships/hyperlink" Target="https://doi.org/10.1073/pnas.2519393123" TargetMode="External"/><Relationship Id="rId1072" Type="http://schemas.openxmlformats.org/officeDocument/2006/relationships/hyperlink" Target="https://www.pnas.org/doi/abs/10.1073/pnas.2525423123?mi=eymic2&amp;af=R&amp;access=on&amp;content=articlesChapters&amp;publication=pnas&amp;sortBy=Earliest&amp;target=default" TargetMode="External"/><Relationship Id="rId1073" Type="http://schemas.openxmlformats.org/officeDocument/2006/relationships/hyperlink" Target="https://doi.org/10.1073/pnas.2525423123" TargetMode="External"/><Relationship Id="rId1074" Type="http://schemas.openxmlformats.org/officeDocument/2006/relationships/hyperlink" Target="https://www.pnas.org/doi/abs/10.1073/pnas.2522792123?mi=eymic2&amp;af=R&amp;access=on&amp;content=articlesChapters&amp;publication=pnas&amp;sortBy=Earliest&amp;target=default" TargetMode="External"/><Relationship Id="rId1075" Type="http://schemas.openxmlformats.org/officeDocument/2006/relationships/hyperlink" Target="https://doi.org/10.1073/pnas.2522792123" TargetMode="External"/><Relationship Id="rId1076" Type="http://schemas.openxmlformats.org/officeDocument/2006/relationships/hyperlink" Target="https://www.pnas.org/doi/abs/10.1073/pnas.2522217123?mi=eymic2&amp;af=R&amp;access=on&amp;content=articlesChapters&amp;publication=pnas&amp;sortBy=Earliest&amp;target=default" TargetMode="External"/><Relationship Id="rId1077" Type="http://schemas.openxmlformats.org/officeDocument/2006/relationships/hyperlink" Target="https://doi.org/10.1073/pnas.2522217123" TargetMode="External"/><Relationship Id="rId1078" Type="http://schemas.openxmlformats.org/officeDocument/2006/relationships/hyperlink" Target="https://www.pnas.org/doi/abs/10.1073/pnas.2605456123?mi=eymic2&amp;af=R&amp;access=on&amp;content=articlesChapters&amp;publication=pnas&amp;sortBy=Earliest&amp;target=default" TargetMode="External"/><Relationship Id="rId1079" Type="http://schemas.openxmlformats.org/officeDocument/2006/relationships/hyperlink" Target="https://doi.org/10.1073/pnas.2605456123" TargetMode="External"/><Relationship Id="rId1080" Type="http://schemas.openxmlformats.org/officeDocument/2006/relationships/hyperlink" Target="https://www.pnas.org/doi/abs/10.1073/pnas.2602991123?mi=eymic2&amp;af=R&amp;access=on&amp;content=articlesChapters&amp;publication=pnas&amp;sortBy=Earliest&amp;target=default" TargetMode="External"/><Relationship Id="rId1081" Type="http://schemas.openxmlformats.org/officeDocument/2006/relationships/hyperlink" Target="https://doi.org/10.1073/pnas.2602991123" TargetMode="External"/><Relationship Id="rId1082" Type="http://schemas.openxmlformats.org/officeDocument/2006/relationships/hyperlink" Target="https://www.pnas.org/doi/abs/10.1073/pnas.2537854123?mi=eymic2&amp;af=R&amp;access=on&amp;content=articlesChapters&amp;publication=pnas&amp;sortBy=Earliest&amp;target=default" TargetMode="External"/><Relationship Id="rId1083" Type="http://schemas.openxmlformats.org/officeDocument/2006/relationships/hyperlink" Target="https://doi.org/10.1073/pnas.2537854123" TargetMode="External"/><Relationship Id="rId1084" Type="http://schemas.openxmlformats.org/officeDocument/2006/relationships/hyperlink" Target="https://www.pnas.org/doi/abs/10.1073/pnas.2518064123?mi=eymic2&amp;af=R&amp;access=on&amp;content=articlesChapters&amp;publication=pnas&amp;sortBy=Earliest&amp;target=default" TargetMode="External"/><Relationship Id="rId1085" Type="http://schemas.openxmlformats.org/officeDocument/2006/relationships/hyperlink" Target="https://doi.org/10.1073/pnas.2518064123" TargetMode="External"/><Relationship Id="rId1086" Type="http://schemas.openxmlformats.org/officeDocument/2006/relationships/hyperlink" Target="https://www.pnas.org/doi/abs/10.1073/pnas.2531743123?mi=eymic2&amp;af=R&amp;access=on&amp;content=articlesChapters&amp;publication=pnas&amp;sortBy=Earliest&amp;target=default" TargetMode="External"/><Relationship Id="rId1087" Type="http://schemas.openxmlformats.org/officeDocument/2006/relationships/hyperlink" Target="https://doi.org/10.1073/pnas.2531743123" TargetMode="External"/><Relationship Id="rId1088" Type="http://schemas.openxmlformats.org/officeDocument/2006/relationships/hyperlink" Target="https://www.pnas.org/doi/abs/10.1073/pnas.2529147123?mi=eymic2&amp;af=R&amp;access=on&amp;content=articlesChapters&amp;publication=pnas&amp;sortBy=Earliest&amp;target=default" TargetMode="External"/><Relationship Id="rId1089" Type="http://schemas.openxmlformats.org/officeDocument/2006/relationships/hyperlink" Target="https://doi.org/10.1073/pnas.2529147123" TargetMode="External"/><Relationship Id="rId1090" Type="http://schemas.openxmlformats.org/officeDocument/2006/relationships/hyperlink" Target="https://www.pnas.org/doi/abs/10.1073/pnas.2510265123?mi=eymic2&amp;af=R&amp;access=on&amp;content=articlesChapters&amp;publication=pnas&amp;sortBy=Earliest&amp;target=default" TargetMode="External"/><Relationship Id="rId1091" Type="http://schemas.openxmlformats.org/officeDocument/2006/relationships/hyperlink" Target="https://doi.org/10.1073/pnas.2510265123" TargetMode="External"/><Relationship Id="rId1092" Type="http://schemas.openxmlformats.org/officeDocument/2006/relationships/hyperlink" Target="https://www.pnas.org/doi/abs/10.1073/pnas.2523055123?mi=eymic2&amp;af=R&amp;access=on&amp;content=articlesChapters&amp;publication=pnas&amp;sortBy=Earliest&amp;target=default" TargetMode="External"/><Relationship Id="rId1093" Type="http://schemas.openxmlformats.org/officeDocument/2006/relationships/hyperlink" Target="https://doi.org/10.1073/pnas.2523055123" TargetMode="External"/><Relationship Id="rId1094" Type="http://schemas.openxmlformats.org/officeDocument/2006/relationships/hyperlink" Target="https://www.pnas.org/doi/abs/10.1073/pnas.2534303123?mi=eymic2&amp;af=R&amp;access=on&amp;content=articlesChapters&amp;publication=pnas&amp;sortBy=Earliest&amp;target=default" TargetMode="External"/><Relationship Id="rId1095" Type="http://schemas.openxmlformats.org/officeDocument/2006/relationships/hyperlink" Target="https://doi.org/10.1073/pnas.2534303123" TargetMode="External"/><Relationship Id="rId1096" Type="http://schemas.openxmlformats.org/officeDocument/2006/relationships/hyperlink" Target="https://advanced.onlinelibrary.wiley.com/doi/10.1002/adma.72866?af=R" TargetMode="External"/><Relationship Id="rId1097" Type="http://schemas.openxmlformats.org/officeDocument/2006/relationships/hyperlink" Target="https://doi.org/10.1002/adma.72866" TargetMode="External"/><Relationship Id="rId1098" Type="http://schemas.openxmlformats.org/officeDocument/2006/relationships/hyperlink" Target="http://dx.doi.org/10.1021/jacs.6c00915" TargetMode="External"/><Relationship Id="rId1099" Type="http://schemas.openxmlformats.org/officeDocument/2006/relationships/hyperlink" Target="https://doi.org/10.1021/jacs.6c00915" TargetMode="External"/><Relationship Id="rId1100" Type="http://schemas.openxmlformats.org/officeDocument/2006/relationships/hyperlink" Target="http://dx.doi.org/10.1021/jacs.6c01526" TargetMode="External"/><Relationship Id="rId1101" Type="http://schemas.openxmlformats.org/officeDocument/2006/relationships/hyperlink" Target="https://doi.org/10.1021/jacs.6c01526" TargetMode="External"/><Relationship Id="rId1102" Type="http://schemas.openxmlformats.org/officeDocument/2006/relationships/hyperlink" Target="http://dx.doi.org/10.1021/jacs.6c02007" TargetMode="External"/><Relationship Id="rId1103" Type="http://schemas.openxmlformats.org/officeDocument/2006/relationships/hyperlink" Target="https://doi.org/10.1021/jacs.6c02007" TargetMode="External"/><Relationship Id="rId1104" Type="http://schemas.openxmlformats.org/officeDocument/2006/relationships/hyperlink" Target="http://dx.doi.org/10.1021/acs.chemrev.5c00974" TargetMode="External"/><Relationship Id="rId1105" Type="http://schemas.openxmlformats.org/officeDocument/2006/relationships/hyperlink" Target="https://doi.org/10.1021/acs.chemrev.5c00974" TargetMode="External"/><Relationship Id="rId1106" Type="http://schemas.openxmlformats.org/officeDocument/2006/relationships/hyperlink" Target="http://dx.doi.org/10.1021/jacs.6c01107" TargetMode="External"/><Relationship Id="rId1107" Type="http://schemas.openxmlformats.org/officeDocument/2006/relationships/hyperlink" Target="https://doi.org/10.1021/jacs.6c01107" TargetMode="External"/><Relationship Id="rId1108" Type="http://schemas.openxmlformats.org/officeDocument/2006/relationships/hyperlink" Target="http://dx.doi.org/10.1021/jacs.6c02820" TargetMode="External"/><Relationship Id="rId1109" Type="http://schemas.openxmlformats.org/officeDocument/2006/relationships/hyperlink" Target="https://doi.org/10.1021/jacs.6c02820" TargetMode="External"/><Relationship Id="rId1110" Type="http://schemas.openxmlformats.org/officeDocument/2006/relationships/hyperlink" Target="http://dx.doi.org/10.1021/jacs.5c21177" TargetMode="External"/><Relationship Id="rId1111" Type="http://schemas.openxmlformats.org/officeDocument/2006/relationships/hyperlink" Target="https://doi.org/10.1021/jacs.5c21177" TargetMode="External"/><Relationship Id="rId1112" Type="http://schemas.openxmlformats.org/officeDocument/2006/relationships/hyperlink" Target="http://dx.doi.org/10.1021/jacs.5c22949" TargetMode="External"/><Relationship Id="rId1113" Type="http://schemas.openxmlformats.org/officeDocument/2006/relationships/hyperlink" Target="https://doi.org/10.1021/jacs.5c22949" TargetMode="External"/><Relationship Id="rId1114" Type="http://schemas.openxmlformats.org/officeDocument/2006/relationships/hyperlink" Target="http://dx.doi.org/10.1021/jacs.5c22292" TargetMode="External"/><Relationship Id="rId1115" Type="http://schemas.openxmlformats.org/officeDocument/2006/relationships/hyperlink" Target="https://doi.org/10.1021/jacs.5c22292" TargetMode="External"/><Relationship Id="rId1116" Type="http://schemas.openxmlformats.org/officeDocument/2006/relationships/hyperlink" Target="http://dx.doi.org/10.1021/jacs.5c19788" TargetMode="External"/><Relationship Id="rId1117" Type="http://schemas.openxmlformats.org/officeDocument/2006/relationships/hyperlink" Target="https://doi.org/10.1021/jacs.5c197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